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BB14B" w14:textId="1C7AAA5C" w:rsidR="00FD07C9" w:rsidRPr="00263EE9" w:rsidRDefault="00D97474" w:rsidP="00263EE9">
      <w:pPr>
        <w:pStyle w:val="Heading1"/>
      </w:pPr>
      <w:r w:rsidRPr="00263EE9">
        <w:t>Analysis of the utilisation of iron chelating agents</w:t>
      </w:r>
    </w:p>
    <w:p w14:paraId="06C8BF9F" w14:textId="5E6BEB36" w:rsidR="00FD07C9" w:rsidRPr="00D5073D" w:rsidRDefault="000E1F26" w:rsidP="00D5073D">
      <w:pPr>
        <w:pStyle w:val="Heading2"/>
      </w:pPr>
      <w:r w:rsidRPr="00D5073D">
        <w:t>Drug utilisation sub-committee (DUSC)</w:t>
      </w:r>
    </w:p>
    <w:p w14:paraId="41A084C3" w14:textId="3A50D0A0" w:rsidR="000E1F26" w:rsidRPr="00631A50" w:rsidRDefault="0041099E" w:rsidP="00631A50">
      <w:pPr>
        <w:rPr>
          <w:rFonts w:asciiTheme="minorHAnsi" w:hAnsiTheme="minorHAnsi"/>
          <w:b/>
          <w:i/>
        </w:rPr>
      </w:pPr>
      <w:r w:rsidRPr="00631A50">
        <w:rPr>
          <w:rFonts w:asciiTheme="minorHAnsi" w:hAnsiTheme="minorHAnsi"/>
          <w:b/>
          <w:i/>
        </w:rPr>
        <w:t>February</w:t>
      </w:r>
      <w:r w:rsidR="000E1F26" w:rsidRPr="00631A50">
        <w:rPr>
          <w:rFonts w:asciiTheme="minorHAnsi" w:hAnsiTheme="minorHAnsi"/>
          <w:b/>
          <w:i/>
        </w:rPr>
        <w:t xml:space="preserve"> 201</w:t>
      </w:r>
      <w:r w:rsidRPr="00631A50">
        <w:rPr>
          <w:rFonts w:asciiTheme="minorHAnsi" w:hAnsiTheme="minorHAnsi"/>
          <w:b/>
          <w:i/>
        </w:rPr>
        <w:t>4</w:t>
      </w:r>
    </w:p>
    <w:p w14:paraId="5E6FB2ED" w14:textId="7E3020A9" w:rsidR="004D1937" w:rsidRPr="00545804" w:rsidRDefault="004D1937" w:rsidP="00545804">
      <w:pPr>
        <w:rPr>
          <w:rFonts w:asciiTheme="minorHAnsi" w:hAnsiTheme="minorHAnsi"/>
          <w:b/>
          <w:sz w:val="32"/>
          <w:szCs w:val="32"/>
        </w:rPr>
      </w:pPr>
      <w:r w:rsidRPr="00545804">
        <w:rPr>
          <w:rFonts w:asciiTheme="minorHAnsi" w:hAnsiTheme="minorHAnsi"/>
          <w:b/>
          <w:sz w:val="32"/>
          <w:szCs w:val="32"/>
        </w:rPr>
        <w:t>Abstract</w:t>
      </w:r>
    </w:p>
    <w:p w14:paraId="4555F925" w14:textId="384D4964" w:rsidR="004D1937" w:rsidRPr="00B61B17" w:rsidRDefault="00B61B17" w:rsidP="00B61B17">
      <w:pPr>
        <w:pStyle w:val="Heading3"/>
      </w:pPr>
      <w:r w:rsidRPr="00B61B17">
        <w:t>Purpose</w:t>
      </w:r>
    </w:p>
    <w:p w14:paraId="0E43E9DE" w14:textId="73669AAF" w:rsidR="004D1937" w:rsidRPr="001B5170" w:rsidRDefault="00007091" w:rsidP="001B5170">
      <w:pPr>
        <w:rPr>
          <w:rFonts w:asciiTheme="minorHAnsi" w:hAnsiTheme="minorHAnsi" w:cs="Arial"/>
          <w:b/>
        </w:rPr>
      </w:pPr>
      <w:proofErr w:type="gramStart"/>
      <w:r w:rsidRPr="001B5170">
        <w:rPr>
          <w:rFonts w:asciiTheme="minorHAnsi" w:hAnsiTheme="minorHAnsi" w:cs="Arial"/>
        </w:rPr>
        <w:t>To review utilisation of iron chelating therapies.</w:t>
      </w:r>
      <w:proofErr w:type="gramEnd"/>
      <w:r w:rsidRPr="001B5170">
        <w:rPr>
          <w:rFonts w:asciiTheme="minorHAnsi" w:hAnsiTheme="minorHAnsi" w:cs="Arial"/>
        </w:rPr>
        <w:t xml:space="preserve">  </w:t>
      </w:r>
      <w:r w:rsidR="004D1937" w:rsidRPr="001B5170">
        <w:rPr>
          <w:rFonts w:asciiTheme="minorHAnsi" w:hAnsiTheme="minorHAnsi" w:cs="Arial"/>
        </w:rPr>
        <w:t>At its March 2013 meeting</w:t>
      </w:r>
      <w:r w:rsidR="006E4A35" w:rsidRPr="001B5170">
        <w:rPr>
          <w:rFonts w:asciiTheme="minorHAnsi" w:hAnsiTheme="minorHAnsi" w:cs="Arial"/>
        </w:rPr>
        <w:t>,</w:t>
      </w:r>
      <w:r w:rsidR="004D1937" w:rsidRPr="001B5170">
        <w:rPr>
          <w:rFonts w:asciiTheme="minorHAnsi" w:hAnsiTheme="minorHAnsi" w:cs="Arial"/>
        </w:rPr>
        <w:t xml:space="preserve"> the </w:t>
      </w:r>
      <w:r w:rsidR="006E4A35" w:rsidRPr="001B5170">
        <w:rPr>
          <w:rFonts w:asciiTheme="minorHAnsi" w:hAnsiTheme="minorHAnsi" w:cs="Arial"/>
        </w:rPr>
        <w:t>Pharmaceutical Benefits Advisory Committee (</w:t>
      </w:r>
      <w:r w:rsidR="004D1937" w:rsidRPr="001B5170">
        <w:rPr>
          <w:rFonts w:asciiTheme="minorHAnsi" w:hAnsiTheme="minorHAnsi" w:cs="Arial"/>
        </w:rPr>
        <w:t>PBAC</w:t>
      </w:r>
      <w:r w:rsidR="006E4A35" w:rsidRPr="001B5170">
        <w:rPr>
          <w:rFonts w:asciiTheme="minorHAnsi" w:hAnsiTheme="minorHAnsi" w:cs="Arial"/>
        </w:rPr>
        <w:t>)</w:t>
      </w:r>
      <w:r w:rsidR="00471E7A" w:rsidRPr="001B5170">
        <w:rPr>
          <w:rFonts w:asciiTheme="minorHAnsi" w:hAnsiTheme="minorHAnsi" w:cs="Arial"/>
        </w:rPr>
        <w:t xml:space="preserve"> considered</w:t>
      </w:r>
      <w:r w:rsidR="004D1937" w:rsidRPr="001B5170">
        <w:rPr>
          <w:rFonts w:asciiTheme="minorHAnsi" w:hAnsiTheme="minorHAnsi" w:cs="Arial"/>
        </w:rPr>
        <w:t xml:space="preserve"> that iron chelation therapy was overused in </w:t>
      </w:r>
      <w:proofErr w:type="spellStart"/>
      <w:r w:rsidR="004D1937" w:rsidRPr="001B5170">
        <w:rPr>
          <w:rFonts w:asciiTheme="minorHAnsi" w:hAnsiTheme="minorHAnsi" w:cs="Arial"/>
        </w:rPr>
        <w:t>myelodysplastic</w:t>
      </w:r>
      <w:proofErr w:type="spellEnd"/>
      <w:r w:rsidR="004D1937" w:rsidRPr="001B5170">
        <w:rPr>
          <w:rFonts w:asciiTheme="minorHAnsi" w:hAnsiTheme="minorHAnsi" w:cs="Arial"/>
        </w:rPr>
        <w:t xml:space="preserve"> syndrome (MDS) and </w:t>
      </w:r>
      <w:r w:rsidR="00471E7A" w:rsidRPr="001B5170">
        <w:rPr>
          <w:rFonts w:asciiTheme="minorHAnsi" w:hAnsiTheme="minorHAnsi" w:cs="Arial"/>
        </w:rPr>
        <w:t xml:space="preserve">may </w:t>
      </w:r>
      <w:r w:rsidR="004D1937" w:rsidRPr="001B5170">
        <w:rPr>
          <w:rFonts w:asciiTheme="minorHAnsi" w:hAnsiTheme="minorHAnsi" w:cs="Arial"/>
        </w:rPr>
        <w:t>provide limited benefits in patients with short life expectancy.</w:t>
      </w:r>
      <w:r w:rsidR="00CA29CB" w:rsidRPr="001B5170">
        <w:rPr>
          <w:rFonts w:asciiTheme="minorHAnsi" w:hAnsiTheme="minorHAnsi" w:cs="Arial"/>
        </w:rPr>
        <w:t xml:space="preserve">  The PBAC requested </w:t>
      </w:r>
      <w:proofErr w:type="gramStart"/>
      <w:r w:rsidR="00CA29CB" w:rsidRPr="001B5170">
        <w:rPr>
          <w:rFonts w:asciiTheme="minorHAnsi" w:hAnsiTheme="minorHAnsi" w:cs="Arial"/>
        </w:rPr>
        <w:t>a</w:t>
      </w:r>
      <w:proofErr w:type="gramEnd"/>
      <w:r w:rsidR="00CA29CB" w:rsidRPr="001B5170">
        <w:rPr>
          <w:rFonts w:asciiTheme="minorHAnsi" w:hAnsiTheme="minorHAnsi" w:cs="Arial"/>
        </w:rPr>
        <w:t xml:space="preserve"> utilisation analysis of the iron chelating class of drugs (</w:t>
      </w:r>
      <w:proofErr w:type="spellStart"/>
      <w:r w:rsidR="00CA29CB" w:rsidRPr="001B5170">
        <w:rPr>
          <w:rFonts w:asciiTheme="minorHAnsi" w:hAnsiTheme="minorHAnsi" w:cs="Arial"/>
        </w:rPr>
        <w:t>desferrioxamine</w:t>
      </w:r>
      <w:proofErr w:type="spellEnd"/>
      <w:r w:rsidR="00CA29CB" w:rsidRPr="001B5170">
        <w:rPr>
          <w:rFonts w:asciiTheme="minorHAnsi" w:hAnsiTheme="minorHAnsi" w:cs="Arial"/>
        </w:rPr>
        <w:t xml:space="preserve">, </w:t>
      </w:r>
      <w:proofErr w:type="spellStart"/>
      <w:r w:rsidR="00CA29CB" w:rsidRPr="001B5170">
        <w:rPr>
          <w:rFonts w:asciiTheme="minorHAnsi" w:hAnsiTheme="minorHAnsi" w:cs="Arial"/>
        </w:rPr>
        <w:t>deferiprone</w:t>
      </w:r>
      <w:proofErr w:type="spellEnd"/>
      <w:r w:rsidR="00CA29CB" w:rsidRPr="001B5170">
        <w:rPr>
          <w:rFonts w:asciiTheme="minorHAnsi" w:hAnsiTheme="minorHAnsi" w:cs="Arial"/>
        </w:rPr>
        <w:t xml:space="preserve"> and </w:t>
      </w:r>
      <w:proofErr w:type="spellStart"/>
      <w:r w:rsidR="00CA29CB" w:rsidRPr="001B5170">
        <w:rPr>
          <w:rFonts w:asciiTheme="minorHAnsi" w:hAnsiTheme="minorHAnsi" w:cs="Arial"/>
        </w:rPr>
        <w:t>deferasirox</w:t>
      </w:r>
      <w:proofErr w:type="spellEnd"/>
      <w:r w:rsidR="00CA29CB" w:rsidRPr="001B5170">
        <w:rPr>
          <w:rFonts w:asciiTheme="minorHAnsi" w:hAnsiTheme="minorHAnsi" w:cs="Arial"/>
        </w:rPr>
        <w:t>).</w:t>
      </w:r>
    </w:p>
    <w:p w14:paraId="6F22D2B1" w14:textId="7D3579E6" w:rsidR="000E1F26" w:rsidRPr="00F9121F" w:rsidRDefault="00BB5C6B" w:rsidP="001D6572">
      <w:pPr>
        <w:pStyle w:val="Heading3"/>
      </w:pPr>
      <w:r w:rsidRPr="00F9121F">
        <w:t>Background</w:t>
      </w:r>
    </w:p>
    <w:p w14:paraId="64EAAA65" w14:textId="3C673CFA" w:rsidR="0011367D" w:rsidRDefault="004A7F2C" w:rsidP="00F76431">
      <w:pPr>
        <w:pStyle w:val="Title"/>
        <w:spacing w:line="240" w:lineRule="auto"/>
        <w:rPr>
          <w:rFonts w:asciiTheme="minorHAnsi" w:hAnsiTheme="minorHAnsi"/>
          <w:b w:val="0"/>
          <w:sz w:val="24"/>
          <w:szCs w:val="24"/>
        </w:rPr>
      </w:pPr>
      <w:proofErr w:type="spellStart"/>
      <w:r w:rsidRPr="004A7F2C">
        <w:rPr>
          <w:rFonts w:asciiTheme="minorHAnsi" w:hAnsiTheme="minorHAnsi"/>
          <w:b w:val="0"/>
          <w:sz w:val="24"/>
          <w:szCs w:val="24"/>
        </w:rPr>
        <w:t>Desferrioxamine</w:t>
      </w:r>
      <w:proofErr w:type="spellEnd"/>
      <w:r w:rsidRPr="004A7F2C">
        <w:rPr>
          <w:rFonts w:asciiTheme="minorHAnsi" w:hAnsiTheme="minorHAnsi"/>
          <w:b w:val="0"/>
          <w:sz w:val="24"/>
          <w:szCs w:val="24"/>
        </w:rPr>
        <w:t xml:space="preserve">, </w:t>
      </w:r>
      <w:proofErr w:type="spellStart"/>
      <w:r w:rsidRPr="004A7F2C">
        <w:rPr>
          <w:rFonts w:asciiTheme="minorHAnsi" w:hAnsiTheme="minorHAnsi"/>
          <w:b w:val="0"/>
          <w:sz w:val="24"/>
          <w:szCs w:val="24"/>
        </w:rPr>
        <w:t>deferiprone</w:t>
      </w:r>
      <w:proofErr w:type="spellEnd"/>
      <w:r w:rsidR="0011367D">
        <w:rPr>
          <w:rFonts w:asciiTheme="minorHAnsi" w:hAnsiTheme="minorHAnsi"/>
          <w:b w:val="0"/>
          <w:sz w:val="24"/>
          <w:szCs w:val="24"/>
        </w:rPr>
        <w:t xml:space="preserve"> </w:t>
      </w:r>
      <w:r w:rsidRPr="004A7F2C">
        <w:rPr>
          <w:rFonts w:asciiTheme="minorHAnsi" w:hAnsiTheme="minorHAnsi"/>
          <w:b w:val="0"/>
          <w:sz w:val="24"/>
          <w:szCs w:val="24"/>
        </w:rPr>
        <w:t xml:space="preserve">and </w:t>
      </w:r>
      <w:proofErr w:type="spellStart"/>
      <w:r w:rsidRPr="004A7F2C">
        <w:rPr>
          <w:rFonts w:asciiTheme="minorHAnsi" w:hAnsiTheme="minorHAnsi"/>
          <w:b w:val="0"/>
          <w:sz w:val="24"/>
          <w:szCs w:val="24"/>
        </w:rPr>
        <w:t>deferasirox</w:t>
      </w:r>
      <w:proofErr w:type="spellEnd"/>
      <w:r w:rsidRPr="004A7F2C">
        <w:rPr>
          <w:rFonts w:asciiTheme="minorHAnsi" w:hAnsiTheme="minorHAnsi"/>
          <w:b w:val="0"/>
          <w:sz w:val="24"/>
          <w:szCs w:val="24"/>
        </w:rPr>
        <w:t xml:space="preserve"> are listed on the </w:t>
      </w:r>
      <w:r w:rsidR="00C665ED" w:rsidRPr="004A7F2C">
        <w:rPr>
          <w:rFonts w:asciiTheme="minorHAnsi" w:hAnsiTheme="minorHAnsi"/>
          <w:b w:val="0"/>
          <w:sz w:val="24"/>
          <w:szCs w:val="24"/>
        </w:rPr>
        <w:t>Pharmaceutical Benefits Scheme (PBS)</w:t>
      </w:r>
      <w:r w:rsidR="00743B97">
        <w:rPr>
          <w:rFonts w:asciiTheme="minorHAnsi" w:hAnsiTheme="minorHAnsi"/>
          <w:b w:val="0"/>
          <w:sz w:val="24"/>
          <w:szCs w:val="24"/>
        </w:rPr>
        <w:t xml:space="preserve"> as iron chelating agents</w:t>
      </w:r>
      <w:r w:rsidRPr="004A7F2C">
        <w:rPr>
          <w:rFonts w:asciiTheme="minorHAnsi" w:hAnsiTheme="minorHAnsi"/>
          <w:b w:val="0"/>
          <w:sz w:val="24"/>
          <w:szCs w:val="24"/>
        </w:rPr>
        <w:t>.</w:t>
      </w:r>
      <w:r w:rsidR="000A201E" w:rsidRPr="004A7F2C">
        <w:rPr>
          <w:rFonts w:asciiTheme="minorHAnsi" w:hAnsiTheme="minorHAnsi"/>
          <w:b w:val="0"/>
          <w:sz w:val="24"/>
          <w:szCs w:val="24"/>
        </w:rPr>
        <w:t xml:space="preserve"> </w:t>
      </w:r>
      <w:r w:rsidR="0011367D" w:rsidRPr="0011367D">
        <w:rPr>
          <w:rFonts w:asciiTheme="minorHAnsi" w:hAnsiTheme="minorHAnsi"/>
          <w:b w:val="0"/>
          <w:sz w:val="24"/>
          <w:szCs w:val="24"/>
        </w:rPr>
        <w:t xml:space="preserve">Iron chelating therapy is used to remove excess iron in patients with transfusion-dependent conditions such as beta </w:t>
      </w:r>
      <w:proofErr w:type="spellStart"/>
      <w:r w:rsidR="0011367D" w:rsidRPr="0011367D">
        <w:rPr>
          <w:rFonts w:asciiTheme="minorHAnsi" w:hAnsiTheme="minorHAnsi"/>
          <w:b w:val="0"/>
          <w:sz w:val="24"/>
          <w:szCs w:val="24"/>
        </w:rPr>
        <w:t>thalassaemia</w:t>
      </w:r>
      <w:proofErr w:type="spellEnd"/>
      <w:r w:rsidR="0011367D" w:rsidRPr="0011367D">
        <w:rPr>
          <w:rFonts w:asciiTheme="minorHAnsi" w:hAnsiTheme="minorHAnsi"/>
          <w:b w:val="0"/>
          <w:sz w:val="24"/>
          <w:szCs w:val="24"/>
        </w:rPr>
        <w:t xml:space="preserve"> major, sickle cell anaemia and MDS. </w:t>
      </w:r>
      <w:r w:rsidR="00957A04">
        <w:rPr>
          <w:rFonts w:asciiTheme="minorHAnsi" w:hAnsiTheme="minorHAnsi"/>
          <w:b w:val="0"/>
          <w:sz w:val="24"/>
          <w:szCs w:val="24"/>
        </w:rPr>
        <w:t xml:space="preserve"> </w:t>
      </w:r>
      <w:r w:rsidR="0011367D" w:rsidRPr="0011367D">
        <w:rPr>
          <w:rFonts w:asciiTheme="minorHAnsi" w:hAnsiTheme="minorHAnsi"/>
          <w:b w:val="0"/>
          <w:sz w:val="24"/>
          <w:szCs w:val="24"/>
        </w:rPr>
        <w:t xml:space="preserve">Frequent blood transfusions in these patient groups may result in an accumulation of iron in the body. </w:t>
      </w:r>
      <w:r w:rsidR="002F6F62">
        <w:rPr>
          <w:rFonts w:asciiTheme="minorHAnsi" w:hAnsiTheme="minorHAnsi"/>
          <w:b w:val="0"/>
          <w:sz w:val="24"/>
          <w:szCs w:val="24"/>
        </w:rPr>
        <w:t xml:space="preserve"> </w:t>
      </w:r>
      <w:r w:rsidR="0011367D" w:rsidRPr="0011367D">
        <w:rPr>
          <w:rFonts w:asciiTheme="minorHAnsi" w:hAnsiTheme="minorHAnsi"/>
          <w:b w:val="0"/>
          <w:sz w:val="24"/>
          <w:szCs w:val="24"/>
        </w:rPr>
        <w:t>Decreasing iron through the use of iron chelation therapy reduces the production of reactive oxygen species, thus redu</w:t>
      </w:r>
      <w:r w:rsidR="0027616F">
        <w:rPr>
          <w:rFonts w:asciiTheme="minorHAnsi" w:hAnsiTheme="minorHAnsi"/>
          <w:b w:val="0"/>
          <w:sz w:val="24"/>
          <w:szCs w:val="24"/>
        </w:rPr>
        <w:t>cing damage to critical organs.</w:t>
      </w:r>
    </w:p>
    <w:p w14:paraId="752B51F3" w14:textId="714BD97A" w:rsidR="00D93C92" w:rsidRPr="00F9121F" w:rsidRDefault="00D93C92" w:rsidP="00240901">
      <w:pPr>
        <w:pStyle w:val="Heading3"/>
      </w:pPr>
      <w:r w:rsidRPr="00F9121F">
        <w:t>Date of listing on</w:t>
      </w:r>
      <w:r w:rsidR="00F273DF">
        <w:t xml:space="preserve"> the</w:t>
      </w:r>
      <w:r w:rsidRPr="00F9121F">
        <w:t xml:space="preserve"> PBS</w:t>
      </w:r>
    </w:p>
    <w:p w14:paraId="59A47F86" w14:textId="234A3C85" w:rsidR="00712432" w:rsidRDefault="00FC0C55" w:rsidP="00F76431">
      <w:pPr>
        <w:pStyle w:val="ListParagraph"/>
        <w:numPr>
          <w:ilvl w:val="0"/>
          <w:numId w:val="22"/>
        </w:numPr>
        <w:spacing w:line="240" w:lineRule="auto"/>
        <w:ind w:left="426" w:hanging="426"/>
        <w:rPr>
          <w:rFonts w:asciiTheme="minorHAnsi" w:hAnsiTheme="minorHAnsi"/>
        </w:rPr>
      </w:pPr>
      <w:proofErr w:type="spellStart"/>
      <w:r w:rsidRPr="00F9121F">
        <w:rPr>
          <w:rFonts w:asciiTheme="minorHAnsi" w:hAnsiTheme="minorHAnsi"/>
        </w:rPr>
        <w:t>Desferrioxamine</w:t>
      </w:r>
      <w:proofErr w:type="spellEnd"/>
      <w:r w:rsidR="00712432">
        <w:rPr>
          <w:rFonts w:asciiTheme="minorHAnsi" w:hAnsiTheme="minorHAnsi"/>
        </w:rPr>
        <w:t>:</w:t>
      </w:r>
      <w:r w:rsidRPr="00F9121F">
        <w:rPr>
          <w:rFonts w:asciiTheme="minorHAnsi" w:hAnsiTheme="minorHAnsi"/>
        </w:rPr>
        <w:t xml:space="preserve"> October 1992</w:t>
      </w:r>
      <w:r w:rsidR="00712432">
        <w:rPr>
          <w:rFonts w:asciiTheme="minorHAnsi" w:hAnsiTheme="minorHAnsi"/>
        </w:rPr>
        <w:t>;</w:t>
      </w:r>
    </w:p>
    <w:p w14:paraId="6D190F3A" w14:textId="3F8AB6CC" w:rsidR="00FC0C55" w:rsidRPr="00F9121F" w:rsidRDefault="00712432" w:rsidP="00F76431">
      <w:pPr>
        <w:pStyle w:val="ListParagraph"/>
        <w:numPr>
          <w:ilvl w:val="0"/>
          <w:numId w:val="22"/>
        </w:numPr>
        <w:spacing w:line="240" w:lineRule="auto"/>
        <w:ind w:left="426" w:hanging="426"/>
        <w:rPr>
          <w:rFonts w:asciiTheme="minorHAnsi" w:hAnsiTheme="minorHAnsi"/>
        </w:rPr>
      </w:pPr>
      <w:proofErr w:type="spellStart"/>
      <w:r w:rsidRPr="00712432">
        <w:rPr>
          <w:rFonts w:asciiTheme="minorHAnsi" w:hAnsiTheme="minorHAnsi"/>
        </w:rPr>
        <w:t>D</w:t>
      </w:r>
      <w:r w:rsidR="00FC0C55" w:rsidRPr="00F9121F">
        <w:rPr>
          <w:rFonts w:asciiTheme="minorHAnsi" w:hAnsiTheme="minorHAnsi"/>
        </w:rPr>
        <w:t>eferiprone</w:t>
      </w:r>
      <w:proofErr w:type="spellEnd"/>
      <w:r>
        <w:rPr>
          <w:rFonts w:asciiTheme="minorHAnsi" w:hAnsiTheme="minorHAnsi"/>
        </w:rPr>
        <w:t xml:space="preserve">: </w:t>
      </w:r>
      <w:r w:rsidR="00FC0C55" w:rsidRPr="00F9121F">
        <w:rPr>
          <w:rFonts w:asciiTheme="minorHAnsi" w:hAnsiTheme="minorHAnsi"/>
        </w:rPr>
        <w:t>tablets</w:t>
      </w:r>
      <w:r>
        <w:rPr>
          <w:rFonts w:asciiTheme="minorHAnsi" w:hAnsiTheme="minorHAnsi"/>
        </w:rPr>
        <w:t xml:space="preserve"> </w:t>
      </w:r>
      <w:r w:rsidR="00FC0C55" w:rsidRPr="00F9121F">
        <w:rPr>
          <w:rFonts w:asciiTheme="minorHAnsi" w:hAnsiTheme="minorHAnsi"/>
        </w:rPr>
        <w:t>February 2004</w:t>
      </w:r>
      <w:r>
        <w:rPr>
          <w:rFonts w:asciiTheme="minorHAnsi" w:hAnsiTheme="minorHAnsi"/>
        </w:rPr>
        <w:t xml:space="preserve">, oral solution, </w:t>
      </w:r>
      <w:r w:rsidR="00FC0C55" w:rsidRPr="00F9121F">
        <w:rPr>
          <w:rFonts w:asciiTheme="minorHAnsi" w:hAnsiTheme="minorHAnsi"/>
        </w:rPr>
        <w:t>June 2009</w:t>
      </w:r>
      <w:r>
        <w:rPr>
          <w:rFonts w:asciiTheme="minorHAnsi" w:hAnsiTheme="minorHAnsi"/>
        </w:rPr>
        <w:t>;</w:t>
      </w:r>
    </w:p>
    <w:p w14:paraId="0E8A5CDC" w14:textId="7C03A9B6" w:rsidR="00FC0C55" w:rsidRPr="00F9121F" w:rsidRDefault="00FC0C55" w:rsidP="00F76431">
      <w:pPr>
        <w:pStyle w:val="ListParagraph"/>
        <w:numPr>
          <w:ilvl w:val="0"/>
          <w:numId w:val="22"/>
        </w:numPr>
        <w:ind w:left="426" w:hanging="426"/>
        <w:rPr>
          <w:b/>
        </w:rPr>
      </w:pPr>
      <w:proofErr w:type="spellStart"/>
      <w:r w:rsidRPr="00F9121F">
        <w:rPr>
          <w:rFonts w:asciiTheme="minorHAnsi" w:hAnsiTheme="minorHAnsi"/>
        </w:rPr>
        <w:t>Deferasirox</w:t>
      </w:r>
      <w:proofErr w:type="spellEnd"/>
      <w:r w:rsidR="00712432">
        <w:rPr>
          <w:rFonts w:asciiTheme="minorHAnsi" w:hAnsiTheme="minorHAnsi"/>
        </w:rPr>
        <w:t>:</w:t>
      </w:r>
      <w:r w:rsidRPr="00F9121F">
        <w:rPr>
          <w:rFonts w:asciiTheme="minorHAnsi" w:hAnsiTheme="minorHAnsi"/>
        </w:rPr>
        <w:t xml:space="preserve"> 1 December 2006</w:t>
      </w:r>
    </w:p>
    <w:p w14:paraId="6FE58705" w14:textId="77777777" w:rsidR="001306BC" w:rsidRPr="00F9121F" w:rsidRDefault="001306BC" w:rsidP="00240901">
      <w:pPr>
        <w:pStyle w:val="Heading3"/>
      </w:pPr>
      <w:r w:rsidRPr="00F9121F">
        <w:t>Data Source / methodology</w:t>
      </w:r>
    </w:p>
    <w:p w14:paraId="227E2602" w14:textId="1E750671" w:rsidR="0011367D" w:rsidRPr="00911590" w:rsidRDefault="001E6BBC" w:rsidP="00F76431">
      <w:pPr>
        <w:pStyle w:val="Title"/>
        <w:spacing w:line="240" w:lineRule="auto"/>
        <w:rPr>
          <w:rFonts w:asciiTheme="minorHAnsi" w:hAnsiTheme="minorHAnsi"/>
          <w:b w:val="0"/>
          <w:sz w:val="24"/>
          <w:szCs w:val="24"/>
        </w:rPr>
      </w:pPr>
      <w:r w:rsidRPr="008E7420">
        <w:rPr>
          <w:rFonts w:asciiTheme="minorHAnsi" w:hAnsiTheme="minorHAnsi"/>
          <w:b w:val="0"/>
          <w:sz w:val="24"/>
          <w:szCs w:val="24"/>
        </w:rPr>
        <w:t xml:space="preserve">The analysis examined de-identified prescription and Government expenditure data for </w:t>
      </w:r>
      <w:proofErr w:type="spellStart"/>
      <w:r w:rsidRPr="008E7420">
        <w:rPr>
          <w:rFonts w:asciiTheme="minorHAnsi" w:hAnsiTheme="minorHAnsi"/>
          <w:b w:val="0"/>
          <w:sz w:val="24"/>
          <w:szCs w:val="24"/>
        </w:rPr>
        <w:t>desferrioxamine</w:t>
      </w:r>
      <w:proofErr w:type="spellEnd"/>
      <w:r w:rsidRPr="008E7420">
        <w:rPr>
          <w:rFonts w:asciiTheme="minorHAnsi" w:hAnsiTheme="minorHAnsi"/>
          <w:b w:val="0"/>
          <w:sz w:val="24"/>
          <w:szCs w:val="24"/>
        </w:rPr>
        <w:t xml:space="preserve">, </w:t>
      </w:r>
      <w:proofErr w:type="spellStart"/>
      <w:r w:rsidRPr="008E7420">
        <w:rPr>
          <w:rFonts w:asciiTheme="minorHAnsi" w:hAnsiTheme="minorHAnsi"/>
          <w:b w:val="0"/>
          <w:sz w:val="24"/>
          <w:szCs w:val="24"/>
        </w:rPr>
        <w:t>deferiprone</w:t>
      </w:r>
      <w:proofErr w:type="spellEnd"/>
      <w:r w:rsidRPr="008E7420">
        <w:rPr>
          <w:rFonts w:asciiTheme="minorHAnsi" w:hAnsiTheme="minorHAnsi"/>
          <w:b w:val="0"/>
          <w:sz w:val="24"/>
          <w:szCs w:val="24"/>
        </w:rPr>
        <w:t xml:space="preserve"> and </w:t>
      </w:r>
      <w:proofErr w:type="spellStart"/>
      <w:r w:rsidRPr="008E7420">
        <w:rPr>
          <w:rFonts w:asciiTheme="minorHAnsi" w:hAnsiTheme="minorHAnsi"/>
          <w:b w:val="0"/>
          <w:sz w:val="24"/>
          <w:szCs w:val="24"/>
        </w:rPr>
        <w:t>deferasirox</w:t>
      </w:r>
      <w:proofErr w:type="spellEnd"/>
      <w:r w:rsidRPr="008E7420">
        <w:rPr>
          <w:rFonts w:asciiTheme="minorHAnsi" w:hAnsiTheme="minorHAnsi"/>
          <w:b w:val="0"/>
          <w:sz w:val="24"/>
          <w:szCs w:val="24"/>
        </w:rPr>
        <w:t xml:space="preserve"> from January 2009 until June 2013. </w:t>
      </w:r>
      <w:r w:rsidR="004C5483" w:rsidRPr="008E7420">
        <w:rPr>
          <w:rFonts w:asciiTheme="minorHAnsi" w:eastAsiaTheme="minorEastAsia" w:hAnsiTheme="minorHAnsi" w:cstheme="minorBidi"/>
          <w:b w:val="0"/>
          <w:spacing w:val="0"/>
          <w:kern w:val="0"/>
          <w:sz w:val="24"/>
          <w:szCs w:val="24"/>
        </w:rPr>
        <w:t xml:space="preserve">The </w:t>
      </w:r>
      <w:r w:rsidR="004C5483" w:rsidRPr="00911590">
        <w:rPr>
          <w:rFonts w:asciiTheme="minorHAnsi" w:eastAsiaTheme="minorEastAsia" w:hAnsiTheme="minorHAnsi" w:cstheme="minorBidi"/>
          <w:b w:val="0"/>
          <w:spacing w:val="0"/>
          <w:kern w:val="0"/>
          <w:sz w:val="24"/>
          <w:szCs w:val="24"/>
        </w:rPr>
        <w:t>Highly Specialised Drugs (HSD) database was used to obtain information regarding the number of prescriptions, packs and cost of the drugs.</w:t>
      </w:r>
      <w:r w:rsidR="00FA2F4F">
        <w:rPr>
          <w:rFonts w:asciiTheme="minorHAnsi" w:eastAsiaTheme="minorEastAsia" w:hAnsiTheme="minorHAnsi" w:cstheme="minorBidi"/>
          <w:b w:val="0"/>
          <w:spacing w:val="0"/>
          <w:kern w:val="0"/>
          <w:sz w:val="24"/>
          <w:szCs w:val="24"/>
        </w:rPr>
        <w:t xml:space="preserve">  </w:t>
      </w:r>
      <w:r w:rsidR="004C5483" w:rsidRPr="00911590">
        <w:rPr>
          <w:rFonts w:asciiTheme="minorHAnsi" w:eastAsiaTheme="minorEastAsia" w:hAnsiTheme="minorHAnsi" w:cstheme="minorBidi"/>
          <w:b w:val="0"/>
          <w:spacing w:val="0"/>
          <w:kern w:val="0"/>
          <w:sz w:val="24"/>
          <w:szCs w:val="24"/>
        </w:rPr>
        <w:t>A patient level analysis of de</w:t>
      </w:r>
      <w:r w:rsidR="00BB5033" w:rsidRPr="00911590">
        <w:rPr>
          <w:rFonts w:asciiTheme="minorHAnsi" w:hAnsiTheme="minorHAnsi"/>
          <w:b w:val="0"/>
          <w:sz w:val="24"/>
          <w:szCs w:val="24"/>
        </w:rPr>
        <w:t>-</w:t>
      </w:r>
      <w:r w:rsidR="004C5483" w:rsidRPr="00911590">
        <w:rPr>
          <w:rFonts w:asciiTheme="minorHAnsi" w:eastAsiaTheme="minorEastAsia" w:hAnsiTheme="minorHAnsi" w:cstheme="minorBidi"/>
          <w:b w:val="0"/>
          <w:spacing w:val="0"/>
          <w:kern w:val="0"/>
          <w:sz w:val="24"/>
          <w:szCs w:val="24"/>
        </w:rPr>
        <w:t xml:space="preserve">identified </w:t>
      </w:r>
      <w:r w:rsidR="00BA2BC1" w:rsidRPr="00911590">
        <w:rPr>
          <w:rFonts w:asciiTheme="minorHAnsi" w:hAnsiTheme="minorHAnsi"/>
          <w:b w:val="0"/>
          <w:sz w:val="24"/>
          <w:szCs w:val="24"/>
        </w:rPr>
        <w:t>Department of Human Services (</w:t>
      </w:r>
      <w:r w:rsidR="004C5483" w:rsidRPr="00911590">
        <w:rPr>
          <w:rFonts w:asciiTheme="minorHAnsi" w:eastAsiaTheme="minorEastAsia" w:hAnsiTheme="minorHAnsi" w:cstheme="minorBidi"/>
          <w:b w:val="0"/>
          <w:spacing w:val="0"/>
          <w:kern w:val="0"/>
          <w:sz w:val="24"/>
          <w:szCs w:val="24"/>
        </w:rPr>
        <w:t>Medicare</w:t>
      </w:r>
      <w:r w:rsidR="00BA2BC1" w:rsidRPr="00911590">
        <w:rPr>
          <w:rFonts w:asciiTheme="minorHAnsi" w:hAnsiTheme="minorHAnsi"/>
          <w:b w:val="0"/>
          <w:sz w:val="24"/>
          <w:szCs w:val="24"/>
        </w:rPr>
        <w:t>)</w:t>
      </w:r>
      <w:r w:rsidR="004C5483" w:rsidRPr="00911590">
        <w:rPr>
          <w:rFonts w:asciiTheme="minorHAnsi" w:eastAsiaTheme="minorEastAsia" w:hAnsiTheme="minorHAnsi" w:cstheme="minorBidi"/>
          <w:b w:val="0"/>
          <w:spacing w:val="0"/>
          <w:kern w:val="0"/>
          <w:sz w:val="24"/>
          <w:szCs w:val="24"/>
        </w:rPr>
        <w:t xml:space="preserve"> claim data was used to examine the age and sex of the patients.</w:t>
      </w:r>
    </w:p>
    <w:p w14:paraId="7E70FF98" w14:textId="2D8415CD" w:rsidR="00C6746C" w:rsidRPr="00911590" w:rsidRDefault="00C6746C" w:rsidP="00F76431">
      <w:pPr>
        <w:pStyle w:val="Title"/>
        <w:spacing w:line="240" w:lineRule="auto"/>
        <w:rPr>
          <w:rFonts w:asciiTheme="minorHAnsi" w:hAnsiTheme="minorHAnsi"/>
          <w:b w:val="0"/>
          <w:sz w:val="24"/>
          <w:szCs w:val="24"/>
        </w:rPr>
      </w:pPr>
    </w:p>
    <w:p w14:paraId="1A81EE18" w14:textId="20749A84" w:rsidR="00C6746C" w:rsidRPr="00F9121F" w:rsidRDefault="00C6746C" w:rsidP="00011CB3">
      <w:pPr>
        <w:pStyle w:val="Heading3"/>
      </w:pPr>
      <w:r w:rsidRPr="00F9121F">
        <w:lastRenderedPageBreak/>
        <w:t>Key Findings</w:t>
      </w:r>
    </w:p>
    <w:p w14:paraId="7910DCAE" w14:textId="27CC53F9" w:rsidR="00D428F9" w:rsidRDefault="00D428F9" w:rsidP="00F76431">
      <w:pPr>
        <w:numPr>
          <w:ilvl w:val="0"/>
          <w:numId w:val="20"/>
        </w:numPr>
        <w:spacing w:after="0" w:line="240" w:lineRule="auto"/>
        <w:rPr>
          <w:rFonts w:asciiTheme="minorHAnsi" w:hAnsiTheme="minorHAnsi"/>
        </w:rPr>
      </w:pPr>
      <w:r w:rsidRPr="00BA4C7A">
        <w:rPr>
          <w:rFonts w:asciiTheme="minorHAnsi" w:hAnsiTheme="minorHAnsi"/>
        </w:rPr>
        <w:t>Utilisation and expenditure for</w:t>
      </w:r>
      <w:r>
        <w:rPr>
          <w:rFonts w:asciiTheme="minorHAnsi" w:hAnsiTheme="minorHAnsi"/>
        </w:rPr>
        <w:t xml:space="preserve"> the iron chelating agents has</w:t>
      </w:r>
      <w:r w:rsidRPr="00BA4C7A">
        <w:rPr>
          <w:rFonts w:asciiTheme="minorHAnsi" w:hAnsiTheme="minorHAnsi"/>
        </w:rPr>
        <w:t xml:space="preserve"> almost doubled between 2007 and 2013.</w:t>
      </w:r>
    </w:p>
    <w:p w14:paraId="70AA13EB" w14:textId="6679F184" w:rsidR="00D428F9" w:rsidRDefault="00D428F9" w:rsidP="00F76431">
      <w:pPr>
        <w:numPr>
          <w:ilvl w:val="0"/>
          <w:numId w:val="20"/>
        </w:numPr>
        <w:spacing w:after="0" w:line="240" w:lineRule="auto"/>
        <w:rPr>
          <w:rFonts w:asciiTheme="minorHAnsi" w:hAnsiTheme="minorHAnsi"/>
        </w:rPr>
      </w:pPr>
      <w:r w:rsidRPr="00BA4C7A">
        <w:rPr>
          <w:rFonts w:asciiTheme="minorHAnsi" w:hAnsiTheme="minorHAnsi"/>
        </w:rPr>
        <w:t xml:space="preserve">The </w:t>
      </w:r>
      <w:r>
        <w:rPr>
          <w:rFonts w:asciiTheme="minorHAnsi" w:hAnsiTheme="minorHAnsi"/>
        </w:rPr>
        <w:t>increase was</w:t>
      </w:r>
      <w:r w:rsidRPr="00BA4C7A">
        <w:rPr>
          <w:rFonts w:asciiTheme="minorHAnsi" w:hAnsiTheme="minorHAnsi"/>
        </w:rPr>
        <w:t xml:space="preserve"> predominantly driven by the</w:t>
      </w:r>
      <w:r>
        <w:rPr>
          <w:rFonts w:asciiTheme="minorHAnsi" w:hAnsiTheme="minorHAnsi"/>
        </w:rPr>
        <w:t xml:space="preserve"> increasing use of the</w:t>
      </w:r>
      <w:r w:rsidRPr="00BA4C7A">
        <w:rPr>
          <w:rFonts w:asciiTheme="minorHAnsi" w:hAnsiTheme="minorHAnsi"/>
        </w:rPr>
        <w:t xml:space="preserve"> 500 mg strength of </w:t>
      </w:r>
      <w:proofErr w:type="spellStart"/>
      <w:r w:rsidRPr="00BA4C7A">
        <w:rPr>
          <w:rFonts w:asciiTheme="minorHAnsi" w:hAnsiTheme="minorHAnsi"/>
        </w:rPr>
        <w:t>deferasirox</w:t>
      </w:r>
      <w:proofErr w:type="spellEnd"/>
      <w:r>
        <w:rPr>
          <w:rFonts w:asciiTheme="minorHAnsi" w:hAnsiTheme="minorHAnsi"/>
        </w:rPr>
        <w:t xml:space="preserve">. </w:t>
      </w:r>
    </w:p>
    <w:p w14:paraId="2D31B1AC" w14:textId="1F1A53EC" w:rsidR="00D428F9" w:rsidRDefault="00D428F9" w:rsidP="00F76431">
      <w:pPr>
        <w:numPr>
          <w:ilvl w:val="0"/>
          <w:numId w:val="20"/>
        </w:numPr>
        <w:spacing w:after="0" w:line="240" w:lineRule="auto"/>
        <w:rPr>
          <w:rFonts w:asciiTheme="minorHAnsi" w:hAnsiTheme="minorHAnsi"/>
        </w:rPr>
      </w:pPr>
      <w:r>
        <w:rPr>
          <w:rFonts w:asciiTheme="minorHAnsi" w:hAnsiTheme="minorHAnsi"/>
        </w:rPr>
        <w:t xml:space="preserve">The utilisation of </w:t>
      </w:r>
      <w:proofErr w:type="spellStart"/>
      <w:r>
        <w:rPr>
          <w:rFonts w:asciiTheme="minorHAnsi" w:hAnsiTheme="minorHAnsi"/>
        </w:rPr>
        <w:t>deferasirox</w:t>
      </w:r>
      <w:proofErr w:type="spellEnd"/>
      <w:r>
        <w:rPr>
          <w:rFonts w:asciiTheme="minorHAnsi" w:hAnsiTheme="minorHAnsi"/>
        </w:rPr>
        <w:t xml:space="preserve"> 500 mg is higher than that proposed at the time of listing.</w:t>
      </w:r>
    </w:p>
    <w:p w14:paraId="3354EEC6" w14:textId="06351F99" w:rsidR="00C6746C" w:rsidRPr="00C6746C" w:rsidRDefault="00C6746C" w:rsidP="00F76431">
      <w:pPr>
        <w:numPr>
          <w:ilvl w:val="0"/>
          <w:numId w:val="20"/>
        </w:numPr>
        <w:spacing w:after="0" w:line="240" w:lineRule="auto"/>
        <w:rPr>
          <w:rFonts w:asciiTheme="minorHAnsi" w:hAnsiTheme="minorHAnsi"/>
        </w:rPr>
      </w:pPr>
      <w:r w:rsidRPr="00C6746C">
        <w:rPr>
          <w:rFonts w:asciiTheme="minorHAnsi" w:hAnsiTheme="minorHAnsi"/>
        </w:rPr>
        <w:t xml:space="preserve">Most patients treated with </w:t>
      </w:r>
      <w:proofErr w:type="spellStart"/>
      <w:r w:rsidRPr="00C6746C">
        <w:rPr>
          <w:rFonts w:asciiTheme="minorHAnsi" w:hAnsiTheme="minorHAnsi"/>
        </w:rPr>
        <w:t>deferasirox</w:t>
      </w:r>
      <w:proofErr w:type="spellEnd"/>
      <w:r w:rsidRPr="00C6746C">
        <w:rPr>
          <w:rFonts w:asciiTheme="minorHAnsi" w:hAnsiTheme="minorHAnsi"/>
        </w:rPr>
        <w:t xml:space="preserve"> are over the age of 55.</w:t>
      </w:r>
      <w:r w:rsidR="00BA0E61">
        <w:rPr>
          <w:rFonts w:asciiTheme="minorHAnsi" w:hAnsiTheme="minorHAnsi"/>
        </w:rPr>
        <w:t xml:space="preserve">  </w:t>
      </w:r>
      <w:r w:rsidRPr="00C6746C">
        <w:rPr>
          <w:rFonts w:asciiTheme="minorHAnsi" w:hAnsiTheme="minorHAnsi"/>
        </w:rPr>
        <w:t>It is probable that much of the use in older patients is for MDS</w:t>
      </w:r>
      <w:r w:rsidR="00BA0E61">
        <w:rPr>
          <w:rFonts w:asciiTheme="minorHAnsi" w:hAnsiTheme="minorHAnsi"/>
        </w:rPr>
        <w:t xml:space="preserve">.  </w:t>
      </w:r>
      <w:r w:rsidRPr="00C6746C">
        <w:rPr>
          <w:rFonts w:asciiTheme="minorHAnsi" w:hAnsiTheme="minorHAnsi"/>
        </w:rPr>
        <w:t xml:space="preserve">The extent of use for MDS has been higher than expected at the time of listing and the incremental cost-effectiveness ratio of iron chelating agents used in MDS </w:t>
      </w:r>
      <w:r w:rsidR="003345BC">
        <w:rPr>
          <w:rFonts w:asciiTheme="minorHAnsi" w:hAnsiTheme="minorHAnsi"/>
        </w:rPr>
        <w:t xml:space="preserve">has not been established and </w:t>
      </w:r>
      <w:r w:rsidRPr="00C6746C">
        <w:rPr>
          <w:rFonts w:asciiTheme="minorHAnsi" w:hAnsiTheme="minorHAnsi"/>
        </w:rPr>
        <w:t xml:space="preserve">is likely to be higher than for conditions such as thalassemia.  </w:t>
      </w:r>
    </w:p>
    <w:p w14:paraId="5C58EEE1" w14:textId="77777777" w:rsidR="00C6746C" w:rsidRPr="00C6746C" w:rsidRDefault="00C6746C" w:rsidP="00F76431">
      <w:pPr>
        <w:numPr>
          <w:ilvl w:val="0"/>
          <w:numId w:val="20"/>
        </w:numPr>
        <w:spacing w:after="0" w:line="240" w:lineRule="auto"/>
        <w:rPr>
          <w:rFonts w:asciiTheme="minorHAnsi" w:hAnsiTheme="minorHAnsi"/>
        </w:rPr>
      </w:pPr>
      <w:r w:rsidRPr="00C6746C">
        <w:rPr>
          <w:rFonts w:asciiTheme="minorHAnsi" w:hAnsiTheme="minorHAnsi"/>
        </w:rPr>
        <w:t>PBS/RPBS expenditure for the 2012/13 financial year was:</w:t>
      </w:r>
    </w:p>
    <w:p w14:paraId="5AD11C7B" w14:textId="77777777" w:rsidR="00C6746C" w:rsidRPr="00C6746C" w:rsidRDefault="00C6746C" w:rsidP="00F76431">
      <w:pPr>
        <w:numPr>
          <w:ilvl w:val="0"/>
          <w:numId w:val="21"/>
        </w:numPr>
        <w:spacing w:after="0" w:line="240" w:lineRule="auto"/>
        <w:rPr>
          <w:rFonts w:asciiTheme="minorHAnsi" w:hAnsiTheme="minorHAnsi"/>
        </w:rPr>
      </w:pPr>
      <w:proofErr w:type="spellStart"/>
      <w:r w:rsidRPr="00C6746C">
        <w:rPr>
          <w:rFonts w:asciiTheme="minorHAnsi" w:hAnsiTheme="minorHAnsi"/>
        </w:rPr>
        <w:t>Desferrioxamine</w:t>
      </w:r>
      <w:proofErr w:type="spellEnd"/>
      <w:r w:rsidRPr="00C6746C">
        <w:rPr>
          <w:rFonts w:asciiTheme="minorHAnsi" w:hAnsiTheme="minorHAnsi"/>
        </w:rPr>
        <w:tab/>
        <w:t>$764,161</w:t>
      </w:r>
    </w:p>
    <w:p w14:paraId="233E865C" w14:textId="77777777" w:rsidR="00C6746C" w:rsidRPr="00C6746C" w:rsidRDefault="00C6746C" w:rsidP="00F76431">
      <w:pPr>
        <w:numPr>
          <w:ilvl w:val="0"/>
          <w:numId w:val="21"/>
        </w:numPr>
        <w:spacing w:after="0" w:line="240" w:lineRule="auto"/>
        <w:rPr>
          <w:rFonts w:asciiTheme="minorHAnsi" w:hAnsiTheme="minorHAnsi"/>
        </w:rPr>
      </w:pPr>
      <w:proofErr w:type="spellStart"/>
      <w:r w:rsidRPr="00C6746C">
        <w:rPr>
          <w:rFonts w:asciiTheme="minorHAnsi" w:hAnsiTheme="minorHAnsi"/>
        </w:rPr>
        <w:t>Deferiprone</w:t>
      </w:r>
      <w:proofErr w:type="spellEnd"/>
      <w:r w:rsidRPr="00C6746C">
        <w:rPr>
          <w:rFonts w:asciiTheme="minorHAnsi" w:hAnsiTheme="minorHAnsi"/>
        </w:rPr>
        <w:t xml:space="preserve"> </w:t>
      </w:r>
      <w:r w:rsidRPr="00C6746C">
        <w:rPr>
          <w:rFonts w:asciiTheme="minorHAnsi" w:hAnsiTheme="minorHAnsi"/>
        </w:rPr>
        <w:tab/>
        <w:t>$638,223</w:t>
      </w:r>
    </w:p>
    <w:p w14:paraId="30B52B93" w14:textId="77777777" w:rsidR="00C6746C" w:rsidRPr="00C6746C" w:rsidRDefault="00C6746C" w:rsidP="00F76431">
      <w:pPr>
        <w:numPr>
          <w:ilvl w:val="0"/>
          <w:numId w:val="21"/>
        </w:numPr>
        <w:spacing w:after="0" w:line="240" w:lineRule="auto"/>
        <w:rPr>
          <w:rFonts w:asciiTheme="minorHAnsi" w:hAnsiTheme="minorHAnsi"/>
        </w:rPr>
      </w:pPr>
      <w:proofErr w:type="spellStart"/>
      <w:r w:rsidRPr="00C6746C">
        <w:rPr>
          <w:rFonts w:asciiTheme="minorHAnsi" w:hAnsiTheme="minorHAnsi"/>
        </w:rPr>
        <w:t>Deferasirox</w:t>
      </w:r>
      <w:proofErr w:type="spellEnd"/>
      <w:r w:rsidRPr="00C6746C">
        <w:rPr>
          <w:rFonts w:asciiTheme="minorHAnsi" w:hAnsiTheme="minorHAnsi"/>
        </w:rPr>
        <w:tab/>
        <w:t>$20,460,390</w:t>
      </w:r>
    </w:p>
    <w:p w14:paraId="63608699" w14:textId="1694B9B3" w:rsidR="00FF7F05" w:rsidRDefault="00C6746C" w:rsidP="00F76431">
      <w:pPr>
        <w:numPr>
          <w:ilvl w:val="0"/>
          <w:numId w:val="21"/>
        </w:numPr>
        <w:spacing w:after="0" w:line="240" w:lineRule="auto"/>
        <w:rPr>
          <w:rFonts w:asciiTheme="minorHAnsi" w:hAnsiTheme="minorHAnsi"/>
        </w:rPr>
      </w:pPr>
      <w:r w:rsidRPr="00C6746C">
        <w:rPr>
          <w:rFonts w:asciiTheme="minorHAnsi" w:hAnsiTheme="minorHAnsi"/>
        </w:rPr>
        <w:t>Total cost</w:t>
      </w:r>
      <w:r w:rsidRPr="00C6746C">
        <w:rPr>
          <w:rFonts w:asciiTheme="minorHAnsi" w:hAnsiTheme="minorHAnsi"/>
        </w:rPr>
        <w:tab/>
      </w:r>
      <w:r w:rsidRPr="00C6746C">
        <w:rPr>
          <w:rFonts w:asciiTheme="minorHAnsi" w:hAnsiTheme="minorHAnsi"/>
        </w:rPr>
        <w:tab/>
        <w:t>$21,862,774</w:t>
      </w:r>
    </w:p>
    <w:p w14:paraId="62A4D0C8" w14:textId="77777777" w:rsidR="00FF7F05" w:rsidRPr="00FF7F05" w:rsidRDefault="00FF7F05" w:rsidP="00F76431">
      <w:pPr>
        <w:spacing w:after="0" w:line="240" w:lineRule="auto"/>
        <w:ind w:left="1080"/>
        <w:rPr>
          <w:rFonts w:asciiTheme="minorHAnsi" w:hAnsiTheme="minorHAnsi"/>
        </w:rPr>
      </w:pPr>
    </w:p>
    <w:p w14:paraId="4C04D043" w14:textId="500A69F9" w:rsidR="00D36878" w:rsidRPr="000640A6" w:rsidRDefault="00D36878" w:rsidP="00F76431">
      <w:pPr>
        <w:pStyle w:val="Title"/>
        <w:spacing w:line="240" w:lineRule="auto"/>
        <w:rPr>
          <w:rFonts w:asciiTheme="minorHAnsi" w:hAnsiTheme="minorHAnsi"/>
          <w:b w:val="0"/>
          <w:sz w:val="24"/>
          <w:szCs w:val="24"/>
        </w:rPr>
      </w:pPr>
      <w:r>
        <w:rPr>
          <w:rFonts w:asciiTheme="minorHAnsi" w:hAnsiTheme="minorHAnsi"/>
        </w:rPr>
        <w:br w:type="page"/>
      </w:r>
    </w:p>
    <w:p w14:paraId="5B262047" w14:textId="58B94720" w:rsidR="00E677DD" w:rsidRPr="00AD744F" w:rsidRDefault="00E677DD" w:rsidP="00D227BB">
      <w:pPr>
        <w:pStyle w:val="Heading4"/>
        <w:spacing w:before="360"/>
      </w:pPr>
      <w:r w:rsidRPr="00AD744F">
        <w:lastRenderedPageBreak/>
        <w:t xml:space="preserve">Purpose of </w:t>
      </w:r>
      <w:r w:rsidR="00D151EB" w:rsidRPr="00AD744F">
        <w:t>analysis</w:t>
      </w:r>
    </w:p>
    <w:p w14:paraId="47303CC9" w14:textId="06707FD6" w:rsidR="000051F3" w:rsidRPr="00E83CE9" w:rsidRDefault="00E55D84" w:rsidP="00E83CE9">
      <w:pPr>
        <w:rPr>
          <w:rFonts w:asciiTheme="minorHAnsi" w:hAnsiTheme="minorHAnsi"/>
          <w:b/>
        </w:rPr>
      </w:pPr>
      <w:r w:rsidRPr="00E83CE9">
        <w:rPr>
          <w:rFonts w:asciiTheme="minorHAnsi" w:hAnsiTheme="minorHAnsi"/>
        </w:rPr>
        <w:t xml:space="preserve">This analysis of the utilisation of PBS-listed </w:t>
      </w:r>
      <w:r w:rsidR="000051F3" w:rsidRPr="00E83CE9">
        <w:rPr>
          <w:rFonts w:asciiTheme="minorHAnsi" w:hAnsiTheme="minorHAnsi"/>
        </w:rPr>
        <w:t>iron chelating agents</w:t>
      </w:r>
      <w:r w:rsidRPr="00E83CE9">
        <w:rPr>
          <w:rFonts w:asciiTheme="minorHAnsi" w:hAnsiTheme="minorHAnsi"/>
        </w:rPr>
        <w:t xml:space="preserve"> was requested by </w:t>
      </w:r>
      <w:r w:rsidR="000051F3" w:rsidRPr="00E83CE9">
        <w:rPr>
          <w:rFonts w:asciiTheme="minorHAnsi" w:hAnsiTheme="minorHAnsi"/>
        </w:rPr>
        <w:t>the P</w:t>
      </w:r>
      <w:r w:rsidR="0011367D" w:rsidRPr="00E83CE9">
        <w:rPr>
          <w:rFonts w:asciiTheme="minorHAnsi" w:hAnsiTheme="minorHAnsi"/>
        </w:rPr>
        <w:t>harmaceutical Benefits Advisory Committee (P</w:t>
      </w:r>
      <w:r w:rsidR="000051F3" w:rsidRPr="00E83CE9">
        <w:rPr>
          <w:rFonts w:asciiTheme="minorHAnsi" w:hAnsiTheme="minorHAnsi"/>
        </w:rPr>
        <w:t>BAC</w:t>
      </w:r>
      <w:r w:rsidR="0011367D" w:rsidRPr="00E83CE9">
        <w:rPr>
          <w:rFonts w:asciiTheme="minorHAnsi" w:hAnsiTheme="minorHAnsi"/>
        </w:rPr>
        <w:t>)</w:t>
      </w:r>
      <w:r w:rsidR="003533B0" w:rsidRPr="00E83CE9">
        <w:rPr>
          <w:rFonts w:asciiTheme="minorHAnsi" w:hAnsiTheme="minorHAnsi"/>
        </w:rPr>
        <w:t>.</w:t>
      </w:r>
      <w:r w:rsidR="00BA0E61" w:rsidRPr="00E83CE9">
        <w:rPr>
          <w:rFonts w:asciiTheme="minorHAnsi" w:hAnsiTheme="minorHAnsi"/>
        </w:rPr>
        <w:t xml:space="preserve">  </w:t>
      </w:r>
      <w:r w:rsidR="000051F3" w:rsidRPr="00E83CE9">
        <w:rPr>
          <w:rFonts w:asciiTheme="minorHAnsi" w:hAnsiTheme="minorHAnsi"/>
        </w:rPr>
        <w:t xml:space="preserve">At </w:t>
      </w:r>
      <w:r w:rsidR="00CB6221" w:rsidRPr="00E83CE9">
        <w:rPr>
          <w:rFonts w:asciiTheme="minorHAnsi" w:hAnsiTheme="minorHAnsi"/>
        </w:rPr>
        <w:t xml:space="preserve">its </w:t>
      </w:r>
      <w:r w:rsidR="000051F3" w:rsidRPr="00E83CE9">
        <w:rPr>
          <w:rFonts w:asciiTheme="minorHAnsi" w:hAnsiTheme="minorHAnsi"/>
        </w:rPr>
        <w:t xml:space="preserve">March 2013 </w:t>
      </w:r>
      <w:r w:rsidR="00CB6221" w:rsidRPr="00E83CE9">
        <w:rPr>
          <w:rFonts w:asciiTheme="minorHAnsi" w:hAnsiTheme="minorHAnsi"/>
        </w:rPr>
        <w:t>m</w:t>
      </w:r>
      <w:r w:rsidR="000051F3" w:rsidRPr="00E83CE9">
        <w:rPr>
          <w:rFonts w:asciiTheme="minorHAnsi" w:hAnsiTheme="minorHAnsi"/>
        </w:rPr>
        <w:t xml:space="preserve">eeting the </w:t>
      </w:r>
      <w:r w:rsidR="00CB6221" w:rsidRPr="00E83CE9">
        <w:rPr>
          <w:rFonts w:asciiTheme="minorHAnsi" w:hAnsiTheme="minorHAnsi"/>
        </w:rPr>
        <w:t xml:space="preserve">PBAC </w:t>
      </w:r>
      <w:r w:rsidR="00120399" w:rsidRPr="00E83CE9">
        <w:rPr>
          <w:rFonts w:asciiTheme="minorHAnsi" w:hAnsiTheme="minorHAnsi"/>
        </w:rPr>
        <w:t xml:space="preserve">considered </w:t>
      </w:r>
      <w:r w:rsidR="000051F3" w:rsidRPr="00E83CE9">
        <w:rPr>
          <w:rFonts w:asciiTheme="minorHAnsi" w:hAnsiTheme="minorHAnsi"/>
        </w:rPr>
        <w:t xml:space="preserve">that iron chelation therapy was overused in </w:t>
      </w:r>
      <w:proofErr w:type="spellStart"/>
      <w:r w:rsidR="000051F3" w:rsidRPr="00E83CE9">
        <w:rPr>
          <w:rFonts w:asciiTheme="minorHAnsi" w:hAnsiTheme="minorHAnsi"/>
        </w:rPr>
        <w:t>myelodysplastic</w:t>
      </w:r>
      <w:proofErr w:type="spellEnd"/>
      <w:r w:rsidR="000051F3" w:rsidRPr="00E83CE9">
        <w:rPr>
          <w:rFonts w:asciiTheme="minorHAnsi" w:hAnsiTheme="minorHAnsi"/>
        </w:rPr>
        <w:t xml:space="preserve"> syndrome </w:t>
      </w:r>
      <w:r w:rsidR="00D97474" w:rsidRPr="00E83CE9">
        <w:rPr>
          <w:rFonts w:asciiTheme="minorHAnsi" w:hAnsiTheme="minorHAnsi"/>
        </w:rPr>
        <w:t xml:space="preserve">(MDS) </w:t>
      </w:r>
      <w:r w:rsidR="000051F3" w:rsidRPr="00E83CE9">
        <w:rPr>
          <w:rFonts w:asciiTheme="minorHAnsi" w:hAnsiTheme="minorHAnsi"/>
        </w:rPr>
        <w:t xml:space="preserve">and </w:t>
      </w:r>
      <w:r w:rsidR="00120399" w:rsidRPr="00E83CE9">
        <w:rPr>
          <w:rFonts w:asciiTheme="minorHAnsi" w:hAnsiTheme="minorHAnsi"/>
        </w:rPr>
        <w:t xml:space="preserve">may </w:t>
      </w:r>
      <w:r w:rsidR="000051F3" w:rsidRPr="00E83CE9">
        <w:rPr>
          <w:rFonts w:asciiTheme="minorHAnsi" w:hAnsiTheme="minorHAnsi"/>
        </w:rPr>
        <w:t>provide limited benefits in patients with short life expectancy.</w:t>
      </w:r>
      <w:r w:rsidR="00BB45D7" w:rsidRPr="00E83CE9">
        <w:rPr>
          <w:rStyle w:val="FootnoteReference"/>
          <w:rFonts w:asciiTheme="minorHAnsi" w:hAnsiTheme="minorHAnsi"/>
        </w:rPr>
        <w:footnoteReference w:id="1"/>
      </w:r>
    </w:p>
    <w:p w14:paraId="0A7F0B57" w14:textId="2BFEFDCC" w:rsidR="006537D9" w:rsidRPr="0092516A" w:rsidRDefault="00736041" w:rsidP="00D227BB">
      <w:pPr>
        <w:pStyle w:val="Heading4"/>
        <w:spacing w:before="360"/>
      </w:pPr>
      <w:r w:rsidRPr="0092516A">
        <w:t>Background</w:t>
      </w:r>
    </w:p>
    <w:p w14:paraId="3ADF5395" w14:textId="362B4051" w:rsidR="00D97474" w:rsidRPr="00D97474" w:rsidRDefault="00D97474" w:rsidP="00F76431">
      <w:pPr>
        <w:spacing w:line="240" w:lineRule="auto"/>
        <w:rPr>
          <w:rFonts w:asciiTheme="minorHAnsi" w:hAnsiTheme="minorHAnsi"/>
        </w:rPr>
      </w:pPr>
      <w:r w:rsidRPr="00D97474">
        <w:rPr>
          <w:rFonts w:asciiTheme="minorHAnsi" w:hAnsiTheme="minorHAnsi"/>
        </w:rPr>
        <w:t xml:space="preserve">Iron chelating therapy is used to remove excess iron in patients with transfusion-dependent conditions such as beta </w:t>
      </w:r>
      <w:proofErr w:type="spellStart"/>
      <w:r w:rsidRPr="00D97474">
        <w:rPr>
          <w:rFonts w:asciiTheme="minorHAnsi" w:hAnsiTheme="minorHAnsi"/>
        </w:rPr>
        <w:t>thalassaemia</w:t>
      </w:r>
      <w:proofErr w:type="spellEnd"/>
      <w:r w:rsidRPr="00D97474">
        <w:rPr>
          <w:rFonts w:asciiTheme="minorHAnsi" w:hAnsiTheme="minorHAnsi"/>
        </w:rPr>
        <w:t xml:space="preserve"> majo</w:t>
      </w:r>
      <w:r w:rsidR="00BA0E61">
        <w:rPr>
          <w:rFonts w:asciiTheme="minorHAnsi" w:hAnsiTheme="minorHAnsi"/>
        </w:rPr>
        <w:t xml:space="preserve">r, sickle cell anaemia and MDS.  </w:t>
      </w:r>
      <w:r w:rsidRPr="00D97474">
        <w:rPr>
          <w:rFonts w:asciiTheme="minorHAnsi" w:hAnsiTheme="minorHAnsi"/>
        </w:rPr>
        <w:t>Frequent blood transfusions in these patient groups may result in an ac</w:t>
      </w:r>
      <w:r w:rsidR="00BA0E61">
        <w:rPr>
          <w:rFonts w:asciiTheme="minorHAnsi" w:hAnsiTheme="minorHAnsi"/>
        </w:rPr>
        <w:t>cumulation of iron in the body.  D</w:t>
      </w:r>
      <w:r w:rsidRPr="00D97474">
        <w:rPr>
          <w:rFonts w:asciiTheme="minorHAnsi" w:hAnsiTheme="minorHAnsi"/>
        </w:rPr>
        <w:t xml:space="preserve">ecreasing iron </w:t>
      </w:r>
      <w:r>
        <w:rPr>
          <w:rFonts w:asciiTheme="minorHAnsi" w:hAnsiTheme="minorHAnsi"/>
        </w:rPr>
        <w:t xml:space="preserve">through the use of </w:t>
      </w:r>
      <w:r w:rsidRPr="00D97474">
        <w:rPr>
          <w:rFonts w:asciiTheme="minorHAnsi" w:hAnsiTheme="minorHAnsi"/>
        </w:rPr>
        <w:t>iron chelation therapy reduces the production of reactive oxygen species, thus reducing damage to critical organs</w:t>
      </w:r>
      <w:r w:rsidR="00BA0E61">
        <w:rPr>
          <w:rFonts w:asciiTheme="minorHAnsi" w:hAnsiTheme="minorHAnsi"/>
        </w:rPr>
        <w:t xml:space="preserve">.  </w:t>
      </w:r>
      <w:r>
        <w:rPr>
          <w:rFonts w:asciiTheme="minorHAnsi" w:hAnsiTheme="minorHAnsi"/>
        </w:rPr>
        <w:t xml:space="preserve">This reduces </w:t>
      </w:r>
      <w:r w:rsidRPr="00D97474">
        <w:rPr>
          <w:rFonts w:asciiTheme="minorHAnsi" w:hAnsiTheme="minorHAnsi"/>
        </w:rPr>
        <w:t>morbidity and improve</w:t>
      </w:r>
      <w:r>
        <w:rPr>
          <w:rFonts w:asciiTheme="minorHAnsi" w:hAnsiTheme="minorHAnsi"/>
        </w:rPr>
        <w:t>s</w:t>
      </w:r>
      <w:r w:rsidRPr="00D97474">
        <w:rPr>
          <w:rFonts w:asciiTheme="minorHAnsi" w:hAnsiTheme="minorHAnsi"/>
        </w:rPr>
        <w:t xml:space="preserve"> survival</w:t>
      </w:r>
      <w:r w:rsidR="00465CA7">
        <w:rPr>
          <w:rFonts w:asciiTheme="minorHAnsi" w:hAnsiTheme="minorHAnsi"/>
        </w:rPr>
        <w:t xml:space="preserve"> in beta-thalassemia</w:t>
      </w:r>
      <w:r>
        <w:rPr>
          <w:rFonts w:asciiTheme="minorHAnsi" w:hAnsiTheme="minorHAnsi"/>
        </w:rPr>
        <w:t>.</w:t>
      </w:r>
      <w:r w:rsidRPr="00D97474">
        <w:rPr>
          <w:rFonts w:asciiTheme="minorHAnsi" w:hAnsiTheme="minorHAnsi"/>
          <w:vertAlign w:val="superscript"/>
        </w:rPr>
        <w:footnoteReference w:id="2"/>
      </w:r>
      <w:r w:rsidRPr="00D97474">
        <w:rPr>
          <w:rFonts w:asciiTheme="minorHAnsi" w:hAnsiTheme="minorHAnsi"/>
        </w:rPr>
        <w:t xml:space="preserve"> Iron chelating therapy </w:t>
      </w:r>
      <w:r>
        <w:rPr>
          <w:rFonts w:asciiTheme="minorHAnsi" w:hAnsiTheme="minorHAnsi"/>
        </w:rPr>
        <w:t>is</w:t>
      </w:r>
      <w:r w:rsidRPr="00D97474">
        <w:rPr>
          <w:rFonts w:asciiTheme="minorHAnsi" w:hAnsiTheme="minorHAnsi"/>
        </w:rPr>
        <w:t xml:space="preserve"> also used</w:t>
      </w:r>
      <w:r>
        <w:rPr>
          <w:rFonts w:asciiTheme="minorHAnsi" w:hAnsiTheme="minorHAnsi"/>
        </w:rPr>
        <w:t>, although</w:t>
      </w:r>
      <w:r w:rsidRPr="00D97474">
        <w:rPr>
          <w:rFonts w:asciiTheme="minorHAnsi" w:hAnsiTheme="minorHAnsi"/>
        </w:rPr>
        <w:t xml:space="preserve"> rarely</w:t>
      </w:r>
      <w:r>
        <w:rPr>
          <w:rFonts w:asciiTheme="minorHAnsi" w:hAnsiTheme="minorHAnsi"/>
        </w:rPr>
        <w:t>,</w:t>
      </w:r>
      <w:r w:rsidRPr="00D97474">
        <w:rPr>
          <w:rFonts w:asciiTheme="minorHAnsi" w:hAnsiTheme="minorHAnsi"/>
        </w:rPr>
        <w:t xml:space="preserve"> in </w:t>
      </w:r>
      <w:proofErr w:type="spellStart"/>
      <w:r w:rsidRPr="00D97474">
        <w:rPr>
          <w:rFonts w:asciiTheme="minorHAnsi" w:hAnsiTheme="minorHAnsi"/>
        </w:rPr>
        <w:t>haemodynamically</w:t>
      </w:r>
      <w:proofErr w:type="spellEnd"/>
      <w:r w:rsidRPr="00D97474">
        <w:rPr>
          <w:rFonts w:asciiTheme="minorHAnsi" w:hAnsiTheme="minorHAnsi"/>
        </w:rPr>
        <w:t xml:space="preserve"> unstable patients with </w:t>
      </w:r>
      <w:proofErr w:type="spellStart"/>
      <w:r w:rsidRPr="00D97474">
        <w:rPr>
          <w:rFonts w:asciiTheme="minorHAnsi" w:hAnsiTheme="minorHAnsi"/>
        </w:rPr>
        <w:t>haemochromatosis</w:t>
      </w:r>
      <w:proofErr w:type="spellEnd"/>
      <w:r w:rsidRPr="00D97474">
        <w:rPr>
          <w:rFonts w:asciiTheme="minorHAnsi" w:hAnsiTheme="minorHAnsi"/>
        </w:rPr>
        <w:t>.</w:t>
      </w:r>
    </w:p>
    <w:p w14:paraId="6AC18C88" w14:textId="232100E3" w:rsidR="001420B3" w:rsidRPr="0092516A" w:rsidRDefault="001420B3" w:rsidP="00B61B17">
      <w:pPr>
        <w:pStyle w:val="Heading3"/>
      </w:pPr>
      <w:r w:rsidRPr="0092516A">
        <w:t>TGA approved indications</w:t>
      </w:r>
    </w:p>
    <w:p w14:paraId="72A9E55F" w14:textId="0702BD66" w:rsidR="00D97474" w:rsidRPr="00D97474" w:rsidRDefault="00D97474" w:rsidP="00F76431">
      <w:pPr>
        <w:spacing w:line="240" w:lineRule="auto"/>
        <w:rPr>
          <w:rFonts w:asciiTheme="minorHAnsi" w:hAnsiTheme="minorHAnsi"/>
        </w:rPr>
      </w:pPr>
      <w:proofErr w:type="spellStart"/>
      <w:r w:rsidRPr="00D97474">
        <w:rPr>
          <w:rFonts w:asciiTheme="minorHAnsi" w:hAnsiTheme="minorHAnsi"/>
        </w:rPr>
        <w:t>Desferrioxamine</w:t>
      </w:r>
      <w:proofErr w:type="spellEnd"/>
      <w:r w:rsidRPr="00D97474">
        <w:rPr>
          <w:rFonts w:asciiTheme="minorHAnsi" w:hAnsiTheme="minorHAnsi"/>
        </w:rPr>
        <w:t xml:space="preserve"> is indicated for the treatment of acute iron intoxication and of chronic iron overload due to transfusion-dependent anaemia</w:t>
      </w:r>
      <w:r>
        <w:rPr>
          <w:rFonts w:asciiTheme="minorHAnsi" w:hAnsiTheme="minorHAnsi"/>
        </w:rPr>
        <w:t>.</w:t>
      </w:r>
      <w:r w:rsidRPr="00D97474">
        <w:rPr>
          <w:rFonts w:asciiTheme="minorHAnsi" w:hAnsiTheme="minorHAnsi"/>
          <w:vertAlign w:val="superscript"/>
        </w:rPr>
        <w:footnoteReference w:id="3"/>
      </w:r>
    </w:p>
    <w:p w14:paraId="7AD14F71" w14:textId="40F1486D" w:rsidR="00D97474" w:rsidRPr="00D97474" w:rsidRDefault="00D97474" w:rsidP="00F76431">
      <w:pPr>
        <w:spacing w:line="240" w:lineRule="auto"/>
        <w:rPr>
          <w:rFonts w:asciiTheme="minorHAnsi" w:hAnsiTheme="minorHAnsi"/>
        </w:rPr>
      </w:pPr>
      <w:proofErr w:type="spellStart"/>
      <w:r w:rsidRPr="00D97474">
        <w:rPr>
          <w:rFonts w:asciiTheme="minorHAnsi" w:hAnsiTheme="minorHAnsi"/>
        </w:rPr>
        <w:t>Deferiprone</w:t>
      </w:r>
      <w:proofErr w:type="spellEnd"/>
      <w:r w:rsidRPr="00D97474">
        <w:rPr>
          <w:rFonts w:asciiTheme="minorHAnsi" w:hAnsiTheme="minorHAnsi"/>
        </w:rPr>
        <w:t xml:space="preserve"> is indicated for the treatment of iron overload in patients with </w:t>
      </w:r>
      <w:proofErr w:type="spellStart"/>
      <w:r w:rsidRPr="00D97474">
        <w:rPr>
          <w:rFonts w:asciiTheme="minorHAnsi" w:hAnsiTheme="minorHAnsi"/>
        </w:rPr>
        <w:t>thalassaemia</w:t>
      </w:r>
      <w:proofErr w:type="spellEnd"/>
      <w:r w:rsidRPr="00D97474">
        <w:rPr>
          <w:rFonts w:asciiTheme="minorHAnsi" w:hAnsiTheme="minorHAnsi"/>
        </w:rPr>
        <w:t xml:space="preserve"> major who are unable to take </w:t>
      </w:r>
      <w:proofErr w:type="spellStart"/>
      <w:r w:rsidRPr="00D97474">
        <w:rPr>
          <w:rFonts w:asciiTheme="minorHAnsi" w:hAnsiTheme="minorHAnsi"/>
        </w:rPr>
        <w:t>desferrioxamine</w:t>
      </w:r>
      <w:proofErr w:type="spellEnd"/>
      <w:r w:rsidRPr="00D97474">
        <w:rPr>
          <w:rFonts w:asciiTheme="minorHAnsi" w:hAnsiTheme="minorHAnsi"/>
        </w:rPr>
        <w:t xml:space="preserve"> therapy; or in whom </w:t>
      </w:r>
      <w:proofErr w:type="spellStart"/>
      <w:r w:rsidRPr="00D97474">
        <w:rPr>
          <w:rFonts w:asciiTheme="minorHAnsi" w:hAnsiTheme="minorHAnsi"/>
        </w:rPr>
        <w:t>desferrioxamine</w:t>
      </w:r>
      <w:proofErr w:type="spellEnd"/>
      <w:r w:rsidRPr="00D97474">
        <w:rPr>
          <w:rFonts w:asciiTheme="minorHAnsi" w:hAnsiTheme="minorHAnsi"/>
        </w:rPr>
        <w:t xml:space="preserve"> therapy has proven ineffective</w:t>
      </w:r>
      <w:r>
        <w:rPr>
          <w:rFonts w:asciiTheme="minorHAnsi" w:hAnsiTheme="minorHAnsi"/>
        </w:rPr>
        <w:t>.</w:t>
      </w:r>
      <w:r w:rsidRPr="00D97474">
        <w:rPr>
          <w:rFonts w:asciiTheme="minorHAnsi" w:hAnsiTheme="minorHAnsi"/>
          <w:vertAlign w:val="superscript"/>
        </w:rPr>
        <w:footnoteReference w:id="4"/>
      </w:r>
    </w:p>
    <w:p w14:paraId="6AB35D1B" w14:textId="5BCA77DD" w:rsidR="00D97474" w:rsidRPr="00F16EB0" w:rsidRDefault="00D97474" w:rsidP="00F16EB0">
      <w:pPr>
        <w:spacing w:line="240" w:lineRule="auto"/>
        <w:rPr>
          <w:rFonts w:asciiTheme="minorHAnsi" w:hAnsiTheme="minorHAnsi"/>
        </w:rPr>
      </w:pPr>
      <w:proofErr w:type="spellStart"/>
      <w:r w:rsidRPr="00D97474">
        <w:rPr>
          <w:rFonts w:asciiTheme="minorHAnsi" w:hAnsiTheme="minorHAnsi"/>
        </w:rPr>
        <w:t>Deferasirox</w:t>
      </w:r>
      <w:proofErr w:type="spellEnd"/>
      <w:r w:rsidRPr="00D97474">
        <w:rPr>
          <w:rFonts w:asciiTheme="minorHAnsi" w:hAnsiTheme="minorHAnsi"/>
        </w:rPr>
        <w:t xml:space="preserve"> is indicated for the treatment of chronic iron overload due to blood transfusions (</w:t>
      </w:r>
      <w:proofErr w:type="spellStart"/>
      <w:r w:rsidRPr="00D97474">
        <w:rPr>
          <w:rFonts w:asciiTheme="minorHAnsi" w:hAnsiTheme="minorHAnsi"/>
        </w:rPr>
        <w:t>transfusional</w:t>
      </w:r>
      <w:proofErr w:type="spellEnd"/>
      <w:r w:rsidRPr="00D97474">
        <w:rPr>
          <w:rFonts w:asciiTheme="minorHAnsi" w:hAnsiTheme="minorHAnsi"/>
        </w:rPr>
        <w:t xml:space="preserve"> </w:t>
      </w:r>
      <w:proofErr w:type="spellStart"/>
      <w:r w:rsidRPr="00D97474">
        <w:rPr>
          <w:rFonts w:asciiTheme="minorHAnsi" w:hAnsiTheme="minorHAnsi"/>
        </w:rPr>
        <w:t>haemosiderosis</w:t>
      </w:r>
      <w:proofErr w:type="spellEnd"/>
      <w:r w:rsidRPr="00D97474">
        <w:rPr>
          <w:rFonts w:asciiTheme="minorHAnsi" w:hAnsiTheme="minorHAnsi"/>
        </w:rPr>
        <w:t>) in adults and paediat</w:t>
      </w:r>
      <w:r w:rsidR="000C487B">
        <w:rPr>
          <w:rFonts w:asciiTheme="minorHAnsi" w:hAnsiTheme="minorHAnsi"/>
        </w:rPr>
        <w:t xml:space="preserve">ric patients 6 years and older.  </w:t>
      </w:r>
      <w:r w:rsidRPr="00D97474">
        <w:rPr>
          <w:rFonts w:asciiTheme="minorHAnsi" w:hAnsiTheme="minorHAnsi"/>
        </w:rPr>
        <w:t xml:space="preserve">It is also indicated for the treatment of chronic iron overload in paediatric patients aged 2 to 5 years who are unable to take </w:t>
      </w:r>
      <w:proofErr w:type="spellStart"/>
      <w:r w:rsidRPr="00D97474">
        <w:rPr>
          <w:rFonts w:asciiTheme="minorHAnsi" w:hAnsiTheme="minorHAnsi"/>
        </w:rPr>
        <w:t>desferrioxamine</w:t>
      </w:r>
      <w:proofErr w:type="spellEnd"/>
      <w:r w:rsidRPr="00D97474">
        <w:rPr>
          <w:rFonts w:asciiTheme="minorHAnsi" w:hAnsiTheme="minorHAnsi"/>
        </w:rPr>
        <w:t xml:space="preserve"> therapy or in whom </w:t>
      </w:r>
      <w:proofErr w:type="spellStart"/>
      <w:r w:rsidRPr="00D97474">
        <w:rPr>
          <w:rFonts w:asciiTheme="minorHAnsi" w:hAnsiTheme="minorHAnsi"/>
        </w:rPr>
        <w:t>desferrioxamine</w:t>
      </w:r>
      <w:proofErr w:type="spellEnd"/>
      <w:r w:rsidRPr="00D97474">
        <w:rPr>
          <w:rFonts w:asciiTheme="minorHAnsi" w:hAnsiTheme="minorHAnsi"/>
        </w:rPr>
        <w:t xml:space="preserve"> has proven ineffective</w:t>
      </w:r>
      <w:r>
        <w:rPr>
          <w:rFonts w:asciiTheme="minorHAnsi" w:hAnsiTheme="minorHAnsi"/>
        </w:rPr>
        <w:t>.</w:t>
      </w:r>
      <w:r w:rsidRPr="00D97474">
        <w:rPr>
          <w:rFonts w:asciiTheme="minorHAnsi" w:hAnsiTheme="minorHAnsi"/>
          <w:vertAlign w:val="superscript"/>
        </w:rPr>
        <w:footnoteReference w:id="5"/>
      </w:r>
    </w:p>
    <w:p w14:paraId="7AFDC55F" w14:textId="77777777" w:rsidR="00F16EB0" w:rsidRDefault="00F16EB0">
      <w:pPr>
        <w:rPr>
          <w:rFonts w:asciiTheme="minorHAnsi" w:eastAsiaTheme="majorEastAsia" w:hAnsiTheme="minorHAnsi" w:cstheme="majorBidi"/>
          <w:b/>
          <w:bCs/>
          <w:sz w:val="28"/>
          <w:szCs w:val="28"/>
        </w:rPr>
      </w:pPr>
      <w:r>
        <w:br w:type="page"/>
      </w:r>
    </w:p>
    <w:p w14:paraId="42BF57B0" w14:textId="317545A6" w:rsidR="00D97474" w:rsidRPr="00D97474" w:rsidRDefault="00D97474" w:rsidP="003C5CAB">
      <w:pPr>
        <w:pStyle w:val="Heading3"/>
      </w:pPr>
      <w:r w:rsidRPr="00D97474">
        <w:lastRenderedPageBreak/>
        <w:t>PBS restrictions, dosage and administration</w:t>
      </w:r>
    </w:p>
    <w:p w14:paraId="2E6075D0" w14:textId="05FF83FB" w:rsidR="00337078" w:rsidRDefault="00337078" w:rsidP="00F76431">
      <w:pPr>
        <w:keepNext/>
        <w:keepLines/>
        <w:spacing w:before="240" w:after="20" w:line="240" w:lineRule="auto"/>
        <w:outlineLvl w:val="3"/>
        <w:rPr>
          <w:rFonts w:asciiTheme="minorHAnsi" w:eastAsiaTheme="majorEastAsia" w:hAnsiTheme="minorHAnsi" w:cstheme="majorBidi"/>
          <w:b/>
          <w:bCs/>
          <w:iCs/>
        </w:rPr>
      </w:pPr>
      <w:r w:rsidRPr="00337078">
        <w:rPr>
          <w:rFonts w:asciiTheme="minorHAnsi" w:eastAsiaTheme="majorEastAsia" w:hAnsiTheme="minorHAnsi" w:cstheme="majorBidi"/>
          <w:b/>
          <w:bCs/>
          <w:iCs/>
        </w:rPr>
        <w:t xml:space="preserve">Table </w:t>
      </w:r>
      <w:r w:rsidR="00D97474">
        <w:rPr>
          <w:rFonts w:asciiTheme="minorHAnsi" w:eastAsiaTheme="majorEastAsia" w:hAnsiTheme="minorHAnsi" w:cstheme="majorBidi"/>
          <w:b/>
          <w:bCs/>
          <w:iCs/>
        </w:rPr>
        <w:t>1</w:t>
      </w:r>
      <w:r w:rsidRPr="00337078">
        <w:rPr>
          <w:rFonts w:asciiTheme="minorHAnsi" w:eastAsiaTheme="majorEastAsia" w:hAnsiTheme="minorHAnsi" w:cstheme="majorBidi"/>
          <w:b/>
          <w:bCs/>
          <w:iCs/>
        </w:rPr>
        <w:t xml:space="preserve">: </w:t>
      </w:r>
      <w:r w:rsidR="00D97474" w:rsidRPr="00D97474">
        <w:rPr>
          <w:rFonts w:asciiTheme="minorHAnsi" w:eastAsiaTheme="majorEastAsia" w:hAnsiTheme="minorHAnsi" w:cstheme="majorBidi"/>
          <w:b/>
          <w:bCs/>
          <w:iCs/>
        </w:rPr>
        <w:t>Comparison of the iron chelating agents</w:t>
      </w:r>
    </w:p>
    <w:tbl>
      <w:tblPr>
        <w:tblStyle w:val="TableGrid"/>
        <w:tblW w:w="5000" w:type="pct"/>
        <w:tblLook w:val="01E0" w:firstRow="1" w:lastRow="1" w:firstColumn="1" w:lastColumn="1" w:noHBand="0" w:noVBand="0"/>
        <w:tblCaption w:val="Table 1: Comparison of the iron chelating agents"/>
        <w:tblDescription w:val="Comparison of the PBS restrictions, the route of administration, the iron binding ratio and the dosage of the PBS listed iron chelating agents"/>
      </w:tblPr>
      <w:tblGrid>
        <w:gridCol w:w="2109"/>
        <w:gridCol w:w="2216"/>
        <w:gridCol w:w="2351"/>
        <w:gridCol w:w="2566"/>
      </w:tblGrid>
      <w:tr w:rsidR="00D97474" w:rsidRPr="00D97474" w14:paraId="0E7C7169" w14:textId="77777777" w:rsidTr="00154060">
        <w:trPr>
          <w:trHeight w:val="343"/>
          <w:tblHeader/>
        </w:trPr>
        <w:tc>
          <w:tcPr>
            <w:tcW w:w="1141" w:type="pct"/>
            <w:tcBorders>
              <w:bottom w:val="single" w:sz="4" w:space="0" w:color="auto"/>
            </w:tcBorders>
            <w:shd w:val="clear" w:color="auto" w:fill="BFBFBF" w:themeFill="background1" w:themeFillShade="BF"/>
          </w:tcPr>
          <w:p w14:paraId="512D320B" w14:textId="77777777" w:rsidR="00D97474" w:rsidRPr="00D97474" w:rsidRDefault="00D97474" w:rsidP="00F76431">
            <w:pPr>
              <w:spacing w:after="200"/>
              <w:rPr>
                <w:rFonts w:asciiTheme="minorHAnsi" w:hAnsiTheme="minorHAnsi"/>
                <w:b/>
                <w:sz w:val="20"/>
                <w:szCs w:val="20"/>
              </w:rPr>
            </w:pPr>
            <w:r w:rsidRPr="00D97474">
              <w:rPr>
                <w:rFonts w:asciiTheme="minorHAnsi" w:hAnsiTheme="minorHAnsi"/>
                <w:b/>
                <w:sz w:val="20"/>
                <w:szCs w:val="20"/>
              </w:rPr>
              <w:t>Generic Name</w:t>
            </w:r>
          </w:p>
        </w:tc>
        <w:tc>
          <w:tcPr>
            <w:tcW w:w="1199" w:type="pct"/>
            <w:shd w:val="clear" w:color="auto" w:fill="BFBFBF" w:themeFill="background1" w:themeFillShade="BF"/>
          </w:tcPr>
          <w:p w14:paraId="4DE59FB8" w14:textId="77777777" w:rsidR="00D97474" w:rsidRPr="00D97474" w:rsidRDefault="00D97474" w:rsidP="00F76431">
            <w:pPr>
              <w:spacing w:after="200"/>
              <w:rPr>
                <w:rFonts w:asciiTheme="minorHAnsi" w:hAnsiTheme="minorHAnsi"/>
                <w:b/>
                <w:sz w:val="20"/>
                <w:szCs w:val="20"/>
              </w:rPr>
            </w:pPr>
            <w:proofErr w:type="spellStart"/>
            <w:r w:rsidRPr="00D97474">
              <w:rPr>
                <w:rFonts w:asciiTheme="minorHAnsi" w:hAnsiTheme="minorHAnsi"/>
                <w:b/>
                <w:sz w:val="20"/>
                <w:szCs w:val="20"/>
              </w:rPr>
              <w:t>Desferrioxamine</w:t>
            </w:r>
            <w:proofErr w:type="spellEnd"/>
            <w:r w:rsidRPr="00D97474">
              <w:rPr>
                <w:rFonts w:asciiTheme="minorHAnsi" w:hAnsiTheme="minorHAnsi"/>
                <w:b/>
                <w:sz w:val="20"/>
                <w:szCs w:val="20"/>
              </w:rPr>
              <w:t xml:space="preserve">  [3]</w:t>
            </w:r>
          </w:p>
        </w:tc>
        <w:tc>
          <w:tcPr>
            <w:tcW w:w="1272" w:type="pct"/>
            <w:shd w:val="clear" w:color="auto" w:fill="BFBFBF" w:themeFill="background1" w:themeFillShade="BF"/>
          </w:tcPr>
          <w:p w14:paraId="7D2D39DF" w14:textId="77777777" w:rsidR="00D97474" w:rsidRPr="00D97474" w:rsidRDefault="00D97474" w:rsidP="00F76431">
            <w:pPr>
              <w:spacing w:after="200"/>
              <w:rPr>
                <w:rFonts w:asciiTheme="minorHAnsi" w:hAnsiTheme="minorHAnsi"/>
                <w:b/>
                <w:sz w:val="20"/>
                <w:szCs w:val="20"/>
              </w:rPr>
            </w:pPr>
            <w:proofErr w:type="spellStart"/>
            <w:r w:rsidRPr="00D97474">
              <w:rPr>
                <w:rFonts w:asciiTheme="minorHAnsi" w:hAnsiTheme="minorHAnsi"/>
                <w:b/>
                <w:sz w:val="20"/>
                <w:szCs w:val="20"/>
              </w:rPr>
              <w:t>Deferiprone</w:t>
            </w:r>
            <w:proofErr w:type="spellEnd"/>
            <w:r w:rsidRPr="00D97474">
              <w:rPr>
                <w:rFonts w:asciiTheme="minorHAnsi" w:hAnsiTheme="minorHAnsi"/>
                <w:b/>
                <w:sz w:val="20"/>
                <w:szCs w:val="20"/>
              </w:rPr>
              <w:t xml:space="preserve"> [4]</w:t>
            </w:r>
          </w:p>
        </w:tc>
        <w:tc>
          <w:tcPr>
            <w:tcW w:w="1388" w:type="pct"/>
            <w:shd w:val="clear" w:color="auto" w:fill="BFBFBF" w:themeFill="background1" w:themeFillShade="BF"/>
          </w:tcPr>
          <w:p w14:paraId="4B120CA8" w14:textId="77777777" w:rsidR="00D97474" w:rsidRPr="00D97474" w:rsidRDefault="00D97474" w:rsidP="00F76431">
            <w:pPr>
              <w:spacing w:after="200"/>
              <w:rPr>
                <w:rFonts w:asciiTheme="minorHAnsi" w:hAnsiTheme="minorHAnsi"/>
                <w:b/>
                <w:sz w:val="20"/>
                <w:szCs w:val="20"/>
                <w:vertAlign w:val="superscript"/>
              </w:rPr>
            </w:pPr>
            <w:proofErr w:type="spellStart"/>
            <w:r w:rsidRPr="00D97474">
              <w:rPr>
                <w:rFonts w:asciiTheme="minorHAnsi" w:hAnsiTheme="minorHAnsi"/>
                <w:b/>
                <w:sz w:val="20"/>
                <w:szCs w:val="20"/>
              </w:rPr>
              <w:t>Deferasirox</w:t>
            </w:r>
            <w:proofErr w:type="spellEnd"/>
            <w:r w:rsidRPr="00D97474">
              <w:rPr>
                <w:rFonts w:asciiTheme="minorHAnsi" w:hAnsiTheme="minorHAnsi"/>
                <w:b/>
                <w:sz w:val="20"/>
                <w:szCs w:val="20"/>
              </w:rPr>
              <w:t xml:space="preserve"> [5] </w:t>
            </w:r>
          </w:p>
        </w:tc>
      </w:tr>
      <w:tr w:rsidR="00D97474" w:rsidRPr="00D97474" w14:paraId="55F4F7DE" w14:textId="77777777" w:rsidTr="000B00BE">
        <w:trPr>
          <w:trHeight w:val="584"/>
        </w:trPr>
        <w:tc>
          <w:tcPr>
            <w:tcW w:w="1141" w:type="pct"/>
            <w:shd w:val="clear" w:color="auto" w:fill="BFBFBF" w:themeFill="background1" w:themeFillShade="BF"/>
          </w:tcPr>
          <w:p w14:paraId="57177D98" w14:textId="77777777" w:rsidR="00D97474" w:rsidRPr="00D97474" w:rsidRDefault="00D97474" w:rsidP="00F76431">
            <w:pPr>
              <w:spacing w:after="200"/>
              <w:rPr>
                <w:rFonts w:asciiTheme="minorHAnsi" w:hAnsiTheme="minorHAnsi"/>
                <w:b/>
                <w:sz w:val="20"/>
                <w:szCs w:val="20"/>
              </w:rPr>
            </w:pPr>
            <w:r w:rsidRPr="00D97474">
              <w:rPr>
                <w:rFonts w:asciiTheme="minorHAnsi" w:hAnsiTheme="minorHAnsi"/>
                <w:b/>
                <w:sz w:val="20"/>
                <w:szCs w:val="20"/>
              </w:rPr>
              <w:t>PBS Restrictions*</w:t>
            </w:r>
          </w:p>
          <w:p w14:paraId="3D7B294B" w14:textId="163A2556" w:rsidR="00D97474" w:rsidRPr="00D97474" w:rsidRDefault="00D97474" w:rsidP="00F76431">
            <w:pPr>
              <w:spacing w:after="200"/>
              <w:rPr>
                <w:rFonts w:asciiTheme="minorHAnsi" w:hAnsiTheme="minorHAnsi"/>
                <w:sz w:val="20"/>
                <w:szCs w:val="20"/>
              </w:rPr>
            </w:pPr>
            <w:r w:rsidRPr="00D97474">
              <w:rPr>
                <w:rFonts w:asciiTheme="minorHAnsi" w:hAnsiTheme="minorHAnsi"/>
                <w:sz w:val="20"/>
                <w:szCs w:val="20"/>
              </w:rPr>
              <w:t>Author</w:t>
            </w:r>
            <w:r w:rsidR="005E53CA">
              <w:rPr>
                <w:rFonts w:asciiTheme="minorHAnsi" w:hAnsiTheme="minorHAnsi"/>
                <w:sz w:val="20"/>
                <w:szCs w:val="20"/>
              </w:rPr>
              <w:t>ity required (private hospital)</w:t>
            </w:r>
          </w:p>
          <w:p w14:paraId="38EBF558" w14:textId="77777777" w:rsidR="00D97474" w:rsidRPr="00D97474" w:rsidRDefault="00D97474" w:rsidP="00F76431">
            <w:pPr>
              <w:spacing w:after="200"/>
              <w:rPr>
                <w:rFonts w:asciiTheme="minorHAnsi" w:hAnsiTheme="minorHAnsi"/>
                <w:b/>
                <w:sz w:val="20"/>
                <w:szCs w:val="20"/>
              </w:rPr>
            </w:pPr>
            <w:r w:rsidRPr="00D97474">
              <w:rPr>
                <w:rFonts w:asciiTheme="minorHAnsi" w:hAnsiTheme="minorHAnsi"/>
                <w:sz w:val="20"/>
                <w:szCs w:val="20"/>
              </w:rPr>
              <w:t>Authority required – STREAMLINED  (public hospital)</w:t>
            </w:r>
          </w:p>
        </w:tc>
        <w:tc>
          <w:tcPr>
            <w:tcW w:w="1199" w:type="pct"/>
          </w:tcPr>
          <w:p w14:paraId="4F2FF54E" w14:textId="77777777" w:rsidR="00D97474" w:rsidRPr="00D97474" w:rsidRDefault="00D97474" w:rsidP="00F76431">
            <w:pPr>
              <w:spacing w:after="200"/>
              <w:rPr>
                <w:rFonts w:asciiTheme="minorHAnsi" w:hAnsiTheme="minorHAnsi"/>
                <w:sz w:val="20"/>
                <w:szCs w:val="20"/>
              </w:rPr>
            </w:pPr>
            <w:r w:rsidRPr="00D97474">
              <w:rPr>
                <w:rFonts w:asciiTheme="minorHAnsi" w:hAnsiTheme="minorHAnsi"/>
                <w:sz w:val="20"/>
                <w:szCs w:val="20"/>
              </w:rPr>
              <w:t>Disorders of erythropoiesis associated with treatment-related chronic iron overload</w:t>
            </w:r>
          </w:p>
        </w:tc>
        <w:tc>
          <w:tcPr>
            <w:tcW w:w="1272" w:type="pct"/>
          </w:tcPr>
          <w:p w14:paraId="7DE27DFC" w14:textId="77777777" w:rsidR="00D97474" w:rsidRPr="00D97474" w:rsidRDefault="00D97474" w:rsidP="00F76431">
            <w:pPr>
              <w:spacing w:before="100" w:beforeAutospacing="1" w:after="100" w:afterAutospacing="1"/>
              <w:rPr>
                <w:rFonts w:asciiTheme="minorHAnsi" w:eastAsia="Times New Roman" w:hAnsiTheme="minorHAnsi" w:cs="Times New Roman"/>
                <w:sz w:val="20"/>
                <w:szCs w:val="20"/>
              </w:rPr>
            </w:pPr>
            <w:r w:rsidRPr="00D97474">
              <w:rPr>
                <w:rFonts w:asciiTheme="minorHAnsi" w:eastAsia="Times New Roman" w:hAnsiTheme="minorHAnsi" w:cs="Times New Roman"/>
                <w:sz w:val="20"/>
                <w:szCs w:val="20"/>
              </w:rPr>
              <w:t xml:space="preserve">Iron overload in patients with </w:t>
            </w:r>
            <w:proofErr w:type="spellStart"/>
            <w:r w:rsidRPr="00D97474">
              <w:rPr>
                <w:rFonts w:asciiTheme="minorHAnsi" w:eastAsia="Times New Roman" w:hAnsiTheme="minorHAnsi" w:cs="Times New Roman"/>
                <w:sz w:val="20"/>
                <w:szCs w:val="20"/>
              </w:rPr>
              <w:t>thalassaemia</w:t>
            </w:r>
            <w:proofErr w:type="spellEnd"/>
            <w:r w:rsidRPr="00D97474">
              <w:rPr>
                <w:rFonts w:asciiTheme="minorHAnsi" w:eastAsia="Times New Roman" w:hAnsiTheme="minorHAnsi" w:cs="Times New Roman"/>
                <w:sz w:val="20"/>
                <w:szCs w:val="20"/>
              </w:rPr>
              <w:t xml:space="preserve"> major who are unable to take </w:t>
            </w:r>
            <w:proofErr w:type="spellStart"/>
            <w:r w:rsidRPr="00D97474">
              <w:rPr>
                <w:rFonts w:asciiTheme="minorHAnsi" w:eastAsia="Times New Roman" w:hAnsiTheme="minorHAnsi" w:cs="Times New Roman"/>
                <w:sz w:val="20"/>
                <w:szCs w:val="20"/>
              </w:rPr>
              <w:t>desferrioxamine</w:t>
            </w:r>
            <w:proofErr w:type="spellEnd"/>
            <w:r w:rsidRPr="00D97474">
              <w:rPr>
                <w:rFonts w:asciiTheme="minorHAnsi" w:eastAsia="Times New Roman" w:hAnsiTheme="minorHAnsi" w:cs="Times New Roman"/>
                <w:sz w:val="20"/>
                <w:szCs w:val="20"/>
              </w:rPr>
              <w:t xml:space="preserve"> therapy;</w:t>
            </w:r>
          </w:p>
          <w:p w14:paraId="750825C7" w14:textId="77777777" w:rsidR="00D97474" w:rsidRPr="00D97474" w:rsidRDefault="00D97474" w:rsidP="00F76431">
            <w:pPr>
              <w:spacing w:before="100" w:beforeAutospacing="1" w:after="100" w:afterAutospacing="1"/>
              <w:rPr>
                <w:rFonts w:asciiTheme="minorHAnsi" w:eastAsia="Times New Roman" w:hAnsiTheme="minorHAnsi" w:cs="Times New Roman"/>
                <w:sz w:val="20"/>
                <w:szCs w:val="20"/>
              </w:rPr>
            </w:pPr>
            <w:r w:rsidRPr="00D97474">
              <w:rPr>
                <w:rFonts w:asciiTheme="minorHAnsi" w:eastAsia="Times New Roman" w:hAnsiTheme="minorHAnsi" w:cs="Times New Roman"/>
                <w:sz w:val="20"/>
                <w:szCs w:val="20"/>
              </w:rPr>
              <w:t xml:space="preserve">Iron overload in patients with </w:t>
            </w:r>
            <w:proofErr w:type="spellStart"/>
            <w:r w:rsidRPr="00D97474">
              <w:rPr>
                <w:rFonts w:asciiTheme="minorHAnsi" w:eastAsia="Times New Roman" w:hAnsiTheme="minorHAnsi" w:cs="Times New Roman"/>
                <w:sz w:val="20"/>
                <w:szCs w:val="20"/>
              </w:rPr>
              <w:t>thalassaemia</w:t>
            </w:r>
            <w:proofErr w:type="spellEnd"/>
            <w:r w:rsidRPr="00D97474">
              <w:rPr>
                <w:rFonts w:asciiTheme="minorHAnsi" w:eastAsia="Times New Roman" w:hAnsiTheme="minorHAnsi" w:cs="Times New Roman"/>
                <w:sz w:val="20"/>
                <w:szCs w:val="20"/>
              </w:rPr>
              <w:t xml:space="preserve"> major in whom </w:t>
            </w:r>
            <w:proofErr w:type="spellStart"/>
            <w:r w:rsidRPr="00D97474">
              <w:rPr>
                <w:rFonts w:asciiTheme="minorHAnsi" w:eastAsia="Times New Roman" w:hAnsiTheme="minorHAnsi" w:cs="Times New Roman"/>
                <w:sz w:val="20"/>
                <w:szCs w:val="20"/>
              </w:rPr>
              <w:t>desferrioxamine</w:t>
            </w:r>
            <w:proofErr w:type="spellEnd"/>
            <w:r w:rsidRPr="00D97474">
              <w:rPr>
                <w:rFonts w:asciiTheme="minorHAnsi" w:eastAsia="Times New Roman" w:hAnsiTheme="minorHAnsi" w:cs="Times New Roman"/>
                <w:sz w:val="20"/>
                <w:szCs w:val="20"/>
              </w:rPr>
              <w:t xml:space="preserve"> therapy has proven ineffective.</w:t>
            </w:r>
          </w:p>
        </w:tc>
        <w:tc>
          <w:tcPr>
            <w:tcW w:w="1388" w:type="pct"/>
          </w:tcPr>
          <w:p w14:paraId="549E3F73" w14:textId="77777777" w:rsidR="00D97474" w:rsidRPr="00D97474" w:rsidRDefault="00D97474" w:rsidP="00F76431">
            <w:pPr>
              <w:spacing w:after="200"/>
              <w:rPr>
                <w:rFonts w:asciiTheme="minorHAnsi" w:hAnsiTheme="minorHAnsi"/>
                <w:sz w:val="20"/>
                <w:szCs w:val="20"/>
              </w:rPr>
            </w:pPr>
            <w:r w:rsidRPr="00D97474">
              <w:rPr>
                <w:rFonts w:asciiTheme="minorHAnsi" w:hAnsiTheme="minorHAnsi"/>
                <w:sz w:val="20"/>
                <w:szCs w:val="20"/>
              </w:rPr>
              <w:t>Chronic iron overload in patients with disorders of erythropoiesis</w:t>
            </w:r>
          </w:p>
        </w:tc>
      </w:tr>
      <w:tr w:rsidR="00D97474" w:rsidRPr="00D97474" w14:paraId="1D1F8A37" w14:textId="77777777" w:rsidTr="000B00BE">
        <w:trPr>
          <w:trHeight w:val="713"/>
        </w:trPr>
        <w:tc>
          <w:tcPr>
            <w:tcW w:w="1141" w:type="pct"/>
            <w:shd w:val="clear" w:color="auto" w:fill="BFBFBF" w:themeFill="background1" w:themeFillShade="BF"/>
          </w:tcPr>
          <w:p w14:paraId="31D5D85D" w14:textId="77777777" w:rsidR="00D97474" w:rsidRPr="00D97474" w:rsidRDefault="00D97474" w:rsidP="00F76431">
            <w:pPr>
              <w:spacing w:after="200"/>
              <w:rPr>
                <w:rFonts w:asciiTheme="minorHAnsi" w:hAnsiTheme="minorHAnsi"/>
                <w:b/>
                <w:sz w:val="20"/>
                <w:szCs w:val="20"/>
              </w:rPr>
            </w:pPr>
            <w:r w:rsidRPr="00D97474">
              <w:rPr>
                <w:rFonts w:asciiTheme="minorHAnsi" w:hAnsiTheme="minorHAnsi"/>
                <w:b/>
                <w:sz w:val="20"/>
                <w:szCs w:val="20"/>
              </w:rPr>
              <w:t>Route of administration</w:t>
            </w:r>
          </w:p>
        </w:tc>
        <w:tc>
          <w:tcPr>
            <w:tcW w:w="1199" w:type="pct"/>
          </w:tcPr>
          <w:p w14:paraId="73DA4405" w14:textId="77777777" w:rsidR="00D97474" w:rsidRPr="00D97474" w:rsidRDefault="00D97474" w:rsidP="00F76431">
            <w:pPr>
              <w:spacing w:after="200"/>
              <w:rPr>
                <w:rFonts w:asciiTheme="minorHAnsi" w:hAnsiTheme="minorHAnsi"/>
                <w:sz w:val="20"/>
                <w:szCs w:val="20"/>
              </w:rPr>
            </w:pPr>
            <w:r w:rsidRPr="00D97474">
              <w:rPr>
                <w:rFonts w:asciiTheme="minorHAnsi" w:hAnsiTheme="minorHAnsi"/>
                <w:sz w:val="20"/>
                <w:szCs w:val="20"/>
              </w:rPr>
              <w:t>Intravenous or subcutaneous infusion</w:t>
            </w:r>
          </w:p>
        </w:tc>
        <w:tc>
          <w:tcPr>
            <w:tcW w:w="1272" w:type="pct"/>
          </w:tcPr>
          <w:p w14:paraId="177064A9" w14:textId="77777777" w:rsidR="00D97474" w:rsidRPr="00D97474" w:rsidRDefault="00D97474" w:rsidP="00F76431">
            <w:pPr>
              <w:spacing w:after="200"/>
              <w:rPr>
                <w:rFonts w:asciiTheme="minorHAnsi" w:hAnsiTheme="minorHAnsi"/>
                <w:sz w:val="20"/>
                <w:szCs w:val="20"/>
              </w:rPr>
            </w:pPr>
            <w:r w:rsidRPr="00D97474">
              <w:rPr>
                <w:rFonts w:asciiTheme="minorHAnsi" w:hAnsiTheme="minorHAnsi"/>
                <w:sz w:val="20"/>
                <w:szCs w:val="20"/>
              </w:rPr>
              <w:t>Oral</w:t>
            </w:r>
          </w:p>
        </w:tc>
        <w:tc>
          <w:tcPr>
            <w:tcW w:w="1388" w:type="pct"/>
          </w:tcPr>
          <w:p w14:paraId="4DD27000" w14:textId="77777777" w:rsidR="00D97474" w:rsidRPr="00D97474" w:rsidRDefault="00D97474" w:rsidP="00F76431">
            <w:pPr>
              <w:spacing w:after="200"/>
              <w:rPr>
                <w:rFonts w:asciiTheme="minorHAnsi" w:hAnsiTheme="minorHAnsi"/>
                <w:sz w:val="20"/>
                <w:szCs w:val="20"/>
              </w:rPr>
            </w:pPr>
            <w:r w:rsidRPr="00D97474">
              <w:rPr>
                <w:rFonts w:asciiTheme="minorHAnsi" w:hAnsiTheme="minorHAnsi"/>
                <w:sz w:val="20"/>
                <w:szCs w:val="20"/>
              </w:rPr>
              <w:t>Oral</w:t>
            </w:r>
          </w:p>
        </w:tc>
      </w:tr>
      <w:tr w:rsidR="00D97474" w:rsidRPr="00D97474" w14:paraId="2DE9C395" w14:textId="77777777" w:rsidTr="000B00BE">
        <w:tblPrEx>
          <w:tblLook w:val="04A0" w:firstRow="1" w:lastRow="0" w:firstColumn="1" w:lastColumn="0" w:noHBand="0" w:noVBand="1"/>
        </w:tblPrEx>
        <w:trPr>
          <w:trHeight w:val="407"/>
        </w:trPr>
        <w:tc>
          <w:tcPr>
            <w:tcW w:w="1141" w:type="pct"/>
            <w:shd w:val="clear" w:color="auto" w:fill="BFBFBF" w:themeFill="background1" w:themeFillShade="BF"/>
          </w:tcPr>
          <w:p w14:paraId="5E062E21" w14:textId="77777777" w:rsidR="00D97474" w:rsidRPr="00D97474" w:rsidRDefault="00D97474" w:rsidP="00F76431">
            <w:pPr>
              <w:spacing w:after="200"/>
              <w:rPr>
                <w:rFonts w:asciiTheme="minorHAnsi" w:hAnsiTheme="minorHAnsi"/>
                <w:b/>
                <w:sz w:val="20"/>
                <w:szCs w:val="20"/>
              </w:rPr>
            </w:pPr>
            <w:proofErr w:type="spellStart"/>
            <w:r w:rsidRPr="00D97474">
              <w:rPr>
                <w:rFonts w:asciiTheme="minorHAnsi" w:hAnsiTheme="minorHAnsi"/>
                <w:b/>
                <w:sz w:val="20"/>
                <w:szCs w:val="20"/>
              </w:rPr>
              <w:t>Chelator</w:t>
            </w:r>
            <w:proofErr w:type="spellEnd"/>
            <w:r w:rsidRPr="00D97474">
              <w:rPr>
                <w:rFonts w:asciiTheme="minorHAnsi" w:hAnsiTheme="minorHAnsi"/>
                <w:b/>
                <w:sz w:val="20"/>
                <w:szCs w:val="20"/>
              </w:rPr>
              <w:t>: iron binding</w:t>
            </w:r>
          </w:p>
        </w:tc>
        <w:tc>
          <w:tcPr>
            <w:tcW w:w="1199" w:type="pct"/>
          </w:tcPr>
          <w:p w14:paraId="2E249323" w14:textId="77777777" w:rsidR="00D97474" w:rsidRPr="00D97474" w:rsidRDefault="00D97474" w:rsidP="00F76431">
            <w:pPr>
              <w:spacing w:after="200"/>
              <w:rPr>
                <w:rFonts w:asciiTheme="minorHAnsi" w:hAnsiTheme="minorHAnsi"/>
                <w:sz w:val="20"/>
                <w:szCs w:val="20"/>
              </w:rPr>
            </w:pPr>
            <w:r w:rsidRPr="00D97474">
              <w:rPr>
                <w:rFonts w:asciiTheme="minorHAnsi" w:hAnsiTheme="minorHAnsi"/>
                <w:sz w:val="20"/>
                <w:szCs w:val="20"/>
              </w:rPr>
              <w:t xml:space="preserve">1:1 </w:t>
            </w:r>
          </w:p>
        </w:tc>
        <w:tc>
          <w:tcPr>
            <w:tcW w:w="1272" w:type="pct"/>
          </w:tcPr>
          <w:p w14:paraId="4C2D75D0" w14:textId="77777777" w:rsidR="00D97474" w:rsidRPr="00D97474" w:rsidRDefault="00D97474" w:rsidP="00F76431">
            <w:pPr>
              <w:spacing w:after="200"/>
              <w:rPr>
                <w:rFonts w:asciiTheme="minorHAnsi" w:hAnsiTheme="minorHAnsi"/>
                <w:sz w:val="20"/>
                <w:szCs w:val="20"/>
              </w:rPr>
            </w:pPr>
            <w:r w:rsidRPr="00D97474">
              <w:rPr>
                <w:rFonts w:asciiTheme="minorHAnsi" w:hAnsiTheme="minorHAnsi"/>
                <w:sz w:val="20"/>
                <w:szCs w:val="20"/>
              </w:rPr>
              <w:t>3:1</w:t>
            </w:r>
          </w:p>
        </w:tc>
        <w:tc>
          <w:tcPr>
            <w:tcW w:w="1388" w:type="pct"/>
          </w:tcPr>
          <w:p w14:paraId="070D8D13" w14:textId="77777777" w:rsidR="00D97474" w:rsidRPr="00D97474" w:rsidRDefault="00D97474" w:rsidP="00F76431">
            <w:pPr>
              <w:spacing w:before="100" w:beforeAutospacing="1" w:after="100" w:afterAutospacing="1"/>
              <w:rPr>
                <w:rFonts w:asciiTheme="minorHAnsi" w:eastAsia="Times New Roman" w:hAnsiTheme="minorHAnsi" w:cs="Times New Roman"/>
                <w:sz w:val="20"/>
                <w:szCs w:val="20"/>
              </w:rPr>
            </w:pPr>
            <w:r w:rsidRPr="00D97474">
              <w:rPr>
                <w:rFonts w:asciiTheme="minorHAnsi" w:eastAsia="Times New Roman" w:hAnsiTheme="minorHAnsi" w:cs="Times New Roman"/>
                <w:sz w:val="20"/>
                <w:szCs w:val="20"/>
              </w:rPr>
              <w:t>2:1</w:t>
            </w:r>
          </w:p>
        </w:tc>
      </w:tr>
      <w:tr w:rsidR="00D97474" w:rsidRPr="00D97474" w14:paraId="68C56B37" w14:textId="77777777" w:rsidTr="000B00BE">
        <w:trPr>
          <w:trHeight w:val="1983"/>
        </w:trPr>
        <w:tc>
          <w:tcPr>
            <w:tcW w:w="1141" w:type="pct"/>
            <w:shd w:val="clear" w:color="auto" w:fill="BFBFBF" w:themeFill="background1" w:themeFillShade="BF"/>
          </w:tcPr>
          <w:p w14:paraId="7C00EF03" w14:textId="77777777" w:rsidR="00D97474" w:rsidRPr="00D97474" w:rsidRDefault="00D97474" w:rsidP="00F76431">
            <w:pPr>
              <w:spacing w:after="200"/>
              <w:rPr>
                <w:rFonts w:asciiTheme="minorHAnsi" w:hAnsiTheme="minorHAnsi"/>
                <w:b/>
                <w:sz w:val="20"/>
                <w:szCs w:val="20"/>
              </w:rPr>
            </w:pPr>
            <w:r w:rsidRPr="00D97474">
              <w:rPr>
                <w:rFonts w:asciiTheme="minorHAnsi" w:hAnsiTheme="minorHAnsi"/>
                <w:b/>
                <w:sz w:val="20"/>
                <w:szCs w:val="20"/>
              </w:rPr>
              <w:t>Dosage</w:t>
            </w:r>
          </w:p>
        </w:tc>
        <w:tc>
          <w:tcPr>
            <w:tcW w:w="1199" w:type="pct"/>
          </w:tcPr>
          <w:p w14:paraId="4ADE35A8" w14:textId="4243C5A0" w:rsidR="00D97474" w:rsidRPr="00D97474" w:rsidRDefault="00D97474" w:rsidP="00F76431">
            <w:pPr>
              <w:spacing w:after="200"/>
              <w:rPr>
                <w:rFonts w:asciiTheme="minorHAnsi" w:hAnsiTheme="minorHAnsi"/>
                <w:sz w:val="20"/>
                <w:szCs w:val="20"/>
              </w:rPr>
            </w:pPr>
            <w:r w:rsidRPr="00D97474">
              <w:rPr>
                <w:rFonts w:asciiTheme="minorHAnsi" w:hAnsiTheme="minorHAnsi"/>
                <w:sz w:val="20"/>
                <w:szCs w:val="20"/>
              </w:rPr>
              <w:t>Average daily dose of 20-60</w:t>
            </w:r>
            <w:r w:rsidR="00DD2EF0">
              <w:rPr>
                <w:rFonts w:asciiTheme="minorHAnsi" w:hAnsiTheme="minorHAnsi"/>
                <w:sz w:val="20"/>
                <w:szCs w:val="20"/>
              </w:rPr>
              <w:t xml:space="preserve"> </w:t>
            </w:r>
            <w:r w:rsidRPr="00D97474">
              <w:rPr>
                <w:rFonts w:asciiTheme="minorHAnsi" w:hAnsiTheme="minorHAnsi"/>
                <w:sz w:val="20"/>
                <w:szCs w:val="20"/>
              </w:rPr>
              <w:t>mg/kg body weight daily.  [3]</w:t>
            </w:r>
          </w:p>
        </w:tc>
        <w:tc>
          <w:tcPr>
            <w:tcW w:w="1272" w:type="pct"/>
          </w:tcPr>
          <w:p w14:paraId="49BD59B4" w14:textId="77777777" w:rsidR="00D97474" w:rsidRPr="00D97474" w:rsidRDefault="00D97474" w:rsidP="00F76431">
            <w:pPr>
              <w:rPr>
                <w:rFonts w:asciiTheme="minorHAnsi" w:eastAsia="Times New Roman" w:hAnsiTheme="minorHAnsi" w:cs="Times New Roman"/>
                <w:sz w:val="20"/>
                <w:szCs w:val="20"/>
              </w:rPr>
            </w:pPr>
            <w:r w:rsidRPr="00D97474">
              <w:rPr>
                <w:rFonts w:asciiTheme="minorHAnsi" w:eastAsia="Times New Roman" w:hAnsiTheme="minorHAnsi" w:cs="Times New Roman"/>
                <w:sz w:val="20"/>
                <w:szCs w:val="20"/>
              </w:rPr>
              <w:t xml:space="preserve">The usual dose for </w:t>
            </w:r>
            <w:proofErr w:type="spellStart"/>
            <w:r w:rsidRPr="00D97474">
              <w:rPr>
                <w:rFonts w:asciiTheme="minorHAnsi" w:eastAsia="Times New Roman" w:hAnsiTheme="minorHAnsi" w:cs="Times New Roman"/>
                <w:sz w:val="20"/>
                <w:szCs w:val="20"/>
              </w:rPr>
              <w:t>deferiprone</w:t>
            </w:r>
            <w:proofErr w:type="spellEnd"/>
            <w:r w:rsidRPr="00D97474">
              <w:rPr>
                <w:rFonts w:asciiTheme="minorHAnsi" w:eastAsia="Times New Roman" w:hAnsiTheme="minorHAnsi" w:cs="Times New Roman"/>
                <w:sz w:val="20"/>
                <w:szCs w:val="20"/>
              </w:rPr>
              <w:t xml:space="preserve"> tablets is 25mg/kg three times a day (total daily dose of 75mg/kg).  The dosage per kilogram is calculated to the nearest half tablet. [4]</w:t>
            </w:r>
          </w:p>
          <w:p w14:paraId="002728E9" w14:textId="77777777" w:rsidR="00D97474" w:rsidRPr="00D97474" w:rsidRDefault="00D97474" w:rsidP="00F76431">
            <w:pPr>
              <w:rPr>
                <w:rFonts w:asciiTheme="minorHAnsi" w:eastAsia="Times New Roman" w:hAnsiTheme="minorHAnsi" w:cs="Times New Roman"/>
                <w:sz w:val="20"/>
                <w:szCs w:val="20"/>
              </w:rPr>
            </w:pPr>
          </w:p>
        </w:tc>
        <w:tc>
          <w:tcPr>
            <w:tcW w:w="1388" w:type="pct"/>
          </w:tcPr>
          <w:p w14:paraId="79590FF0" w14:textId="77777777" w:rsidR="00D97474" w:rsidRPr="00D97474" w:rsidRDefault="00D97474" w:rsidP="00F76431">
            <w:pPr>
              <w:spacing w:after="200"/>
              <w:rPr>
                <w:rFonts w:asciiTheme="minorHAnsi" w:hAnsiTheme="minorHAnsi"/>
                <w:sz w:val="20"/>
                <w:szCs w:val="20"/>
              </w:rPr>
            </w:pPr>
            <w:r w:rsidRPr="00D97474">
              <w:rPr>
                <w:rFonts w:asciiTheme="minorHAnsi" w:hAnsiTheme="minorHAnsi"/>
                <w:sz w:val="20"/>
                <w:szCs w:val="20"/>
              </w:rPr>
              <w:t>20-30 mg/kg per day [5]</w:t>
            </w:r>
          </w:p>
        </w:tc>
      </w:tr>
    </w:tbl>
    <w:p w14:paraId="7C9BF70F" w14:textId="59DA7C5C" w:rsidR="00D97474" w:rsidRDefault="00D97474" w:rsidP="00F76431">
      <w:pPr>
        <w:spacing w:line="240" w:lineRule="auto"/>
        <w:rPr>
          <w:rFonts w:asciiTheme="minorHAnsi" w:hAnsiTheme="minorHAnsi" w:cs="Baskerville"/>
          <w:sz w:val="20"/>
          <w:szCs w:val="20"/>
        </w:rPr>
      </w:pPr>
      <w:r w:rsidRPr="00D97474">
        <w:rPr>
          <w:rFonts w:asciiTheme="minorHAnsi" w:hAnsiTheme="minorHAnsi" w:cs="Baskerville"/>
          <w:sz w:val="20"/>
          <w:szCs w:val="20"/>
        </w:rPr>
        <w:t xml:space="preserve">*Source: November 2013 PBS Schedule. Available from </w:t>
      </w:r>
      <w:r w:rsidRPr="00D97474">
        <w:rPr>
          <w:rFonts w:asciiTheme="minorHAnsi" w:hAnsiTheme="minorHAnsi" w:cs="Baskerville"/>
          <w:color w:val="0000FF" w:themeColor="hyperlink"/>
          <w:sz w:val="20"/>
          <w:szCs w:val="20"/>
          <w:u w:val="single"/>
        </w:rPr>
        <w:t>www.pbs.gov.au</w:t>
      </w:r>
      <w:r w:rsidRPr="00D97474">
        <w:rPr>
          <w:rFonts w:asciiTheme="minorHAnsi" w:hAnsiTheme="minorHAnsi" w:cs="Baskerville"/>
          <w:sz w:val="20"/>
          <w:szCs w:val="20"/>
        </w:rPr>
        <w:t xml:space="preserve"> </w:t>
      </w:r>
    </w:p>
    <w:p w14:paraId="7D4259A2" w14:textId="0409A477" w:rsidR="00F16EB0" w:rsidRDefault="00D97474" w:rsidP="00F16EB0">
      <w:pPr>
        <w:spacing w:after="240" w:line="240" w:lineRule="auto"/>
        <w:rPr>
          <w:rFonts w:asciiTheme="minorHAnsi" w:hAnsiTheme="minorHAnsi"/>
        </w:rPr>
      </w:pPr>
      <w:r w:rsidRPr="0092516A">
        <w:rPr>
          <w:rFonts w:asciiTheme="minorHAnsi" w:hAnsiTheme="minorHAnsi"/>
        </w:rPr>
        <w:t xml:space="preserve">The current Product Information (PI) and Consumer Medicine Information (CMI) are available </w:t>
      </w:r>
      <w:r w:rsidRPr="007E188C">
        <w:rPr>
          <w:rFonts w:asciiTheme="minorHAnsi" w:hAnsiTheme="minorHAnsi"/>
        </w:rPr>
        <w:t xml:space="preserve">from </w:t>
      </w:r>
      <w:r w:rsidR="007E188C" w:rsidRPr="00DA011D">
        <w:rPr>
          <w:rFonts w:asciiTheme="minorHAnsi" w:hAnsiTheme="minorHAnsi"/>
        </w:rPr>
        <w:t>http://tga.gov.au/hp/information-medicines-pi.htm</w:t>
      </w:r>
      <w:r w:rsidR="007E188C" w:rsidRPr="007E188C">
        <w:rPr>
          <w:rFonts w:asciiTheme="minorHAnsi" w:hAnsiTheme="minorHAnsi"/>
        </w:rPr>
        <w:t xml:space="preserve"> and </w:t>
      </w:r>
      <w:r w:rsidR="007E188C" w:rsidRPr="00DA011D">
        <w:rPr>
          <w:rFonts w:asciiTheme="minorHAnsi" w:hAnsiTheme="minorHAnsi"/>
        </w:rPr>
        <w:t>http://www.tga.gov.au/consumers/information-medicines-cmi.htm</w:t>
      </w:r>
      <w:r w:rsidR="007E188C">
        <w:t>.</w:t>
      </w:r>
    </w:p>
    <w:p w14:paraId="25B47971" w14:textId="7575A365" w:rsidR="00D97474" w:rsidRPr="00D97474" w:rsidRDefault="00D97474" w:rsidP="00F16EB0">
      <w:pPr>
        <w:pStyle w:val="Heading3"/>
      </w:pPr>
      <w:r w:rsidRPr="00D97474">
        <w:t>PBS listing details (as at 1 November 2013)</w:t>
      </w:r>
    </w:p>
    <w:p w14:paraId="17A3B460" w14:textId="4D8AA550" w:rsidR="00D97474" w:rsidRPr="00D97474" w:rsidRDefault="00BE4490" w:rsidP="00F76431">
      <w:pPr>
        <w:spacing w:line="240" w:lineRule="auto"/>
        <w:rPr>
          <w:rFonts w:asciiTheme="minorHAnsi" w:hAnsiTheme="minorHAnsi"/>
        </w:rPr>
      </w:pPr>
      <w:r>
        <w:rPr>
          <w:rFonts w:asciiTheme="minorHAnsi" w:hAnsiTheme="minorHAnsi"/>
        </w:rPr>
        <w:t xml:space="preserve">Table 2 </w:t>
      </w:r>
      <w:r w:rsidR="00D97474" w:rsidRPr="00D97474">
        <w:rPr>
          <w:rFonts w:asciiTheme="minorHAnsi" w:hAnsiTheme="minorHAnsi"/>
        </w:rPr>
        <w:t>pres</w:t>
      </w:r>
      <w:r w:rsidR="00AE2645">
        <w:rPr>
          <w:rFonts w:asciiTheme="minorHAnsi" w:hAnsiTheme="minorHAnsi"/>
        </w:rPr>
        <w:t xml:space="preserve">ents the details of the </w:t>
      </w:r>
      <w:r w:rsidR="00D97474" w:rsidRPr="00D97474">
        <w:rPr>
          <w:rFonts w:asciiTheme="minorHAnsi" w:hAnsiTheme="minorHAnsi"/>
        </w:rPr>
        <w:t xml:space="preserve">PBS listings for iron chelating drugs. </w:t>
      </w:r>
    </w:p>
    <w:p w14:paraId="34C370C7" w14:textId="7E3ADCD7" w:rsidR="00D97474" w:rsidRPr="00D97474" w:rsidRDefault="00D97474" w:rsidP="00F16EB0">
      <w:pPr>
        <w:rPr>
          <w:rFonts w:asciiTheme="minorHAnsi" w:hAnsiTheme="minorHAnsi"/>
          <w:b/>
          <w:bCs/>
          <w:szCs w:val="18"/>
        </w:rPr>
      </w:pPr>
      <w:bookmarkStart w:id="0" w:name="_Ref374970753"/>
      <w:r w:rsidRPr="00D97474">
        <w:rPr>
          <w:rFonts w:asciiTheme="minorHAnsi" w:hAnsiTheme="minorHAnsi"/>
          <w:b/>
          <w:bCs/>
          <w:szCs w:val="18"/>
        </w:rPr>
        <w:t xml:space="preserve">Table </w:t>
      </w:r>
      <w:bookmarkEnd w:id="0"/>
      <w:r w:rsidR="00BE4490">
        <w:rPr>
          <w:rFonts w:asciiTheme="minorHAnsi" w:hAnsiTheme="minorHAnsi"/>
          <w:b/>
          <w:bCs/>
          <w:szCs w:val="18"/>
        </w:rPr>
        <w:t>2</w:t>
      </w:r>
      <w:r w:rsidRPr="00D97474">
        <w:rPr>
          <w:rFonts w:asciiTheme="minorHAnsi" w:hAnsiTheme="minorHAnsi"/>
          <w:b/>
          <w:bCs/>
          <w:szCs w:val="18"/>
        </w:rPr>
        <w:t xml:space="preserve">: PBS listing details (as at 1 November 2013) </w:t>
      </w:r>
    </w:p>
    <w:tbl>
      <w:tblPr>
        <w:tblStyle w:val="TableGrid"/>
        <w:tblW w:w="9273" w:type="dxa"/>
        <w:tblLayout w:type="fixed"/>
        <w:tblLook w:val="04A0" w:firstRow="1" w:lastRow="0" w:firstColumn="1" w:lastColumn="0" w:noHBand="0" w:noVBand="1"/>
        <w:tblCaption w:val="Table 2: PBS listing details (as at 1 November 2013) "/>
        <w:tblDescription w:val="PBS listing details of the iron chelating agents as at 1 November 2013"/>
      </w:tblPr>
      <w:tblGrid>
        <w:gridCol w:w="1124"/>
        <w:gridCol w:w="2386"/>
        <w:gridCol w:w="806"/>
        <w:gridCol w:w="725"/>
        <w:gridCol w:w="1449"/>
        <w:gridCol w:w="2783"/>
      </w:tblGrid>
      <w:tr w:rsidR="00D97474" w:rsidRPr="00D97474" w14:paraId="7F92FCA0" w14:textId="77777777" w:rsidTr="000B00BE">
        <w:trPr>
          <w:trHeight w:val="680"/>
          <w:tblHeader/>
        </w:trPr>
        <w:tc>
          <w:tcPr>
            <w:tcW w:w="1124" w:type="dxa"/>
            <w:shd w:val="clear" w:color="auto" w:fill="BFBFBF" w:themeFill="background1" w:themeFillShade="BF"/>
          </w:tcPr>
          <w:p w14:paraId="48CA474D" w14:textId="77777777" w:rsidR="00D97474" w:rsidRPr="00D97474" w:rsidRDefault="00D97474" w:rsidP="00F76431">
            <w:pPr>
              <w:autoSpaceDE w:val="0"/>
              <w:autoSpaceDN w:val="0"/>
              <w:adjustRightInd w:val="0"/>
              <w:spacing w:before="60" w:after="60"/>
              <w:rPr>
                <w:rFonts w:asciiTheme="minorHAnsi" w:hAnsiTheme="minorHAnsi" w:cs="Calibri"/>
                <w:b/>
                <w:sz w:val="20"/>
                <w:szCs w:val="20"/>
              </w:rPr>
            </w:pPr>
            <w:r w:rsidRPr="00D97474">
              <w:rPr>
                <w:rFonts w:asciiTheme="minorHAnsi" w:hAnsiTheme="minorHAnsi" w:cs="Calibri"/>
                <w:b/>
                <w:sz w:val="20"/>
                <w:szCs w:val="20"/>
              </w:rPr>
              <w:t>Item</w:t>
            </w:r>
          </w:p>
        </w:tc>
        <w:tc>
          <w:tcPr>
            <w:tcW w:w="2386" w:type="dxa"/>
            <w:shd w:val="clear" w:color="auto" w:fill="BFBFBF" w:themeFill="background1" w:themeFillShade="BF"/>
          </w:tcPr>
          <w:p w14:paraId="131E39FB" w14:textId="77777777" w:rsidR="00D97474" w:rsidRPr="00D97474" w:rsidRDefault="00D97474" w:rsidP="00F76431">
            <w:pPr>
              <w:autoSpaceDE w:val="0"/>
              <w:autoSpaceDN w:val="0"/>
              <w:adjustRightInd w:val="0"/>
              <w:spacing w:before="60" w:after="60"/>
              <w:rPr>
                <w:rFonts w:asciiTheme="minorHAnsi" w:hAnsiTheme="minorHAnsi" w:cs="Calibri"/>
                <w:b/>
                <w:sz w:val="20"/>
                <w:szCs w:val="20"/>
              </w:rPr>
            </w:pPr>
            <w:r w:rsidRPr="00D97474">
              <w:rPr>
                <w:rFonts w:asciiTheme="minorHAnsi" w:hAnsiTheme="minorHAnsi" w:cs="Calibri"/>
                <w:b/>
                <w:sz w:val="20"/>
                <w:szCs w:val="20"/>
              </w:rPr>
              <w:t>Name, form &amp; strength, pack size</w:t>
            </w:r>
          </w:p>
        </w:tc>
        <w:tc>
          <w:tcPr>
            <w:tcW w:w="806" w:type="dxa"/>
            <w:shd w:val="clear" w:color="auto" w:fill="BFBFBF" w:themeFill="background1" w:themeFillShade="BF"/>
          </w:tcPr>
          <w:p w14:paraId="09A2FFF8" w14:textId="77777777" w:rsidR="00D97474" w:rsidRPr="00D97474" w:rsidRDefault="00D97474" w:rsidP="00F76431">
            <w:pPr>
              <w:autoSpaceDE w:val="0"/>
              <w:autoSpaceDN w:val="0"/>
              <w:adjustRightInd w:val="0"/>
              <w:spacing w:before="60" w:after="60"/>
              <w:rPr>
                <w:rFonts w:asciiTheme="minorHAnsi" w:hAnsiTheme="minorHAnsi" w:cs="Calibri"/>
                <w:b/>
                <w:sz w:val="20"/>
                <w:szCs w:val="20"/>
              </w:rPr>
            </w:pPr>
            <w:r w:rsidRPr="00D97474">
              <w:rPr>
                <w:rFonts w:asciiTheme="minorHAnsi" w:hAnsiTheme="minorHAnsi" w:cs="Calibri"/>
                <w:b/>
                <w:sz w:val="20"/>
                <w:szCs w:val="20"/>
              </w:rPr>
              <w:t xml:space="preserve">Max. quant. </w:t>
            </w:r>
          </w:p>
        </w:tc>
        <w:tc>
          <w:tcPr>
            <w:tcW w:w="725" w:type="dxa"/>
            <w:shd w:val="clear" w:color="auto" w:fill="BFBFBF" w:themeFill="background1" w:themeFillShade="BF"/>
          </w:tcPr>
          <w:p w14:paraId="4D427FE5" w14:textId="77777777" w:rsidR="00D97474" w:rsidRPr="00D97474" w:rsidRDefault="00D97474" w:rsidP="00F76431">
            <w:pPr>
              <w:autoSpaceDE w:val="0"/>
              <w:autoSpaceDN w:val="0"/>
              <w:adjustRightInd w:val="0"/>
              <w:spacing w:before="60" w:after="60"/>
              <w:rPr>
                <w:rFonts w:asciiTheme="minorHAnsi" w:hAnsiTheme="minorHAnsi" w:cs="Calibri"/>
                <w:b/>
                <w:sz w:val="20"/>
                <w:szCs w:val="20"/>
              </w:rPr>
            </w:pPr>
            <w:proofErr w:type="spellStart"/>
            <w:r w:rsidRPr="00D97474">
              <w:rPr>
                <w:rFonts w:asciiTheme="minorHAnsi" w:hAnsiTheme="minorHAnsi" w:cs="Calibri"/>
                <w:b/>
                <w:sz w:val="20"/>
                <w:szCs w:val="20"/>
              </w:rPr>
              <w:t>Rpts</w:t>
            </w:r>
            <w:proofErr w:type="spellEnd"/>
            <w:r w:rsidRPr="00D97474">
              <w:rPr>
                <w:rFonts w:asciiTheme="minorHAnsi" w:hAnsiTheme="minorHAnsi" w:cs="Calibri"/>
                <w:b/>
                <w:sz w:val="20"/>
                <w:szCs w:val="20"/>
              </w:rPr>
              <w:t xml:space="preserve"> </w:t>
            </w:r>
          </w:p>
        </w:tc>
        <w:tc>
          <w:tcPr>
            <w:tcW w:w="1449" w:type="dxa"/>
            <w:shd w:val="clear" w:color="auto" w:fill="BFBFBF" w:themeFill="background1" w:themeFillShade="BF"/>
          </w:tcPr>
          <w:p w14:paraId="0B3153E1" w14:textId="77777777" w:rsidR="00D97474" w:rsidRPr="00D97474" w:rsidRDefault="00D97474" w:rsidP="00F76431">
            <w:pPr>
              <w:autoSpaceDE w:val="0"/>
              <w:autoSpaceDN w:val="0"/>
              <w:adjustRightInd w:val="0"/>
              <w:spacing w:before="60" w:after="60"/>
              <w:rPr>
                <w:rFonts w:asciiTheme="minorHAnsi" w:hAnsiTheme="minorHAnsi" w:cs="Calibri"/>
                <w:b/>
                <w:sz w:val="20"/>
                <w:szCs w:val="20"/>
              </w:rPr>
            </w:pPr>
            <w:r w:rsidRPr="00D97474">
              <w:rPr>
                <w:rFonts w:asciiTheme="minorHAnsi" w:hAnsiTheme="minorHAnsi" w:cs="Calibri"/>
                <w:b/>
                <w:sz w:val="20"/>
                <w:szCs w:val="20"/>
              </w:rPr>
              <w:t>DPMQ</w:t>
            </w:r>
          </w:p>
        </w:tc>
        <w:tc>
          <w:tcPr>
            <w:tcW w:w="2783" w:type="dxa"/>
            <w:shd w:val="clear" w:color="auto" w:fill="BFBFBF" w:themeFill="background1" w:themeFillShade="BF"/>
          </w:tcPr>
          <w:p w14:paraId="7E6B907D" w14:textId="77777777" w:rsidR="00D97474" w:rsidRPr="00D97474" w:rsidRDefault="00D97474" w:rsidP="00F76431">
            <w:pPr>
              <w:autoSpaceDE w:val="0"/>
              <w:autoSpaceDN w:val="0"/>
              <w:adjustRightInd w:val="0"/>
              <w:spacing w:before="60" w:after="60"/>
              <w:rPr>
                <w:rFonts w:asciiTheme="minorHAnsi" w:hAnsiTheme="minorHAnsi" w:cs="Calibri"/>
                <w:b/>
                <w:sz w:val="20"/>
                <w:szCs w:val="20"/>
              </w:rPr>
            </w:pPr>
            <w:r w:rsidRPr="00D97474">
              <w:rPr>
                <w:rFonts w:asciiTheme="minorHAnsi" w:hAnsiTheme="minorHAnsi" w:cs="Calibri"/>
                <w:b/>
                <w:sz w:val="20"/>
                <w:szCs w:val="20"/>
              </w:rPr>
              <w:t>Brand name and manufacturer</w:t>
            </w:r>
          </w:p>
        </w:tc>
      </w:tr>
      <w:tr w:rsidR="00D97474" w:rsidRPr="00D97474" w14:paraId="08C3BFE1" w14:textId="77777777" w:rsidTr="000B00BE">
        <w:trPr>
          <w:trHeight w:val="541"/>
          <w:tblHeader/>
        </w:trPr>
        <w:tc>
          <w:tcPr>
            <w:tcW w:w="1124" w:type="dxa"/>
            <w:shd w:val="clear" w:color="auto" w:fill="auto"/>
          </w:tcPr>
          <w:p w14:paraId="44F271A6" w14:textId="77777777" w:rsidR="00D97474" w:rsidRPr="00210928" w:rsidRDefault="00452E08" w:rsidP="00F76431">
            <w:pPr>
              <w:autoSpaceDE w:val="0"/>
              <w:autoSpaceDN w:val="0"/>
              <w:adjustRightInd w:val="0"/>
              <w:spacing w:before="60" w:after="60"/>
              <w:rPr>
                <w:rFonts w:asciiTheme="minorHAnsi" w:hAnsiTheme="minorHAnsi" w:cs="Calibri"/>
                <w:sz w:val="20"/>
                <w:szCs w:val="20"/>
              </w:rPr>
            </w:pPr>
            <w:hyperlink r:id="rId9" w:tooltip="5661y" w:history="1">
              <w:r w:rsidR="00D97474" w:rsidRPr="00210928">
                <w:rPr>
                  <w:rFonts w:asciiTheme="minorHAnsi" w:hAnsiTheme="minorHAnsi" w:cs="Calibri"/>
                  <w:sz w:val="20"/>
                  <w:szCs w:val="20"/>
                  <w:shd w:val="clear" w:color="auto" w:fill="FFFFFF"/>
                </w:rPr>
                <w:t>5661Y</w:t>
              </w:r>
            </w:hyperlink>
          </w:p>
          <w:p w14:paraId="23FEB9F5" w14:textId="77777777" w:rsidR="00D97474" w:rsidRPr="00210928" w:rsidRDefault="00D97474" w:rsidP="00F76431">
            <w:pPr>
              <w:autoSpaceDE w:val="0"/>
              <w:autoSpaceDN w:val="0"/>
              <w:adjustRightInd w:val="0"/>
              <w:spacing w:before="60" w:after="60"/>
              <w:rPr>
                <w:rFonts w:asciiTheme="minorHAnsi" w:hAnsiTheme="minorHAnsi" w:cs="Calibri"/>
                <w:sz w:val="20"/>
                <w:szCs w:val="20"/>
              </w:rPr>
            </w:pPr>
            <w:r w:rsidRPr="00210928">
              <w:rPr>
                <w:rFonts w:asciiTheme="minorHAnsi" w:hAnsiTheme="minorHAnsi" w:cs="Calibri"/>
                <w:sz w:val="20"/>
                <w:szCs w:val="20"/>
              </w:rPr>
              <w:t>(Public)</w:t>
            </w:r>
          </w:p>
        </w:tc>
        <w:tc>
          <w:tcPr>
            <w:tcW w:w="2386" w:type="dxa"/>
            <w:shd w:val="clear" w:color="auto" w:fill="auto"/>
          </w:tcPr>
          <w:p w14:paraId="7E30BEDF" w14:textId="77777777" w:rsidR="00D97474" w:rsidRPr="00D97474" w:rsidRDefault="00D97474" w:rsidP="00F76431">
            <w:pPr>
              <w:autoSpaceDE w:val="0"/>
              <w:autoSpaceDN w:val="0"/>
              <w:adjustRightInd w:val="0"/>
              <w:spacing w:before="60" w:after="60"/>
              <w:rPr>
                <w:rFonts w:asciiTheme="minorHAnsi" w:hAnsiTheme="minorHAnsi" w:cs="Calibri"/>
                <w:sz w:val="20"/>
                <w:szCs w:val="20"/>
              </w:rPr>
            </w:pPr>
            <w:proofErr w:type="spellStart"/>
            <w:r w:rsidRPr="00D97474">
              <w:rPr>
                <w:rFonts w:asciiTheme="minorHAnsi" w:hAnsiTheme="minorHAnsi" w:cs="Arial"/>
                <w:sz w:val="20"/>
                <w:szCs w:val="20"/>
                <w:shd w:val="clear" w:color="auto" w:fill="FFFFFF"/>
              </w:rPr>
              <w:t>Desferrioxamine</w:t>
            </w:r>
            <w:proofErr w:type="spellEnd"/>
            <w:r w:rsidRPr="00D97474">
              <w:rPr>
                <w:rFonts w:asciiTheme="minorHAnsi" w:hAnsiTheme="minorHAnsi" w:cs="Arial"/>
                <w:sz w:val="20"/>
                <w:szCs w:val="20"/>
                <w:shd w:val="clear" w:color="auto" w:fill="FFFFFF"/>
              </w:rPr>
              <w:t xml:space="preserve"> </w:t>
            </w:r>
            <w:proofErr w:type="spellStart"/>
            <w:r w:rsidRPr="00D97474">
              <w:rPr>
                <w:rFonts w:asciiTheme="minorHAnsi" w:hAnsiTheme="minorHAnsi" w:cs="Arial"/>
                <w:sz w:val="20"/>
                <w:szCs w:val="20"/>
                <w:shd w:val="clear" w:color="auto" w:fill="FFFFFF"/>
              </w:rPr>
              <w:t>mesylate</w:t>
            </w:r>
            <w:proofErr w:type="spellEnd"/>
            <w:r w:rsidRPr="00D97474">
              <w:rPr>
                <w:rFonts w:asciiTheme="minorHAnsi" w:hAnsiTheme="minorHAnsi" w:cs="Arial"/>
                <w:sz w:val="20"/>
                <w:szCs w:val="20"/>
                <w:shd w:val="clear" w:color="auto" w:fill="FFFFFF"/>
              </w:rPr>
              <w:t xml:space="preserve"> 2 g injection, 1 x 2 g vial</w:t>
            </w:r>
          </w:p>
        </w:tc>
        <w:tc>
          <w:tcPr>
            <w:tcW w:w="806" w:type="dxa"/>
            <w:shd w:val="clear" w:color="auto" w:fill="auto"/>
          </w:tcPr>
          <w:p w14:paraId="2F176D2B" w14:textId="77777777" w:rsidR="00D97474" w:rsidRPr="00D97474" w:rsidRDefault="00D97474" w:rsidP="00F76431">
            <w:pPr>
              <w:autoSpaceDE w:val="0"/>
              <w:autoSpaceDN w:val="0"/>
              <w:adjustRightInd w:val="0"/>
              <w:spacing w:before="60" w:after="60"/>
              <w:rPr>
                <w:rFonts w:asciiTheme="minorHAnsi" w:hAnsiTheme="minorHAnsi" w:cs="Calibri"/>
                <w:sz w:val="20"/>
                <w:szCs w:val="20"/>
              </w:rPr>
            </w:pPr>
            <w:r w:rsidRPr="00D97474">
              <w:rPr>
                <w:rFonts w:asciiTheme="minorHAnsi" w:hAnsiTheme="minorHAnsi" w:cs="Arial"/>
                <w:sz w:val="20"/>
                <w:szCs w:val="20"/>
                <w:shd w:val="clear" w:color="auto" w:fill="FFFFFF"/>
              </w:rPr>
              <w:t>60</w:t>
            </w:r>
          </w:p>
        </w:tc>
        <w:tc>
          <w:tcPr>
            <w:tcW w:w="725" w:type="dxa"/>
            <w:shd w:val="clear" w:color="auto" w:fill="auto"/>
          </w:tcPr>
          <w:p w14:paraId="30C3E3B6" w14:textId="77777777" w:rsidR="00D97474" w:rsidRPr="00D97474" w:rsidRDefault="00D97474" w:rsidP="00F76431">
            <w:pPr>
              <w:autoSpaceDE w:val="0"/>
              <w:autoSpaceDN w:val="0"/>
              <w:adjustRightInd w:val="0"/>
              <w:spacing w:before="60" w:after="60"/>
              <w:rPr>
                <w:rFonts w:asciiTheme="minorHAnsi" w:hAnsiTheme="minorHAnsi" w:cs="Calibri"/>
                <w:sz w:val="20"/>
                <w:szCs w:val="20"/>
              </w:rPr>
            </w:pPr>
            <w:r w:rsidRPr="00D97474">
              <w:rPr>
                <w:rFonts w:asciiTheme="minorHAnsi" w:hAnsiTheme="minorHAnsi" w:cs="Arial"/>
                <w:sz w:val="20"/>
                <w:szCs w:val="20"/>
                <w:shd w:val="clear" w:color="auto" w:fill="FFFFFF"/>
              </w:rPr>
              <w:t>5</w:t>
            </w:r>
          </w:p>
        </w:tc>
        <w:tc>
          <w:tcPr>
            <w:tcW w:w="1449" w:type="dxa"/>
            <w:shd w:val="clear" w:color="auto" w:fill="auto"/>
          </w:tcPr>
          <w:p w14:paraId="660395D5" w14:textId="77777777" w:rsidR="00D97474" w:rsidRPr="00D97474" w:rsidRDefault="00D97474" w:rsidP="00F76431">
            <w:pPr>
              <w:autoSpaceDE w:val="0"/>
              <w:autoSpaceDN w:val="0"/>
              <w:adjustRightInd w:val="0"/>
              <w:spacing w:before="60" w:after="60"/>
              <w:rPr>
                <w:rFonts w:asciiTheme="minorHAnsi" w:hAnsiTheme="minorHAnsi" w:cs="Calibri"/>
                <w:sz w:val="20"/>
                <w:szCs w:val="20"/>
              </w:rPr>
            </w:pPr>
            <w:r w:rsidRPr="00D97474">
              <w:rPr>
                <w:rFonts w:asciiTheme="minorHAnsi" w:hAnsiTheme="minorHAnsi" w:cs="Arial"/>
                <w:sz w:val="20"/>
                <w:szCs w:val="20"/>
                <w:shd w:val="clear" w:color="auto" w:fill="FFFFFF"/>
              </w:rPr>
              <w:t>$1944.00</w:t>
            </w:r>
          </w:p>
        </w:tc>
        <w:tc>
          <w:tcPr>
            <w:tcW w:w="2783" w:type="dxa"/>
            <w:shd w:val="clear" w:color="auto" w:fill="auto"/>
          </w:tcPr>
          <w:p w14:paraId="3297E89E" w14:textId="77777777" w:rsidR="00D97474" w:rsidRPr="00210928" w:rsidRDefault="00452E08" w:rsidP="00F76431">
            <w:pPr>
              <w:autoSpaceDE w:val="0"/>
              <w:autoSpaceDN w:val="0"/>
              <w:adjustRightInd w:val="0"/>
              <w:spacing w:before="60" w:after="60"/>
              <w:rPr>
                <w:rFonts w:asciiTheme="minorHAnsi" w:hAnsiTheme="minorHAnsi" w:cs="Calibri"/>
                <w:sz w:val="20"/>
                <w:szCs w:val="20"/>
              </w:rPr>
            </w:pPr>
            <w:hyperlink r:id="rId10" w:tooltip="Hospira Pty Limited" w:history="1">
              <w:hyperlink r:id="rId11" w:tooltip="DESFERRIOXAMINE" w:history="1">
                <w:r w:rsidR="00D97474" w:rsidRPr="00210928">
                  <w:rPr>
                    <w:rFonts w:asciiTheme="minorHAnsi" w:hAnsiTheme="minorHAnsi" w:cs="Calibri"/>
                    <w:sz w:val="20"/>
                    <w:szCs w:val="20"/>
                    <w:shd w:val="clear" w:color="auto" w:fill="FFFFFF"/>
                  </w:rPr>
                  <w:t>DESFERRIOXAMINE</w:t>
                </w:r>
              </w:hyperlink>
              <w:r w:rsidR="00D97474" w:rsidRPr="00210928">
                <w:rPr>
                  <w:rFonts w:asciiTheme="minorHAnsi" w:hAnsiTheme="minorHAnsi" w:cs="Calibri"/>
                  <w:sz w:val="20"/>
                  <w:szCs w:val="20"/>
                </w:rPr>
                <w:t xml:space="preserve">, </w:t>
              </w:r>
              <w:proofErr w:type="spellStart"/>
              <w:r w:rsidR="00D97474" w:rsidRPr="00210928">
                <w:rPr>
                  <w:rFonts w:asciiTheme="minorHAnsi" w:hAnsiTheme="minorHAnsi" w:cs="Calibri"/>
                  <w:sz w:val="20"/>
                  <w:szCs w:val="20"/>
                  <w:shd w:val="clear" w:color="auto" w:fill="FFFFFF"/>
                </w:rPr>
                <w:t>Hospira</w:t>
              </w:r>
              <w:proofErr w:type="spellEnd"/>
              <w:r w:rsidR="00D97474" w:rsidRPr="00210928">
                <w:rPr>
                  <w:rFonts w:asciiTheme="minorHAnsi" w:hAnsiTheme="minorHAnsi" w:cs="Calibri"/>
                  <w:sz w:val="20"/>
                  <w:szCs w:val="20"/>
                  <w:shd w:val="clear" w:color="auto" w:fill="FFFFFF"/>
                </w:rPr>
                <w:t xml:space="preserve"> Pty Limited</w:t>
              </w:r>
            </w:hyperlink>
          </w:p>
        </w:tc>
      </w:tr>
      <w:tr w:rsidR="00D97474" w:rsidRPr="00D97474" w14:paraId="4A58FF78" w14:textId="77777777" w:rsidTr="000B00BE">
        <w:trPr>
          <w:trHeight w:val="391"/>
          <w:tblHeader/>
        </w:trPr>
        <w:tc>
          <w:tcPr>
            <w:tcW w:w="1124" w:type="dxa"/>
            <w:shd w:val="clear" w:color="auto" w:fill="auto"/>
          </w:tcPr>
          <w:p w14:paraId="58A4E358" w14:textId="77777777" w:rsidR="00D97474" w:rsidRPr="00210928" w:rsidRDefault="00D97474" w:rsidP="00F76431">
            <w:pPr>
              <w:autoSpaceDE w:val="0"/>
              <w:autoSpaceDN w:val="0"/>
              <w:adjustRightInd w:val="0"/>
              <w:spacing w:before="60" w:after="60"/>
              <w:rPr>
                <w:rFonts w:asciiTheme="minorHAnsi" w:hAnsiTheme="minorHAnsi" w:cs="Calibri"/>
                <w:sz w:val="20"/>
                <w:szCs w:val="20"/>
              </w:rPr>
            </w:pPr>
          </w:p>
        </w:tc>
        <w:tc>
          <w:tcPr>
            <w:tcW w:w="2386" w:type="dxa"/>
            <w:shd w:val="clear" w:color="auto" w:fill="auto"/>
          </w:tcPr>
          <w:p w14:paraId="48B2812F" w14:textId="77777777" w:rsidR="00D97474" w:rsidRPr="00D97474" w:rsidRDefault="00D97474" w:rsidP="00F76431">
            <w:pPr>
              <w:autoSpaceDE w:val="0"/>
              <w:autoSpaceDN w:val="0"/>
              <w:adjustRightInd w:val="0"/>
              <w:spacing w:before="60" w:after="60"/>
              <w:rPr>
                <w:rFonts w:asciiTheme="minorHAnsi" w:hAnsiTheme="minorHAnsi" w:cs="Calibri"/>
                <w:sz w:val="20"/>
                <w:szCs w:val="20"/>
              </w:rPr>
            </w:pPr>
          </w:p>
        </w:tc>
        <w:tc>
          <w:tcPr>
            <w:tcW w:w="806" w:type="dxa"/>
            <w:shd w:val="clear" w:color="auto" w:fill="auto"/>
          </w:tcPr>
          <w:p w14:paraId="0312B63A" w14:textId="77777777" w:rsidR="00D97474" w:rsidRPr="00D97474" w:rsidRDefault="00D97474" w:rsidP="00F76431">
            <w:pPr>
              <w:autoSpaceDE w:val="0"/>
              <w:autoSpaceDN w:val="0"/>
              <w:adjustRightInd w:val="0"/>
              <w:spacing w:before="60" w:after="60"/>
              <w:rPr>
                <w:rFonts w:asciiTheme="minorHAnsi" w:hAnsiTheme="minorHAnsi" w:cs="Calibri"/>
                <w:sz w:val="20"/>
                <w:szCs w:val="20"/>
              </w:rPr>
            </w:pPr>
          </w:p>
        </w:tc>
        <w:tc>
          <w:tcPr>
            <w:tcW w:w="725" w:type="dxa"/>
            <w:shd w:val="clear" w:color="auto" w:fill="auto"/>
          </w:tcPr>
          <w:p w14:paraId="7FE593DA" w14:textId="77777777" w:rsidR="00D97474" w:rsidRPr="00D97474" w:rsidRDefault="00D97474" w:rsidP="00F76431">
            <w:pPr>
              <w:autoSpaceDE w:val="0"/>
              <w:autoSpaceDN w:val="0"/>
              <w:adjustRightInd w:val="0"/>
              <w:spacing w:before="60" w:after="60"/>
              <w:rPr>
                <w:rFonts w:asciiTheme="minorHAnsi" w:hAnsiTheme="minorHAnsi" w:cs="Calibri"/>
                <w:sz w:val="20"/>
                <w:szCs w:val="20"/>
              </w:rPr>
            </w:pPr>
          </w:p>
        </w:tc>
        <w:tc>
          <w:tcPr>
            <w:tcW w:w="1449" w:type="dxa"/>
            <w:shd w:val="clear" w:color="auto" w:fill="auto"/>
          </w:tcPr>
          <w:p w14:paraId="256608A9" w14:textId="77777777" w:rsidR="00D97474" w:rsidRPr="00D97474" w:rsidRDefault="00D97474" w:rsidP="00F76431">
            <w:pPr>
              <w:autoSpaceDE w:val="0"/>
              <w:autoSpaceDN w:val="0"/>
              <w:adjustRightInd w:val="0"/>
              <w:spacing w:before="60" w:after="60"/>
              <w:rPr>
                <w:rFonts w:asciiTheme="minorHAnsi" w:hAnsiTheme="minorHAnsi" w:cs="Calibri"/>
                <w:sz w:val="20"/>
                <w:szCs w:val="20"/>
              </w:rPr>
            </w:pPr>
            <w:r w:rsidRPr="00D97474">
              <w:rPr>
                <w:rFonts w:asciiTheme="minorHAnsi" w:hAnsiTheme="minorHAnsi" w:cs="Arial"/>
                <w:sz w:val="20"/>
                <w:szCs w:val="20"/>
                <w:shd w:val="clear" w:color="auto" w:fill="FFFFFF"/>
              </w:rPr>
              <w:t>$1963.80</w:t>
            </w:r>
          </w:p>
        </w:tc>
        <w:tc>
          <w:tcPr>
            <w:tcW w:w="2783" w:type="dxa"/>
            <w:shd w:val="clear" w:color="auto" w:fill="auto"/>
          </w:tcPr>
          <w:p w14:paraId="56670C8A" w14:textId="77777777" w:rsidR="00D97474" w:rsidRPr="00210928" w:rsidRDefault="00452E08" w:rsidP="00F76431">
            <w:pPr>
              <w:autoSpaceDE w:val="0"/>
              <w:autoSpaceDN w:val="0"/>
              <w:adjustRightInd w:val="0"/>
              <w:spacing w:before="60" w:after="60"/>
              <w:rPr>
                <w:rFonts w:asciiTheme="minorHAnsi" w:hAnsiTheme="minorHAnsi" w:cs="Calibri"/>
                <w:sz w:val="20"/>
                <w:szCs w:val="20"/>
              </w:rPr>
            </w:pPr>
            <w:hyperlink r:id="rId12" w:tooltip="Novartis Pharmaceuticals Australia Pty Limited" w:history="1">
              <w:proofErr w:type="spellStart"/>
              <w:r w:rsidR="00D97474" w:rsidRPr="00210928">
                <w:rPr>
                  <w:rFonts w:asciiTheme="minorHAnsi" w:hAnsiTheme="minorHAnsi" w:cs="Calibri"/>
                  <w:sz w:val="20"/>
                  <w:szCs w:val="20"/>
                  <w:shd w:val="clear" w:color="auto" w:fill="FFFFFF"/>
                </w:rPr>
                <w:t>Desferal</w:t>
              </w:r>
              <w:proofErr w:type="spellEnd"/>
              <w:r w:rsidR="00D97474" w:rsidRPr="00210928">
                <w:rPr>
                  <w:rFonts w:asciiTheme="minorHAnsi" w:hAnsiTheme="minorHAnsi" w:cs="Calibri"/>
                  <w:sz w:val="20"/>
                  <w:szCs w:val="20"/>
                  <w:shd w:val="clear" w:color="auto" w:fill="FFFFFF"/>
                </w:rPr>
                <w:t xml:space="preserve"> 2 g</w:t>
              </w:r>
            </w:hyperlink>
            <w:r w:rsidR="00D97474" w:rsidRPr="00210928">
              <w:rPr>
                <w:rFonts w:asciiTheme="minorHAnsi" w:hAnsiTheme="minorHAnsi" w:cs="Calibri"/>
                <w:sz w:val="20"/>
                <w:szCs w:val="20"/>
              </w:rPr>
              <w:t>, Novartis</w:t>
            </w:r>
          </w:p>
        </w:tc>
      </w:tr>
      <w:tr w:rsidR="00D97474" w:rsidRPr="00D97474" w14:paraId="5A907E8E" w14:textId="77777777" w:rsidTr="000B00BE">
        <w:trPr>
          <w:trHeight w:val="541"/>
        </w:trPr>
        <w:tc>
          <w:tcPr>
            <w:tcW w:w="1124" w:type="dxa"/>
          </w:tcPr>
          <w:p w14:paraId="534D89AA" w14:textId="77777777" w:rsidR="00D97474" w:rsidRPr="00210928" w:rsidRDefault="00452E08" w:rsidP="00F76431">
            <w:pPr>
              <w:autoSpaceDE w:val="0"/>
              <w:autoSpaceDN w:val="0"/>
              <w:adjustRightInd w:val="0"/>
              <w:spacing w:before="60" w:after="60"/>
              <w:rPr>
                <w:rFonts w:asciiTheme="minorHAnsi" w:hAnsiTheme="minorHAnsi" w:cs="Calibri"/>
                <w:sz w:val="20"/>
                <w:szCs w:val="20"/>
              </w:rPr>
            </w:pPr>
            <w:hyperlink r:id="rId13" w:tooltip="5662b" w:history="1">
              <w:r w:rsidR="00D97474" w:rsidRPr="00210928">
                <w:rPr>
                  <w:rFonts w:asciiTheme="minorHAnsi" w:hAnsiTheme="minorHAnsi" w:cs="Calibri"/>
                  <w:sz w:val="20"/>
                  <w:szCs w:val="20"/>
                  <w:shd w:val="clear" w:color="auto" w:fill="FFFFFF"/>
                </w:rPr>
                <w:t>5662B</w:t>
              </w:r>
            </w:hyperlink>
            <w:r w:rsidR="00D97474" w:rsidRPr="00210928">
              <w:rPr>
                <w:rFonts w:asciiTheme="minorHAnsi" w:hAnsiTheme="minorHAnsi" w:cs="Calibri"/>
                <w:sz w:val="20"/>
                <w:szCs w:val="20"/>
              </w:rPr>
              <w:t xml:space="preserve"> (Public)</w:t>
            </w:r>
          </w:p>
        </w:tc>
        <w:tc>
          <w:tcPr>
            <w:tcW w:w="2386" w:type="dxa"/>
          </w:tcPr>
          <w:p w14:paraId="60A72E40" w14:textId="77777777" w:rsidR="00D97474" w:rsidRPr="00D97474" w:rsidRDefault="00D97474" w:rsidP="00F76431">
            <w:pPr>
              <w:autoSpaceDE w:val="0"/>
              <w:autoSpaceDN w:val="0"/>
              <w:adjustRightInd w:val="0"/>
              <w:spacing w:before="60" w:after="60"/>
              <w:rPr>
                <w:rFonts w:asciiTheme="minorHAnsi" w:hAnsiTheme="minorHAnsi" w:cs="Calibri"/>
                <w:sz w:val="20"/>
                <w:szCs w:val="20"/>
              </w:rPr>
            </w:pPr>
            <w:proofErr w:type="spellStart"/>
            <w:r w:rsidRPr="00D97474">
              <w:rPr>
                <w:rFonts w:asciiTheme="minorHAnsi" w:hAnsiTheme="minorHAnsi" w:cs="Arial"/>
                <w:sz w:val="20"/>
                <w:szCs w:val="20"/>
                <w:shd w:val="clear" w:color="auto" w:fill="FFFFFF"/>
              </w:rPr>
              <w:t>Desferrioxamine</w:t>
            </w:r>
            <w:proofErr w:type="spellEnd"/>
            <w:r w:rsidRPr="00D97474">
              <w:rPr>
                <w:rFonts w:asciiTheme="minorHAnsi" w:hAnsiTheme="minorHAnsi" w:cs="Arial"/>
                <w:sz w:val="20"/>
                <w:szCs w:val="20"/>
                <w:shd w:val="clear" w:color="auto" w:fill="FFFFFF"/>
              </w:rPr>
              <w:t xml:space="preserve"> </w:t>
            </w:r>
            <w:proofErr w:type="spellStart"/>
            <w:r w:rsidRPr="00D97474">
              <w:rPr>
                <w:rFonts w:asciiTheme="minorHAnsi" w:hAnsiTheme="minorHAnsi" w:cs="Arial"/>
                <w:sz w:val="20"/>
                <w:szCs w:val="20"/>
                <w:shd w:val="clear" w:color="auto" w:fill="FFFFFF"/>
              </w:rPr>
              <w:t>mesylate</w:t>
            </w:r>
            <w:proofErr w:type="spellEnd"/>
            <w:r w:rsidRPr="00D97474">
              <w:rPr>
                <w:rFonts w:asciiTheme="minorHAnsi" w:hAnsiTheme="minorHAnsi" w:cs="Arial"/>
                <w:sz w:val="20"/>
                <w:szCs w:val="20"/>
                <w:shd w:val="clear" w:color="auto" w:fill="FFFFFF"/>
              </w:rPr>
              <w:t xml:space="preserve"> 500 mg injection, 10 x 500 mg vials</w:t>
            </w:r>
          </w:p>
        </w:tc>
        <w:tc>
          <w:tcPr>
            <w:tcW w:w="806" w:type="dxa"/>
          </w:tcPr>
          <w:p w14:paraId="08A631E2" w14:textId="77777777" w:rsidR="00D97474" w:rsidRPr="00D97474" w:rsidRDefault="00D97474" w:rsidP="00F76431">
            <w:pPr>
              <w:autoSpaceDE w:val="0"/>
              <w:autoSpaceDN w:val="0"/>
              <w:adjustRightInd w:val="0"/>
              <w:spacing w:before="60" w:after="60"/>
              <w:rPr>
                <w:rFonts w:asciiTheme="minorHAnsi" w:hAnsiTheme="minorHAnsi" w:cs="Calibri"/>
                <w:sz w:val="20"/>
                <w:szCs w:val="20"/>
              </w:rPr>
            </w:pPr>
            <w:r w:rsidRPr="00D97474">
              <w:rPr>
                <w:rFonts w:asciiTheme="minorHAnsi" w:hAnsiTheme="minorHAnsi" w:cs="Arial"/>
                <w:sz w:val="20"/>
                <w:szCs w:val="20"/>
                <w:shd w:val="clear" w:color="auto" w:fill="FFFFFF"/>
              </w:rPr>
              <w:t>40</w:t>
            </w:r>
          </w:p>
        </w:tc>
        <w:tc>
          <w:tcPr>
            <w:tcW w:w="725" w:type="dxa"/>
          </w:tcPr>
          <w:p w14:paraId="6AD45C67" w14:textId="77777777" w:rsidR="00D97474" w:rsidRPr="00D97474" w:rsidRDefault="00D97474" w:rsidP="00F76431">
            <w:pPr>
              <w:autoSpaceDE w:val="0"/>
              <w:autoSpaceDN w:val="0"/>
              <w:adjustRightInd w:val="0"/>
              <w:spacing w:before="60" w:after="60"/>
              <w:rPr>
                <w:rFonts w:asciiTheme="minorHAnsi" w:hAnsiTheme="minorHAnsi" w:cs="Calibri"/>
                <w:sz w:val="20"/>
                <w:szCs w:val="20"/>
              </w:rPr>
            </w:pPr>
            <w:r w:rsidRPr="00D97474">
              <w:rPr>
                <w:rFonts w:asciiTheme="minorHAnsi" w:hAnsiTheme="minorHAnsi" w:cs="Arial"/>
                <w:sz w:val="20"/>
                <w:szCs w:val="20"/>
                <w:shd w:val="clear" w:color="auto" w:fill="FFFFFF"/>
              </w:rPr>
              <w:t>5</w:t>
            </w:r>
          </w:p>
        </w:tc>
        <w:tc>
          <w:tcPr>
            <w:tcW w:w="1449" w:type="dxa"/>
          </w:tcPr>
          <w:p w14:paraId="6FE9C92F" w14:textId="77777777" w:rsidR="00D97474" w:rsidRPr="00D97474" w:rsidRDefault="00D97474" w:rsidP="00F76431">
            <w:pPr>
              <w:autoSpaceDE w:val="0"/>
              <w:autoSpaceDN w:val="0"/>
              <w:adjustRightInd w:val="0"/>
              <w:spacing w:before="60" w:after="60"/>
              <w:rPr>
                <w:rFonts w:asciiTheme="minorHAnsi" w:hAnsiTheme="minorHAnsi" w:cs="Calibri"/>
                <w:sz w:val="20"/>
                <w:szCs w:val="20"/>
              </w:rPr>
            </w:pPr>
            <w:r w:rsidRPr="00D97474">
              <w:rPr>
                <w:rFonts w:asciiTheme="minorHAnsi" w:hAnsiTheme="minorHAnsi" w:cs="Arial"/>
                <w:sz w:val="20"/>
                <w:szCs w:val="20"/>
                <w:shd w:val="clear" w:color="auto" w:fill="FFFFFF"/>
              </w:rPr>
              <w:t>$3240.80</w:t>
            </w:r>
          </w:p>
        </w:tc>
        <w:tc>
          <w:tcPr>
            <w:tcW w:w="2783" w:type="dxa"/>
          </w:tcPr>
          <w:p w14:paraId="76D81452" w14:textId="77777777" w:rsidR="00D97474" w:rsidRPr="00210928" w:rsidRDefault="00452E08" w:rsidP="00F76431">
            <w:pPr>
              <w:autoSpaceDE w:val="0"/>
              <w:autoSpaceDN w:val="0"/>
              <w:adjustRightInd w:val="0"/>
              <w:spacing w:before="60" w:after="60"/>
              <w:rPr>
                <w:rFonts w:asciiTheme="minorHAnsi" w:hAnsiTheme="minorHAnsi" w:cs="Calibri"/>
                <w:sz w:val="20"/>
                <w:szCs w:val="20"/>
              </w:rPr>
            </w:pPr>
            <w:hyperlink r:id="rId14" w:tooltip="Hospira Pty Limited" w:history="1">
              <w:hyperlink r:id="rId15" w:tooltip="DESFERRIOXAMINE" w:history="1">
                <w:r w:rsidR="00D97474" w:rsidRPr="00210928">
                  <w:rPr>
                    <w:rFonts w:asciiTheme="minorHAnsi" w:hAnsiTheme="minorHAnsi" w:cs="Calibri"/>
                    <w:sz w:val="20"/>
                    <w:szCs w:val="20"/>
                    <w:shd w:val="clear" w:color="auto" w:fill="FFFFFF"/>
                  </w:rPr>
                  <w:t>DESFERRIOXAMINE</w:t>
                </w:r>
              </w:hyperlink>
              <w:r w:rsidR="00D97474" w:rsidRPr="00210928">
                <w:rPr>
                  <w:rFonts w:asciiTheme="minorHAnsi" w:hAnsiTheme="minorHAnsi" w:cs="Calibri"/>
                  <w:sz w:val="20"/>
                  <w:szCs w:val="20"/>
                </w:rPr>
                <w:t xml:space="preserve">, </w:t>
              </w:r>
              <w:proofErr w:type="spellStart"/>
              <w:r w:rsidR="00D97474" w:rsidRPr="00210928">
                <w:rPr>
                  <w:rFonts w:asciiTheme="minorHAnsi" w:hAnsiTheme="minorHAnsi" w:cs="Calibri"/>
                  <w:sz w:val="20"/>
                  <w:szCs w:val="20"/>
                  <w:shd w:val="clear" w:color="auto" w:fill="FFFFFF"/>
                </w:rPr>
                <w:t>Hospira</w:t>
              </w:r>
              <w:proofErr w:type="spellEnd"/>
              <w:r w:rsidR="00D97474" w:rsidRPr="00210928">
                <w:rPr>
                  <w:rFonts w:asciiTheme="minorHAnsi" w:hAnsiTheme="minorHAnsi" w:cs="Calibri"/>
                  <w:sz w:val="20"/>
                  <w:szCs w:val="20"/>
                  <w:shd w:val="clear" w:color="auto" w:fill="FFFFFF"/>
                </w:rPr>
                <w:t xml:space="preserve"> Pty Limited</w:t>
              </w:r>
            </w:hyperlink>
          </w:p>
        </w:tc>
      </w:tr>
      <w:tr w:rsidR="00D97474" w:rsidRPr="00D97474" w14:paraId="18A58DA1" w14:textId="77777777" w:rsidTr="000B00BE">
        <w:trPr>
          <w:trHeight w:val="363"/>
        </w:trPr>
        <w:tc>
          <w:tcPr>
            <w:tcW w:w="1124" w:type="dxa"/>
          </w:tcPr>
          <w:p w14:paraId="7453F5A9" w14:textId="77777777" w:rsidR="00D97474" w:rsidRPr="00210928" w:rsidRDefault="00D97474" w:rsidP="00F76431">
            <w:pPr>
              <w:autoSpaceDE w:val="0"/>
              <w:autoSpaceDN w:val="0"/>
              <w:adjustRightInd w:val="0"/>
              <w:spacing w:before="60" w:after="60"/>
              <w:rPr>
                <w:rFonts w:asciiTheme="minorHAnsi" w:hAnsiTheme="minorHAnsi" w:cs="Calibri"/>
                <w:sz w:val="20"/>
                <w:szCs w:val="20"/>
              </w:rPr>
            </w:pPr>
          </w:p>
        </w:tc>
        <w:tc>
          <w:tcPr>
            <w:tcW w:w="2386" w:type="dxa"/>
          </w:tcPr>
          <w:p w14:paraId="540439B2" w14:textId="77777777" w:rsidR="00D97474" w:rsidRPr="00D97474" w:rsidRDefault="00D97474" w:rsidP="00F76431">
            <w:pPr>
              <w:autoSpaceDE w:val="0"/>
              <w:autoSpaceDN w:val="0"/>
              <w:adjustRightInd w:val="0"/>
              <w:spacing w:before="60" w:after="60"/>
              <w:rPr>
                <w:rFonts w:asciiTheme="minorHAnsi" w:hAnsiTheme="minorHAnsi" w:cs="Calibri"/>
                <w:sz w:val="20"/>
                <w:szCs w:val="20"/>
              </w:rPr>
            </w:pPr>
          </w:p>
        </w:tc>
        <w:tc>
          <w:tcPr>
            <w:tcW w:w="806" w:type="dxa"/>
          </w:tcPr>
          <w:p w14:paraId="412651AF" w14:textId="77777777" w:rsidR="00D97474" w:rsidRPr="00D97474" w:rsidRDefault="00D97474" w:rsidP="00F76431">
            <w:pPr>
              <w:autoSpaceDE w:val="0"/>
              <w:autoSpaceDN w:val="0"/>
              <w:adjustRightInd w:val="0"/>
              <w:spacing w:before="60" w:after="60"/>
              <w:rPr>
                <w:rFonts w:asciiTheme="minorHAnsi" w:hAnsiTheme="minorHAnsi" w:cs="Calibri"/>
                <w:sz w:val="20"/>
                <w:szCs w:val="20"/>
              </w:rPr>
            </w:pPr>
          </w:p>
        </w:tc>
        <w:tc>
          <w:tcPr>
            <w:tcW w:w="725" w:type="dxa"/>
          </w:tcPr>
          <w:p w14:paraId="76186F40" w14:textId="77777777" w:rsidR="00D97474" w:rsidRPr="00D97474" w:rsidRDefault="00D97474" w:rsidP="00F76431">
            <w:pPr>
              <w:autoSpaceDE w:val="0"/>
              <w:autoSpaceDN w:val="0"/>
              <w:adjustRightInd w:val="0"/>
              <w:spacing w:before="60" w:after="60"/>
              <w:rPr>
                <w:rFonts w:asciiTheme="minorHAnsi" w:hAnsiTheme="minorHAnsi" w:cs="Calibri"/>
                <w:sz w:val="20"/>
                <w:szCs w:val="20"/>
              </w:rPr>
            </w:pPr>
          </w:p>
        </w:tc>
        <w:tc>
          <w:tcPr>
            <w:tcW w:w="1449" w:type="dxa"/>
          </w:tcPr>
          <w:p w14:paraId="61F8E936" w14:textId="2648E2DC" w:rsidR="00D97474" w:rsidRPr="00D97474" w:rsidRDefault="00D97474" w:rsidP="00F76431">
            <w:pPr>
              <w:autoSpaceDE w:val="0"/>
              <w:autoSpaceDN w:val="0"/>
              <w:adjustRightInd w:val="0"/>
              <w:spacing w:before="60" w:after="60"/>
              <w:rPr>
                <w:rFonts w:asciiTheme="minorHAnsi" w:hAnsiTheme="minorHAnsi" w:cs="Calibri"/>
                <w:sz w:val="20"/>
                <w:szCs w:val="20"/>
              </w:rPr>
            </w:pPr>
            <w:r w:rsidRPr="00D97474">
              <w:rPr>
                <w:rFonts w:asciiTheme="minorHAnsi" w:hAnsiTheme="minorHAnsi" w:cs="Arial"/>
                <w:sz w:val="20"/>
                <w:szCs w:val="20"/>
                <w:shd w:val="clear" w:color="auto" w:fill="FFFFFF"/>
              </w:rPr>
              <w:t>$3509.60</w:t>
            </w:r>
          </w:p>
        </w:tc>
        <w:tc>
          <w:tcPr>
            <w:tcW w:w="2783" w:type="dxa"/>
          </w:tcPr>
          <w:p w14:paraId="2517AF1C" w14:textId="4448C0FE" w:rsidR="00D97474" w:rsidRPr="00210928" w:rsidRDefault="00452E08" w:rsidP="00F76431">
            <w:pPr>
              <w:autoSpaceDE w:val="0"/>
              <w:autoSpaceDN w:val="0"/>
              <w:adjustRightInd w:val="0"/>
              <w:spacing w:before="60" w:after="60"/>
              <w:rPr>
                <w:rFonts w:asciiTheme="minorHAnsi" w:hAnsiTheme="minorHAnsi" w:cs="Calibri"/>
                <w:sz w:val="20"/>
                <w:szCs w:val="20"/>
              </w:rPr>
            </w:pPr>
            <w:hyperlink r:id="rId16" w:tooltip="Novartis Pharmaceuticals Australia Pty Limited" w:history="1">
              <w:proofErr w:type="spellStart"/>
              <w:r w:rsidR="00D97474" w:rsidRPr="00210928">
                <w:rPr>
                  <w:rFonts w:asciiTheme="minorHAnsi" w:hAnsiTheme="minorHAnsi" w:cs="Calibri"/>
                  <w:sz w:val="20"/>
                  <w:szCs w:val="20"/>
                  <w:shd w:val="clear" w:color="auto" w:fill="FFFFFF"/>
                </w:rPr>
                <w:t>Desferal</w:t>
              </w:r>
              <w:proofErr w:type="spellEnd"/>
              <w:r w:rsidR="00D97474" w:rsidRPr="00210928">
                <w:rPr>
                  <w:rFonts w:asciiTheme="minorHAnsi" w:hAnsiTheme="minorHAnsi" w:cs="Calibri"/>
                  <w:sz w:val="20"/>
                  <w:szCs w:val="20"/>
                  <w:shd w:val="clear" w:color="auto" w:fill="FFFFFF"/>
                </w:rPr>
                <w:t xml:space="preserve"> 500 </w:t>
              </w:r>
              <w:r w:rsidR="001F189F" w:rsidRPr="00210928">
                <w:rPr>
                  <w:rFonts w:asciiTheme="minorHAnsi" w:hAnsiTheme="minorHAnsi" w:cs="Calibri"/>
                  <w:sz w:val="20"/>
                  <w:szCs w:val="20"/>
                  <w:shd w:val="clear" w:color="auto" w:fill="FFFFFF"/>
                </w:rPr>
                <w:t>m</w:t>
              </w:r>
              <w:r w:rsidR="00D97474" w:rsidRPr="00210928">
                <w:rPr>
                  <w:rFonts w:asciiTheme="minorHAnsi" w:hAnsiTheme="minorHAnsi" w:cs="Calibri"/>
                  <w:sz w:val="20"/>
                  <w:szCs w:val="20"/>
                  <w:shd w:val="clear" w:color="auto" w:fill="FFFFFF"/>
                </w:rPr>
                <w:t>g</w:t>
              </w:r>
            </w:hyperlink>
            <w:r w:rsidR="00D97474" w:rsidRPr="00210928">
              <w:rPr>
                <w:rFonts w:asciiTheme="minorHAnsi" w:hAnsiTheme="minorHAnsi" w:cs="Calibri"/>
                <w:sz w:val="20"/>
                <w:szCs w:val="20"/>
              </w:rPr>
              <w:t>, Novartis</w:t>
            </w:r>
          </w:p>
        </w:tc>
      </w:tr>
      <w:tr w:rsidR="00D97474" w:rsidRPr="00D97474" w14:paraId="6029D962" w14:textId="77777777" w:rsidTr="000B00BE">
        <w:trPr>
          <w:trHeight w:val="541"/>
        </w:trPr>
        <w:tc>
          <w:tcPr>
            <w:tcW w:w="1124" w:type="dxa"/>
          </w:tcPr>
          <w:p w14:paraId="223725C4" w14:textId="77777777" w:rsidR="00D97474" w:rsidRPr="00210928" w:rsidRDefault="00452E08" w:rsidP="00F76431">
            <w:pPr>
              <w:autoSpaceDE w:val="0"/>
              <w:autoSpaceDN w:val="0"/>
              <w:adjustRightInd w:val="0"/>
              <w:spacing w:before="60" w:after="60"/>
              <w:rPr>
                <w:rFonts w:asciiTheme="minorHAnsi" w:hAnsiTheme="minorHAnsi" w:cs="Calibri"/>
                <w:sz w:val="20"/>
                <w:szCs w:val="20"/>
              </w:rPr>
            </w:pPr>
            <w:hyperlink r:id="rId17" w:tooltip="6270b" w:history="1">
              <w:r w:rsidR="00D97474" w:rsidRPr="00210928">
                <w:rPr>
                  <w:rFonts w:asciiTheme="minorHAnsi" w:hAnsiTheme="minorHAnsi" w:cs="Calibri"/>
                  <w:sz w:val="20"/>
                  <w:szCs w:val="20"/>
                  <w:shd w:val="clear" w:color="auto" w:fill="FFFFFF"/>
                </w:rPr>
                <w:t>6270B</w:t>
              </w:r>
            </w:hyperlink>
            <w:r w:rsidR="00D97474" w:rsidRPr="00210928">
              <w:rPr>
                <w:rFonts w:asciiTheme="minorHAnsi" w:hAnsiTheme="minorHAnsi" w:cs="Calibri"/>
                <w:sz w:val="20"/>
                <w:szCs w:val="20"/>
              </w:rPr>
              <w:t xml:space="preserve"> (Private)</w:t>
            </w:r>
          </w:p>
        </w:tc>
        <w:tc>
          <w:tcPr>
            <w:tcW w:w="2386" w:type="dxa"/>
          </w:tcPr>
          <w:p w14:paraId="38B0A699" w14:textId="77777777" w:rsidR="00D97474" w:rsidRPr="00D97474" w:rsidRDefault="00D97474" w:rsidP="00F76431">
            <w:pPr>
              <w:autoSpaceDE w:val="0"/>
              <w:autoSpaceDN w:val="0"/>
              <w:adjustRightInd w:val="0"/>
              <w:spacing w:before="60" w:after="60"/>
              <w:rPr>
                <w:rFonts w:asciiTheme="minorHAnsi" w:hAnsiTheme="minorHAnsi" w:cs="Calibri"/>
                <w:sz w:val="20"/>
                <w:szCs w:val="20"/>
              </w:rPr>
            </w:pPr>
            <w:proofErr w:type="spellStart"/>
            <w:r w:rsidRPr="00D97474">
              <w:rPr>
                <w:rFonts w:asciiTheme="minorHAnsi" w:hAnsiTheme="minorHAnsi" w:cs="Arial"/>
                <w:sz w:val="20"/>
                <w:szCs w:val="20"/>
                <w:shd w:val="clear" w:color="auto" w:fill="FFFFFF"/>
              </w:rPr>
              <w:t>Desferrioxamine</w:t>
            </w:r>
            <w:proofErr w:type="spellEnd"/>
            <w:r w:rsidRPr="00D97474">
              <w:rPr>
                <w:rFonts w:asciiTheme="minorHAnsi" w:hAnsiTheme="minorHAnsi" w:cs="Arial"/>
                <w:sz w:val="20"/>
                <w:szCs w:val="20"/>
                <w:shd w:val="clear" w:color="auto" w:fill="FFFFFF"/>
              </w:rPr>
              <w:t xml:space="preserve"> </w:t>
            </w:r>
            <w:proofErr w:type="spellStart"/>
            <w:r w:rsidRPr="00D97474">
              <w:rPr>
                <w:rFonts w:asciiTheme="minorHAnsi" w:hAnsiTheme="minorHAnsi" w:cs="Arial"/>
                <w:sz w:val="20"/>
                <w:szCs w:val="20"/>
                <w:shd w:val="clear" w:color="auto" w:fill="FFFFFF"/>
              </w:rPr>
              <w:t>mesylate</w:t>
            </w:r>
            <w:proofErr w:type="spellEnd"/>
            <w:r w:rsidRPr="00D97474">
              <w:rPr>
                <w:rFonts w:asciiTheme="minorHAnsi" w:hAnsiTheme="minorHAnsi" w:cs="Arial"/>
                <w:sz w:val="20"/>
                <w:szCs w:val="20"/>
                <w:shd w:val="clear" w:color="auto" w:fill="FFFFFF"/>
              </w:rPr>
              <w:t xml:space="preserve"> 2 g injection, 1 x 2 g vial</w:t>
            </w:r>
          </w:p>
        </w:tc>
        <w:tc>
          <w:tcPr>
            <w:tcW w:w="806" w:type="dxa"/>
          </w:tcPr>
          <w:p w14:paraId="6BF3FF9D" w14:textId="77777777" w:rsidR="00D97474" w:rsidRPr="00D97474" w:rsidRDefault="00D97474" w:rsidP="00F76431">
            <w:pPr>
              <w:autoSpaceDE w:val="0"/>
              <w:autoSpaceDN w:val="0"/>
              <w:adjustRightInd w:val="0"/>
              <w:spacing w:before="60" w:after="60"/>
              <w:rPr>
                <w:rFonts w:asciiTheme="minorHAnsi" w:hAnsiTheme="minorHAnsi" w:cs="Calibri"/>
                <w:sz w:val="20"/>
                <w:szCs w:val="20"/>
              </w:rPr>
            </w:pPr>
            <w:r w:rsidRPr="00D97474">
              <w:rPr>
                <w:rFonts w:asciiTheme="minorHAnsi" w:hAnsiTheme="minorHAnsi" w:cs="Arial"/>
                <w:sz w:val="20"/>
                <w:szCs w:val="20"/>
                <w:shd w:val="clear" w:color="auto" w:fill="FFFFFF"/>
              </w:rPr>
              <w:t>60</w:t>
            </w:r>
          </w:p>
        </w:tc>
        <w:tc>
          <w:tcPr>
            <w:tcW w:w="725" w:type="dxa"/>
          </w:tcPr>
          <w:p w14:paraId="0AA2278B" w14:textId="77777777" w:rsidR="00D97474" w:rsidRPr="00D97474" w:rsidRDefault="00D97474" w:rsidP="00F76431">
            <w:pPr>
              <w:autoSpaceDE w:val="0"/>
              <w:autoSpaceDN w:val="0"/>
              <w:adjustRightInd w:val="0"/>
              <w:spacing w:before="60" w:after="60"/>
              <w:rPr>
                <w:rFonts w:asciiTheme="minorHAnsi" w:hAnsiTheme="minorHAnsi" w:cs="Calibri"/>
                <w:sz w:val="20"/>
                <w:szCs w:val="20"/>
              </w:rPr>
            </w:pPr>
            <w:r w:rsidRPr="00D97474">
              <w:rPr>
                <w:rFonts w:asciiTheme="minorHAnsi" w:hAnsiTheme="minorHAnsi" w:cs="Arial"/>
                <w:sz w:val="20"/>
                <w:szCs w:val="20"/>
                <w:shd w:val="clear" w:color="auto" w:fill="FFFFFF"/>
              </w:rPr>
              <w:t>5</w:t>
            </w:r>
          </w:p>
        </w:tc>
        <w:tc>
          <w:tcPr>
            <w:tcW w:w="1449" w:type="dxa"/>
          </w:tcPr>
          <w:p w14:paraId="09D3BC91" w14:textId="77777777" w:rsidR="00D97474" w:rsidRPr="00D97474" w:rsidRDefault="00D97474" w:rsidP="00F76431">
            <w:pPr>
              <w:autoSpaceDE w:val="0"/>
              <w:autoSpaceDN w:val="0"/>
              <w:adjustRightInd w:val="0"/>
              <w:spacing w:before="60" w:after="60"/>
              <w:rPr>
                <w:rFonts w:asciiTheme="minorHAnsi" w:hAnsiTheme="minorHAnsi" w:cs="Calibri"/>
                <w:sz w:val="20"/>
                <w:szCs w:val="20"/>
              </w:rPr>
            </w:pPr>
            <w:r w:rsidRPr="00D97474">
              <w:rPr>
                <w:rFonts w:asciiTheme="minorHAnsi" w:hAnsiTheme="minorHAnsi" w:cs="Arial"/>
                <w:sz w:val="20"/>
                <w:szCs w:val="20"/>
                <w:shd w:val="clear" w:color="auto" w:fill="FFFFFF"/>
              </w:rPr>
              <w:t>$1990.83</w:t>
            </w:r>
          </w:p>
        </w:tc>
        <w:tc>
          <w:tcPr>
            <w:tcW w:w="2783" w:type="dxa"/>
          </w:tcPr>
          <w:p w14:paraId="1AF5BB94" w14:textId="77777777" w:rsidR="00D97474" w:rsidRPr="00210928" w:rsidRDefault="00452E08" w:rsidP="00F76431">
            <w:pPr>
              <w:autoSpaceDE w:val="0"/>
              <w:autoSpaceDN w:val="0"/>
              <w:adjustRightInd w:val="0"/>
              <w:spacing w:before="60" w:after="60"/>
              <w:rPr>
                <w:rFonts w:asciiTheme="minorHAnsi" w:hAnsiTheme="minorHAnsi" w:cs="Calibri"/>
                <w:sz w:val="20"/>
                <w:szCs w:val="20"/>
              </w:rPr>
            </w:pPr>
            <w:hyperlink r:id="rId18" w:tooltip="Hospira Pty Limited" w:history="1">
              <w:hyperlink r:id="rId19" w:tooltip="DESFERRIOXAMINE" w:history="1">
                <w:r w:rsidR="00D97474" w:rsidRPr="00210928">
                  <w:rPr>
                    <w:rFonts w:asciiTheme="minorHAnsi" w:hAnsiTheme="minorHAnsi" w:cs="Calibri"/>
                    <w:sz w:val="20"/>
                    <w:szCs w:val="20"/>
                    <w:shd w:val="clear" w:color="auto" w:fill="FFFFFF"/>
                  </w:rPr>
                  <w:t>DESFERRIOXAMINE</w:t>
                </w:r>
              </w:hyperlink>
              <w:r w:rsidR="00D97474" w:rsidRPr="00210928">
                <w:rPr>
                  <w:rFonts w:asciiTheme="minorHAnsi" w:hAnsiTheme="minorHAnsi" w:cs="Calibri"/>
                  <w:sz w:val="20"/>
                  <w:szCs w:val="20"/>
                </w:rPr>
                <w:t xml:space="preserve">, </w:t>
              </w:r>
              <w:proofErr w:type="spellStart"/>
              <w:r w:rsidR="00D97474" w:rsidRPr="00210928">
                <w:rPr>
                  <w:rFonts w:asciiTheme="minorHAnsi" w:hAnsiTheme="minorHAnsi" w:cs="Calibri"/>
                  <w:sz w:val="20"/>
                  <w:szCs w:val="20"/>
                  <w:shd w:val="clear" w:color="auto" w:fill="FFFFFF"/>
                </w:rPr>
                <w:t>Hospira</w:t>
              </w:r>
              <w:proofErr w:type="spellEnd"/>
              <w:r w:rsidR="00D97474" w:rsidRPr="00210928">
                <w:rPr>
                  <w:rFonts w:asciiTheme="minorHAnsi" w:hAnsiTheme="minorHAnsi" w:cs="Calibri"/>
                  <w:sz w:val="20"/>
                  <w:szCs w:val="20"/>
                  <w:shd w:val="clear" w:color="auto" w:fill="FFFFFF"/>
                </w:rPr>
                <w:t xml:space="preserve"> Pty Limited</w:t>
              </w:r>
            </w:hyperlink>
          </w:p>
        </w:tc>
      </w:tr>
      <w:tr w:rsidR="00D97474" w:rsidRPr="00D97474" w14:paraId="65603700" w14:textId="77777777" w:rsidTr="000B00BE">
        <w:trPr>
          <w:trHeight w:val="325"/>
        </w:trPr>
        <w:tc>
          <w:tcPr>
            <w:tcW w:w="1124" w:type="dxa"/>
          </w:tcPr>
          <w:p w14:paraId="40855C6B" w14:textId="77777777" w:rsidR="00D97474" w:rsidRPr="00210928" w:rsidRDefault="00D97474" w:rsidP="00F76431">
            <w:pPr>
              <w:autoSpaceDE w:val="0"/>
              <w:autoSpaceDN w:val="0"/>
              <w:adjustRightInd w:val="0"/>
              <w:spacing w:before="60" w:after="60"/>
              <w:rPr>
                <w:rFonts w:asciiTheme="minorHAnsi" w:hAnsiTheme="minorHAnsi" w:cs="Calibri"/>
                <w:sz w:val="20"/>
                <w:szCs w:val="20"/>
              </w:rPr>
            </w:pPr>
          </w:p>
        </w:tc>
        <w:tc>
          <w:tcPr>
            <w:tcW w:w="2386" w:type="dxa"/>
          </w:tcPr>
          <w:p w14:paraId="57374A37" w14:textId="77777777" w:rsidR="00D97474" w:rsidRPr="00D97474" w:rsidRDefault="00D97474" w:rsidP="00F76431">
            <w:pPr>
              <w:autoSpaceDE w:val="0"/>
              <w:autoSpaceDN w:val="0"/>
              <w:adjustRightInd w:val="0"/>
              <w:spacing w:before="60" w:after="60"/>
              <w:rPr>
                <w:rFonts w:asciiTheme="minorHAnsi" w:hAnsiTheme="minorHAnsi" w:cs="Calibri"/>
                <w:sz w:val="20"/>
                <w:szCs w:val="20"/>
              </w:rPr>
            </w:pPr>
          </w:p>
        </w:tc>
        <w:tc>
          <w:tcPr>
            <w:tcW w:w="806" w:type="dxa"/>
          </w:tcPr>
          <w:p w14:paraId="7F26F58C" w14:textId="77777777" w:rsidR="00D97474" w:rsidRPr="00D97474" w:rsidRDefault="00D97474" w:rsidP="00F76431">
            <w:pPr>
              <w:autoSpaceDE w:val="0"/>
              <w:autoSpaceDN w:val="0"/>
              <w:adjustRightInd w:val="0"/>
              <w:spacing w:before="60" w:after="60"/>
              <w:rPr>
                <w:rFonts w:asciiTheme="minorHAnsi" w:hAnsiTheme="minorHAnsi" w:cs="Calibri"/>
                <w:sz w:val="20"/>
                <w:szCs w:val="20"/>
              </w:rPr>
            </w:pPr>
          </w:p>
        </w:tc>
        <w:tc>
          <w:tcPr>
            <w:tcW w:w="725" w:type="dxa"/>
          </w:tcPr>
          <w:p w14:paraId="14A6E656" w14:textId="77777777" w:rsidR="00D97474" w:rsidRPr="00D97474" w:rsidRDefault="00D97474" w:rsidP="00F76431">
            <w:pPr>
              <w:autoSpaceDE w:val="0"/>
              <w:autoSpaceDN w:val="0"/>
              <w:adjustRightInd w:val="0"/>
              <w:spacing w:before="60" w:after="60"/>
              <w:rPr>
                <w:rFonts w:asciiTheme="minorHAnsi" w:hAnsiTheme="minorHAnsi" w:cs="Calibri"/>
                <w:sz w:val="20"/>
                <w:szCs w:val="20"/>
              </w:rPr>
            </w:pPr>
          </w:p>
        </w:tc>
        <w:tc>
          <w:tcPr>
            <w:tcW w:w="1449" w:type="dxa"/>
          </w:tcPr>
          <w:p w14:paraId="61DF2910" w14:textId="77777777" w:rsidR="00D97474" w:rsidRPr="00D97474" w:rsidRDefault="00D97474" w:rsidP="00F76431">
            <w:pPr>
              <w:autoSpaceDE w:val="0"/>
              <w:autoSpaceDN w:val="0"/>
              <w:adjustRightInd w:val="0"/>
              <w:spacing w:before="60" w:after="60"/>
              <w:rPr>
                <w:rFonts w:asciiTheme="minorHAnsi" w:hAnsiTheme="minorHAnsi" w:cs="Calibri"/>
                <w:sz w:val="20"/>
                <w:szCs w:val="20"/>
              </w:rPr>
            </w:pPr>
            <w:r w:rsidRPr="00D97474">
              <w:rPr>
                <w:rFonts w:asciiTheme="minorHAnsi" w:hAnsiTheme="minorHAnsi" w:cs="Arial"/>
                <w:sz w:val="20"/>
                <w:szCs w:val="20"/>
                <w:shd w:val="clear" w:color="auto" w:fill="FFFFFF"/>
              </w:rPr>
              <w:t>$2010.63</w:t>
            </w:r>
          </w:p>
        </w:tc>
        <w:tc>
          <w:tcPr>
            <w:tcW w:w="2783" w:type="dxa"/>
          </w:tcPr>
          <w:p w14:paraId="49373104" w14:textId="77777777" w:rsidR="00D97474" w:rsidRPr="00210928" w:rsidRDefault="00452E08" w:rsidP="00F76431">
            <w:pPr>
              <w:autoSpaceDE w:val="0"/>
              <w:autoSpaceDN w:val="0"/>
              <w:adjustRightInd w:val="0"/>
              <w:spacing w:before="60" w:after="60"/>
              <w:rPr>
                <w:rFonts w:asciiTheme="minorHAnsi" w:hAnsiTheme="minorHAnsi" w:cs="Calibri"/>
                <w:sz w:val="20"/>
                <w:szCs w:val="20"/>
              </w:rPr>
            </w:pPr>
            <w:hyperlink r:id="rId20" w:tooltip="Novartis Pharmaceuticals Australia Pty Limited" w:history="1">
              <w:proofErr w:type="spellStart"/>
              <w:r w:rsidR="00D97474" w:rsidRPr="00210928">
                <w:rPr>
                  <w:rFonts w:asciiTheme="minorHAnsi" w:hAnsiTheme="minorHAnsi" w:cs="Calibri"/>
                  <w:sz w:val="20"/>
                  <w:szCs w:val="20"/>
                  <w:shd w:val="clear" w:color="auto" w:fill="FFFFFF"/>
                </w:rPr>
                <w:t>Desferal</w:t>
              </w:r>
              <w:proofErr w:type="spellEnd"/>
              <w:r w:rsidR="00D97474" w:rsidRPr="00210928">
                <w:rPr>
                  <w:rFonts w:asciiTheme="minorHAnsi" w:hAnsiTheme="minorHAnsi" w:cs="Calibri"/>
                  <w:sz w:val="20"/>
                  <w:szCs w:val="20"/>
                  <w:shd w:val="clear" w:color="auto" w:fill="FFFFFF"/>
                </w:rPr>
                <w:t xml:space="preserve"> 2 g</w:t>
              </w:r>
            </w:hyperlink>
            <w:r w:rsidR="00D97474" w:rsidRPr="00210928">
              <w:rPr>
                <w:rFonts w:asciiTheme="minorHAnsi" w:hAnsiTheme="minorHAnsi" w:cs="Calibri"/>
                <w:sz w:val="20"/>
                <w:szCs w:val="20"/>
              </w:rPr>
              <w:t>, Novartis</w:t>
            </w:r>
          </w:p>
        </w:tc>
      </w:tr>
      <w:tr w:rsidR="00D97474" w:rsidRPr="00D97474" w14:paraId="6A05D286" w14:textId="77777777" w:rsidTr="000B00BE">
        <w:trPr>
          <w:trHeight w:val="541"/>
        </w:trPr>
        <w:tc>
          <w:tcPr>
            <w:tcW w:w="1124" w:type="dxa"/>
          </w:tcPr>
          <w:p w14:paraId="372ADEF5" w14:textId="77777777" w:rsidR="00D97474" w:rsidRPr="00210928" w:rsidRDefault="00452E08" w:rsidP="00F76431">
            <w:pPr>
              <w:autoSpaceDE w:val="0"/>
              <w:autoSpaceDN w:val="0"/>
              <w:adjustRightInd w:val="0"/>
              <w:spacing w:before="60" w:after="60"/>
              <w:rPr>
                <w:rFonts w:asciiTheme="minorHAnsi" w:hAnsiTheme="minorHAnsi" w:cs="Calibri"/>
                <w:sz w:val="20"/>
                <w:szCs w:val="20"/>
              </w:rPr>
            </w:pPr>
            <w:hyperlink r:id="rId21" w:tooltip="6113r" w:history="1">
              <w:r w:rsidR="00D97474" w:rsidRPr="00210928">
                <w:rPr>
                  <w:rFonts w:asciiTheme="minorHAnsi" w:hAnsiTheme="minorHAnsi" w:cs="Calibri"/>
                  <w:sz w:val="20"/>
                  <w:szCs w:val="20"/>
                  <w:shd w:val="clear" w:color="auto" w:fill="FFFFFF"/>
                </w:rPr>
                <w:t>6113R</w:t>
              </w:r>
            </w:hyperlink>
            <w:r w:rsidR="00D97474" w:rsidRPr="00210928">
              <w:rPr>
                <w:rFonts w:asciiTheme="minorHAnsi" w:hAnsiTheme="minorHAnsi" w:cs="Calibri"/>
                <w:sz w:val="20"/>
                <w:szCs w:val="20"/>
              </w:rPr>
              <w:t xml:space="preserve"> (Private)</w:t>
            </w:r>
          </w:p>
        </w:tc>
        <w:tc>
          <w:tcPr>
            <w:tcW w:w="2386" w:type="dxa"/>
          </w:tcPr>
          <w:p w14:paraId="02B81C53" w14:textId="77777777" w:rsidR="00D97474" w:rsidRPr="00D97474" w:rsidRDefault="00D97474" w:rsidP="00F76431">
            <w:pPr>
              <w:autoSpaceDE w:val="0"/>
              <w:autoSpaceDN w:val="0"/>
              <w:adjustRightInd w:val="0"/>
              <w:spacing w:before="60" w:after="60"/>
              <w:rPr>
                <w:rFonts w:asciiTheme="minorHAnsi" w:hAnsiTheme="minorHAnsi" w:cs="Calibri"/>
                <w:sz w:val="20"/>
                <w:szCs w:val="20"/>
              </w:rPr>
            </w:pPr>
            <w:proofErr w:type="spellStart"/>
            <w:r w:rsidRPr="00D97474">
              <w:rPr>
                <w:rFonts w:asciiTheme="minorHAnsi" w:hAnsiTheme="minorHAnsi" w:cs="Arial"/>
                <w:sz w:val="20"/>
                <w:szCs w:val="20"/>
                <w:shd w:val="clear" w:color="auto" w:fill="FFFFFF"/>
              </w:rPr>
              <w:t>Desferrioxamine</w:t>
            </w:r>
            <w:proofErr w:type="spellEnd"/>
            <w:r w:rsidRPr="00D97474">
              <w:rPr>
                <w:rFonts w:asciiTheme="minorHAnsi" w:hAnsiTheme="minorHAnsi" w:cs="Arial"/>
                <w:sz w:val="20"/>
                <w:szCs w:val="20"/>
                <w:shd w:val="clear" w:color="auto" w:fill="FFFFFF"/>
              </w:rPr>
              <w:t xml:space="preserve"> </w:t>
            </w:r>
            <w:proofErr w:type="spellStart"/>
            <w:r w:rsidRPr="00D97474">
              <w:rPr>
                <w:rFonts w:asciiTheme="minorHAnsi" w:hAnsiTheme="minorHAnsi" w:cs="Arial"/>
                <w:sz w:val="20"/>
                <w:szCs w:val="20"/>
                <w:shd w:val="clear" w:color="auto" w:fill="FFFFFF"/>
              </w:rPr>
              <w:t>mesylate</w:t>
            </w:r>
            <w:proofErr w:type="spellEnd"/>
            <w:r w:rsidRPr="00D97474">
              <w:rPr>
                <w:rFonts w:asciiTheme="minorHAnsi" w:hAnsiTheme="minorHAnsi" w:cs="Arial"/>
                <w:sz w:val="20"/>
                <w:szCs w:val="20"/>
                <w:shd w:val="clear" w:color="auto" w:fill="FFFFFF"/>
              </w:rPr>
              <w:t xml:space="preserve"> 500 mg injection, 10 x 500 mg vials</w:t>
            </w:r>
          </w:p>
        </w:tc>
        <w:tc>
          <w:tcPr>
            <w:tcW w:w="806" w:type="dxa"/>
          </w:tcPr>
          <w:p w14:paraId="6C233BEB" w14:textId="77777777" w:rsidR="00D97474" w:rsidRPr="00D97474" w:rsidRDefault="00D97474" w:rsidP="00F76431">
            <w:pPr>
              <w:autoSpaceDE w:val="0"/>
              <w:autoSpaceDN w:val="0"/>
              <w:adjustRightInd w:val="0"/>
              <w:spacing w:before="60" w:after="60"/>
              <w:rPr>
                <w:rFonts w:asciiTheme="minorHAnsi" w:hAnsiTheme="minorHAnsi" w:cs="Calibri"/>
                <w:sz w:val="20"/>
                <w:szCs w:val="20"/>
              </w:rPr>
            </w:pPr>
            <w:r w:rsidRPr="00D97474">
              <w:rPr>
                <w:rFonts w:asciiTheme="minorHAnsi" w:hAnsiTheme="minorHAnsi" w:cs="Arial"/>
                <w:sz w:val="20"/>
                <w:szCs w:val="20"/>
                <w:shd w:val="clear" w:color="auto" w:fill="FFFFFF"/>
              </w:rPr>
              <w:t>40</w:t>
            </w:r>
          </w:p>
        </w:tc>
        <w:tc>
          <w:tcPr>
            <w:tcW w:w="725" w:type="dxa"/>
          </w:tcPr>
          <w:p w14:paraId="1EBEA72D" w14:textId="77777777" w:rsidR="00D97474" w:rsidRPr="00D97474" w:rsidRDefault="00D97474" w:rsidP="00F76431">
            <w:pPr>
              <w:autoSpaceDE w:val="0"/>
              <w:autoSpaceDN w:val="0"/>
              <w:adjustRightInd w:val="0"/>
              <w:spacing w:before="60" w:after="60"/>
              <w:rPr>
                <w:rFonts w:asciiTheme="minorHAnsi" w:hAnsiTheme="minorHAnsi" w:cs="Calibri"/>
                <w:sz w:val="20"/>
                <w:szCs w:val="20"/>
              </w:rPr>
            </w:pPr>
            <w:r w:rsidRPr="00D97474">
              <w:rPr>
                <w:rFonts w:asciiTheme="minorHAnsi" w:hAnsiTheme="minorHAnsi" w:cs="Arial"/>
                <w:sz w:val="20"/>
                <w:szCs w:val="20"/>
                <w:shd w:val="clear" w:color="auto" w:fill="FFFFFF"/>
              </w:rPr>
              <w:t>5</w:t>
            </w:r>
          </w:p>
        </w:tc>
        <w:tc>
          <w:tcPr>
            <w:tcW w:w="1449" w:type="dxa"/>
          </w:tcPr>
          <w:p w14:paraId="13203D0C" w14:textId="77777777" w:rsidR="00D97474" w:rsidRPr="00D97474" w:rsidRDefault="00D97474" w:rsidP="00F76431">
            <w:pPr>
              <w:autoSpaceDE w:val="0"/>
              <w:autoSpaceDN w:val="0"/>
              <w:adjustRightInd w:val="0"/>
              <w:spacing w:before="60" w:after="60"/>
              <w:rPr>
                <w:rFonts w:asciiTheme="minorHAnsi" w:hAnsiTheme="minorHAnsi" w:cs="Calibri"/>
                <w:sz w:val="20"/>
                <w:szCs w:val="20"/>
              </w:rPr>
            </w:pPr>
            <w:r w:rsidRPr="00D97474">
              <w:rPr>
                <w:rFonts w:asciiTheme="minorHAnsi" w:hAnsiTheme="minorHAnsi" w:cs="Arial"/>
                <w:sz w:val="20"/>
                <w:szCs w:val="20"/>
                <w:shd w:val="clear" w:color="auto" w:fill="FFFFFF"/>
              </w:rPr>
              <w:t>$3287.43</w:t>
            </w:r>
          </w:p>
        </w:tc>
        <w:tc>
          <w:tcPr>
            <w:tcW w:w="2783" w:type="dxa"/>
          </w:tcPr>
          <w:p w14:paraId="56D2A4B7" w14:textId="77777777" w:rsidR="00D97474" w:rsidRPr="00210928" w:rsidRDefault="00452E08" w:rsidP="00F76431">
            <w:pPr>
              <w:autoSpaceDE w:val="0"/>
              <w:autoSpaceDN w:val="0"/>
              <w:adjustRightInd w:val="0"/>
              <w:spacing w:before="60" w:after="60"/>
              <w:rPr>
                <w:rFonts w:asciiTheme="minorHAnsi" w:hAnsiTheme="minorHAnsi" w:cs="Calibri"/>
                <w:sz w:val="20"/>
                <w:szCs w:val="20"/>
              </w:rPr>
            </w:pPr>
            <w:hyperlink r:id="rId22" w:tooltip="Hospira Pty Limited" w:history="1">
              <w:hyperlink r:id="rId23" w:tooltip="DESFERRIOXAMINE" w:history="1">
                <w:r w:rsidR="00D97474" w:rsidRPr="00210928">
                  <w:rPr>
                    <w:rFonts w:asciiTheme="minorHAnsi" w:hAnsiTheme="minorHAnsi" w:cs="Calibri"/>
                    <w:sz w:val="20"/>
                    <w:szCs w:val="20"/>
                    <w:shd w:val="clear" w:color="auto" w:fill="FFFFFF"/>
                  </w:rPr>
                  <w:t>DESFERRIOXAMINE</w:t>
                </w:r>
              </w:hyperlink>
              <w:r w:rsidR="00D97474" w:rsidRPr="00210928">
                <w:rPr>
                  <w:rFonts w:asciiTheme="minorHAnsi" w:hAnsiTheme="minorHAnsi" w:cs="Calibri"/>
                  <w:sz w:val="20"/>
                  <w:szCs w:val="20"/>
                </w:rPr>
                <w:t xml:space="preserve">, </w:t>
              </w:r>
              <w:proofErr w:type="spellStart"/>
              <w:r w:rsidR="00D97474" w:rsidRPr="00210928">
                <w:rPr>
                  <w:rFonts w:asciiTheme="minorHAnsi" w:hAnsiTheme="minorHAnsi" w:cs="Calibri"/>
                  <w:sz w:val="20"/>
                  <w:szCs w:val="20"/>
                  <w:shd w:val="clear" w:color="auto" w:fill="FFFFFF"/>
                </w:rPr>
                <w:t>Hospira</w:t>
              </w:r>
              <w:proofErr w:type="spellEnd"/>
              <w:r w:rsidR="00D97474" w:rsidRPr="00210928">
                <w:rPr>
                  <w:rFonts w:asciiTheme="minorHAnsi" w:hAnsiTheme="minorHAnsi" w:cs="Calibri"/>
                  <w:sz w:val="20"/>
                  <w:szCs w:val="20"/>
                  <w:shd w:val="clear" w:color="auto" w:fill="FFFFFF"/>
                </w:rPr>
                <w:t xml:space="preserve"> Pty Limited</w:t>
              </w:r>
            </w:hyperlink>
          </w:p>
        </w:tc>
      </w:tr>
      <w:tr w:rsidR="00D97474" w:rsidRPr="00D97474" w14:paraId="2E0FDB5F" w14:textId="77777777" w:rsidTr="000B00BE">
        <w:trPr>
          <w:trHeight w:val="221"/>
        </w:trPr>
        <w:tc>
          <w:tcPr>
            <w:tcW w:w="1124" w:type="dxa"/>
          </w:tcPr>
          <w:p w14:paraId="7C6A5AE8" w14:textId="77777777" w:rsidR="00D97474" w:rsidRPr="00210928" w:rsidRDefault="00D97474" w:rsidP="00F76431">
            <w:pPr>
              <w:autoSpaceDE w:val="0"/>
              <w:autoSpaceDN w:val="0"/>
              <w:adjustRightInd w:val="0"/>
              <w:spacing w:before="60" w:after="60"/>
              <w:rPr>
                <w:rFonts w:asciiTheme="minorHAnsi" w:hAnsiTheme="minorHAnsi" w:cs="Calibri"/>
                <w:sz w:val="20"/>
                <w:szCs w:val="20"/>
              </w:rPr>
            </w:pPr>
          </w:p>
        </w:tc>
        <w:tc>
          <w:tcPr>
            <w:tcW w:w="2386" w:type="dxa"/>
          </w:tcPr>
          <w:p w14:paraId="172E7CA1" w14:textId="77777777" w:rsidR="00D97474" w:rsidRPr="00D97474" w:rsidRDefault="00D97474" w:rsidP="00F76431">
            <w:pPr>
              <w:autoSpaceDE w:val="0"/>
              <w:autoSpaceDN w:val="0"/>
              <w:adjustRightInd w:val="0"/>
              <w:spacing w:before="60" w:after="60"/>
              <w:rPr>
                <w:rFonts w:asciiTheme="minorHAnsi" w:hAnsiTheme="minorHAnsi" w:cs="Calibri"/>
                <w:sz w:val="20"/>
                <w:szCs w:val="20"/>
              </w:rPr>
            </w:pPr>
          </w:p>
        </w:tc>
        <w:tc>
          <w:tcPr>
            <w:tcW w:w="806" w:type="dxa"/>
          </w:tcPr>
          <w:p w14:paraId="6D6FFA30" w14:textId="77777777" w:rsidR="00D97474" w:rsidRPr="00D97474" w:rsidRDefault="00D97474" w:rsidP="00F76431">
            <w:pPr>
              <w:autoSpaceDE w:val="0"/>
              <w:autoSpaceDN w:val="0"/>
              <w:adjustRightInd w:val="0"/>
              <w:spacing w:before="60" w:after="60"/>
              <w:rPr>
                <w:rFonts w:asciiTheme="minorHAnsi" w:hAnsiTheme="minorHAnsi" w:cs="Calibri"/>
                <w:sz w:val="20"/>
                <w:szCs w:val="20"/>
              </w:rPr>
            </w:pPr>
          </w:p>
        </w:tc>
        <w:tc>
          <w:tcPr>
            <w:tcW w:w="725" w:type="dxa"/>
          </w:tcPr>
          <w:p w14:paraId="7BDDEB23" w14:textId="77777777" w:rsidR="00D97474" w:rsidRPr="00D97474" w:rsidRDefault="00D97474" w:rsidP="00F76431">
            <w:pPr>
              <w:autoSpaceDE w:val="0"/>
              <w:autoSpaceDN w:val="0"/>
              <w:adjustRightInd w:val="0"/>
              <w:spacing w:before="60" w:after="60"/>
              <w:rPr>
                <w:rFonts w:asciiTheme="minorHAnsi" w:hAnsiTheme="minorHAnsi" w:cs="Calibri"/>
                <w:sz w:val="20"/>
                <w:szCs w:val="20"/>
              </w:rPr>
            </w:pPr>
          </w:p>
        </w:tc>
        <w:tc>
          <w:tcPr>
            <w:tcW w:w="1449" w:type="dxa"/>
          </w:tcPr>
          <w:p w14:paraId="0B92868B" w14:textId="77777777" w:rsidR="00D97474" w:rsidRPr="00D97474" w:rsidRDefault="00D97474" w:rsidP="00F76431">
            <w:pPr>
              <w:autoSpaceDE w:val="0"/>
              <w:autoSpaceDN w:val="0"/>
              <w:adjustRightInd w:val="0"/>
              <w:spacing w:before="60" w:after="60"/>
              <w:rPr>
                <w:rFonts w:asciiTheme="minorHAnsi" w:hAnsiTheme="minorHAnsi" w:cs="Calibri"/>
                <w:sz w:val="20"/>
                <w:szCs w:val="20"/>
              </w:rPr>
            </w:pPr>
            <w:r w:rsidRPr="00D97474">
              <w:rPr>
                <w:rFonts w:asciiTheme="minorHAnsi" w:hAnsiTheme="minorHAnsi" w:cs="Arial"/>
                <w:sz w:val="20"/>
                <w:szCs w:val="20"/>
                <w:shd w:val="clear" w:color="auto" w:fill="FFFFFF"/>
              </w:rPr>
              <w:t>$3556.23</w:t>
            </w:r>
          </w:p>
        </w:tc>
        <w:tc>
          <w:tcPr>
            <w:tcW w:w="2783" w:type="dxa"/>
          </w:tcPr>
          <w:p w14:paraId="0F403A79" w14:textId="3620A731" w:rsidR="00D97474" w:rsidRPr="00210928" w:rsidRDefault="00452E08" w:rsidP="00F76431">
            <w:pPr>
              <w:autoSpaceDE w:val="0"/>
              <w:autoSpaceDN w:val="0"/>
              <w:adjustRightInd w:val="0"/>
              <w:spacing w:before="60" w:after="60"/>
              <w:rPr>
                <w:rFonts w:asciiTheme="minorHAnsi" w:hAnsiTheme="minorHAnsi" w:cs="Calibri"/>
                <w:sz w:val="20"/>
                <w:szCs w:val="20"/>
              </w:rPr>
            </w:pPr>
            <w:hyperlink r:id="rId24" w:tooltip="Novartis Pharmaceuticals Australia Pty Limited" w:history="1">
              <w:proofErr w:type="spellStart"/>
              <w:r w:rsidR="00D97474" w:rsidRPr="00210928">
                <w:rPr>
                  <w:rFonts w:asciiTheme="minorHAnsi" w:hAnsiTheme="minorHAnsi" w:cs="Calibri"/>
                  <w:sz w:val="20"/>
                  <w:szCs w:val="20"/>
                  <w:shd w:val="clear" w:color="auto" w:fill="FFFFFF"/>
                </w:rPr>
                <w:t>Desferal</w:t>
              </w:r>
              <w:proofErr w:type="spellEnd"/>
              <w:r w:rsidR="00D97474" w:rsidRPr="00210928">
                <w:rPr>
                  <w:rFonts w:asciiTheme="minorHAnsi" w:hAnsiTheme="minorHAnsi" w:cs="Calibri"/>
                  <w:sz w:val="20"/>
                  <w:szCs w:val="20"/>
                  <w:shd w:val="clear" w:color="auto" w:fill="FFFFFF"/>
                </w:rPr>
                <w:t xml:space="preserve"> 500 </w:t>
              </w:r>
              <w:r w:rsidR="001F189F" w:rsidRPr="00210928">
                <w:rPr>
                  <w:rFonts w:asciiTheme="minorHAnsi" w:hAnsiTheme="minorHAnsi" w:cs="Calibri"/>
                  <w:sz w:val="20"/>
                  <w:szCs w:val="20"/>
                  <w:shd w:val="clear" w:color="auto" w:fill="FFFFFF"/>
                </w:rPr>
                <w:t>m</w:t>
              </w:r>
              <w:r w:rsidR="00D97474" w:rsidRPr="00210928">
                <w:rPr>
                  <w:rFonts w:asciiTheme="minorHAnsi" w:hAnsiTheme="minorHAnsi" w:cs="Calibri"/>
                  <w:sz w:val="20"/>
                  <w:szCs w:val="20"/>
                  <w:shd w:val="clear" w:color="auto" w:fill="FFFFFF"/>
                </w:rPr>
                <w:t>g</w:t>
              </w:r>
            </w:hyperlink>
            <w:r w:rsidR="00D97474" w:rsidRPr="00210928">
              <w:rPr>
                <w:rFonts w:asciiTheme="minorHAnsi" w:hAnsiTheme="minorHAnsi" w:cs="Calibri"/>
                <w:sz w:val="20"/>
                <w:szCs w:val="20"/>
              </w:rPr>
              <w:t>, Novartis</w:t>
            </w:r>
          </w:p>
        </w:tc>
      </w:tr>
      <w:tr w:rsidR="00D97474" w:rsidRPr="00D97474" w14:paraId="534DA9E4" w14:textId="77777777" w:rsidTr="000B00BE">
        <w:trPr>
          <w:trHeight w:val="541"/>
        </w:trPr>
        <w:tc>
          <w:tcPr>
            <w:tcW w:w="1124" w:type="dxa"/>
          </w:tcPr>
          <w:p w14:paraId="315F93D2" w14:textId="77777777" w:rsidR="00D97474" w:rsidRPr="00210928" w:rsidRDefault="00452E08" w:rsidP="00F76431">
            <w:pPr>
              <w:autoSpaceDE w:val="0"/>
              <w:autoSpaceDN w:val="0"/>
              <w:adjustRightInd w:val="0"/>
              <w:spacing w:before="60" w:after="60"/>
              <w:rPr>
                <w:rFonts w:asciiTheme="minorHAnsi" w:hAnsiTheme="minorHAnsi" w:cs="Calibri"/>
                <w:sz w:val="20"/>
                <w:szCs w:val="20"/>
              </w:rPr>
            </w:pPr>
            <w:hyperlink r:id="rId25" w:tooltip="5657r" w:history="1">
              <w:r w:rsidR="00D97474" w:rsidRPr="00210928">
                <w:rPr>
                  <w:rFonts w:asciiTheme="minorHAnsi" w:hAnsiTheme="minorHAnsi" w:cs="Calibri"/>
                  <w:sz w:val="20"/>
                  <w:szCs w:val="20"/>
                  <w:shd w:val="clear" w:color="auto" w:fill="FFFFFF"/>
                </w:rPr>
                <w:t>5657R</w:t>
              </w:r>
            </w:hyperlink>
            <w:r w:rsidR="00D97474" w:rsidRPr="00210928">
              <w:rPr>
                <w:rFonts w:asciiTheme="minorHAnsi" w:hAnsiTheme="minorHAnsi" w:cs="Calibri"/>
                <w:sz w:val="20"/>
                <w:szCs w:val="20"/>
              </w:rPr>
              <w:t xml:space="preserve"> (Public)</w:t>
            </w:r>
          </w:p>
        </w:tc>
        <w:tc>
          <w:tcPr>
            <w:tcW w:w="2386" w:type="dxa"/>
          </w:tcPr>
          <w:p w14:paraId="3AB69DA1" w14:textId="77777777" w:rsidR="00D97474" w:rsidRPr="00D97474" w:rsidRDefault="00D97474" w:rsidP="00F76431">
            <w:pPr>
              <w:autoSpaceDE w:val="0"/>
              <w:autoSpaceDN w:val="0"/>
              <w:adjustRightInd w:val="0"/>
              <w:spacing w:before="60" w:after="60"/>
              <w:rPr>
                <w:rFonts w:asciiTheme="minorHAnsi" w:hAnsiTheme="minorHAnsi" w:cs="Calibri"/>
                <w:sz w:val="20"/>
                <w:szCs w:val="20"/>
              </w:rPr>
            </w:pPr>
            <w:proofErr w:type="spellStart"/>
            <w:r w:rsidRPr="00D97474">
              <w:rPr>
                <w:rFonts w:asciiTheme="minorHAnsi" w:hAnsiTheme="minorHAnsi" w:cs="Calibri"/>
                <w:sz w:val="20"/>
                <w:szCs w:val="20"/>
                <w:bdr w:val="none" w:sz="0" w:space="0" w:color="auto" w:frame="1"/>
                <w:shd w:val="clear" w:color="auto" w:fill="FFFFFF"/>
              </w:rPr>
              <w:t>Deferiprone</w:t>
            </w:r>
            <w:proofErr w:type="spellEnd"/>
            <w:r w:rsidRPr="00D97474">
              <w:rPr>
                <w:rFonts w:asciiTheme="minorHAnsi" w:hAnsiTheme="minorHAnsi" w:cs="Calibri"/>
                <w:sz w:val="20"/>
                <w:szCs w:val="20"/>
                <w:bdr w:val="none" w:sz="0" w:space="0" w:color="auto" w:frame="1"/>
                <w:shd w:val="clear" w:color="auto" w:fill="FFFFFF"/>
              </w:rPr>
              <w:t xml:space="preserve"> 500 mg tablet, 100</w:t>
            </w:r>
            <w:r w:rsidRPr="00D97474">
              <w:rPr>
                <w:rFonts w:asciiTheme="minorHAnsi" w:hAnsiTheme="minorHAnsi" w:cs="Calibri"/>
                <w:sz w:val="20"/>
                <w:szCs w:val="20"/>
                <w:shd w:val="clear" w:color="auto" w:fill="FFFFFF"/>
              </w:rPr>
              <w:t> </w:t>
            </w:r>
          </w:p>
        </w:tc>
        <w:tc>
          <w:tcPr>
            <w:tcW w:w="806" w:type="dxa"/>
          </w:tcPr>
          <w:p w14:paraId="0ACA0820" w14:textId="77777777" w:rsidR="00D97474" w:rsidRPr="00D97474" w:rsidRDefault="00D97474" w:rsidP="00F76431">
            <w:pPr>
              <w:autoSpaceDE w:val="0"/>
              <w:autoSpaceDN w:val="0"/>
              <w:adjustRightInd w:val="0"/>
              <w:spacing w:before="60" w:after="60"/>
              <w:rPr>
                <w:rFonts w:asciiTheme="minorHAnsi" w:hAnsiTheme="minorHAnsi" w:cs="Calibri"/>
                <w:sz w:val="20"/>
                <w:szCs w:val="20"/>
              </w:rPr>
            </w:pPr>
            <w:r w:rsidRPr="00D97474">
              <w:rPr>
                <w:rFonts w:asciiTheme="minorHAnsi" w:hAnsiTheme="minorHAnsi" w:cs="Arial"/>
                <w:sz w:val="20"/>
                <w:szCs w:val="20"/>
                <w:shd w:val="clear" w:color="auto" w:fill="FFFFFF"/>
              </w:rPr>
              <w:t>6</w:t>
            </w:r>
          </w:p>
        </w:tc>
        <w:tc>
          <w:tcPr>
            <w:tcW w:w="725" w:type="dxa"/>
          </w:tcPr>
          <w:p w14:paraId="03A676EA" w14:textId="77777777" w:rsidR="00D97474" w:rsidRPr="00D97474" w:rsidRDefault="00D97474" w:rsidP="00F76431">
            <w:pPr>
              <w:autoSpaceDE w:val="0"/>
              <w:autoSpaceDN w:val="0"/>
              <w:adjustRightInd w:val="0"/>
              <w:spacing w:before="60" w:after="60"/>
              <w:rPr>
                <w:rFonts w:asciiTheme="minorHAnsi" w:hAnsiTheme="minorHAnsi" w:cs="Calibri"/>
                <w:sz w:val="20"/>
                <w:szCs w:val="20"/>
              </w:rPr>
            </w:pPr>
            <w:r w:rsidRPr="00D97474">
              <w:rPr>
                <w:rFonts w:asciiTheme="minorHAnsi" w:hAnsiTheme="minorHAnsi" w:cs="Arial"/>
                <w:sz w:val="20"/>
                <w:szCs w:val="20"/>
                <w:shd w:val="clear" w:color="auto" w:fill="FFFFFF"/>
              </w:rPr>
              <w:t>5</w:t>
            </w:r>
          </w:p>
        </w:tc>
        <w:tc>
          <w:tcPr>
            <w:tcW w:w="1449" w:type="dxa"/>
          </w:tcPr>
          <w:p w14:paraId="242CA6D5" w14:textId="77777777" w:rsidR="00D97474" w:rsidRPr="00D97474" w:rsidRDefault="00D97474" w:rsidP="00F76431">
            <w:pPr>
              <w:autoSpaceDE w:val="0"/>
              <w:autoSpaceDN w:val="0"/>
              <w:adjustRightInd w:val="0"/>
              <w:spacing w:before="60" w:after="60"/>
              <w:rPr>
                <w:rFonts w:asciiTheme="minorHAnsi" w:hAnsiTheme="minorHAnsi" w:cs="Calibri"/>
                <w:sz w:val="20"/>
                <w:szCs w:val="20"/>
              </w:rPr>
            </w:pPr>
            <w:r w:rsidRPr="00D97474">
              <w:rPr>
                <w:rFonts w:asciiTheme="minorHAnsi" w:hAnsiTheme="minorHAnsi" w:cs="Arial"/>
                <w:sz w:val="20"/>
                <w:szCs w:val="20"/>
                <w:shd w:val="clear" w:color="auto" w:fill="FFFFFF"/>
              </w:rPr>
              <w:t>$2703.36</w:t>
            </w:r>
          </w:p>
        </w:tc>
        <w:tc>
          <w:tcPr>
            <w:tcW w:w="2783" w:type="dxa"/>
          </w:tcPr>
          <w:p w14:paraId="6008F937" w14:textId="77777777" w:rsidR="00D97474" w:rsidRPr="00D97474" w:rsidRDefault="00452E08" w:rsidP="00F76431">
            <w:pPr>
              <w:autoSpaceDE w:val="0"/>
              <w:autoSpaceDN w:val="0"/>
              <w:adjustRightInd w:val="0"/>
              <w:spacing w:before="60" w:after="60"/>
              <w:rPr>
                <w:rFonts w:asciiTheme="minorHAnsi" w:hAnsiTheme="minorHAnsi" w:cs="Calibri"/>
                <w:sz w:val="20"/>
                <w:szCs w:val="20"/>
              </w:rPr>
            </w:pPr>
            <w:hyperlink r:id="rId26" w:tooltip="Hospira Pty Limited" w:history="1">
              <w:proofErr w:type="spellStart"/>
              <w:r w:rsidR="00D97474" w:rsidRPr="00D97474">
                <w:rPr>
                  <w:rFonts w:asciiTheme="minorHAnsi" w:hAnsiTheme="minorHAnsi" w:cs="Calibri"/>
                  <w:sz w:val="20"/>
                  <w:szCs w:val="20"/>
                  <w:shd w:val="clear" w:color="auto" w:fill="FFFFFF"/>
                </w:rPr>
                <w:t>Ferriprox</w:t>
              </w:r>
              <w:proofErr w:type="spellEnd"/>
              <w:r w:rsidR="00D97474" w:rsidRPr="00D97474">
                <w:rPr>
                  <w:rFonts w:asciiTheme="minorHAnsi" w:hAnsiTheme="minorHAnsi" w:cs="Calibri"/>
                  <w:sz w:val="20"/>
                  <w:szCs w:val="20"/>
                </w:rPr>
                <w:t>,</w:t>
              </w:r>
            </w:hyperlink>
            <w:r w:rsidR="00D97474" w:rsidRPr="00D97474">
              <w:rPr>
                <w:rFonts w:asciiTheme="minorHAnsi" w:hAnsiTheme="minorHAnsi" w:cs="Calibri"/>
                <w:sz w:val="20"/>
                <w:szCs w:val="20"/>
              </w:rPr>
              <w:t xml:space="preserve"> Orphan Australia Pty Ltd </w:t>
            </w:r>
          </w:p>
        </w:tc>
      </w:tr>
      <w:tr w:rsidR="00D97474" w:rsidRPr="00D97474" w14:paraId="5ACA08B0" w14:textId="77777777" w:rsidTr="000B00BE">
        <w:trPr>
          <w:trHeight w:val="541"/>
        </w:trPr>
        <w:tc>
          <w:tcPr>
            <w:tcW w:w="1124" w:type="dxa"/>
          </w:tcPr>
          <w:p w14:paraId="657B73C8" w14:textId="77777777" w:rsidR="00D97474" w:rsidRPr="00210928" w:rsidRDefault="00452E08" w:rsidP="00F76431">
            <w:pPr>
              <w:autoSpaceDE w:val="0"/>
              <w:autoSpaceDN w:val="0"/>
              <w:adjustRightInd w:val="0"/>
              <w:spacing w:before="60" w:after="60"/>
              <w:rPr>
                <w:rFonts w:asciiTheme="minorHAnsi" w:hAnsiTheme="minorHAnsi" w:cs="Calibri"/>
                <w:sz w:val="20"/>
                <w:szCs w:val="20"/>
              </w:rPr>
            </w:pPr>
            <w:hyperlink r:id="rId27" w:tooltip="5658t" w:history="1">
              <w:r w:rsidR="00D97474" w:rsidRPr="00210928">
                <w:rPr>
                  <w:rFonts w:asciiTheme="minorHAnsi" w:hAnsiTheme="minorHAnsi" w:cs="Calibri"/>
                  <w:sz w:val="20"/>
                  <w:szCs w:val="20"/>
                  <w:shd w:val="clear" w:color="auto" w:fill="FFFFFF"/>
                </w:rPr>
                <w:t>5658T</w:t>
              </w:r>
            </w:hyperlink>
            <w:r w:rsidR="00D97474" w:rsidRPr="00210928">
              <w:rPr>
                <w:rFonts w:asciiTheme="minorHAnsi" w:hAnsiTheme="minorHAnsi" w:cs="Calibri"/>
                <w:sz w:val="20"/>
                <w:szCs w:val="20"/>
              </w:rPr>
              <w:t xml:space="preserve"> (Public)</w:t>
            </w:r>
          </w:p>
        </w:tc>
        <w:tc>
          <w:tcPr>
            <w:tcW w:w="2386" w:type="dxa"/>
          </w:tcPr>
          <w:p w14:paraId="4C15A555" w14:textId="77777777" w:rsidR="00D97474" w:rsidRPr="00D97474" w:rsidRDefault="00D97474" w:rsidP="00F76431">
            <w:pPr>
              <w:autoSpaceDE w:val="0"/>
              <w:autoSpaceDN w:val="0"/>
              <w:adjustRightInd w:val="0"/>
              <w:spacing w:before="60" w:after="60"/>
              <w:rPr>
                <w:rFonts w:asciiTheme="minorHAnsi" w:hAnsiTheme="minorHAnsi" w:cs="Calibri"/>
                <w:sz w:val="20"/>
                <w:szCs w:val="20"/>
              </w:rPr>
            </w:pPr>
            <w:proofErr w:type="spellStart"/>
            <w:r w:rsidRPr="00D97474">
              <w:rPr>
                <w:rFonts w:asciiTheme="minorHAnsi" w:hAnsiTheme="minorHAnsi" w:cs="Arial"/>
                <w:sz w:val="20"/>
                <w:szCs w:val="20"/>
                <w:shd w:val="clear" w:color="auto" w:fill="FFFFFF"/>
              </w:rPr>
              <w:t>Deferiprone</w:t>
            </w:r>
            <w:proofErr w:type="spellEnd"/>
            <w:r w:rsidRPr="00D97474">
              <w:rPr>
                <w:rFonts w:asciiTheme="minorHAnsi" w:hAnsiTheme="minorHAnsi" w:cs="Arial"/>
                <w:sz w:val="20"/>
                <w:szCs w:val="20"/>
                <w:shd w:val="clear" w:color="auto" w:fill="FFFFFF"/>
              </w:rPr>
              <w:t xml:space="preserve"> 100 mg/mL oral liquid, 250 mL</w:t>
            </w:r>
          </w:p>
        </w:tc>
        <w:tc>
          <w:tcPr>
            <w:tcW w:w="806" w:type="dxa"/>
          </w:tcPr>
          <w:p w14:paraId="75749A5F" w14:textId="77777777" w:rsidR="00D97474" w:rsidRPr="00D97474" w:rsidRDefault="00D97474" w:rsidP="00F76431">
            <w:pPr>
              <w:autoSpaceDE w:val="0"/>
              <w:autoSpaceDN w:val="0"/>
              <w:adjustRightInd w:val="0"/>
              <w:spacing w:before="60" w:after="60"/>
              <w:rPr>
                <w:rFonts w:asciiTheme="minorHAnsi" w:hAnsiTheme="minorHAnsi" w:cs="Calibri"/>
                <w:sz w:val="20"/>
                <w:szCs w:val="20"/>
              </w:rPr>
            </w:pPr>
            <w:r w:rsidRPr="00D97474">
              <w:rPr>
                <w:rFonts w:asciiTheme="minorHAnsi" w:hAnsiTheme="minorHAnsi" w:cs="Arial"/>
                <w:sz w:val="20"/>
                <w:szCs w:val="20"/>
                <w:shd w:val="clear" w:color="auto" w:fill="FFFFFF"/>
              </w:rPr>
              <w:t>5</w:t>
            </w:r>
          </w:p>
        </w:tc>
        <w:tc>
          <w:tcPr>
            <w:tcW w:w="725" w:type="dxa"/>
          </w:tcPr>
          <w:p w14:paraId="15532F51" w14:textId="77777777" w:rsidR="00D97474" w:rsidRPr="00D97474" w:rsidRDefault="00D97474" w:rsidP="00F76431">
            <w:pPr>
              <w:autoSpaceDE w:val="0"/>
              <w:autoSpaceDN w:val="0"/>
              <w:adjustRightInd w:val="0"/>
              <w:spacing w:before="60" w:after="60"/>
              <w:rPr>
                <w:rFonts w:asciiTheme="minorHAnsi" w:hAnsiTheme="minorHAnsi" w:cs="Calibri"/>
                <w:sz w:val="20"/>
                <w:szCs w:val="20"/>
              </w:rPr>
            </w:pPr>
            <w:r w:rsidRPr="00D97474">
              <w:rPr>
                <w:rFonts w:asciiTheme="minorHAnsi" w:hAnsiTheme="minorHAnsi" w:cs="Arial"/>
                <w:sz w:val="20"/>
                <w:szCs w:val="20"/>
                <w:shd w:val="clear" w:color="auto" w:fill="FFFFFF"/>
              </w:rPr>
              <w:t>5</w:t>
            </w:r>
          </w:p>
        </w:tc>
        <w:tc>
          <w:tcPr>
            <w:tcW w:w="1449" w:type="dxa"/>
          </w:tcPr>
          <w:p w14:paraId="334AF332" w14:textId="77777777" w:rsidR="00D97474" w:rsidRPr="00D97474" w:rsidRDefault="00D97474" w:rsidP="00F76431">
            <w:pPr>
              <w:autoSpaceDE w:val="0"/>
              <w:autoSpaceDN w:val="0"/>
              <w:adjustRightInd w:val="0"/>
              <w:spacing w:before="60" w:after="60"/>
              <w:rPr>
                <w:rFonts w:asciiTheme="minorHAnsi" w:hAnsiTheme="minorHAnsi" w:cs="Calibri"/>
                <w:sz w:val="20"/>
                <w:szCs w:val="20"/>
              </w:rPr>
            </w:pPr>
            <w:r w:rsidRPr="00D97474">
              <w:rPr>
                <w:rFonts w:asciiTheme="minorHAnsi" w:hAnsiTheme="minorHAnsi" w:cs="Arial"/>
                <w:sz w:val="20"/>
                <w:szCs w:val="20"/>
                <w:shd w:val="clear" w:color="auto" w:fill="FFFFFF"/>
              </w:rPr>
              <w:t>$1126.40</w:t>
            </w:r>
          </w:p>
        </w:tc>
        <w:tc>
          <w:tcPr>
            <w:tcW w:w="2783" w:type="dxa"/>
          </w:tcPr>
          <w:p w14:paraId="5D60848D" w14:textId="77777777" w:rsidR="00D97474" w:rsidRPr="00D97474" w:rsidRDefault="00452E08" w:rsidP="00F76431">
            <w:pPr>
              <w:autoSpaceDE w:val="0"/>
              <w:autoSpaceDN w:val="0"/>
              <w:adjustRightInd w:val="0"/>
              <w:spacing w:before="60" w:after="60"/>
              <w:rPr>
                <w:rFonts w:asciiTheme="minorHAnsi" w:hAnsiTheme="minorHAnsi" w:cs="Calibri"/>
                <w:sz w:val="20"/>
                <w:szCs w:val="20"/>
              </w:rPr>
            </w:pPr>
            <w:hyperlink r:id="rId28" w:tooltip="Hospira Pty Limited" w:history="1">
              <w:proofErr w:type="spellStart"/>
              <w:r w:rsidR="00D97474" w:rsidRPr="00D97474">
                <w:rPr>
                  <w:rFonts w:asciiTheme="minorHAnsi" w:hAnsiTheme="minorHAnsi" w:cs="Calibri"/>
                  <w:sz w:val="20"/>
                  <w:szCs w:val="20"/>
                  <w:shd w:val="clear" w:color="auto" w:fill="FFFFFF"/>
                </w:rPr>
                <w:t>Ferriprox</w:t>
              </w:r>
              <w:proofErr w:type="spellEnd"/>
              <w:r w:rsidR="00D97474" w:rsidRPr="00D97474">
                <w:rPr>
                  <w:rFonts w:asciiTheme="minorHAnsi" w:hAnsiTheme="minorHAnsi" w:cs="Calibri"/>
                  <w:sz w:val="20"/>
                  <w:szCs w:val="20"/>
                </w:rPr>
                <w:t>,</w:t>
              </w:r>
            </w:hyperlink>
            <w:r w:rsidR="00D97474" w:rsidRPr="00D97474">
              <w:rPr>
                <w:rFonts w:asciiTheme="minorHAnsi" w:hAnsiTheme="minorHAnsi" w:cs="Calibri"/>
                <w:sz w:val="20"/>
                <w:szCs w:val="20"/>
              </w:rPr>
              <w:t xml:space="preserve"> Orphan Australia Pty Ltd</w:t>
            </w:r>
          </w:p>
        </w:tc>
      </w:tr>
      <w:tr w:rsidR="00D97474" w:rsidRPr="00D97474" w14:paraId="7C37BD7E" w14:textId="77777777" w:rsidTr="000B00BE">
        <w:trPr>
          <w:trHeight w:val="541"/>
        </w:trPr>
        <w:tc>
          <w:tcPr>
            <w:tcW w:w="1124" w:type="dxa"/>
          </w:tcPr>
          <w:p w14:paraId="13BC1E42" w14:textId="77777777" w:rsidR="00D97474" w:rsidRPr="00210928" w:rsidRDefault="00452E08" w:rsidP="00F76431">
            <w:pPr>
              <w:autoSpaceDE w:val="0"/>
              <w:autoSpaceDN w:val="0"/>
              <w:adjustRightInd w:val="0"/>
              <w:spacing w:before="60" w:after="60"/>
              <w:rPr>
                <w:rFonts w:asciiTheme="minorHAnsi" w:hAnsiTheme="minorHAnsi" w:cs="Calibri"/>
                <w:sz w:val="20"/>
                <w:szCs w:val="20"/>
              </w:rPr>
            </w:pPr>
            <w:hyperlink r:id="rId29" w:tooltip="6416q" w:history="1">
              <w:r w:rsidR="00D97474" w:rsidRPr="00210928">
                <w:rPr>
                  <w:rFonts w:asciiTheme="minorHAnsi" w:hAnsiTheme="minorHAnsi" w:cs="Calibri"/>
                  <w:sz w:val="20"/>
                  <w:szCs w:val="20"/>
                  <w:shd w:val="clear" w:color="auto" w:fill="FFFFFF"/>
                </w:rPr>
                <w:t>6416Q</w:t>
              </w:r>
            </w:hyperlink>
            <w:r w:rsidR="00D97474" w:rsidRPr="00210928">
              <w:rPr>
                <w:rFonts w:asciiTheme="minorHAnsi" w:hAnsiTheme="minorHAnsi" w:cs="Calibri"/>
                <w:sz w:val="20"/>
                <w:szCs w:val="20"/>
              </w:rPr>
              <w:t xml:space="preserve"> (Private)</w:t>
            </w:r>
          </w:p>
        </w:tc>
        <w:tc>
          <w:tcPr>
            <w:tcW w:w="2386" w:type="dxa"/>
          </w:tcPr>
          <w:p w14:paraId="32E1870B" w14:textId="77777777" w:rsidR="00D97474" w:rsidRPr="00D97474" w:rsidRDefault="00D97474" w:rsidP="00F76431">
            <w:pPr>
              <w:autoSpaceDE w:val="0"/>
              <w:autoSpaceDN w:val="0"/>
              <w:adjustRightInd w:val="0"/>
              <w:spacing w:before="60" w:after="60"/>
              <w:rPr>
                <w:rFonts w:asciiTheme="minorHAnsi" w:hAnsiTheme="minorHAnsi" w:cs="Calibri"/>
                <w:sz w:val="20"/>
                <w:szCs w:val="20"/>
              </w:rPr>
            </w:pPr>
            <w:proofErr w:type="spellStart"/>
            <w:r w:rsidRPr="00D97474">
              <w:rPr>
                <w:rFonts w:asciiTheme="minorHAnsi" w:hAnsiTheme="minorHAnsi" w:cs="Calibri"/>
                <w:sz w:val="20"/>
                <w:szCs w:val="20"/>
                <w:bdr w:val="none" w:sz="0" w:space="0" w:color="auto" w:frame="1"/>
                <w:shd w:val="clear" w:color="auto" w:fill="FFFFFF"/>
              </w:rPr>
              <w:t>Deferiprone</w:t>
            </w:r>
            <w:proofErr w:type="spellEnd"/>
            <w:r w:rsidRPr="00D97474">
              <w:rPr>
                <w:rFonts w:asciiTheme="minorHAnsi" w:hAnsiTheme="minorHAnsi" w:cs="Calibri"/>
                <w:sz w:val="20"/>
                <w:szCs w:val="20"/>
                <w:bdr w:val="none" w:sz="0" w:space="0" w:color="auto" w:frame="1"/>
                <w:shd w:val="clear" w:color="auto" w:fill="FFFFFF"/>
              </w:rPr>
              <w:t xml:space="preserve"> 500 mg tablet, 100</w:t>
            </w:r>
            <w:r w:rsidRPr="00D97474">
              <w:rPr>
                <w:rFonts w:asciiTheme="minorHAnsi" w:hAnsiTheme="minorHAnsi" w:cs="Calibri"/>
                <w:sz w:val="20"/>
                <w:szCs w:val="20"/>
                <w:shd w:val="clear" w:color="auto" w:fill="FFFFFF"/>
              </w:rPr>
              <w:t> </w:t>
            </w:r>
          </w:p>
        </w:tc>
        <w:tc>
          <w:tcPr>
            <w:tcW w:w="806" w:type="dxa"/>
          </w:tcPr>
          <w:p w14:paraId="11068C43" w14:textId="77777777" w:rsidR="00D97474" w:rsidRPr="00D97474" w:rsidRDefault="00D97474" w:rsidP="00F76431">
            <w:pPr>
              <w:autoSpaceDE w:val="0"/>
              <w:autoSpaceDN w:val="0"/>
              <w:adjustRightInd w:val="0"/>
              <w:spacing w:before="60" w:after="60"/>
              <w:rPr>
                <w:rFonts w:asciiTheme="minorHAnsi" w:hAnsiTheme="minorHAnsi" w:cs="Calibri"/>
                <w:sz w:val="20"/>
                <w:szCs w:val="20"/>
              </w:rPr>
            </w:pPr>
            <w:r w:rsidRPr="00D97474">
              <w:rPr>
                <w:rFonts w:asciiTheme="minorHAnsi" w:hAnsiTheme="minorHAnsi" w:cs="Arial"/>
                <w:sz w:val="20"/>
                <w:szCs w:val="20"/>
                <w:shd w:val="clear" w:color="auto" w:fill="FFFFFF"/>
              </w:rPr>
              <w:t>6</w:t>
            </w:r>
          </w:p>
        </w:tc>
        <w:tc>
          <w:tcPr>
            <w:tcW w:w="725" w:type="dxa"/>
          </w:tcPr>
          <w:p w14:paraId="433FA2F5" w14:textId="77777777" w:rsidR="00D97474" w:rsidRPr="00D97474" w:rsidRDefault="00D97474" w:rsidP="00F76431">
            <w:pPr>
              <w:autoSpaceDE w:val="0"/>
              <w:autoSpaceDN w:val="0"/>
              <w:adjustRightInd w:val="0"/>
              <w:spacing w:before="60" w:after="60"/>
              <w:rPr>
                <w:rFonts w:asciiTheme="minorHAnsi" w:hAnsiTheme="minorHAnsi" w:cs="Calibri"/>
                <w:sz w:val="20"/>
                <w:szCs w:val="20"/>
              </w:rPr>
            </w:pPr>
            <w:r w:rsidRPr="00D97474">
              <w:rPr>
                <w:rFonts w:asciiTheme="minorHAnsi" w:hAnsiTheme="minorHAnsi" w:cs="Arial"/>
                <w:sz w:val="20"/>
                <w:szCs w:val="20"/>
                <w:shd w:val="clear" w:color="auto" w:fill="FFFFFF"/>
              </w:rPr>
              <w:t>5</w:t>
            </w:r>
          </w:p>
        </w:tc>
        <w:tc>
          <w:tcPr>
            <w:tcW w:w="1449" w:type="dxa"/>
          </w:tcPr>
          <w:p w14:paraId="7B5B68D1" w14:textId="77777777" w:rsidR="00D97474" w:rsidRPr="00D97474" w:rsidRDefault="00D97474" w:rsidP="00F76431">
            <w:pPr>
              <w:autoSpaceDE w:val="0"/>
              <w:autoSpaceDN w:val="0"/>
              <w:adjustRightInd w:val="0"/>
              <w:spacing w:before="60" w:after="60"/>
              <w:rPr>
                <w:rFonts w:asciiTheme="minorHAnsi" w:hAnsiTheme="minorHAnsi" w:cs="Calibri"/>
                <w:sz w:val="20"/>
                <w:szCs w:val="20"/>
              </w:rPr>
            </w:pPr>
            <w:r w:rsidRPr="00D97474">
              <w:rPr>
                <w:rFonts w:asciiTheme="minorHAnsi" w:hAnsiTheme="minorHAnsi" w:cs="Arial"/>
                <w:sz w:val="20"/>
                <w:szCs w:val="20"/>
                <w:shd w:val="clear" w:color="auto" w:fill="FFFFFF"/>
              </w:rPr>
              <w:t>$2750.01</w:t>
            </w:r>
          </w:p>
        </w:tc>
        <w:tc>
          <w:tcPr>
            <w:tcW w:w="2783" w:type="dxa"/>
          </w:tcPr>
          <w:p w14:paraId="7CD115A1" w14:textId="77777777" w:rsidR="00D97474" w:rsidRPr="00D97474" w:rsidRDefault="00452E08" w:rsidP="00F76431">
            <w:pPr>
              <w:autoSpaceDE w:val="0"/>
              <w:autoSpaceDN w:val="0"/>
              <w:adjustRightInd w:val="0"/>
              <w:spacing w:before="60" w:after="60"/>
              <w:rPr>
                <w:rFonts w:asciiTheme="minorHAnsi" w:hAnsiTheme="minorHAnsi" w:cs="Calibri"/>
                <w:sz w:val="20"/>
                <w:szCs w:val="20"/>
              </w:rPr>
            </w:pPr>
            <w:hyperlink r:id="rId30" w:tooltip="Hospira Pty Limited" w:history="1">
              <w:proofErr w:type="spellStart"/>
              <w:r w:rsidR="00D97474" w:rsidRPr="00D97474">
                <w:rPr>
                  <w:rFonts w:asciiTheme="minorHAnsi" w:hAnsiTheme="minorHAnsi" w:cs="Calibri"/>
                  <w:sz w:val="20"/>
                  <w:szCs w:val="20"/>
                  <w:shd w:val="clear" w:color="auto" w:fill="FFFFFF"/>
                </w:rPr>
                <w:t>Ferriprox</w:t>
              </w:r>
              <w:proofErr w:type="spellEnd"/>
              <w:r w:rsidR="00D97474" w:rsidRPr="00D97474">
                <w:rPr>
                  <w:rFonts w:asciiTheme="minorHAnsi" w:hAnsiTheme="minorHAnsi" w:cs="Calibri"/>
                  <w:sz w:val="20"/>
                  <w:szCs w:val="20"/>
                </w:rPr>
                <w:t>,</w:t>
              </w:r>
            </w:hyperlink>
            <w:r w:rsidR="00D97474" w:rsidRPr="00D97474">
              <w:rPr>
                <w:rFonts w:asciiTheme="minorHAnsi" w:hAnsiTheme="minorHAnsi" w:cs="Calibri"/>
                <w:sz w:val="20"/>
                <w:szCs w:val="20"/>
              </w:rPr>
              <w:t xml:space="preserve"> Orphan Australia Pty Ltd </w:t>
            </w:r>
            <w:hyperlink r:id="rId31" w:tooltip="Hospira Pty Limited" w:history="1"/>
          </w:p>
        </w:tc>
      </w:tr>
      <w:tr w:rsidR="00D97474" w:rsidRPr="00D97474" w14:paraId="4171CE51" w14:textId="77777777" w:rsidTr="000B00BE">
        <w:trPr>
          <w:trHeight w:val="541"/>
        </w:trPr>
        <w:tc>
          <w:tcPr>
            <w:tcW w:w="1124" w:type="dxa"/>
          </w:tcPr>
          <w:p w14:paraId="016D7C4B" w14:textId="77777777" w:rsidR="00D97474" w:rsidRPr="00210928" w:rsidRDefault="00452E08" w:rsidP="00F76431">
            <w:pPr>
              <w:autoSpaceDE w:val="0"/>
              <w:autoSpaceDN w:val="0"/>
              <w:adjustRightInd w:val="0"/>
              <w:spacing w:before="60" w:after="60"/>
              <w:rPr>
                <w:rFonts w:asciiTheme="minorHAnsi" w:hAnsiTheme="minorHAnsi" w:cs="Calibri"/>
                <w:sz w:val="20"/>
                <w:szCs w:val="20"/>
              </w:rPr>
            </w:pPr>
            <w:hyperlink r:id="rId32" w:tooltip="9638g" w:history="1">
              <w:r w:rsidR="00D97474" w:rsidRPr="00210928">
                <w:rPr>
                  <w:rFonts w:asciiTheme="minorHAnsi" w:hAnsiTheme="minorHAnsi" w:cs="Calibri"/>
                  <w:sz w:val="20"/>
                  <w:szCs w:val="20"/>
                  <w:shd w:val="clear" w:color="auto" w:fill="FFFFFF"/>
                </w:rPr>
                <w:t>9638G</w:t>
              </w:r>
            </w:hyperlink>
            <w:r w:rsidR="00D97474" w:rsidRPr="00210928">
              <w:rPr>
                <w:rFonts w:asciiTheme="minorHAnsi" w:hAnsiTheme="minorHAnsi" w:cs="Calibri"/>
                <w:sz w:val="20"/>
                <w:szCs w:val="20"/>
              </w:rPr>
              <w:t xml:space="preserve"> (Private)</w:t>
            </w:r>
          </w:p>
        </w:tc>
        <w:tc>
          <w:tcPr>
            <w:tcW w:w="2386" w:type="dxa"/>
          </w:tcPr>
          <w:p w14:paraId="604603EA" w14:textId="77777777" w:rsidR="00D97474" w:rsidRPr="00D97474" w:rsidRDefault="00D97474" w:rsidP="00F76431">
            <w:pPr>
              <w:autoSpaceDE w:val="0"/>
              <w:autoSpaceDN w:val="0"/>
              <w:adjustRightInd w:val="0"/>
              <w:spacing w:before="60" w:after="60"/>
              <w:rPr>
                <w:rFonts w:asciiTheme="minorHAnsi" w:hAnsiTheme="minorHAnsi" w:cs="Calibri"/>
                <w:sz w:val="20"/>
                <w:szCs w:val="20"/>
              </w:rPr>
            </w:pPr>
            <w:proofErr w:type="spellStart"/>
            <w:r w:rsidRPr="00D97474">
              <w:rPr>
                <w:rFonts w:asciiTheme="minorHAnsi" w:hAnsiTheme="minorHAnsi" w:cs="Arial"/>
                <w:sz w:val="20"/>
                <w:szCs w:val="20"/>
                <w:shd w:val="clear" w:color="auto" w:fill="FFFFFF"/>
              </w:rPr>
              <w:t>Deferiprone</w:t>
            </w:r>
            <w:proofErr w:type="spellEnd"/>
            <w:r w:rsidRPr="00D97474">
              <w:rPr>
                <w:rFonts w:asciiTheme="minorHAnsi" w:hAnsiTheme="minorHAnsi" w:cs="Arial"/>
                <w:sz w:val="20"/>
                <w:szCs w:val="20"/>
                <w:shd w:val="clear" w:color="auto" w:fill="FFFFFF"/>
              </w:rPr>
              <w:t xml:space="preserve"> 100 mg/mL oral liquid, 250 mL</w:t>
            </w:r>
          </w:p>
        </w:tc>
        <w:tc>
          <w:tcPr>
            <w:tcW w:w="806" w:type="dxa"/>
          </w:tcPr>
          <w:p w14:paraId="79110A76" w14:textId="77777777" w:rsidR="00D97474" w:rsidRPr="00D97474" w:rsidRDefault="00D97474" w:rsidP="00F76431">
            <w:pPr>
              <w:autoSpaceDE w:val="0"/>
              <w:autoSpaceDN w:val="0"/>
              <w:adjustRightInd w:val="0"/>
              <w:spacing w:before="60" w:after="60"/>
              <w:rPr>
                <w:rFonts w:asciiTheme="minorHAnsi" w:hAnsiTheme="minorHAnsi" w:cs="Calibri"/>
                <w:sz w:val="20"/>
                <w:szCs w:val="20"/>
              </w:rPr>
            </w:pPr>
            <w:r w:rsidRPr="00D97474">
              <w:rPr>
                <w:rFonts w:asciiTheme="minorHAnsi" w:hAnsiTheme="minorHAnsi" w:cs="Arial"/>
                <w:sz w:val="20"/>
                <w:szCs w:val="20"/>
                <w:shd w:val="clear" w:color="auto" w:fill="FFFFFF"/>
              </w:rPr>
              <w:t>5</w:t>
            </w:r>
          </w:p>
        </w:tc>
        <w:tc>
          <w:tcPr>
            <w:tcW w:w="725" w:type="dxa"/>
          </w:tcPr>
          <w:p w14:paraId="1DCB5019" w14:textId="77777777" w:rsidR="00D97474" w:rsidRPr="00D97474" w:rsidRDefault="00D97474" w:rsidP="00F76431">
            <w:pPr>
              <w:autoSpaceDE w:val="0"/>
              <w:autoSpaceDN w:val="0"/>
              <w:adjustRightInd w:val="0"/>
              <w:spacing w:before="60" w:after="60"/>
              <w:rPr>
                <w:rFonts w:asciiTheme="minorHAnsi" w:hAnsiTheme="minorHAnsi" w:cs="Calibri"/>
                <w:sz w:val="20"/>
                <w:szCs w:val="20"/>
              </w:rPr>
            </w:pPr>
            <w:r w:rsidRPr="00D97474">
              <w:rPr>
                <w:rFonts w:asciiTheme="minorHAnsi" w:hAnsiTheme="minorHAnsi" w:cs="Arial"/>
                <w:sz w:val="20"/>
                <w:szCs w:val="20"/>
                <w:shd w:val="clear" w:color="auto" w:fill="FFFFFF"/>
              </w:rPr>
              <w:t>5</w:t>
            </w:r>
          </w:p>
        </w:tc>
        <w:tc>
          <w:tcPr>
            <w:tcW w:w="1449" w:type="dxa"/>
          </w:tcPr>
          <w:p w14:paraId="1BCC92E5" w14:textId="77777777" w:rsidR="00D97474" w:rsidRPr="00D97474" w:rsidRDefault="00D97474" w:rsidP="00F76431">
            <w:pPr>
              <w:autoSpaceDE w:val="0"/>
              <w:autoSpaceDN w:val="0"/>
              <w:adjustRightInd w:val="0"/>
              <w:spacing w:before="60" w:after="60"/>
              <w:rPr>
                <w:rFonts w:asciiTheme="minorHAnsi" w:hAnsiTheme="minorHAnsi" w:cs="Calibri"/>
                <w:sz w:val="20"/>
                <w:szCs w:val="20"/>
              </w:rPr>
            </w:pPr>
            <w:r w:rsidRPr="00D97474">
              <w:rPr>
                <w:rFonts w:asciiTheme="minorHAnsi" w:hAnsiTheme="minorHAnsi" w:cs="Arial"/>
                <w:sz w:val="20"/>
                <w:szCs w:val="20"/>
                <w:shd w:val="clear" w:color="auto" w:fill="FFFFFF"/>
              </w:rPr>
              <w:t>$1173.03</w:t>
            </w:r>
          </w:p>
        </w:tc>
        <w:tc>
          <w:tcPr>
            <w:tcW w:w="2783" w:type="dxa"/>
          </w:tcPr>
          <w:p w14:paraId="122C1D6E" w14:textId="77777777" w:rsidR="00D97474" w:rsidRPr="00D97474" w:rsidRDefault="00452E08" w:rsidP="00F76431">
            <w:pPr>
              <w:autoSpaceDE w:val="0"/>
              <w:autoSpaceDN w:val="0"/>
              <w:adjustRightInd w:val="0"/>
              <w:spacing w:before="60" w:after="60"/>
              <w:rPr>
                <w:rFonts w:asciiTheme="minorHAnsi" w:hAnsiTheme="minorHAnsi" w:cs="Calibri"/>
                <w:sz w:val="20"/>
                <w:szCs w:val="20"/>
              </w:rPr>
            </w:pPr>
            <w:hyperlink r:id="rId33" w:tooltip="Hospira Pty Limited" w:history="1">
              <w:hyperlink r:id="rId34" w:tooltip="Hospira Pty Limited" w:history="1">
                <w:r w:rsidR="00D97474" w:rsidRPr="00D97474">
                  <w:rPr>
                    <w:rFonts w:asciiTheme="minorHAnsi" w:hAnsiTheme="minorHAnsi" w:cs="Calibri"/>
                    <w:sz w:val="20"/>
                    <w:szCs w:val="20"/>
                    <w:shd w:val="clear" w:color="auto" w:fill="FFFFFF"/>
                  </w:rPr>
                  <w:t>Ferriprox</w:t>
                </w:r>
                <w:r w:rsidR="00D97474" w:rsidRPr="00D97474">
                  <w:rPr>
                    <w:rFonts w:asciiTheme="minorHAnsi" w:hAnsiTheme="minorHAnsi" w:cs="Calibri"/>
                    <w:sz w:val="20"/>
                    <w:szCs w:val="20"/>
                  </w:rPr>
                  <w:t>,</w:t>
                </w:r>
              </w:hyperlink>
              <w:r w:rsidR="00D97474" w:rsidRPr="00D97474">
                <w:rPr>
                  <w:rFonts w:asciiTheme="minorHAnsi" w:hAnsiTheme="minorHAnsi" w:cs="Calibri"/>
                  <w:sz w:val="20"/>
                  <w:szCs w:val="20"/>
                </w:rPr>
                <w:t xml:space="preserve"> Orphan Australia Pty Ltd </w:t>
              </w:r>
            </w:hyperlink>
          </w:p>
        </w:tc>
      </w:tr>
      <w:tr w:rsidR="00D97474" w:rsidRPr="00D97474" w14:paraId="04568609" w14:textId="77777777" w:rsidTr="000B00BE">
        <w:trPr>
          <w:trHeight w:val="541"/>
        </w:trPr>
        <w:tc>
          <w:tcPr>
            <w:tcW w:w="1124" w:type="dxa"/>
          </w:tcPr>
          <w:p w14:paraId="4604CC99" w14:textId="77777777" w:rsidR="00D97474" w:rsidRPr="00210928" w:rsidRDefault="00452E08" w:rsidP="00F76431">
            <w:pPr>
              <w:autoSpaceDE w:val="0"/>
              <w:autoSpaceDN w:val="0"/>
              <w:adjustRightInd w:val="0"/>
              <w:spacing w:before="60" w:after="60"/>
              <w:rPr>
                <w:rFonts w:asciiTheme="minorHAnsi" w:hAnsiTheme="minorHAnsi" w:cs="Calibri"/>
                <w:color w:val="000000"/>
                <w:sz w:val="20"/>
                <w:szCs w:val="20"/>
              </w:rPr>
            </w:pPr>
            <w:hyperlink r:id="rId35" w:tooltip="5654n" w:history="1">
              <w:r w:rsidR="00D97474" w:rsidRPr="00210928">
                <w:rPr>
                  <w:rFonts w:asciiTheme="minorHAnsi" w:hAnsiTheme="minorHAnsi" w:cs="Calibri"/>
                  <w:sz w:val="20"/>
                  <w:szCs w:val="20"/>
                  <w:shd w:val="clear" w:color="auto" w:fill="FFFFFF"/>
                </w:rPr>
                <w:t>5654N</w:t>
              </w:r>
            </w:hyperlink>
            <w:r w:rsidR="00D97474" w:rsidRPr="00210928">
              <w:rPr>
                <w:rFonts w:asciiTheme="minorHAnsi" w:hAnsiTheme="minorHAnsi" w:cs="Calibri"/>
                <w:sz w:val="20"/>
                <w:szCs w:val="20"/>
              </w:rPr>
              <w:t xml:space="preserve"> (Public)</w:t>
            </w:r>
          </w:p>
        </w:tc>
        <w:tc>
          <w:tcPr>
            <w:tcW w:w="2386" w:type="dxa"/>
          </w:tcPr>
          <w:p w14:paraId="4129D4E3" w14:textId="77777777" w:rsidR="00D97474" w:rsidRPr="00D97474" w:rsidRDefault="00D97474" w:rsidP="00F76431">
            <w:pPr>
              <w:autoSpaceDE w:val="0"/>
              <w:autoSpaceDN w:val="0"/>
              <w:adjustRightInd w:val="0"/>
              <w:spacing w:before="60" w:after="60"/>
              <w:rPr>
                <w:rFonts w:asciiTheme="minorHAnsi" w:hAnsiTheme="minorHAnsi" w:cs="Arial"/>
                <w:sz w:val="20"/>
                <w:szCs w:val="20"/>
                <w:shd w:val="clear" w:color="auto" w:fill="FFFFFF"/>
              </w:rPr>
            </w:pPr>
            <w:proofErr w:type="spellStart"/>
            <w:r w:rsidRPr="00D97474">
              <w:rPr>
                <w:rFonts w:asciiTheme="minorHAnsi" w:hAnsiTheme="minorHAnsi" w:cs="Calibri"/>
                <w:sz w:val="20"/>
                <w:szCs w:val="20"/>
                <w:bdr w:val="none" w:sz="0" w:space="0" w:color="auto" w:frame="1"/>
                <w:shd w:val="clear" w:color="auto" w:fill="FFFFFF"/>
              </w:rPr>
              <w:t>Deferasirox</w:t>
            </w:r>
            <w:proofErr w:type="spellEnd"/>
            <w:r w:rsidRPr="00D97474">
              <w:rPr>
                <w:rFonts w:asciiTheme="minorHAnsi" w:hAnsiTheme="minorHAnsi" w:cs="Calibri"/>
                <w:sz w:val="20"/>
                <w:szCs w:val="20"/>
                <w:bdr w:val="none" w:sz="0" w:space="0" w:color="auto" w:frame="1"/>
                <w:shd w:val="clear" w:color="auto" w:fill="FFFFFF"/>
              </w:rPr>
              <w:t xml:space="preserve"> 125 mg tablet: dispersible, 28</w:t>
            </w:r>
            <w:r w:rsidRPr="00D97474">
              <w:rPr>
                <w:rFonts w:asciiTheme="minorHAnsi" w:hAnsiTheme="minorHAnsi" w:cs="Calibri"/>
                <w:sz w:val="20"/>
                <w:szCs w:val="20"/>
                <w:shd w:val="clear" w:color="auto" w:fill="FFFFFF"/>
              </w:rPr>
              <w:t> </w:t>
            </w:r>
          </w:p>
        </w:tc>
        <w:tc>
          <w:tcPr>
            <w:tcW w:w="806" w:type="dxa"/>
          </w:tcPr>
          <w:p w14:paraId="7CD8D0FE" w14:textId="77777777" w:rsidR="00D97474" w:rsidRPr="00D97474" w:rsidRDefault="00D97474" w:rsidP="00F76431">
            <w:pPr>
              <w:autoSpaceDE w:val="0"/>
              <w:autoSpaceDN w:val="0"/>
              <w:adjustRightInd w:val="0"/>
              <w:spacing w:before="60" w:after="60"/>
              <w:rPr>
                <w:rFonts w:asciiTheme="minorHAnsi" w:hAnsiTheme="minorHAnsi" w:cs="Arial"/>
                <w:sz w:val="20"/>
                <w:szCs w:val="20"/>
                <w:shd w:val="clear" w:color="auto" w:fill="FFFFFF"/>
              </w:rPr>
            </w:pPr>
            <w:r w:rsidRPr="00D97474">
              <w:rPr>
                <w:rFonts w:asciiTheme="minorHAnsi" w:hAnsiTheme="minorHAnsi" w:cs="Arial"/>
                <w:sz w:val="20"/>
                <w:szCs w:val="20"/>
                <w:shd w:val="clear" w:color="auto" w:fill="FFFFFF"/>
              </w:rPr>
              <w:t>6</w:t>
            </w:r>
          </w:p>
        </w:tc>
        <w:tc>
          <w:tcPr>
            <w:tcW w:w="725" w:type="dxa"/>
          </w:tcPr>
          <w:p w14:paraId="24D699E2" w14:textId="77777777" w:rsidR="00D97474" w:rsidRPr="00D97474" w:rsidRDefault="00D97474" w:rsidP="00F76431">
            <w:pPr>
              <w:autoSpaceDE w:val="0"/>
              <w:autoSpaceDN w:val="0"/>
              <w:adjustRightInd w:val="0"/>
              <w:spacing w:before="60" w:after="60"/>
              <w:rPr>
                <w:rFonts w:asciiTheme="minorHAnsi" w:hAnsiTheme="minorHAnsi" w:cs="Arial"/>
                <w:sz w:val="20"/>
                <w:szCs w:val="20"/>
                <w:shd w:val="clear" w:color="auto" w:fill="FFFFFF"/>
              </w:rPr>
            </w:pPr>
            <w:r w:rsidRPr="00D97474">
              <w:rPr>
                <w:rFonts w:asciiTheme="minorHAnsi" w:hAnsiTheme="minorHAnsi" w:cs="Arial"/>
                <w:sz w:val="20"/>
                <w:szCs w:val="20"/>
                <w:shd w:val="clear" w:color="auto" w:fill="FFFFFF"/>
              </w:rPr>
              <w:t>5</w:t>
            </w:r>
          </w:p>
        </w:tc>
        <w:tc>
          <w:tcPr>
            <w:tcW w:w="1449" w:type="dxa"/>
          </w:tcPr>
          <w:p w14:paraId="57DA4572" w14:textId="77777777" w:rsidR="00D97474" w:rsidRPr="00D97474" w:rsidRDefault="00D97474" w:rsidP="00F76431">
            <w:pPr>
              <w:autoSpaceDE w:val="0"/>
              <w:autoSpaceDN w:val="0"/>
              <w:adjustRightInd w:val="0"/>
              <w:spacing w:before="60" w:after="60"/>
              <w:rPr>
                <w:rFonts w:asciiTheme="minorHAnsi" w:hAnsiTheme="minorHAnsi" w:cs="Arial"/>
                <w:sz w:val="20"/>
                <w:szCs w:val="20"/>
                <w:shd w:val="clear" w:color="auto" w:fill="FFFFFF"/>
              </w:rPr>
            </w:pPr>
            <w:r w:rsidRPr="00D97474">
              <w:rPr>
                <w:rFonts w:asciiTheme="minorHAnsi" w:hAnsiTheme="minorHAnsi" w:cs="Arial"/>
                <w:sz w:val="20"/>
                <w:szCs w:val="20"/>
                <w:shd w:val="clear" w:color="auto" w:fill="FFFFFF"/>
              </w:rPr>
              <w:t>$1401.48</w:t>
            </w:r>
          </w:p>
        </w:tc>
        <w:tc>
          <w:tcPr>
            <w:tcW w:w="2783" w:type="dxa"/>
          </w:tcPr>
          <w:p w14:paraId="6BA71827" w14:textId="77777777" w:rsidR="00D97474" w:rsidRPr="00D97474" w:rsidRDefault="00452E08" w:rsidP="00F76431">
            <w:pPr>
              <w:autoSpaceDE w:val="0"/>
              <w:autoSpaceDN w:val="0"/>
              <w:adjustRightInd w:val="0"/>
              <w:spacing w:before="60" w:after="60"/>
              <w:rPr>
                <w:rFonts w:asciiTheme="minorHAnsi" w:hAnsiTheme="minorHAnsi" w:cs="Calibri"/>
                <w:color w:val="000000"/>
                <w:sz w:val="20"/>
                <w:szCs w:val="20"/>
              </w:rPr>
            </w:pPr>
            <w:hyperlink r:id="rId36" w:tooltip="Hospira Pty Limited" w:history="1">
              <w:proofErr w:type="spellStart"/>
              <w:r w:rsidR="00D97474" w:rsidRPr="00D97474">
                <w:rPr>
                  <w:rFonts w:asciiTheme="minorHAnsi" w:hAnsiTheme="minorHAnsi" w:cs="Calibri"/>
                  <w:sz w:val="20"/>
                  <w:szCs w:val="20"/>
                  <w:shd w:val="clear" w:color="auto" w:fill="FFFFFF"/>
                </w:rPr>
                <w:t>Exjade</w:t>
              </w:r>
              <w:proofErr w:type="spellEnd"/>
              <w:r w:rsidR="00D97474" w:rsidRPr="00D97474">
                <w:rPr>
                  <w:rFonts w:asciiTheme="minorHAnsi" w:hAnsiTheme="minorHAnsi" w:cs="Calibri"/>
                  <w:sz w:val="20"/>
                  <w:szCs w:val="20"/>
                </w:rPr>
                <w:t>,</w:t>
              </w:r>
            </w:hyperlink>
            <w:r w:rsidR="00D97474" w:rsidRPr="00D97474">
              <w:rPr>
                <w:rFonts w:asciiTheme="minorHAnsi" w:hAnsiTheme="minorHAnsi" w:cs="Calibri"/>
                <w:sz w:val="20"/>
                <w:szCs w:val="20"/>
              </w:rPr>
              <w:t xml:space="preserve"> Novartis</w:t>
            </w:r>
          </w:p>
        </w:tc>
      </w:tr>
      <w:tr w:rsidR="00D97474" w:rsidRPr="00D97474" w14:paraId="56B8DEF7" w14:textId="77777777" w:rsidTr="000B00BE">
        <w:trPr>
          <w:trHeight w:val="541"/>
        </w:trPr>
        <w:tc>
          <w:tcPr>
            <w:tcW w:w="1124" w:type="dxa"/>
          </w:tcPr>
          <w:p w14:paraId="0660B01C" w14:textId="77777777" w:rsidR="00D97474" w:rsidRPr="00210928" w:rsidRDefault="00452E08" w:rsidP="00F76431">
            <w:pPr>
              <w:autoSpaceDE w:val="0"/>
              <w:autoSpaceDN w:val="0"/>
              <w:adjustRightInd w:val="0"/>
              <w:spacing w:before="60" w:after="60"/>
              <w:rPr>
                <w:rFonts w:asciiTheme="minorHAnsi" w:hAnsiTheme="minorHAnsi" w:cs="Calibri"/>
                <w:color w:val="000000"/>
                <w:sz w:val="20"/>
                <w:szCs w:val="20"/>
              </w:rPr>
            </w:pPr>
            <w:hyperlink r:id="rId37" w:tooltip="5655p" w:history="1">
              <w:r w:rsidR="00D97474" w:rsidRPr="00210928">
                <w:rPr>
                  <w:rFonts w:asciiTheme="minorHAnsi" w:hAnsiTheme="minorHAnsi" w:cs="Calibri"/>
                  <w:sz w:val="20"/>
                  <w:szCs w:val="20"/>
                  <w:shd w:val="clear" w:color="auto" w:fill="FFFFFF"/>
                </w:rPr>
                <w:t>5655P</w:t>
              </w:r>
            </w:hyperlink>
            <w:r w:rsidR="00D97474" w:rsidRPr="00210928">
              <w:rPr>
                <w:rFonts w:asciiTheme="minorHAnsi" w:hAnsiTheme="minorHAnsi" w:cs="Calibri"/>
                <w:sz w:val="20"/>
                <w:szCs w:val="20"/>
              </w:rPr>
              <w:t xml:space="preserve"> (Public)</w:t>
            </w:r>
          </w:p>
        </w:tc>
        <w:tc>
          <w:tcPr>
            <w:tcW w:w="2386" w:type="dxa"/>
          </w:tcPr>
          <w:p w14:paraId="4650D56C" w14:textId="77777777" w:rsidR="00D97474" w:rsidRPr="00D97474" w:rsidRDefault="00D97474" w:rsidP="00F76431">
            <w:pPr>
              <w:autoSpaceDE w:val="0"/>
              <w:autoSpaceDN w:val="0"/>
              <w:adjustRightInd w:val="0"/>
              <w:spacing w:before="60" w:after="60"/>
              <w:rPr>
                <w:rFonts w:asciiTheme="minorHAnsi" w:hAnsiTheme="minorHAnsi" w:cs="Arial"/>
                <w:sz w:val="20"/>
                <w:szCs w:val="20"/>
                <w:shd w:val="clear" w:color="auto" w:fill="FFFFFF"/>
              </w:rPr>
            </w:pPr>
            <w:proofErr w:type="spellStart"/>
            <w:r w:rsidRPr="00D97474">
              <w:rPr>
                <w:rFonts w:asciiTheme="minorHAnsi" w:hAnsiTheme="minorHAnsi" w:cs="Arial"/>
                <w:sz w:val="20"/>
                <w:szCs w:val="20"/>
                <w:shd w:val="clear" w:color="auto" w:fill="FFFFFF"/>
              </w:rPr>
              <w:t>Deferasirox</w:t>
            </w:r>
            <w:proofErr w:type="spellEnd"/>
            <w:r w:rsidRPr="00D97474">
              <w:rPr>
                <w:rFonts w:asciiTheme="minorHAnsi" w:hAnsiTheme="minorHAnsi" w:cs="Arial"/>
                <w:sz w:val="20"/>
                <w:szCs w:val="20"/>
                <w:shd w:val="clear" w:color="auto" w:fill="FFFFFF"/>
              </w:rPr>
              <w:t xml:space="preserve"> 250 mg tablet: dispersible, 28</w:t>
            </w:r>
          </w:p>
        </w:tc>
        <w:tc>
          <w:tcPr>
            <w:tcW w:w="806" w:type="dxa"/>
          </w:tcPr>
          <w:p w14:paraId="2618735E" w14:textId="77777777" w:rsidR="00D97474" w:rsidRPr="00D97474" w:rsidRDefault="00D97474" w:rsidP="00F76431">
            <w:pPr>
              <w:autoSpaceDE w:val="0"/>
              <w:autoSpaceDN w:val="0"/>
              <w:adjustRightInd w:val="0"/>
              <w:spacing w:before="60" w:after="60"/>
              <w:rPr>
                <w:rFonts w:asciiTheme="minorHAnsi" w:hAnsiTheme="minorHAnsi" w:cs="Arial"/>
                <w:sz w:val="20"/>
                <w:szCs w:val="20"/>
                <w:shd w:val="clear" w:color="auto" w:fill="FFFFFF"/>
              </w:rPr>
            </w:pPr>
            <w:r w:rsidRPr="00D97474">
              <w:rPr>
                <w:rFonts w:asciiTheme="minorHAnsi" w:hAnsiTheme="minorHAnsi" w:cs="Arial"/>
                <w:sz w:val="20"/>
                <w:szCs w:val="20"/>
                <w:shd w:val="clear" w:color="auto" w:fill="FFFFFF"/>
              </w:rPr>
              <w:t>6</w:t>
            </w:r>
          </w:p>
        </w:tc>
        <w:tc>
          <w:tcPr>
            <w:tcW w:w="725" w:type="dxa"/>
          </w:tcPr>
          <w:p w14:paraId="130E9C8A" w14:textId="77777777" w:rsidR="00D97474" w:rsidRPr="00D97474" w:rsidRDefault="00D97474" w:rsidP="00F76431">
            <w:pPr>
              <w:autoSpaceDE w:val="0"/>
              <w:autoSpaceDN w:val="0"/>
              <w:adjustRightInd w:val="0"/>
              <w:spacing w:before="60" w:after="60"/>
              <w:rPr>
                <w:rFonts w:asciiTheme="minorHAnsi" w:hAnsiTheme="minorHAnsi" w:cs="Arial"/>
                <w:sz w:val="20"/>
                <w:szCs w:val="20"/>
                <w:shd w:val="clear" w:color="auto" w:fill="FFFFFF"/>
              </w:rPr>
            </w:pPr>
            <w:r w:rsidRPr="00D97474">
              <w:rPr>
                <w:rFonts w:asciiTheme="minorHAnsi" w:hAnsiTheme="minorHAnsi" w:cs="Arial"/>
                <w:sz w:val="20"/>
                <w:szCs w:val="20"/>
                <w:shd w:val="clear" w:color="auto" w:fill="FFFFFF"/>
              </w:rPr>
              <w:t>5</w:t>
            </w:r>
          </w:p>
        </w:tc>
        <w:tc>
          <w:tcPr>
            <w:tcW w:w="1449" w:type="dxa"/>
          </w:tcPr>
          <w:p w14:paraId="3298273C" w14:textId="77777777" w:rsidR="00D97474" w:rsidRPr="00D97474" w:rsidRDefault="00D97474" w:rsidP="00F76431">
            <w:pPr>
              <w:autoSpaceDE w:val="0"/>
              <w:autoSpaceDN w:val="0"/>
              <w:adjustRightInd w:val="0"/>
              <w:spacing w:before="60" w:after="60"/>
              <w:rPr>
                <w:rFonts w:asciiTheme="minorHAnsi" w:hAnsiTheme="minorHAnsi" w:cs="Arial"/>
                <w:sz w:val="20"/>
                <w:szCs w:val="20"/>
                <w:shd w:val="clear" w:color="auto" w:fill="FFFFFF"/>
              </w:rPr>
            </w:pPr>
            <w:r w:rsidRPr="00D97474">
              <w:rPr>
                <w:rFonts w:asciiTheme="minorHAnsi" w:hAnsiTheme="minorHAnsi" w:cs="Arial"/>
                <w:sz w:val="20"/>
                <w:szCs w:val="20"/>
                <w:shd w:val="clear" w:color="auto" w:fill="FFFFFF"/>
              </w:rPr>
              <w:t>$2802.90</w:t>
            </w:r>
          </w:p>
        </w:tc>
        <w:tc>
          <w:tcPr>
            <w:tcW w:w="2783" w:type="dxa"/>
          </w:tcPr>
          <w:p w14:paraId="1225FF1E" w14:textId="77777777" w:rsidR="00D97474" w:rsidRPr="00D97474" w:rsidRDefault="00452E08" w:rsidP="00F76431">
            <w:pPr>
              <w:autoSpaceDE w:val="0"/>
              <w:autoSpaceDN w:val="0"/>
              <w:adjustRightInd w:val="0"/>
              <w:spacing w:before="60" w:after="60"/>
              <w:rPr>
                <w:rFonts w:asciiTheme="minorHAnsi" w:hAnsiTheme="minorHAnsi" w:cs="Calibri"/>
                <w:color w:val="000000"/>
                <w:sz w:val="20"/>
                <w:szCs w:val="20"/>
              </w:rPr>
            </w:pPr>
            <w:hyperlink r:id="rId38" w:tooltip="Hospira Pty Limited" w:history="1">
              <w:proofErr w:type="spellStart"/>
              <w:r w:rsidR="00D97474" w:rsidRPr="00D97474">
                <w:rPr>
                  <w:rFonts w:asciiTheme="minorHAnsi" w:hAnsiTheme="minorHAnsi" w:cs="Calibri"/>
                  <w:sz w:val="20"/>
                  <w:szCs w:val="20"/>
                  <w:shd w:val="clear" w:color="auto" w:fill="FFFFFF"/>
                </w:rPr>
                <w:t>Exjade</w:t>
              </w:r>
              <w:proofErr w:type="spellEnd"/>
              <w:r w:rsidR="00D97474" w:rsidRPr="00D97474">
                <w:rPr>
                  <w:rFonts w:asciiTheme="minorHAnsi" w:hAnsiTheme="minorHAnsi" w:cs="Calibri"/>
                  <w:sz w:val="20"/>
                  <w:szCs w:val="20"/>
                </w:rPr>
                <w:t>,</w:t>
              </w:r>
            </w:hyperlink>
            <w:r w:rsidR="00D97474" w:rsidRPr="00D97474">
              <w:rPr>
                <w:rFonts w:asciiTheme="minorHAnsi" w:hAnsiTheme="minorHAnsi" w:cs="Calibri"/>
                <w:sz w:val="20"/>
                <w:szCs w:val="20"/>
              </w:rPr>
              <w:t xml:space="preserve"> Novartis</w:t>
            </w:r>
          </w:p>
        </w:tc>
      </w:tr>
      <w:tr w:rsidR="00D97474" w:rsidRPr="00D97474" w14:paraId="07120E47" w14:textId="77777777" w:rsidTr="000B00BE">
        <w:trPr>
          <w:trHeight w:val="541"/>
        </w:trPr>
        <w:tc>
          <w:tcPr>
            <w:tcW w:w="1124" w:type="dxa"/>
          </w:tcPr>
          <w:p w14:paraId="0D4E84FF" w14:textId="77777777" w:rsidR="00D97474" w:rsidRPr="00210928" w:rsidRDefault="00452E08" w:rsidP="00F76431">
            <w:pPr>
              <w:autoSpaceDE w:val="0"/>
              <w:autoSpaceDN w:val="0"/>
              <w:adjustRightInd w:val="0"/>
              <w:spacing w:before="60" w:after="60"/>
              <w:rPr>
                <w:rFonts w:asciiTheme="minorHAnsi" w:hAnsiTheme="minorHAnsi" w:cs="Calibri"/>
                <w:color w:val="000000"/>
                <w:sz w:val="20"/>
                <w:szCs w:val="20"/>
              </w:rPr>
            </w:pPr>
            <w:hyperlink r:id="rId39" w:tooltip="5656q" w:history="1">
              <w:r w:rsidR="00D97474" w:rsidRPr="00210928">
                <w:rPr>
                  <w:rFonts w:asciiTheme="minorHAnsi" w:hAnsiTheme="minorHAnsi" w:cs="Calibri"/>
                  <w:sz w:val="20"/>
                  <w:szCs w:val="20"/>
                  <w:shd w:val="clear" w:color="auto" w:fill="FFFFFF"/>
                </w:rPr>
                <w:t>5656Q</w:t>
              </w:r>
            </w:hyperlink>
            <w:r w:rsidR="00D97474" w:rsidRPr="00210928">
              <w:rPr>
                <w:rFonts w:asciiTheme="minorHAnsi" w:hAnsiTheme="minorHAnsi" w:cs="Calibri"/>
                <w:sz w:val="20"/>
                <w:szCs w:val="20"/>
              </w:rPr>
              <w:t xml:space="preserve"> (Public)</w:t>
            </w:r>
          </w:p>
        </w:tc>
        <w:tc>
          <w:tcPr>
            <w:tcW w:w="2386" w:type="dxa"/>
          </w:tcPr>
          <w:p w14:paraId="1850E742" w14:textId="77777777" w:rsidR="00D97474" w:rsidRPr="00D97474" w:rsidRDefault="00D97474" w:rsidP="00F76431">
            <w:pPr>
              <w:autoSpaceDE w:val="0"/>
              <w:autoSpaceDN w:val="0"/>
              <w:adjustRightInd w:val="0"/>
              <w:spacing w:before="60" w:after="60"/>
              <w:rPr>
                <w:rFonts w:asciiTheme="minorHAnsi" w:hAnsiTheme="minorHAnsi" w:cs="Arial"/>
                <w:sz w:val="20"/>
                <w:szCs w:val="20"/>
                <w:shd w:val="clear" w:color="auto" w:fill="FFFFFF"/>
              </w:rPr>
            </w:pPr>
            <w:proofErr w:type="spellStart"/>
            <w:r w:rsidRPr="00D97474">
              <w:rPr>
                <w:rFonts w:asciiTheme="minorHAnsi" w:hAnsiTheme="minorHAnsi" w:cs="Arial"/>
                <w:sz w:val="20"/>
                <w:szCs w:val="20"/>
                <w:shd w:val="clear" w:color="auto" w:fill="FFFFFF"/>
              </w:rPr>
              <w:t>Deferasirox</w:t>
            </w:r>
            <w:proofErr w:type="spellEnd"/>
            <w:r w:rsidRPr="00D97474">
              <w:rPr>
                <w:rFonts w:asciiTheme="minorHAnsi" w:hAnsiTheme="minorHAnsi" w:cs="Arial"/>
                <w:sz w:val="20"/>
                <w:szCs w:val="20"/>
                <w:shd w:val="clear" w:color="auto" w:fill="FFFFFF"/>
              </w:rPr>
              <w:t xml:space="preserve"> 500 mg tablet: dispersible, 28</w:t>
            </w:r>
          </w:p>
        </w:tc>
        <w:tc>
          <w:tcPr>
            <w:tcW w:w="806" w:type="dxa"/>
          </w:tcPr>
          <w:p w14:paraId="72C4806D" w14:textId="77777777" w:rsidR="00D97474" w:rsidRPr="00D97474" w:rsidRDefault="00D97474" w:rsidP="00F76431">
            <w:pPr>
              <w:autoSpaceDE w:val="0"/>
              <w:autoSpaceDN w:val="0"/>
              <w:adjustRightInd w:val="0"/>
              <w:spacing w:before="60" w:after="60"/>
              <w:rPr>
                <w:rFonts w:asciiTheme="minorHAnsi" w:hAnsiTheme="minorHAnsi" w:cs="Arial"/>
                <w:sz w:val="20"/>
                <w:szCs w:val="20"/>
                <w:shd w:val="clear" w:color="auto" w:fill="FFFFFF"/>
              </w:rPr>
            </w:pPr>
            <w:r w:rsidRPr="00D97474">
              <w:rPr>
                <w:rFonts w:asciiTheme="minorHAnsi" w:hAnsiTheme="minorHAnsi" w:cs="Arial"/>
                <w:sz w:val="20"/>
                <w:szCs w:val="20"/>
                <w:shd w:val="clear" w:color="auto" w:fill="FFFFFF"/>
              </w:rPr>
              <w:t>6</w:t>
            </w:r>
          </w:p>
        </w:tc>
        <w:tc>
          <w:tcPr>
            <w:tcW w:w="725" w:type="dxa"/>
          </w:tcPr>
          <w:p w14:paraId="777FD14D" w14:textId="77777777" w:rsidR="00D97474" w:rsidRPr="00D97474" w:rsidRDefault="00D97474" w:rsidP="00F76431">
            <w:pPr>
              <w:autoSpaceDE w:val="0"/>
              <w:autoSpaceDN w:val="0"/>
              <w:adjustRightInd w:val="0"/>
              <w:spacing w:before="60" w:after="60"/>
              <w:rPr>
                <w:rFonts w:asciiTheme="minorHAnsi" w:hAnsiTheme="minorHAnsi" w:cs="Arial"/>
                <w:sz w:val="20"/>
                <w:szCs w:val="20"/>
                <w:shd w:val="clear" w:color="auto" w:fill="FFFFFF"/>
              </w:rPr>
            </w:pPr>
            <w:r w:rsidRPr="00D97474">
              <w:rPr>
                <w:rFonts w:asciiTheme="minorHAnsi" w:hAnsiTheme="minorHAnsi" w:cs="Arial"/>
                <w:sz w:val="20"/>
                <w:szCs w:val="20"/>
                <w:shd w:val="clear" w:color="auto" w:fill="FFFFFF"/>
              </w:rPr>
              <w:t>5</w:t>
            </w:r>
          </w:p>
        </w:tc>
        <w:tc>
          <w:tcPr>
            <w:tcW w:w="1449" w:type="dxa"/>
          </w:tcPr>
          <w:p w14:paraId="7D8D72FA" w14:textId="77777777" w:rsidR="00D97474" w:rsidRPr="00D97474" w:rsidRDefault="00D97474" w:rsidP="00F76431">
            <w:pPr>
              <w:autoSpaceDE w:val="0"/>
              <w:autoSpaceDN w:val="0"/>
              <w:adjustRightInd w:val="0"/>
              <w:spacing w:before="60" w:after="60"/>
              <w:rPr>
                <w:rFonts w:asciiTheme="minorHAnsi" w:hAnsiTheme="minorHAnsi" w:cs="Arial"/>
                <w:sz w:val="20"/>
                <w:szCs w:val="20"/>
                <w:shd w:val="clear" w:color="auto" w:fill="FFFFFF"/>
              </w:rPr>
            </w:pPr>
            <w:r w:rsidRPr="00D97474">
              <w:rPr>
                <w:rFonts w:asciiTheme="minorHAnsi" w:hAnsiTheme="minorHAnsi" w:cs="Arial"/>
                <w:sz w:val="20"/>
                <w:szCs w:val="20"/>
                <w:shd w:val="clear" w:color="auto" w:fill="FFFFFF"/>
              </w:rPr>
              <w:t>$5605.80</w:t>
            </w:r>
          </w:p>
        </w:tc>
        <w:tc>
          <w:tcPr>
            <w:tcW w:w="2783" w:type="dxa"/>
          </w:tcPr>
          <w:p w14:paraId="3680D256" w14:textId="77777777" w:rsidR="00D97474" w:rsidRPr="00D97474" w:rsidRDefault="00452E08" w:rsidP="00F76431">
            <w:pPr>
              <w:autoSpaceDE w:val="0"/>
              <w:autoSpaceDN w:val="0"/>
              <w:adjustRightInd w:val="0"/>
              <w:spacing w:before="60" w:after="60"/>
              <w:rPr>
                <w:rFonts w:asciiTheme="minorHAnsi" w:hAnsiTheme="minorHAnsi" w:cs="Calibri"/>
                <w:color w:val="000000"/>
                <w:sz w:val="20"/>
                <w:szCs w:val="20"/>
              </w:rPr>
            </w:pPr>
            <w:hyperlink r:id="rId40" w:tooltip="Hospira Pty Limited" w:history="1">
              <w:proofErr w:type="spellStart"/>
              <w:r w:rsidR="00D97474" w:rsidRPr="00D97474">
                <w:rPr>
                  <w:rFonts w:asciiTheme="minorHAnsi" w:hAnsiTheme="minorHAnsi" w:cs="Calibri"/>
                  <w:sz w:val="20"/>
                  <w:szCs w:val="20"/>
                  <w:shd w:val="clear" w:color="auto" w:fill="FFFFFF"/>
                </w:rPr>
                <w:t>Exjade</w:t>
              </w:r>
              <w:proofErr w:type="spellEnd"/>
              <w:r w:rsidR="00D97474" w:rsidRPr="00D97474">
                <w:rPr>
                  <w:rFonts w:asciiTheme="minorHAnsi" w:hAnsiTheme="minorHAnsi" w:cs="Calibri"/>
                  <w:sz w:val="20"/>
                  <w:szCs w:val="20"/>
                </w:rPr>
                <w:t>,</w:t>
              </w:r>
            </w:hyperlink>
            <w:r w:rsidR="00D97474" w:rsidRPr="00D97474">
              <w:rPr>
                <w:rFonts w:asciiTheme="minorHAnsi" w:hAnsiTheme="minorHAnsi" w:cs="Calibri"/>
                <w:sz w:val="20"/>
                <w:szCs w:val="20"/>
              </w:rPr>
              <w:t xml:space="preserve"> Novartis</w:t>
            </w:r>
          </w:p>
        </w:tc>
      </w:tr>
      <w:tr w:rsidR="00D97474" w:rsidRPr="00D97474" w14:paraId="0BFB15D3" w14:textId="77777777" w:rsidTr="000B00BE">
        <w:trPr>
          <w:trHeight w:val="541"/>
        </w:trPr>
        <w:tc>
          <w:tcPr>
            <w:tcW w:w="1124" w:type="dxa"/>
          </w:tcPr>
          <w:p w14:paraId="5ABA75E2" w14:textId="77777777" w:rsidR="00D97474" w:rsidRPr="00210928" w:rsidRDefault="00452E08" w:rsidP="00F76431">
            <w:pPr>
              <w:autoSpaceDE w:val="0"/>
              <w:autoSpaceDN w:val="0"/>
              <w:adjustRightInd w:val="0"/>
              <w:spacing w:before="60" w:after="60"/>
              <w:rPr>
                <w:rFonts w:asciiTheme="minorHAnsi" w:hAnsiTheme="minorHAnsi" w:cs="Calibri"/>
                <w:color w:val="000000"/>
                <w:sz w:val="20"/>
                <w:szCs w:val="20"/>
              </w:rPr>
            </w:pPr>
            <w:hyperlink r:id="rId41" w:tooltip="6499c" w:history="1">
              <w:r w:rsidR="00D97474" w:rsidRPr="00210928">
                <w:rPr>
                  <w:rFonts w:asciiTheme="minorHAnsi" w:hAnsiTheme="minorHAnsi" w:cs="Calibri"/>
                  <w:sz w:val="20"/>
                  <w:szCs w:val="20"/>
                  <w:shd w:val="clear" w:color="auto" w:fill="FFFFFF"/>
                </w:rPr>
                <w:t>6499C</w:t>
              </w:r>
            </w:hyperlink>
            <w:r w:rsidR="00D97474" w:rsidRPr="00210928">
              <w:rPr>
                <w:rFonts w:asciiTheme="minorHAnsi" w:hAnsiTheme="minorHAnsi" w:cs="Calibri"/>
                <w:sz w:val="20"/>
                <w:szCs w:val="20"/>
              </w:rPr>
              <w:t xml:space="preserve"> (Private)</w:t>
            </w:r>
          </w:p>
        </w:tc>
        <w:tc>
          <w:tcPr>
            <w:tcW w:w="2386" w:type="dxa"/>
          </w:tcPr>
          <w:p w14:paraId="3E4952DE" w14:textId="77777777" w:rsidR="00D97474" w:rsidRPr="00D97474" w:rsidRDefault="00D97474" w:rsidP="00F76431">
            <w:pPr>
              <w:autoSpaceDE w:val="0"/>
              <w:autoSpaceDN w:val="0"/>
              <w:adjustRightInd w:val="0"/>
              <w:spacing w:before="60" w:after="60"/>
              <w:rPr>
                <w:rFonts w:asciiTheme="minorHAnsi" w:hAnsiTheme="minorHAnsi" w:cs="Arial"/>
                <w:sz w:val="20"/>
                <w:szCs w:val="20"/>
                <w:shd w:val="clear" w:color="auto" w:fill="FFFFFF"/>
              </w:rPr>
            </w:pPr>
            <w:proofErr w:type="spellStart"/>
            <w:r w:rsidRPr="00D97474">
              <w:rPr>
                <w:rFonts w:asciiTheme="minorHAnsi" w:hAnsiTheme="minorHAnsi" w:cs="Arial"/>
                <w:sz w:val="20"/>
                <w:szCs w:val="20"/>
                <w:shd w:val="clear" w:color="auto" w:fill="FFFFFF"/>
              </w:rPr>
              <w:t>Deferasirox</w:t>
            </w:r>
            <w:proofErr w:type="spellEnd"/>
            <w:r w:rsidRPr="00D97474">
              <w:rPr>
                <w:rFonts w:asciiTheme="minorHAnsi" w:hAnsiTheme="minorHAnsi" w:cs="Arial"/>
                <w:sz w:val="20"/>
                <w:szCs w:val="20"/>
                <w:shd w:val="clear" w:color="auto" w:fill="FFFFFF"/>
              </w:rPr>
              <w:t xml:space="preserve"> 125 mg tablet: dispersible, 28</w:t>
            </w:r>
          </w:p>
        </w:tc>
        <w:tc>
          <w:tcPr>
            <w:tcW w:w="806" w:type="dxa"/>
          </w:tcPr>
          <w:p w14:paraId="1DFCDA7A" w14:textId="77777777" w:rsidR="00D97474" w:rsidRPr="00D97474" w:rsidRDefault="00D97474" w:rsidP="00F76431">
            <w:pPr>
              <w:autoSpaceDE w:val="0"/>
              <w:autoSpaceDN w:val="0"/>
              <w:adjustRightInd w:val="0"/>
              <w:spacing w:before="60" w:after="60"/>
              <w:rPr>
                <w:rFonts w:asciiTheme="minorHAnsi" w:hAnsiTheme="minorHAnsi" w:cs="Arial"/>
                <w:sz w:val="20"/>
                <w:szCs w:val="20"/>
                <w:shd w:val="clear" w:color="auto" w:fill="FFFFFF"/>
              </w:rPr>
            </w:pPr>
            <w:r w:rsidRPr="00D97474">
              <w:rPr>
                <w:rFonts w:asciiTheme="minorHAnsi" w:hAnsiTheme="minorHAnsi" w:cs="Arial"/>
                <w:sz w:val="20"/>
                <w:szCs w:val="20"/>
                <w:shd w:val="clear" w:color="auto" w:fill="FFFFFF"/>
              </w:rPr>
              <w:t>6</w:t>
            </w:r>
          </w:p>
        </w:tc>
        <w:tc>
          <w:tcPr>
            <w:tcW w:w="725" w:type="dxa"/>
          </w:tcPr>
          <w:p w14:paraId="08564D45" w14:textId="77777777" w:rsidR="00D97474" w:rsidRPr="00D97474" w:rsidRDefault="00D97474" w:rsidP="00F76431">
            <w:pPr>
              <w:autoSpaceDE w:val="0"/>
              <w:autoSpaceDN w:val="0"/>
              <w:adjustRightInd w:val="0"/>
              <w:spacing w:before="60" w:after="60"/>
              <w:rPr>
                <w:rFonts w:asciiTheme="minorHAnsi" w:hAnsiTheme="minorHAnsi" w:cs="Arial"/>
                <w:sz w:val="20"/>
                <w:szCs w:val="20"/>
                <w:shd w:val="clear" w:color="auto" w:fill="FFFFFF"/>
              </w:rPr>
            </w:pPr>
            <w:r w:rsidRPr="00D97474">
              <w:rPr>
                <w:rFonts w:asciiTheme="minorHAnsi" w:hAnsiTheme="minorHAnsi" w:cs="Arial"/>
                <w:sz w:val="20"/>
                <w:szCs w:val="20"/>
                <w:shd w:val="clear" w:color="auto" w:fill="FFFFFF"/>
              </w:rPr>
              <w:t>5</w:t>
            </w:r>
          </w:p>
        </w:tc>
        <w:tc>
          <w:tcPr>
            <w:tcW w:w="1449" w:type="dxa"/>
          </w:tcPr>
          <w:p w14:paraId="71DF0676" w14:textId="77777777" w:rsidR="00D97474" w:rsidRPr="00D97474" w:rsidRDefault="00D97474" w:rsidP="00F76431">
            <w:pPr>
              <w:autoSpaceDE w:val="0"/>
              <w:autoSpaceDN w:val="0"/>
              <w:adjustRightInd w:val="0"/>
              <w:spacing w:before="60" w:after="60"/>
              <w:rPr>
                <w:rFonts w:asciiTheme="minorHAnsi" w:hAnsiTheme="minorHAnsi" w:cs="Arial"/>
                <w:sz w:val="20"/>
                <w:szCs w:val="20"/>
                <w:shd w:val="clear" w:color="auto" w:fill="FFFFFF"/>
              </w:rPr>
            </w:pPr>
            <w:r w:rsidRPr="00D97474">
              <w:rPr>
                <w:rFonts w:asciiTheme="minorHAnsi" w:hAnsiTheme="minorHAnsi" w:cs="Arial"/>
                <w:sz w:val="20"/>
                <w:szCs w:val="20"/>
                <w:shd w:val="clear" w:color="auto" w:fill="FFFFFF"/>
              </w:rPr>
              <w:t>$1448.13</w:t>
            </w:r>
          </w:p>
        </w:tc>
        <w:tc>
          <w:tcPr>
            <w:tcW w:w="2783" w:type="dxa"/>
          </w:tcPr>
          <w:p w14:paraId="1407D821" w14:textId="77777777" w:rsidR="00D97474" w:rsidRPr="00D97474" w:rsidRDefault="00452E08" w:rsidP="00F76431">
            <w:pPr>
              <w:autoSpaceDE w:val="0"/>
              <w:autoSpaceDN w:val="0"/>
              <w:adjustRightInd w:val="0"/>
              <w:spacing w:before="60" w:after="60"/>
              <w:rPr>
                <w:rFonts w:asciiTheme="minorHAnsi" w:hAnsiTheme="minorHAnsi" w:cs="Calibri"/>
                <w:color w:val="000000"/>
                <w:sz w:val="20"/>
                <w:szCs w:val="20"/>
              </w:rPr>
            </w:pPr>
            <w:hyperlink r:id="rId42" w:tooltip="Hospira Pty Limited" w:history="1">
              <w:proofErr w:type="spellStart"/>
              <w:r w:rsidR="00D97474" w:rsidRPr="00D97474">
                <w:rPr>
                  <w:rFonts w:asciiTheme="minorHAnsi" w:hAnsiTheme="minorHAnsi" w:cs="Calibri"/>
                  <w:sz w:val="20"/>
                  <w:szCs w:val="20"/>
                  <w:shd w:val="clear" w:color="auto" w:fill="FFFFFF"/>
                </w:rPr>
                <w:t>Exjade</w:t>
              </w:r>
              <w:proofErr w:type="spellEnd"/>
              <w:r w:rsidR="00D97474" w:rsidRPr="00D97474">
                <w:rPr>
                  <w:rFonts w:asciiTheme="minorHAnsi" w:hAnsiTheme="minorHAnsi" w:cs="Calibri"/>
                  <w:sz w:val="20"/>
                  <w:szCs w:val="20"/>
                </w:rPr>
                <w:t>,</w:t>
              </w:r>
            </w:hyperlink>
            <w:r w:rsidR="00D97474" w:rsidRPr="00D97474">
              <w:rPr>
                <w:rFonts w:asciiTheme="minorHAnsi" w:hAnsiTheme="minorHAnsi" w:cs="Calibri"/>
                <w:sz w:val="20"/>
                <w:szCs w:val="20"/>
              </w:rPr>
              <w:t xml:space="preserve"> Novartis</w:t>
            </w:r>
          </w:p>
        </w:tc>
      </w:tr>
      <w:tr w:rsidR="00D97474" w:rsidRPr="00D97474" w14:paraId="1DF7B449" w14:textId="77777777" w:rsidTr="000B00BE">
        <w:trPr>
          <w:trHeight w:val="541"/>
        </w:trPr>
        <w:tc>
          <w:tcPr>
            <w:tcW w:w="1124" w:type="dxa"/>
          </w:tcPr>
          <w:p w14:paraId="3A80FD18" w14:textId="77777777" w:rsidR="00D97474" w:rsidRPr="00210928" w:rsidRDefault="00452E08" w:rsidP="00F76431">
            <w:pPr>
              <w:autoSpaceDE w:val="0"/>
              <w:autoSpaceDN w:val="0"/>
              <w:adjustRightInd w:val="0"/>
              <w:spacing w:before="60" w:after="60"/>
              <w:rPr>
                <w:rFonts w:asciiTheme="minorHAnsi" w:hAnsiTheme="minorHAnsi" w:cs="Calibri"/>
                <w:color w:val="000000"/>
                <w:sz w:val="20"/>
                <w:szCs w:val="20"/>
              </w:rPr>
            </w:pPr>
            <w:hyperlink r:id="rId43" w:tooltip="6500d" w:history="1">
              <w:r w:rsidR="00D97474" w:rsidRPr="00210928">
                <w:rPr>
                  <w:rFonts w:asciiTheme="minorHAnsi" w:hAnsiTheme="minorHAnsi" w:cs="Calibri"/>
                  <w:sz w:val="20"/>
                  <w:szCs w:val="20"/>
                  <w:shd w:val="clear" w:color="auto" w:fill="FFFFFF"/>
                </w:rPr>
                <w:t>6500D</w:t>
              </w:r>
            </w:hyperlink>
            <w:r w:rsidR="00D97474" w:rsidRPr="00210928">
              <w:rPr>
                <w:rFonts w:asciiTheme="minorHAnsi" w:hAnsiTheme="minorHAnsi" w:cs="Calibri"/>
                <w:sz w:val="20"/>
                <w:szCs w:val="20"/>
              </w:rPr>
              <w:t xml:space="preserve"> (Private)</w:t>
            </w:r>
          </w:p>
        </w:tc>
        <w:tc>
          <w:tcPr>
            <w:tcW w:w="2386" w:type="dxa"/>
          </w:tcPr>
          <w:p w14:paraId="017A5977" w14:textId="77777777" w:rsidR="00D97474" w:rsidRPr="00D97474" w:rsidRDefault="00D97474" w:rsidP="00F76431">
            <w:pPr>
              <w:autoSpaceDE w:val="0"/>
              <w:autoSpaceDN w:val="0"/>
              <w:adjustRightInd w:val="0"/>
              <w:spacing w:before="60" w:after="60"/>
              <w:rPr>
                <w:rFonts w:asciiTheme="minorHAnsi" w:hAnsiTheme="minorHAnsi" w:cs="Arial"/>
                <w:sz w:val="20"/>
                <w:szCs w:val="20"/>
                <w:shd w:val="clear" w:color="auto" w:fill="FFFFFF"/>
              </w:rPr>
            </w:pPr>
            <w:proofErr w:type="spellStart"/>
            <w:r w:rsidRPr="00D97474">
              <w:rPr>
                <w:rFonts w:asciiTheme="minorHAnsi" w:hAnsiTheme="minorHAnsi" w:cs="Arial"/>
                <w:sz w:val="20"/>
                <w:szCs w:val="20"/>
                <w:shd w:val="clear" w:color="auto" w:fill="FFFFFF"/>
              </w:rPr>
              <w:t>Deferasirox</w:t>
            </w:r>
            <w:proofErr w:type="spellEnd"/>
            <w:r w:rsidRPr="00D97474">
              <w:rPr>
                <w:rFonts w:asciiTheme="minorHAnsi" w:hAnsiTheme="minorHAnsi" w:cs="Arial"/>
                <w:sz w:val="20"/>
                <w:szCs w:val="20"/>
                <w:shd w:val="clear" w:color="auto" w:fill="FFFFFF"/>
              </w:rPr>
              <w:t xml:space="preserve"> 250 mg tablet: dispersible, 28</w:t>
            </w:r>
          </w:p>
        </w:tc>
        <w:tc>
          <w:tcPr>
            <w:tcW w:w="806" w:type="dxa"/>
          </w:tcPr>
          <w:p w14:paraId="4DC6D23E" w14:textId="77777777" w:rsidR="00D97474" w:rsidRPr="00D97474" w:rsidRDefault="00D97474" w:rsidP="00F76431">
            <w:pPr>
              <w:autoSpaceDE w:val="0"/>
              <w:autoSpaceDN w:val="0"/>
              <w:adjustRightInd w:val="0"/>
              <w:spacing w:before="60" w:after="60"/>
              <w:rPr>
                <w:rFonts w:asciiTheme="minorHAnsi" w:hAnsiTheme="minorHAnsi" w:cs="Arial"/>
                <w:sz w:val="20"/>
                <w:szCs w:val="20"/>
                <w:shd w:val="clear" w:color="auto" w:fill="FFFFFF"/>
              </w:rPr>
            </w:pPr>
            <w:r w:rsidRPr="00D97474">
              <w:rPr>
                <w:rFonts w:asciiTheme="minorHAnsi" w:hAnsiTheme="minorHAnsi" w:cs="Arial"/>
                <w:sz w:val="20"/>
                <w:szCs w:val="20"/>
                <w:shd w:val="clear" w:color="auto" w:fill="FFFFFF"/>
              </w:rPr>
              <w:t>6</w:t>
            </w:r>
          </w:p>
        </w:tc>
        <w:tc>
          <w:tcPr>
            <w:tcW w:w="725" w:type="dxa"/>
          </w:tcPr>
          <w:p w14:paraId="5F7C6E36" w14:textId="77777777" w:rsidR="00D97474" w:rsidRPr="00D97474" w:rsidRDefault="00D97474" w:rsidP="00F76431">
            <w:pPr>
              <w:autoSpaceDE w:val="0"/>
              <w:autoSpaceDN w:val="0"/>
              <w:adjustRightInd w:val="0"/>
              <w:spacing w:before="60" w:after="60"/>
              <w:rPr>
                <w:rFonts w:asciiTheme="minorHAnsi" w:hAnsiTheme="minorHAnsi" w:cs="Arial"/>
                <w:sz w:val="20"/>
                <w:szCs w:val="20"/>
                <w:shd w:val="clear" w:color="auto" w:fill="FFFFFF"/>
              </w:rPr>
            </w:pPr>
            <w:r w:rsidRPr="00D97474">
              <w:rPr>
                <w:rFonts w:asciiTheme="minorHAnsi" w:hAnsiTheme="minorHAnsi" w:cs="Arial"/>
                <w:sz w:val="20"/>
                <w:szCs w:val="20"/>
                <w:shd w:val="clear" w:color="auto" w:fill="FFFFFF"/>
              </w:rPr>
              <w:t>5</w:t>
            </w:r>
          </w:p>
        </w:tc>
        <w:tc>
          <w:tcPr>
            <w:tcW w:w="1449" w:type="dxa"/>
          </w:tcPr>
          <w:p w14:paraId="439D032E" w14:textId="77777777" w:rsidR="00D97474" w:rsidRPr="00D97474" w:rsidRDefault="00D97474" w:rsidP="00F76431">
            <w:pPr>
              <w:autoSpaceDE w:val="0"/>
              <w:autoSpaceDN w:val="0"/>
              <w:adjustRightInd w:val="0"/>
              <w:spacing w:before="60" w:after="60"/>
              <w:rPr>
                <w:rFonts w:asciiTheme="minorHAnsi" w:hAnsiTheme="minorHAnsi" w:cs="Arial"/>
                <w:sz w:val="20"/>
                <w:szCs w:val="20"/>
                <w:shd w:val="clear" w:color="auto" w:fill="FFFFFF"/>
              </w:rPr>
            </w:pPr>
            <w:r w:rsidRPr="00D97474">
              <w:rPr>
                <w:rFonts w:asciiTheme="minorHAnsi" w:hAnsiTheme="minorHAnsi" w:cs="Arial"/>
                <w:sz w:val="20"/>
                <w:szCs w:val="20"/>
                <w:shd w:val="clear" w:color="auto" w:fill="FFFFFF"/>
              </w:rPr>
              <w:t>$2849.55</w:t>
            </w:r>
          </w:p>
        </w:tc>
        <w:tc>
          <w:tcPr>
            <w:tcW w:w="2783" w:type="dxa"/>
          </w:tcPr>
          <w:p w14:paraId="798FD552" w14:textId="77777777" w:rsidR="00D97474" w:rsidRPr="00D97474" w:rsidRDefault="00452E08" w:rsidP="00F76431">
            <w:pPr>
              <w:autoSpaceDE w:val="0"/>
              <w:autoSpaceDN w:val="0"/>
              <w:adjustRightInd w:val="0"/>
              <w:spacing w:before="60" w:after="60"/>
              <w:rPr>
                <w:rFonts w:asciiTheme="minorHAnsi" w:hAnsiTheme="minorHAnsi" w:cs="Calibri"/>
                <w:color w:val="000000"/>
                <w:sz w:val="20"/>
                <w:szCs w:val="20"/>
              </w:rPr>
            </w:pPr>
            <w:hyperlink r:id="rId44" w:tooltip="Hospira Pty Limited" w:history="1">
              <w:proofErr w:type="spellStart"/>
              <w:r w:rsidR="00D97474" w:rsidRPr="00D97474">
                <w:rPr>
                  <w:rFonts w:asciiTheme="minorHAnsi" w:hAnsiTheme="minorHAnsi" w:cs="Calibri"/>
                  <w:sz w:val="20"/>
                  <w:szCs w:val="20"/>
                  <w:shd w:val="clear" w:color="auto" w:fill="FFFFFF"/>
                </w:rPr>
                <w:t>Exjade</w:t>
              </w:r>
              <w:proofErr w:type="spellEnd"/>
              <w:r w:rsidR="00D97474" w:rsidRPr="00D97474">
                <w:rPr>
                  <w:rFonts w:asciiTheme="minorHAnsi" w:hAnsiTheme="minorHAnsi" w:cs="Calibri"/>
                  <w:sz w:val="20"/>
                  <w:szCs w:val="20"/>
                </w:rPr>
                <w:t>,</w:t>
              </w:r>
            </w:hyperlink>
            <w:r w:rsidR="00D97474" w:rsidRPr="00D97474">
              <w:rPr>
                <w:rFonts w:asciiTheme="minorHAnsi" w:hAnsiTheme="minorHAnsi" w:cs="Calibri"/>
                <w:sz w:val="20"/>
                <w:szCs w:val="20"/>
              </w:rPr>
              <w:t xml:space="preserve"> Novartis</w:t>
            </w:r>
          </w:p>
        </w:tc>
      </w:tr>
      <w:tr w:rsidR="00D97474" w:rsidRPr="00D97474" w14:paraId="40B218DD" w14:textId="77777777" w:rsidTr="000B00BE">
        <w:trPr>
          <w:trHeight w:val="541"/>
        </w:trPr>
        <w:tc>
          <w:tcPr>
            <w:tcW w:w="1124" w:type="dxa"/>
          </w:tcPr>
          <w:p w14:paraId="42CC13FC" w14:textId="2C45E1F4" w:rsidR="00D97474" w:rsidRPr="00210928" w:rsidRDefault="00452E08" w:rsidP="00F76431">
            <w:pPr>
              <w:autoSpaceDE w:val="0"/>
              <w:autoSpaceDN w:val="0"/>
              <w:adjustRightInd w:val="0"/>
              <w:spacing w:before="60" w:after="60"/>
              <w:rPr>
                <w:rFonts w:asciiTheme="minorHAnsi" w:hAnsiTheme="minorHAnsi" w:cs="Calibri"/>
                <w:color w:val="000000"/>
                <w:sz w:val="20"/>
                <w:szCs w:val="20"/>
              </w:rPr>
            </w:pPr>
            <w:hyperlink r:id="rId45" w:tooltip="9600g" w:history="1">
              <w:r w:rsidR="00D97474" w:rsidRPr="00210928">
                <w:rPr>
                  <w:rFonts w:asciiTheme="minorHAnsi" w:hAnsiTheme="minorHAnsi" w:cs="Calibri"/>
                  <w:sz w:val="20"/>
                  <w:szCs w:val="20"/>
                  <w:bdr w:val="none" w:sz="0" w:space="0" w:color="auto" w:frame="1"/>
                </w:rPr>
                <w:t>9600G</w:t>
              </w:r>
            </w:hyperlink>
            <w:r w:rsidR="00D97474" w:rsidRPr="00210928">
              <w:rPr>
                <w:rFonts w:asciiTheme="minorHAnsi" w:hAnsiTheme="minorHAnsi" w:cs="Arial"/>
                <w:sz w:val="20"/>
                <w:szCs w:val="20"/>
                <w:bdr w:val="none" w:sz="0" w:space="0" w:color="auto" w:frame="1"/>
                <w:shd w:val="clear" w:color="auto" w:fill="FFFFFF"/>
              </w:rPr>
              <w:br/>
            </w:r>
            <w:r w:rsidR="00D97474" w:rsidRPr="00210928">
              <w:rPr>
                <w:rFonts w:asciiTheme="minorHAnsi" w:hAnsiTheme="minorHAnsi" w:cs="Calibri"/>
                <w:sz w:val="20"/>
                <w:szCs w:val="20"/>
              </w:rPr>
              <w:t>(Private)</w:t>
            </w:r>
          </w:p>
        </w:tc>
        <w:tc>
          <w:tcPr>
            <w:tcW w:w="2386" w:type="dxa"/>
          </w:tcPr>
          <w:p w14:paraId="2A277E9E" w14:textId="77777777" w:rsidR="00D97474" w:rsidRPr="00D97474" w:rsidRDefault="00D97474" w:rsidP="00F76431">
            <w:pPr>
              <w:autoSpaceDE w:val="0"/>
              <w:autoSpaceDN w:val="0"/>
              <w:adjustRightInd w:val="0"/>
              <w:spacing w:before="60" w:after="60"/>
              <w:rPr>
                <w:rFonts w:asciiTheme="minorHAnsi" w:hAnsiTheme="minorHAnsi" w:cs="Arial"/>
                <w:sz w:val="20"/>
                <w:szCs w:val="20"/>
                <w:shd w:val="clear" w:color="auto" w:fill="FFFFFF"/>
              </w:rPr>
            </w:pPr>
            <w:proofErr w:type="spellStart"/>
            <w:r w:rsidRPr="00D97474">
              <w:rPr>
                <w:rFonts w:asciiTheme="minorHAnsi" w:hAnsiTheme="minorHAnsi" w:cs="Arial"/>
                <w:sz w:val="20"/>
                <w:szCs w:val="20"/>
                <w:shd w:val="clear" w:color="auto" w:fill="FFFFFF"/>
              </w:rPr>
              <w:t>Deferasirox</w:t>
            </w:r>
            <w:proofErr w:type="spellEnd"/>
            <w:r w:rsidRPr="00D97474">
              <w:rPr>
                <w:rFonts w:asciiTheme="minorHAnsi" w:hAnsiTheme="minorHAnsi" w:cs="Arial"/>
                <w:sz w:val="20"/>
                <w:szCs w:val="20"/>
                <w:shd w:val="clear" w:color="auto" w:fill="FFFFFF"/>
              </w:rPr>
              <w:t xml:space="preserve"> 500 mg tablet: dispersible, 28</w:t>
            </w:r>
          </w:p>
        </w:tc>
        <w:tc>
          <w:tcPr>
            <w:tcW w:w="806" w:type="dxa"/>
          </w:tcPr>
          <w:p w14:paraId="48314598" w14:textId="77777777" w:rsidR="00D97474" w:rsidRPr="00D97474" w:rsidRDefault="00D97474" w:rsidP="00F76431">
            <w:pPr>
              <w:autoSpaceDE w:val="0"/>
              <w:autoSpaceDN w:val="0"/>
              <w:adjustRightInd w:val="0"/>
              <w:spacing w:before="60" w:after="60"/>
              <w:rPr>
                <w:rFonts w:asciiTheme="minorHAnsi" w:hAnsiTheme="minorHAnsi" w:cs="Arial"/>
                <w:sz w:val="20"/>
                <w:szCs w:val="20"/>
                <w:shd w:val="clear" w:color="auto" w:fill="FFFFFF"/>
              </w:rPr>
            </w:pPr>
            <w:r w:rsidRPr="00D97474">
              <w:rPr>
                <w:rFonts w:asciiTheme="minorHAnsi" w:hAnsiTheme="minorHAnsi" w:cs="Arial"/>
                <w:sz w:val="20"/>
                <w:szCs w:val="20"/>
                <w:shd w:val="clear" w:color="auto" w:fill="FFFFFF"/>
              </w:rPr>
              <w:t>6</w:t>
            </w:r>
          </w:p>
        </w:tc>
        <w:tc>
          <w:tcPr>
            <w:tcW w:w="725" w:type="dxa"/>
          </w:tcPr>
          <w:p w14:paraId="2547BC06" w14:textId="77777777" w:rsidR="00D97474" w:rsidRPr="00D97474" w:rsidRDefault="00D97474" w:rsidP="00F76431">
            <w:pPr>
              <w:autoSpaceDE w:val="0"/>
              <w:autoSpaceDN w:val="0"/>
              <w:adjustRightInd w:val="0"/>
              <w:spacing w:before="60" w:after="60"/>
              <w:rPr>
                <w:rFonts w:asciiTheme="minorHAnsi" w:hAnsiTheme="minorHAnsi" w:cs="Arial"/>
                <w:sz w:val="20"/>
                <w:szCs w:val="20"/>
                <w:shd w:val="clear" w:color="auto" w:fill="FFFFFF"/>
              </w:rPr>
            </w:pPr>
            <w:r w:rsidRPr="00D97474">
              <w:rPr>
                <w:rFonts w:asciiTheme="minorHAnsi" w:hAnsiTheme="minorHAnsi" w:cs="Arial"/>
                <w:sz w:val="20"/>
                <w:szCs w:val="20"/>
                <w:shd w:val="clear" w:color="auto" w:fill="FFFFFF"/>
              </w:rPr>
              <w:t>5</w:t>
            </w:r>
          </w:p>
        </w:tc>
        <w:tc>
          <w:tcPr>
            <w:tcW w:w="1449" w:type="dxa"/>
          </w:tcPr>
          <w:p w14:paraId="4C0509EC" w14:textId="77777777" w:rsidR="00D97474" w:rsidRPr="00D97474" w:rsidRDefault="00D97474" w:rsidP="00F76431">
            <w:pPr>
              <w:autoSpaceDE w:val="0"/>
              <w:autoSpaceDN w:val="0"/>
              <w:adjustRightInd w:val="0"/>
              <w:spacing w:before="60" w:after="60"/>
              <w:rPr>
                <w:rFonts w:asciiTheme="minorHAnsi" w:hAnsiTheme="minorHAnsi" w:cs="Arial"/>
                <w:sz w:val="20"/>
                <w:szCs w:val="20"/>
                <w:shd w:val="clear" w:color="auto" w:fill="FFFFFF"/>
              </w:rPr>
            </w:pPr>
            <w:r w:rsidRPr="00D97474">
              <w:rPr>
                <w:rFonts w:asciiTheme="minorHAnsi" w:hAnsiTheme="minorHAnsi" w:cs="Arial"/>
                <w:sz w:val="20"/>
                <w:szCs w:val="20"/>
                <w:shd w:val="clear" w:color="auto" w:fill="FFFFFF"/>
              </w:rPr>
              <w:t>$5652.45</w:t>
            </w:r>
          </w:p>
        </w:tc>
        <w:tc>
          <w:tcPr>
            <w:tcW w:w="2783" w:type="dxa"/>
          </w:tcPr>
          <w:p w14:paraId="785A711B" w14:textId="77777777" w:rsidR="00D97474" w:rsidRPr="00D97474" w:rsidRDefault="00452E08" w:rsidP="00F76431">
            <w:pPr>
              <w:autoSpaceDE w:val="0"/>
              <w:autoSpaceDN w:val="0"/>
              <w:adjustRightInd w:val="0"/>
              <w:spacing w:before="60" w:after="60"/>
              <w:rPr>
                <w:rFonts w:asciiTheme="minorHAnsi" w:hAnsiTheme="minorHAnsi" w:cs="Calibri"/>
                <w:color w:val="000000"/>
                <w:sz w:val="20"/>
                <w:szCs w:val="20"/>
              </w:rPr>
            </w:pPr>
            <w:hyperlink r:id="rId46" w:tooltip="Hospira Pty Limited" w:history="1">
              <w:proofErr w:type="spellStart"/>
              <w:r w:rsidR="00D97474" w:rsidRPr="00D97474">
                <w:rPr>
                  <w:rFonts w:asciiTheme="minorHAnsi" w:hAnsiTheme="minorHAnsi" w:cs="Calibri"/>
                  <w:sz w:val="20"/>
                  <w:szCs w:val="20"/>
                  <w:shd w:val="clear" w:color="auto" w:fill="FFFFFF"/>
                </w:rPr>
                <w:t>Exjade</w:t>
              </w:r>
              <w:proofErr w:type="spellEnd"/>
              <w:r w:rsidR="00D97474" w:rsidRPr="00D97474">
                <w:rPr>
                  <w:rFonts w:asciiTheme="minorHAnsi" w:hAnsiTheme="minorHAnsi" w:cs="Calibri"/>
                  <w:sz w:val="20"/>
                  <w:szCs w:val="20"/>
                </w:rPr>
                <w:t>,</w:t>
              </w:r>
            </w:hyperlink>
            <w:r w:rsidR="00D97474" w:rsidRPr="00D97474">
              <w:rPr>
                <w:rFonts w:asciiTheme="minorHAnsi" w:hAnsiTheme="minorHAnsi" w:cs="Calibri"/>
                <w:sz w:val="20"/>
                <w:szCs w:val="20"/>
              </w:rPr>
              <w:t xml:space="preserve"> Novartis</w:t>
            </w:r>
          </w:p>
        </w:tc>
      </w:tr>
    </w:tbl>
    <w:p w14:paraId="0B709A19" w14:textId="76F1F1A7" w:rsidR="00D97474" w:rsidRPr="00D97474" w:rsidRDefault="00D97474" w:rsidP="00F76431">
      <w:pPr>
        <w:spacing w:line="240" w:lineRule="auto"/>
        <w:rPr>
          <w:rFonts w:asciiTheme="minorHAnsi" w:hAnsiTheme="minorHAnsi" w:cs="Baskerville"/>
          <w:sz w:val="20"/>
          <w:szCs w:val="20"/>
        </w:rPr>
      </w:pPr>
      <w:r w:rsidRPr="00D97474">
        <w:rPr>
          <w:rFonts w:asciiTheme="minorHAnsi" w:hAnsiTheme="minorHAnsi" w:cs="Baskerville"/>
          <w:sz w:val="20"/>
          <w:szCs w:val="20"/>
        </w:rPr>
        <w:t xml:space="preserve">Source: November 2013 PBS Schedule. Available from </w:t>
      </w:r>
      <w:r w:rsidRPr="00D97474">
        <w:rPr>
          <w:rFonts w:asciiTheme="minorHAnsi" w:hAnsiTheme="minorHAnsi" w:cs="Baskerville"/>
          <w:color w:val="0000FF" w:themeColor="hyperlink"/>
          <w:sz w:val="20"/>
          <w:szCs w:val="20"/>
          <w:u w:val="single"/>
        </w:rPr>
        <w:t>www.pbs.gov.au</w:t>
      </w:r>
      <w:r w:rsidRPr="00D97474">
        <w:rPr>
          <w:rFonts w:asciiTheme="minorHAnsi" w:hAnsiTheme="minorHAnsi" w:cs="Baskerville"/>
          <w:sz w:val="20"/>
          <w:szCs w:val="20"/>
        </w:rPr>
        <w:br/>
        <w:t xml:space="preserve">Note: Special pricing arrangements apply for </w:t>
      </w:r>
      <w:proofErr w:type="spellStart"/>
      <w:r w:rsidRPr="00D97474">
        <w:rPr>
          <w:rFonts w:asciiTheme="minorHAnsi" w:hAnsiTheme="minorHAnsi" w:cs="Baskerville"/>
          <w:sz w:val="20"/>
          <w:szCs w:val="20"/>
        </w:rPr>
        <w:t>deferasirox</w:t>
      </w:r>
      <w:proofErr w:type="spellEnd"/>
    </w:p>
    <w:p w14:paraId="79D47351" w14:textId="77777777" w:rsidR="00D97474" w:rsidRPr="005F626A" w:rsidRDefault="00D97474" w:rsidP="005F626A">
      <w:pPr>
        <w:rPr>
          <w:rFonts w:asciiTheme="minorHAnsi" w:hAnsiTheme="minorHAnsi"/>
          <w:b/>
          <w:i/>
        </w:rPr>
      </w:pPr>
      <w:r w:rsidRPr="005F626A">
        <w:rPr>
          <w:rFonts w:asciiTheme="minorHAnsi" w:hAnsiTheme="minorHAnsi"/>
          <w:b/>
          <w:i/>
        </w:rPr>
        <w:t>Date of listing on PBS</w:t>
      </w:r>
    </w:p>
    <w:p w14:paraId="6658DA24" w14:textId="5A223080" w:rsidR="00D97474" w:rsidRPr="00D97474" w:rsidRDefault="00D97474" w:rsidP="00F76431">
      <w:pPr>
        <w:spacing w:line="240" w:lineRule="auto"/>
        <w:rPr>
          <w:rFonts w:asciiTheme="minorHAnsi" w:hAnsiTheme="minorHAnsi"/>
        </w:rPr>
      </w:pPr>
      <w:proofErr w:type="spellStart"/>
      <w:r w:rsidRPr="00D97474">
        <w:rPr>
          <w:rFonts w:asciiTheme="minorHAnsi" w:hAnsiTheme="minorHAnsi"/>
        </w:rPr>
        <w:t>Desferrioxamine</w:t>
      </w:r>
      <w:proofErr w:type="spellEnd"/>
      <w:r w:rsidRPr="00D97474">
        <w:rPr>
          <w:rFonts w:asciiTheme="minorHAnsi" w:hAnsiTheme="minorHAnsi"/>
        </w:rPr>
        <w:t xml:space="preserve"> was PBS listed in October 1992 and </w:t>
      </w:r>
      <w:proofErr w:type="spellStart"/>
      <w:r w:rsidRPr="00D97474">
        <w:rPr>
          <w:rFonts w:asciiTheme="minorHAnsi" w:hAnsiTheme="minorHAnsi"/>
        </w:rPr>
        <w:t>deferiprone</w:t>
      </w:r>
      <w:proofErr w:type="spellEnd"/>
      <w:r w:rsidRPr="00D97474">
        <w:rPr>
          <w:rFonts w:asciiTheme="minorHAnsi" w:hAnsiTheme="minorHAnsi"/>
        </w:rPr>
        <w:t xml:space="preserve"> tablets we</w:t>
      </w:r>
      <w:r w:rsidR="003C6754">
        <w:rPr>
          <w:rFonts w:asciiTheme="minorHAnsi" w:hAnsiTheme="minorHAnsi"/>
        </w:rPr>
        <w:t xml:space="preserve">re PBS listed on February 2004.  </w:t>
      </w:r>
      <w:r w:rsidRPr="00D97474">
        <w:rPr>
          <w:rFonts w:asciiTheme="minorHAnsi" w:hAnsiTheme="minorHAnsi"/>
        </w:rPr>
        <w:t xml:space="preserve">In June 2009 the </w:t>
      </w:r>
      <w:proofErr w:type="spellStart"/>
      <w:r w:rsidRPr="00D97474">
        <w:rPr>
          <w:rFonts w:asciiTheme="minorHAnsi" w:hAnsiTheme="minorHAnsi"/>
        </w:rPr>
        <w:t>deferiprone</w:t>
      </w:r>
      <w:proofErr w:type="spellEnd"/>
      <w:r w:rsidRPr="00D97474">
        <w:rPr>
          <w:rFonts w:asciiTheme="minorHAnsi" w:hAnsiTheme="minorHAnsi"/>
        </w:rPr>
        <w:t xml:space="preserve"> oral solution was listed on the PBS with the s</w:t>
      </w:r>
      <w:r w:rsidR="000C487B">
        <w:rPr>
          <w:rFonts w:asciiTheme="minorHAnsi" w:hAnsiTheme="minorHAnsi"/>
        </w:rPr>
        <w:t xml:space="preserve">ame restrictions as the tablet.  </w:t>
      </w:r>
      <w:r w:rsidRPr="00D97474">
        <w:rPr>
          <w:rFonts w:asciiTheme="minorHAnsi" w:hAnsiTheme="minorHAnsi"/>
        </w:rPr>
        <w:t xml:space="preserve">The </w:t>
      </w:r>
      <w:proofErr w:type="spellStart"/>
      <w:r w:rsidRPr="00D97474">
        <w:rPr>
          <w:rFonts w:asciiTheme="minorHAnsi" w:hAnsiTheme="minorHAnsi"/>
        </w:rPr>
        <w:t>deferiprone</w:t>
      </w:r>
      <w:proofErr w:type="spellEnd"/>
      <w:r w:rsidRPr="00D97474">
        <w:rPr>
          <w:rFonts w:asciiTheme="minorHAnsi" w:hAnsiTheme="minorHAnsi"/>
        </w:rPr>
        <w:t xml:space="preserve"> and </w:t>
      </w:r>
      <w:proofErr w:type="spellStart"/>
      <w:r w:rsidRPr="00D97474">
        <w:rPr>
          <w:rFonts w:asciiTheme="minorHAnsi" w:hAnsiTheme="minorHAnsi"/>
        </w:rPr>
        <w:t>desferrioxamine</w:t>
      </w:r>
      <w:proofErr w:type="spellEnd"/>
      <w:r w:rsidRPr="00D97474">
        <w:rPr>
          <w:rFonts w:asciiTheme="minorHAnsi" w:hAnsiTheme="minorHAnsi"/>
        </w:rPr>
        <w:t xml:space="preserve"> PBS restrictions have not changed since the initial listing.</w:t>
      </w:r>
    </w:p>
    <w:p w14:paraId="5E075DE3" w14:textId="327695A7" w:rsidR="003C6754" w:rsidRDefault="00D97474" w:rsidP="00F76431">
      <w:pPr>
        <w:spacing w:line="240" w:lineRule="auto"/>
        <w:rPr>
          <w:rFonts w:asciiTheme="minorHAnsi" w:hAnsiTheme="minorHAnsi"/>
        </w:rPr>
      </w:pPr>
      <w:proofErr w:type="spellStart"/>
      <w:r w:rsidRPr="00D97474">
        <w:rPr>
          <w:rFonts w:asciiTheme="minorHAnsi" w:hAnsiTheme="minorHAnsi"/>
        </w:rPr>
        <w:t>Deferasirox</w:t>
      </w:r>
      <w:proofErr w:type="spellEnd"/>
      <w:r w:rsidRPr="00D97474">
        <w:rPr>
          <w:rFonts w:asciiTheme="minorHAnsi" w:hAnsiTheme="minorHAnsi"/>
        </w:rPr>
        <w:t xml:space="preserve"> was PBS listed on 1 December 2006 for the treatment of chronic iron overload in adults, adolescents and children 6 years and older associated with disorders of erythropoiesis; chronic iron overload in paediatric patients aged 2 to 5 years, associated </w:t>
      </w:r>
      <w:r w:rsidRPr="00D97474">
        <w:rPr>
          <w:rFonts w:asciiTheme="minorHAnsi" w:hAnsiTheme="minorHAnsi"/>
        </w:rPr>
        <w:lastRenderedPageBreak/>
        <w:t xml:space="preserve">with disorders of erythropoiesis, who are intolerant to </w:t>
      </w:r>
      <w:proofErr w:type="spellStart"/>
      <w:r w:rsidRPr="00D97474">
        <w:rPr>
          <w:rFonts w:asciiTheme="minorHAnsi" w:hAnsiTheme="minorHAnsi"/>
        </w:rPr>
        <w:t>desferrioxamine</w:t>
      </w:r>
      <w:proofErr w:type="spellEnd"/>
      <w:r w:rsidRPr="00D97474">
        <w:rPr>
          <w:rFonts w:asciiTheme="minorHAnsi" w:hAnsiTheme="minorHAnsi"/>
        </w:rPr>
        <w:t xml:space="preserve"> or in whom </w:t>
      </w:r>
      <w:proofErr w:type="spellStart"/>
      <w:r w:rsidRPr="00D97474">
        <w:rPr>
          <w:rFonts w:asciiTheme="minorHAnsi" w:hAnsiTheme="minorHAnsi"/>
        </w:rPr>
        <w:t>desferri</w:t>
      </w:r>
      <w:r w:rsidR="000C487B">
        <w:rPr>
          <w:rFonts w:asciiTheme="minorHAnsi" w:hAnsiTheme="minorHAnsi"/>
        </w:rPr>
        <w:t>oxamine</w:t>
      </w:r>
      <w:proofErr w:type="spellEnd"/>
      <w:r w:rsidR="000C487B">
        <w:rPr>
          <w:rFonts w:asciiTheme="minorHAnsi" w:hAnsiTheme="minorHAnsi"/>
        </w:rPr>
        <w:t xml:space="preserve"> has proven ineffective.  </w:t>
      </w:r>
      <w:r w:rsidRPr="00D97474">
        <w:rPr>
          <w:rFonts w:asciiTheme="minorHAnsi" w:hAnsiTheme="minorHAnsi"/>
        </w:rPr>
        <w:t xml:space="preserve">At the April 2011 meeting the PBAC recommended extending the </w:t>
      </w:r>
      <w:proofErr w:type="spellStart"/>
      <w:r w:rsidRPr="00D97474">
        <w:rPr>
          <w:rFonts w:asciiTheme="minorHAnsi" w:hAnsiTheme="minorHAnsi"/>
        </w:rPr>
        <w:t>deferasirox</w:t>
      </w:r>
      <w:proofErr w:type="spellEnd"/>
      <w:r w:rsidRPr="00D97474">
        <w:rPr>
          <w:rFonts w:asciiTheme="minorHAnsi" w:hAnsiTheme="minorHAnsi"/>
        </w:rPr>
        <w:t xml:space="preserve"> restriction to allow access to this therapy for the treatment of chronic iron overload as a first line agent for paediatric patients, therefore the listing is now for chronic iron overload in patients with disorders of erythropoiesis. </w:t>
      </w:r>
    </w:p>
    <w:p w14:paraId="79B590AF" w14:textId="1F27EAE7" w:rsidR="00D97474" w:rsidRPr="00D97474" w:rsidRDefault="00D97474" w:rsidP="00F76431">
      <w:pPr>
        <w:spacing w:line="240" w:lineRule="auto"/>
        <w:rPr>
          <w:rFonts w:asciiTheme="minorHAnsi" w:hAnsiTheme="minorHAnsi"/>
          <w:b/>
          <w:bCs/>
          <w:i/>
          <w:iCs/>
        </w:rPr>
      </w:pPr>
      <w:r w:rsidRPr="00D97474">
        <w:rPr>
          <w:rFonts w:asciiTheme="minorHAnsi" w:hAnsiTheme="minorHAnsi"/>
        </w:rPr>
        <w:t xml:space="preserve">On 1 July 2010, the maximum quantity  of </w:t>
      </w:r>
      <w:proofErr w:type="spellStart"/>
      <w:r w:rsidRPr="00D97474">
        <w:rPr>
          <w:rFonts w:asciiTheme="minorHAnsi" w:hAnsiTheme="minorHAnsi"/>
        </w:rPr>
        <w:t>deferasirox</w:t>
      </w:r>
      <w:proofErr w:type="spellEnd"/>
      <w:r w:rsidRPr="00D97474">
        <w:rPr>
          <w:rFonts w:asciiTheme="minorHAnsi" w:hAnsiTheme="minorHAnsi"/>
        </w:rPr>
        <w:t xml:space="preserve"> w</w:t>
      </w:r>
      <w:r w:rsidR="00BA4C7A">
        <w:rPr>
          <w:rFonts w:asciiTheme="minorHAnsi" w:hAnsiTheme="minorHAnsi"/>
        </w:rPr>
        <w:t>as</w:t>
      </w:r>
      <w:r w:rsidRPr="00D97474">
        <w:rPr>
          <w:rFonts w:asciiTheme="minorHAnsi" w:hAnsiTheme="minorHAnsi"/>
        </w:rPr>
        <w:t xml:space="preserve"> increased from 1 pack (28 tablets) to 5 packs (168 tablets)</w:t>
      </w:r>
      <w:r w:rsidR="00A45F42">
        <w:rPr>
          <w:rFonts w:asciiTheme="minorHAnsi" w:hAnsiTheme="minorHAnsi"/>
        </w:rPr>
        <w:t xml:space="preserve">, </w:t>
      </w:r>
      <w:proofErr w:type="spellStart"/>
      <w:r w:rsidR="0075296B">
        <w:rPr>
          <w:rFonts w:asciiTheme="minorHAnsi" w:hAnsiTheme="minorHAnsi"/>
        </w:rPr>
        <w:t>deferiprone</w:t>
      </w:r>
      <w:proofErr w:type="spellEnd"/>
      <w:r w:rsidR="0075296B">
        <w:rPr>
          <w:rFonts w:asciiTheme="minorHAnsi" w:hAnsiTheme="minorHAnsi"/>
        </w:rPr>
        <w:t xml:space="preserve"> tablets from 1 pack (100 tablets) to 6 packs (600 tablets), </w:t>
      </w:r>
      <w:proofErr w:type="spellStart"/>
      <w:r w:rsidR="0075296B">
        <w:rPr>
          <w:rFonts w:asciiTheme="minorHAnsi" w:hAnsiTheme="minorHAnsi"/>
        </w:rPr>
        <w:t>desferrioxamine</w:t>
      </w:r>
      <w:proofErr w:type="spellEnd"/>
      <w:r w:rsidR="0075296B">
        <w:rPr>
          <w:rFonts w:asciiTheme="minorHAnsi" w:hAnsiTheme="minorHAnsi"/>
        </w:rPr>
        <w:t xml:space="preserve"> 500 mg powder for injection from 10 vials to 400 vials and 2g powder for injection from 1 vial to 60 vials.</w:t>
      </w:r>
    </w:p>
    <w:p w14:paraId="6D0D40E1" w14:textId="2D965368" w:rsidR="00F95CBF" w:rsidRDefault="00B93964" w:rsidP="00236EC0">
      <w:pPr>
        <w:pStyle w:val="Heading3"/>
      </w:pPr>
      <w:r w:rsidRPr="0092516A">
        <w:t>Issues considered by the PBAC</w:t>
      </w:r>
    </w:p>
    <w:p w14:paraId="63904CE6" w14:textId="77777777" w:rsidR="000B00BE" w:rsidRPr="0000081E" w:rsidRDefault="000B00BE" w:rsidP="0000081E">
      <w:pPr>
        <w:rPr>
          <w:rFonts w:asciiTheme="minorHAnsi" w:hAnsiTheme="minorHAnsi"/>
          <w:b/>
          <w:i/>
          <w:highlight w:val="yellow"/>
        </w:rPr>
      </w:pPr>
      <w:proofErr w:type="spellStart"/>
      <w:r w:rsidRPr="0000081E">
        <w:rPr>
          <w:rFonts w:asciiTheme="minorHAnsi" w:hAnsiTheme="minorHAnsi"/>
          <w:b/>
          <w:i/>
        </w:rPr>
        <w:t>Deferiprone</w:t>
      </w:r>
      <w:proofErr w:type="spellEnd"/>
      <w:r w:rsidRPr="0000081E">
        <w:rPr>
          <w:rFonts w:asciiTheme="minorHAnsi" w:hAnsiTheme="minorHAnsi"/>
          <w:b/>
          <w:i/>
        </w:rPr>
        <w:t xml:space="preserve"> </w:t>
      </w:r>
    </w:p>
    <w:p w14:paraId="31E2F483" w14:textId="77777777" w:rsidR="000B00BE" w:rsidRPr="000B00BE" w:rsidRDefault="000B00BE" w:rsidP="00F76431">
      <w:pPr>
        <w:spacing w:line="240" w:lineRule="auto"/>
        <w:rPr>
          <w:rFonts w:asciiTheme="minorHAnsi" w:hAnsiTheme="minorHAnsi"/>
        </w:rPr>
      </w:pPr>
      <w:r w:rsidRPr="001864ED">
        <w:rPr>
          <w:rFonts w:asciiTheme="minorHAnsi" w:hAnsiTheme="minorHAnsi"/>
        </w:rPr>
        <w:t xml:space="preserve">At the September 2003 meeting, the PBAC recommended the listing of </w:t>
      </w:r>
      <w:proofErr w:type="spellStart"/>
      <w:r w:rsidRPr="001864ED">
        <w:rPr>
          <w:rFonts w:asciiTheme="minorHAnsi" w:hAnsiTheme="minorHAnsi"/>
        </w:rPr>
        <w:t>deferiprone</w:t>
      </w:r>
      <w:proofErr w:type="spellEnd"/>
      <w:r w:rsidRPr="001864ED">
        <w:rPr>
          <w:rFonts w:asciiTheme="minorHAnsi" w:hAnsiTheme="minorHAnsi"/>
        </w:rPr>
        <w:t xml:space="preserve">.  The committee noted that there was uncertainty in the estimated number of patients undergoing </w:t>
      </w:r>
      <w:proofErr w:type="spellStart"/>
      <w:r w:rsidRPr="001864ED">
        <w:rPr>
          <w:rFonts w:asciiTheme="minorHAnsi" w:hAnsiTheme="minorHAnsi"/>
        </w:rPr>
        <w:t>deferiprone</w:t>
      </w:r>
      <w:proofErr w:type="spellEnd"/>
      <w:r w:rsidRPr="001864ED">
        <w:rPr>
          <w:rFonts w:asciiTheme="minorHAnsi" w:hAnsiTheme="minorHAnsi"/>
        </w:rPr>
        <w:t xml:space="preserve"> treatment. The PBAC noted that </w:t>
      </w:r>
      <w:proofErr w:type="spellStart"/>
      <w:r w:rsidRPr="001864ED">
        <w:rPr>
          <w:rFonts w:asciiTheme="minorHAnsi" w:hAnsiTheme="minorHAnsi"/>
        </w:rPr>
        <w:t>deferiprone</w:t>
      </w:r>
      <w:proofErr w:type="spellEnd"/>
      <w:r w:rsidRPr="001864ED">
        <w:rPr>
          <w:rFonts w:asciiTheme="minorHAnsi" w:hAnsiTheme="minorHAnsi"/>
        </w:rPr>
        <w:t xml:space="preserve"> is useful in controlling iron overload when </w:t>
      </w:r>
      <w:proofErr w:type="spellStart"/>
      <w:r w:rsidRPr="001864ED">
        <w:rPr>
          <w:rFonts w:asciiTheme="minorHAnsi" w:hAnsiTheme="minorHAnsi"/>
        </w:rPr>
        <w:t>desferrioxamine</w:t>
      </w:r>
      <w:proofErr w:type="spellEnd"/>
      <w:r w:rsidRPr="001864ED">
        <w:rPr>
          <w:rFonts w:asciiTheme="minorHAnsi" w:hAnsiTheme="minorHAnsi"/>
        </w:rPr>
        <w:t xml:space="preserve"> is discontinued, but it is associated with a higher level of toxicity.</w:t>
      </w:r>
      <w:r w:rsidRPr="000B00BE">
        <w:rPr>
          <w:rFonts w:asciiTheme="minorHAnsi" w:hAnsiTheme="minorHAnsi"/>
        </w:rPr>
        <w:t xml:space="preserve"> </w:t>
      </w:r>
    </w:p>
    <w:p w14:paraId="6ACB2113" w14:textId="77777777" w:rsidR="000B00BE" w:rsidRPr="00742F1E" w:rsidRDefault="000B00BE" w:rsidP="00742F1E">
      <w:pPr>
        <w:rPr>
          <w:rFonts w:asciiTheme="minorHAnsi" w:hAnsiTheme="minorHAnsi"/>
          <w:b/>
          <w:i/>
        </w:rPr>
      </w:pPr>
      <w:proofErr w:type="spellStart"/>
      <w:r w:rsidRPr="00742F1E">
        <w:rPr>
          <w:rFonts w:asciiTheme="minorHAnsi" w:hAnsiTheme="minorHAnsi"/>
          <w:b/>
          <w:i/>
        </w:rPr>
        <w:t>Deferasirox</w:t>
      </w:r>
      <w:proofErr w:type="spellEnd"/>
    </w:p>
    <w:p w14:paraId="0DC0CDCA" w14:textId="4D575CC4" w:rsidR="000B00BE" w:rsidRPr="000B00BE" w:rsidRDefault="000B00BE" w:rsidP="00F76431">
      <w:pPr>
        <w:spacing w:line="240" w:lineRule="auto"/>
        <w:rPr>
          <w:rFonts w:asciiTheme="minorHAnsi" w:hAnsiTheme="minorHAnsi"/>
        </w:rPr>
      </w:pPr>
      <w:r w:rsidRPr="000B00BE">
        <w:rPr>
          <w:rFonts w:asciiTheme="minorHAnsi" w:hAnsiTheme="minorHAnsi"/>
        </w:rPr>
        <w:t xml:space="preserve">At the July 2006 meeting, the PBAC recommended the listing of </w:t>
      </w:r>
      <w:proofErr w:type="spellStart"/>
      <w:r w:rsidRPr="000B00BE">
        <w:rPr>
          <w:rFonts w:asciiTheme="minorHAnsi" w:hAnsiTheme="minorHAnsi"/>
        </w:rPr>
        <w:t>deferasirox</w:t>
      </w:r>
      <w:proofErr w:type="spellEnd"/>
      <w:r w:rsidRPr="000B00BE">
        <w:rPr>
          <w:rFonts w:asciiTheme="minorHAnsi" w:hAnsiTheme="minorHAnsi"/>
        </w:rPr>
        <w:t xml:space="preserve"> on a cost effectiveness basis versus the comparator, </w:t>
      </w:r>
      <w:proofErr w:type="spellStart"/>
      <w:r w:rsidRPr="000B00BE">
        <w:rPr>
          <w:rFonts w:asciiTheme="minorHAnsi" w:hAnsiTheme="minorHAnsi"/>
        </w:rPr>
        <w:t>desferrioxamine</w:t>
      </w:r>
      <w:proofErr w:type="spellEnd"/>
      <w:r w:rsidRPr="000B00BE">
        <w:rPr>
          <w:rFonts w:asciiTheme="minorHAnsi" w:hAnsiTheme="minorHAnsi"/>
        </w:rPr>
        <w:t>. The PBAC noted that the incremental cost-effectiveness ra</w:t>
      </w:r>
      <w:r w:rsidR="00131CB3">
        <w:rPr>
          <w:rFonts w:asciiTheme="minorHAnsi" w:hAnsiTheme="minorHAnsi"/>
        </w:rPr>
        <w:t>tio was somewhat uncertain and wa</w:t>
      </w:r>
      <w:r w:rsidRPr="000B00BE">
        <w:rPr>
          <w:rFonts w:asciiTheme="minorHAnsi" w:hAnsiTheme="minorHAnsi"/>
        </w:rPr>
        <w:t xml:space="preserve">s likely to be high. It was noted that the average age at baseline of the modelled cohort and the extent of the utility gain were two areas of uncertainty in the modelled economic evaluation of </w:t>
      </w:r>
      <w:proofErr w:type="spellStart"/>
      <w:r w:rsidRPr="000B00BE">
        <w:rPr>
          <w:rFonts w:asciiTheme="minorHAnsi" w:hAnsiTheme="minorHAnsi"/>
        </w:rPr>
        <w:t>deferasirox</w:t>
      </w:r>
      <w:proofErr w:type="spellEnd"/>
      <w:r w:rsidRPr="000B00BE">
        <w:rPr>
          <w:rFonts w:asciiTheme="minorHAnsi" w:hAnsiTheme="minorHAnsi"/>
        </w:rPr>
        <w:t>. The base case</w:t>
      </w:r>
      <w:r w:rsidRPr="00A41748">
        <w:rPr>
          <w:rFonts w:asciiTheme="minorHAnsi" w:hAnsiTheme="minorHAnsi"/>
        </w:rPr>
        <w:t xml:space="preserve">, with an average </w:t>
      </w:r>
      <w:r w:rsidR="00852FCD" w:rsidRPr="00A41748">
        <w:rPr>
          <w:rFonts w:asciiTheme="minorHAnsi" w:hAnsiTheme="minorHAnsi"/>
        </w:rPr>
        <w:t>starting age of 5 years, had</w:t>
      </w:r>
      <w:r w:rsidR="00852FCD">
        <w:rPr>
          <w:rFonts w:asciiTheme="minorHAnsi" w:hAnsiTheme="minorHAnsi"/>
        </w:rPr>
        <w:t xml:space="preserve"> </w:t>
      </w:r>
      <w:r w:rsidR="00045399">
        <w:rPr>
          <w:rFonts w:asciiTheme="minorHAnsi" w:hAnsiTheme="minorHAnsi"/>
        </w:rPr>
        <w:t xml:space="preserve">an </w:t>
      </w:r>
      <w:r w:rsidRPr="000B00BE">
        <w:rPr>
          <w:rFonts w:asciiTheme="minorHAnsi" w:hAnsiTheme="minorHAnsi"/>
        </w:rPr>
        <w:t>incremental cost-effectiveness ratio (ICER) of $36,420 per quality adjusted life year (QALY). This increased to around $60,000/QALY if the starting age was increased to 17 or the utility gain was lower.</w:t>
      </w:r>
    </w:p>
    <w:p w14:paraId="38A389D6" w14:textId="02FFBAD4" w:rsidR="000B00BE" w:rsidRPr="000B00BE" w:rsidRDefault="000C2EF7" w:rsidP="00F76431">
      <w:pPr>
        <w:spacing w:line="240" w:lineRule="auto"/>
        <w:rPr>
          <w:rFonts w:asciiTheme="minorHAnsi" w:hAnsiTheme="minorHAnsi"/>
          <w:lang w:val="en-US"/>
        </w:rPr>
      </w:pPr>
      <w:r>
        <w:rPr>
          <w:rFonts w:asciiTheme="minorHAnsi" w:hAnsiTheme="minorHAnsi"/>
        </w:rPr>
        <w:t>The PBAC</w:t>
      </w:r>
      <w:r w:rsidR="000B00BE" w:rsidRPr="000B00BE">
        <w:rPr>
          <w:rFonts w:asciiTheme="minorHAnsi" w:hAnsiTheme="minorHAnsi"/>
        </w:rPr>
        <w:t xml:space="preserve"> agreed that there was</w:t>
      </w:r>
      <w:r w:rsidR="000B00BE" w:rsidRPr="000B00BE">
        <w:rPr>
          <w:rFonts w:asciiTheme="minorHAnsi" w:hAnsiTheme="minorHAnsi"/>
          <w:lang w:val="en-US"/>
        </w:rPr>
        <w:t xml:space="preserve"> a clinical need for a safe and effective oral agent for the management of iron overload and predicted that the quality of life for these patients would be significantly enhanced by the availability of an oral agent.</w:t>
      </w:r>
    </w:p>
    <w:p w14:paraId="10C80D71" w14:textId="6FB9F8B0" w:rsidR="001A5A63" w:rsidRDefault="000B00BE" w:rsidP="00F76431">
      <w:pPr>
        <w:spacing w:line="240" w:lineRule="auto"/>
        <w:rPr>
          <w:rFonts w:asciiTheme="minorHAnsi" w:hAnsiTheme="minorHAnsi"/>
        </w:rPr>
      </w:pPr>
      <w:r w:rsidRPr="000B00BE">
        <w:rPr>
          <w:rFonts w:asciiTheme="minorHAnsi" w:hAnsiTheme="minorHAnsi"/>
        </w:rPr>
        <w:t xml:space="preserve">A copy of the Public Summary Document from the July 2006 PBAC meeting is available at: </w:t>
      </w:r>
      <w:r w:rsidR="001A5A63" w:rsidRPr="001B5170">
        <w:rPr>
          <w:rFonts w:asciiTheme="minorHAnsi" w:hAnsiTheme="minorHAnsi"/>
        </w:rPr>
        <w:t>www.health.gov.au/internet/main/publishing.nsf/Content/pbac-psd-deferasirox-july06</w:t>
      </w:r>
      <w:r w:rsidR="001A5A63">
        <w:rPr>
          <w:rFonts w:asciiTheme="minorHAnsi" w:hAnsiTheme="minorHAnsi"/>
        </w:rPr>
        <w:t>.</w:t>
      </w:r>
    </w:p>
    <w:p w14:paraId="1060BBA0" w14:textId="35127866" w:rsidR="000B00BE" w:rsidRDefault="000B00BE" w:rsidP="00F76431">
      <w:pPr>
        <w:spacing w:line="240" w:lineRule="auto"/>
        <w:rPr>
          <w:rFonts w:asciiTheme="minorHAnsi" w:hAnsiTheme="minorHAnsi"/>
        </w:rPr>
      </w:pPr>
      <w:r w:rsidRPr="001B07DC">
        <w:rPr>
          <w:rFonts w:asciiTheme="minorHAnsi" w:hAnsiTheme="minorHAnsi"/>
        </w:rPr>
        <w:t>At the April 2011 special meeting, t</w:t>
      </w:r>
      <w:r w:rsidR="00144E79" w:rsidRPr="001B07DC">
        <w:rPr>
          <w:rFonts w:asciiTheme="minorHAnsi" w:hAnsiTheme="minorHAnsi"/>
        </w:rPr>
        <w:t>he PBAC recommended an extension</w:t>
      </w:r>
      <w:r w:rsidRPr="001B07DC">
        <w:rPr>
          <w:rFonts w:asciiTheme="minorHAnsi" w:hAnsiTheme="minorHAnsi"/>
        </w:rPr>
        <w:t xml:space="preserve"> to the listing of </w:t>
      </w:r>
      <w:proofErr w:type="spellStart"/>
      <w:r w:rsidRPr="001B07DC">
        <w:rPr>
          <w:rFonts w:asciiTheme="minorHAnsi" w:hAnsiTheme="minorHAnsi"/>
        </w:rPr>
        <w:t>deferasirox</w:t>
      </w:r>
      <w:proofErr w:type="spellEnd"/>
      <w:r w:rsidRPr="001B07DC">
        <w:rPr>
          <w:rFonts w:asciiTheme="minorHAnsi" w:hAnsiTheme="minorHAnsi"/>
        </w:rPr>
        <w:t xml:space="preserve"> to allow first line access for the treatment of chronic iron overload in paediatric patients aged 2 to 5 years. This consideration was reached as </w:t>
      </w:r>
      <w:proofErr w:type="spellStart"/>
      <w:r w:rsidRPr="001B07DC">
        <w:rPr>
          <w:rFonts w:asciiTheme="minorHAnsi" w:hAnsiTheme="minorHAnsi"/>
        </w:rPr>
        <w:t>deferasirox</w:t>
      </w:r>
      <w:proofErr w:type="spellEnd"/>
      <w:r w:rsidRPr="001B07DC">
        <w:rPr>
          <w:rFonts w:asciiTheme="minorHAnsi" w:hAnsiTheme="minorHAnsi"/>
        </w:rPr>
        <w:t xml:space="preserve"> is well tolerated in paediatric patients compared with parenteral </w:t>
      </w:r>
      <w:proofErr w:type="spellStart"/>
      <w:r w:rsidRPr="001B07DC">
        <w:rPr>
          <w:rFonts w:asciiTheme="minorHAnsi" w:hAnsiTheme="minorHAnsi"/>
        </w:rPr>
        <w:t>desferrioxamine</w:t>
      </w:r>
      <w:proofErr w:type="spellEnd"/>
      <w:r w:rsidRPr="001B07DC">
        <w:rPr>
          <w:rFonts w:asciiTheme="minorHAnsi" w:hAnsiTheme="minorHAnsi"/>
        </w:rPr>
        <w:t>, which can cause impaired growth, bone changes and administration difficulties.</w:t>
      </w:r>
    </w:p>
    <w:p w14:paraId="7252673F" w14:textId="77777777" w:rsidR="00707CC9" w:rsidRPr="00707CC9" w:rsidRDefault="00707CC9" w:rsidP="007E795B">
      <w:pPr>
        <w:pStyle w:val="Heading3"/>
      </w:pPr>
      <w:r w:rsidRPr="00707CC9">
        <w:t>Approach taken to estimate utilisation</w:t>
      </w:r>
    </w:p>
    <w:p w14:paraId="5E4FD3FF" w14:textId="77777777" w:rsidR="00707CC9" w:rsidRPr="0086067F" w:rsidRDefault="00707CC9" w:rsidP="0086067F">
      <w:pPr>
        <w:rPr>
          <w:rFonts w:asciiTheme="minorHAnsi" w:hAnsiTheme="minorHAnsi"/>
          <w:b/>
          <w:i/>
        </w:rPr>
      </w:pPr>
      <w:proofErr w:type="spellStart"/>
      <w:r w:rsidRPr="0086067F">
        <w:rPr>
          <w:rFonts w:asciiTheme="minorHAnsi" w:hAnsiTheme="minorHAnsi"/>
          <w:b/>
          <w:i/>
        </w:rPr>
        <w:t>Deferiprone</w:t>
      </w:r>
      <w:proofErr w:type="spellEnd"/>
    </w:p>
    <w:p w14:paraId="3784BE12" w14:textId="42900B22" w:rsidR="00707CC9" w:rsidRPr="00B41631" w:rsidRDefault="00707CC9" w:rsidP="00F76431">
      <w:pPr>
        <w:spacing w:line="240" w:lineRule="auto"/>
        <w:rPr>
          <w:rFonts w:asciiTheme="minorHAnsi" w:hAnsiTheme="minorHAnsi"/>
        </w:rPr>
      </w:pPr>
      <w:r w:rsidRPr="00B41631">
        <w:rPr>
          <w:rFonts w:asciiTheme="minorHAnsi" w:hAnsiTheme="minorHAnsi"/>
        </w:rPr>
        <w:lastRenderedPageBreak/>
        <w:t xml:space="preserve">The September 2003 submission used a combined market share and epidemiological approach to estimate that there are approximately 420 patients with </w:t>
      </w:r>
      <w:proofErr w:type="spellStart"/>
      <w:r w:rsidRPr="00B41631">
        <w:rPr>
          <w:rFonts w:asciiTheme="minorHAnsi" w:hAnsiTheme="minorHAnsi"/>
        </w:rPr>
        <w:t>thalassaemia</w:t>
      </w:r>
      <w:proofErr w:type="spellEnd"/>
      <w:r w:rsidRPr="00B41631">
        <w:rPr>
          <w:rFonts w:asciiTheme="minorHAnsi" w:hAnsiTheme="minorHAnsi"/>
        </w:rPr>
        <w:t xml:space="preserve"> in Australia. The submission estimated that, in Years 3 and 4, between 40 and 50% of the estimated 420 patients that suffer from </w:t>
      </w:r>
      <w:proofErr w:type="spellStart"/>
      <w:r w:rsidRPr="00B41631">
        <w:rPr>
          <w:rFonts w:asciiTheme="minorHAnsi" w:hAnsiTheme="minorHAnsi"/>
        </w:rPr>
        <w:t>thalassaemia</w:t>
      </w:r>
      <w:proofErr w:type="spellEnd"/>
      <w:r w:rsidRPr="00B41631">
        <w:rPr>
          <w:rFonts w:asciiTheme="minorHAnsi" w:hAnsiTheme="minorHAnsi"/>
        </w:rPr>
        <w:t xml:space="preserve"> would be on </w:t>
      </w:r>
      <w:proofErr w:type="spellStart"/>
      <w:r w:rsidRPr="00B41631">
        <w:rPr>
          <w:rFonts w:asciiTheme="minorHAnsi" w:hAnsiTheme="minorHAnsi"/>
        </w:rPr>
        <w:t>deferiprone</w:t>
      </w:r>
      <w:proofErr w:type="spellEnd"/>
      <w:r w:rsidRPr="00B41631">
        <w:rPr>
          <w:rFonts w:asciiTheme="minorHAnsi" w:hAnsiTheme="minorHAnsi"/>
        </w:rPr>
        <w:t xml:space="preserve"> therapy. </w:t>
      </w:r>
    </w:p>
    <w:p w14:paraId="582A5A3B" w14:textId="6A2C47E7" w:rsidR="00707CC9" w:rsidRPr="00707CC9" w:rsidRDefault="00707CC9" w:rsidP="00F76431">
      <w:pPr>
        <w:spacing w:line="240" w:lineRule="auto"/>
        <w:rPr>
          <w:rFonts w:asciiTheme="minorHAnsi" w:eastAsia="Times New Roman" w:hAnsiTheme="minorHAnsi" w:cs="Times New Roman"/>
          <w:color w:val="7030A0"/>
        </w:rPr>
      </w:pPr>
      <w:proofErr w:type="spellStart"/>
      <w:r w:rsidRPr="00B41631">
        <w:rPr>
          <w:rFonts w:asciiTheme="minorHAnsi" w:hAnsiTheme="minorHAnsi"/>
        </w:rPr>
        <w:t>Deferiprone</w:t>
      </w:r>
      <w:proofErr w:type="spellEnd"/>
      <w:r w:rsidRPr="00B41631">
        <w:rPr>
          <w:rFonts w:asciiTheme="minorHAnsi" w:hAnsiTheme="minorHAnsi"/>
        </w:rPr>
        <w:t xml:space="preserve"> is listed as a second</w:t>
      </w:r>
      <w:r w:rsidR="001A5A63" w:rsidRPr="00B41631">
        <w:rPr>
          <w:rFonts w:asciiTheme="minorHAnsi" w:hAnsiTheme="minorHAnsi"/>
        </w:rPr>
        <w:t>-</w:t>
      </w:r>
      <w:r w:rsidRPr="00B41631">
        <w:rPr>
          <w:rFonts w:asciiTheme="minorHAnsi" w:hAnsiTheme="minorHAnsi"/>
        </w:rPr>
        <w:t xml:space="preserve">line treatment for patients who are unable to undergo treatment with </w:t>
      </w:r>
      <w:proofErr w:type="spellStart"/>
      <w:r w:rsidRPr="00B41631">
        <w:rPr>
          <w:rFonts w:asciiTheme="minorHAnsi" w:hAnsiTheme="minorHAnsi"/>
        </w:rPr>
        <w:t>desferrioxamine</w:t>
      </w:r>
      <w:proofErr w:type="spellEnd"/>
      <w:r w:rsidRPr="00B41631">
        <w:rPr>
          <w:rFonts w:asciiTheme="minorHAnsi" w:hAnsiTheme="minorHAnsi"/>
        </w:rPr>
        <w:t xml:space="preserve"> or who have an inadequate treatment response with </w:t>
      </w:r>
      <w:proofErr w:type="spellStart"/>
      <w:r w:rsidRPr="00B41631">
        <w:rPr>
          <w:rFonts w:asciiTheme="minorHAnsi" w:hAnsiTheme="minorHAnsi"/>
        </w:rPr>
        <w:t>desferrioxamine</w:t>
      </w:r>
      <w:proofErr w:type="spellEnd"/>
      <w:r w:rsidRPr="00B41631">
        <w:rPr>
          <w:rFonts w:asciiTheme="minorHAnsi" w:hAnsiTheme="minorHAnsi"/>
        </w:rPr>
        <w:t xml:space="preserve">. It was assumed that a small proportion of substitution of </w:t>
      </w:r>
      <w:proofErr w:type="spellStart"/>
      <w:r w:rsidRPr="00B41631">
        <w:rPr>
          <w:rFonts w:asciiTheme="minorHAnsi" w:hAnsiTheme="minorHAnsi"/>
        </w:rPr>
        <w:t>desferrioxamine</w:t>
      </w:r>
      <w:proofErr w:type="spellEnd"/>
      <w:r w:rsidRPr="00B41631">
        <w:rPr>
          <w:rFonts w:asciiTheme="minorHAnsi" w:hAnsiTheme="minorHAnsi"/>
        </w:rPr>
        <w:t xml:space="preserve"> with </w:t>
      </w:r>
      <w:proofErr w:type="spellStart"/>
      <w:r w:rsidRPr="00B41631">
        <w:rPr>
          <w:rFonts w:asciiTheme="minorHAnsi" w:hAnsiTheme="minorHAnsi"/>
        </w:rPr>
        <w:t>deferiprone</w:t>
      </w:r>
      <w:proofErr w:type="spellEnd"/>
      <w:r w:rsidRPr="00B41631">
        <w:rPr>
          <w:rFonts w:asciiTheme="minorHAnsi" w:hAnsiTheme="minorHAnsi"/>
        </w:rPr>
        <w:t xml:space="preserve"> could occur</w:t>
      </w:r>
      <w:r w:rsidR="00882685" w:rsidRPr="00B41631">
        <w:rPr>
          <w:rFonts w:asciiTheme="minorHAnsi" w:hAnsiTheme="minorHAnsi"/>
        </w:rPr>
        <w:t>.</w:t>
      </w:r>
    </w:p>
    <w:p w14:paraId="24B57135" w14:textId="77777777" w:rsidR="00707CC9" w:rsidRPr="00484180" w:rsidRDefault="00707CC9" w:rsidP="00484180">
      <w:pPr>
        <w:rPr>
          <w:rFonts w:asciiTheme="minorHAnsi" w:hAnsiTheme="minorHAnsi"/>
          <w:b/>
          <w:i/>
        </w:rPr>
      </w:pPr>
      <w:proofErr w:type="spellStart"/>
      <w:r w:rsidRPr="00484180">
        <w:rPr>
          <w:rFonts w:asciiTheme="minorHAnsi" w:hAnsiTheme="minorHAnsi"/>
          <w:b/>
          <w:i/>
        </w:rPr>
        <w:t>Deferasirox</w:t>
      </w:r>
      <w:proofErr w:type="spellEnd"/>
    </w:p>
    <w:p w14:paraId="5FC4B506" w14:textId="2A7E4B70" w:rsidR="00707CC9" w:rsidRPr="00707CC9" w:rsidRDefault="00707CC9" w:rsidP="00F76431">
      <w:pPr>
        <w:autoSpaceDE w:val="0"/>
        <w:autoSpaceDN w:val="0"/>
        <w:adjustRightInd w:val="0"/>
        <w:spacing w:after="0" w:line="240" w:lineRule="auto"/>
        <w:rPr>
          <w:rFonts w:asciiTheme="minorHAnsi" w:hAnsiTheme="minorHAnsi"/>
        </w:rPr>
      </w:pPr>
      <w:r w:rsidRPr="00322A48">
        <w:rPr>
          <w:rFonts w:asciiTheme="minorHAnsi" w:hAnsiTheme="minorHAnsi"/>
        </w:rPr>
        <w:t>The July 2006 submission used a market share approach to es</w:t>
      </w:r>
      <w:r w:rsidR="00F17A47">
        <w:rPr>
          <w:rFonts w:asciiTheme="minorHAnsi" w:hAnsiTheme="minorHAnsi"/>
        </w:rPr>
        <w:t>timate utilisation based on HSD</w:t>
      </w:r>
      <w:r w:rsidRPr="00322A48">
        <w:rPr>
          <w:rFonts w:asciiTheme="minorHAnsi" w:hAnsiTheme="minorHAnsi"/>
        </w:rPr>
        <w:t xml:space="preserve"> data. The submission assumed that in Year 4, between</w:t>
      </w:r>
      <w:r w:rsidR="00F17A47">
        <w:rPr>
          <w:rFonts w:asciiTheme="minorHAnsi" w:hAnsiTheme="minorHAnsi"/>
        </w:rPr>
        <w:t xml:space="preserve"> 80 and 90% of the estimated (REDACTED)</w:t>
      </w:r>
      <w:r w:rsidRPr="00322A48">
        <w:rPr>
          <w:rFonts w:asciiTheme="minorHAnsi" w:hAnsiTheme="minorHAnsi"/>
        </w:rPr>
        <w:t xml:space="preserve"> patients currently on </w:t>
      </w:r>
      <w:proofErr w:type="spellStart"/>
      <w:r w:rsidRPr="00322A48">
        <w:rPr>
          <w:rFonts w:asciiTheme="minorHAnsi" w:hAnsiTheme="minorHAnsi"/>
        </w:rPr>
        <w:t>desferrioxamine</w:t>
      </w:r>
      <w:proofErr w:type="spellEnd"/>
      <w:r w:rsidRPr="00322A48">
        <w:rPr>
          <w:rFonts w:asciiTheme="minorHAnsi" w:hAnsiTheme="minorHAnsi"/>
        </w:rPr>
        <w:t xml:space="preserve"> would switch to </w:t>
      </w:r>
      <w:proofErr w:type="spellStart"/>
      <w:r w:rsidRPr="00322A48">
        <w:rPr>
          <w:rFonts w:asciiTheme="minorHAnsi" w:hAnsiTheme="minorHAnsi"/>
        </w:rPr>
        <w:t>deferasirox</w:t>
      </w:r>
      <w:proofErr w:type="spellEnd"/>
      <w:r w:rsidRPr="00322A48">
        <w:rPr>
          <w:rFonts w:asciiTheme="minorHAnsi" w:hAnsiTheme="minorHAnsi"/>
        </w:rPr>
        <w:t xml:space="preserve">. </w:t>
      </w:r>
      <w:r w:rsidR="004901BE" w:rsidRPr="00322A48">
        <w:rPr>
          <w:rFonts w:asciiTheme="minorHAnsi" w:hAnsiTheme="minorHAnsi"/>
        </w:rPr>
        <w:t xml:space="preserve">The submission stated the majority of patients not currently treated with </w:t>
      </w:r>
      <w:proofErr w:type="spellStart"/>
      <w:r w:rsidR="004901BE" w:rsidRPr="00322A48">
        <w:rPr>
          <w:rFonts w:asciiTheme="minorHAnsi" w:hAnsiTheme="minorHAnsi"/>
        </w:rPr>
        <w:t>desferrioxamine</w:t>
      </w:r>
      <w:proofErr w:type="spellEnd"/>
      <w:r w:rsidR="004901BE" w:rsidRPr="00322A48">
        <w:rPr>
          <w:rFonts w:asciiTheme="minorHAnsi" w:hAnsiTheme="minorHAnsi"/>
        </w:rPr>
        <w:t xml:space="preserve"> are those with MDS.</w:t>
      </w:r>
      <w:r w:rsidR="00B3433C" w:rsidRPr="00322A48">
        <w:rPr>
          <w:rFonts w:asciiTheme="minorHAnsi" w:hAnsiTheme="minorHAnsi"/>
        </w:rPr>
        <w:t xml:space="preserve">  The submission quantified that these patients would comprise of over 50% of the number of patients being treated with </w:t>
      </w:r>
      <w:proofErr w:type="spellStart"/>
      <w:r w:rsidR="00B3433C" w:rsidRPr="00322A48">
        <w:rPr>
          <w:rFonts w:asciiTheme="minorHAnsi" w:hAnsiTheme="minorHAnsi"/>
        </w:rPr>
        <w:t>desferrioxamine</w:t>
      </w:r>
      <w:proofErr w:type="spellEnd"/>
      <w:r w:rsidR="00B3433C" w:rsidRPr="00322A48">
        <w:rPr>
          <w:rFonts w:asciiTheme="minorHAnsi" w:hAnsiTheme="minorHAnsi"/>
        </w:rPr>
        <w:t>.</w:t>
      </w:r>
    </w:p>
    <w:p w14:paraId="690C1D70" w14:textId="77777777" w:rsidR="00411987" w:rsidRPr="00411987" w:rsidRDefault="00411987" w:rsidP="00313689">
      <w:pPr>
        <w:pStyle w:val="Heading3"/>
      </w:pPr>
      <w:r w:rsidRPr="00411987">
        <w:t>Previous reviews by DUSC</w:t>
      </w:r>
    </w:p>
    <w:p w14:paraId="32AEAA19" w14:textId="77777777" w:rsidR="000B00BE" w:rsidRPr="00A506F9" w:rsidRDefault="000B00BE" w:rsidP="00F76431">
      <w:pPr>
        <w:spacing w:line="240" w:lineRule="auto"/>
        <w:rPr>
          <w:rFonts w:asciiTheme="minorHAnsi" w:hAnsiTheme="minorHAnsi"/>
        </w:rPr>
      </w:pPr>
      <w:r w:rsidRPr="00A506F9">
        <w:rPr>
          <w:rFonts w:asciiTheme="minorHAnsi" w:hAnsiTheme="minorHAnsi"/>
        </w:rPr>
        <w:t xml:space="preserve">A 12 month review of </w:t>
      </w:r>
      <w:proofErr w:type="spellStart"/>
      <w:r w:rsidRPr="00A506F9">
        <w:rPr>
          <w:rFonts w:asciiTheme="minorHAnsi" w:hAnsiTheme="minorHAnsi"/>
        </w:rPr>
        <w:t>deferiprone</w:t>
      </w:r>
      <w:proofErr w:type="spellEnd"/>
      <w:r w:rsidRPr="00A506F9">
        <w:rPr>
          <w:rFonts w:asciiTheme="minorHAnsi" w:hAnsiTheme="minorHAnsi"/>
        </w:rPr>
        <w:t xml:space="preserve"> was undertaken by DUSC in February 2006. It found that:</w:t>
      </w:r>
    </w:p>
    <w:p w14:paraId="71C03FCB" w14:textId="77777777" w:rsidR="000B00BE" w:rsidRPr="00A506F9" w:rsidRDefault="000B00BE" w:rsidP="00F76431">
      <w:pPr>
        <w:numPr>
          <w:ilvl w:val="0"/>
          <w:numId w:val="14"/>
        </w:numPr>
        <w:spacing w:after="0" w:line="240" w:lineRule="auto"/>
        <w:rPr>
          <w:rFonts w:asciiTheme="minorHAnsi" w:hAnsiTheme="minorHAnsi"/>
          <w:b/>
        </w:rPr>
      </w:pPr>
      <w:r w:rsidRPr="00611635">
        <w:rPr>
          <w:rFonts w:asciiTheme="minorHAnsi" w:hAnsiTheme="minorHAnsi"/>
        </w:rPr>
        <w:t xml:space="preserve">The actual utilisation of </w:t>
      </w:r>
      <w:proofErr w:type="spellStart"/>
      <w:r w:rsidRPr="00611635">
        <w:rPr>
          <w:rFonts w:asciiTheme="minorHAnsi" w:hAnsiTheme="minorHAnsi"/>
        </w:rPr>
        <w:t>deferiprone</w:t>
      </w:r>
      <w:proofErr w:type="spellEnd"/>
      <w:r w:rsidRPr="00611635">
        <w:rPr>
          <w:rFonts w:asciiTheme="minorHAnsi" w:hAnsiTheme="minorHAnsi"/>
        </w:rPr>
        <w:t xml:space="preserve"> was much lower than predicted in the submission.</w:t>
      </w:r>
    </w:p>
    <w:p w14:paraId="775C5038" w14:textId="2E2828B2" w:rsidR="000B00BE" w:rsidRPr="00B4151A" w:rsidRDefault="000B00BE" w:rsidP="00F76431">
      <w:pPr>
        <w:numPr>
          <w:ilvl w:val="0"/>
          <w:numId w:val="14"/>
        </w:numPr>
        <w:spacing w:after="0" w:line="240" w:lineRule="auto"/>
        <w:rPr>
          <w:rFonts w:asciiTheme="minorHAnsi" w:hAnsiTheme="minorHAnsi"/>
        </w:rPr>
      </w:pPr>
      <w:r w:rsidRPr="00A506F9">
        <w:rPr>
          <w:rFonts w:asciiTheme="minorHAnsi" w:hAnsiTheme="minorHAnsi"/>
        </w:rPr>
        <w:t xml:space="preserve">The PBAC </w:t>
      </w:r>
      <w:r w:rsidR="00AD5EC6">
        <w:rPr>
          <w:rFonts w:asciiTheme="minorHAnsi" w:hAnsiTheme="minorHAnsi"/>
        </w:rPr>
        <w:t xml:space="preserve">had </w:t>
      </w:r>
      <w:r w:rsidRPr="00A506F9">
        <w:rPr>
          <w:rFonts w:asciiTheme="minorHAnsi" w:hAnsiTheme="minorHAnsi"/>
        </w:rPr>
        <w:t xml:space="preserve">advised that in some cases it would be appropriate for </w:t>
      </w:r>
      <w:proofErr w:type="spellStart"/>
      <w:r w:rsidRPr="00A506F9">
        <w:rPr>
          <w:rFonts w:asciiTheme="minorHAnsi" w:hAnsiTheme="minorHAnsi"/>
        </w:rPr>
        <w:t>desferrioxamine</w:t>
      </w:r>
      <w:proofErr w:type="spellEnd"/>
      <w:r w:rsidRPr="00A506F9">
        <w:rPr>
          <w:rFonts w:asciiTheme="minorHAnsi" w:hAnsiTheme="minorHAnsi"/>
        </w:rPr>
        <w:t xml:space="preserve"> and</w:t>
      </w:r>
      <w:r w:rsidRPr="00A404CF">
        <w:rPr>
          <w:rFonts w:asciiTheme="minorHAnsi" w:hAnsiTheme="minorHAnsi"/>
        </w:rPr>
        <w:t xml:space="preserve"> </w:t>
      </w:r>
      <w:proofErr w:type="spellStart"/>
      <w:r w:rsidRPr="00A404CF">
        <w:rPr>
          <w:rFonts w:asciiTheme="minorHAnsi" w:hAnsiTheme="minorHAnsi"/>
        </w:rPr>
        <w:t>deferiprone</w:t>
      </w:r>
      <w:proofErr w:type="spellEnd"/>
      <w:r w:rsidRPr="00A404CF">
        <w:rPr>
          <w:rFonts w:asciiTheme="minorHAnsi" w:hAnsiTheme="minorHAnsi"/>
        </w:rPr>
        <w:t xml:space="preserve"> to be used concom</w:t>
      </w:r>
      <w:r w:rsidRPr="00F70493">
        <w:rPr>
          <w:rFonts w:asciiTheme="minorHAnsi" w:hAnsiTheme="minorHAnsi"/>
        </w:rPr>
        <w:t>itantly</w:t>
      </w:r>
      <w:r w:rsidRPr="00B4151A">
        <w:rPr>
          <w:rFonts w:asciiTheme="minorHAnsi" w:hAnsiTheme="minorHAnsi"/>
        </w:rPr>
        <w:t xml:space="preserve">. Analysis of Medicare Australia data (private hospital prescriptions) indicated no cases where the two drugs </w:t>
      </w:r>
      <w:r w:rsidR="001A5A63" w:rsidRPr="00B4151A">
        <w:rPr>
          <w:rFonts w:asciiTheme="minorHAnsi" w:hAnsiTheme="minorHAnsi"/>
        </w:rPr>
        <w:t>we</w:t>
      </w:r>
      <w:r w:rsidRPr="003822EA">
        <w:rPr>
          <w:rFonts w:asciiTheme="minorHAnsi" w:hAnsiTheme="minorHAnsi"/>
        </w:rPr>
        <w:t>re being used concurrently. Concurrent use could not be ascertained from public hospital data.</w:t>
      </w:r>
    </w:p>
    <w:p w14:paraId="2B7E6FC1" w14:textId="77777777" w:rsidR="000B00BE" w:rsidRPr="00B4151A" w:rsidRDefault="000B00BE" w:rsidP="00F76431">
      <w:pPr>
        <w:numPr>
          <w:ilvl w:val="0"/>
          <w:numId w:val="14"/>
        </w:numPr>
        <w:spacing w:after="0" w:line="240" w:lineRule="auto"/>
        <w:rPr>
          <w:rFonts w:asciiTheme="minorHAnsi" w:hAnsiTheme="minorHAnsi"/>
        </w:rPr>
      </w:pPr>
      <w:r w:rsidRPr="00B4151A">
        <w:rPr>
          <w:rFonts w:asciiTheme="minorHAnsi" w:hAnsiTheme="minorHAnsi"/>
        </w:rPr>
        <w:t xml:space="preserve">Safety concerns with </w:t>
      </w:r>
      <w:proofErr w:type="spellStart"/>
      <w:r w:rsidRPr="00B4151A">
        <w:rPr>
          <w:rFonts w:asciiTheme="minorHAnsi" w:hAnsiTheme="minorHAnsi"/>
        </w:rPr>
        <w:t>deferiprone</w:t>
      </w:r>
      <w:proofErr w:type="spellEnd"/>
      <w:r w:rsidRPr="00B4151A">
        <w:rPr>
          <w:rFonts w:asciiTheme="minorHAnsi" w:hAnsiTheme="minorHAnsi"/>
        </w:rPr>
        <w:t xml:space="preserve">, such as neutropenia, </w:t>
      </w:r>
      <w:proofErr w:type="spellStart"/>
      <w:r w:rsidRPr="00B4151A">
        <w:rPr>
          <w:rFonts w:asciiTheme="minorHAnsi" w:hAnsiTheme="minorHAnsi"/>
        </w:rPr>
        <w:t>agranulocytosis</w:t>
      </w:r>
      <w:proofErr w:type="spellEnd"/>
      <w:r w:rsidRPr="00B4151A">
        <w:rPr>
          <w:rFonts w:asciiTheme="minorHAnsi" w:hAnsiTheme="minorHAnsi"/>
        </w:rPr>
        <w:t>, liver toxicity and increased ferritin levels, may have contributed to low uptake and/or high discontinuation rates.</w:t>
      </w:r>
    </w:p>
    <w:p w14:paraId="2C91F8E2" w14:textId="4BB8FA58" w:rsidR="000B00BE" w:rsidRPr="00B4151A" w:rsidRDefault="000B00BE" w:rsidP="00F76431">
      <w:pPr>
        <w:numPr>
          <w:ilvl w:val="0"/>
          <w:numId w:val="14"/>
        </w:numPr>
        <w:spacing w:after="0" w:line="240" w:lineRule="auto"/>
        <w:rPr>
          <w:rFonts w:asciiTheme="minorHAnsi" w:hAnsiTheme="minorHAnsi"/>
          <w:b/>
        </w:rPr>
      </w:pPr>
      <w:r w:rsidRPr="00B4151A">
        <w:rPr>
          <w:rFonts w:asciiTheme="minorHAnsi" w:hAnsiTheme="minorHAnsi"/>
        </w:rPr>
        <w:t xml:space="preserve">The lower than expected uptake may also </w:t>
      </w:r>
      <w:r w:rsidR="001A5A63" w:rsidRPr="00B4151A">
        <w:rPr>
          <w:rFonts w:asciiTheme="minorHAnsi" w:hAnsiTheme="minorHAnsi"/>
        </w:rPr>
        <w:t>have been</w:t>
      </w:r>
      <w:r w:rsidRPr="00B4151A">
        <w:rPr>
          <w:rFonts w:asciiTheme="minorHAnsi" w:hAnsiTheme="minorHAnsi"/>
        </w:rPr>
        <w:t xml:space="preserve"> due to lower patient weight in the PBS population, and consequently average doses and number of packs per patient, being over-estimated in the submission.  </w:t>
      </w:r>
    </w:p>
    <w:p w14:paraId="7705D1A9" w14:textId="599D7EB3" w:rsidR="000B00BE" w:rsidRPr="00B4151A" w:rsidRDefault="000B00BE" w:rsidP="00F76431">
      <w:pPr>
        <w:numPr>
          <w:ilvl w:val="0"/>
          <w:numId w:val="14"/>
        </w:numPr>
        <w:spacing w:after="0" w:line="240" w:lineRule="auto"/>
        <w:rPr>
          <w:rFonts w:asciiTheme="minorHAnsi" w:hAnsiTheme="minorHAnsi"/>
          <w:b/>
        </w:rPr>
      </w:pPr>
      <w:r w:rsidRPr="00B4151A">
        <w:rPr>
          <w:rFonts w:asciiTheme="minorHAnsi" w:hAnsiTheme="minorHAnsi"/>
        </w:rPr>
        <w:t xml:space="preserve">The prevalence of </w:t>
      </w:r>
      <w:proofErr w:type="spellStart"/>
      <w:r w:rsidRPr="00B4151A">
        <w:rPr>
          <w:rFonts w:asciiTheme="minorHAnsi" w:hAnsiTheme="minorHAnsi"/>
        </w:rPr>
        <w:t>thalassaemia</w:t>
      </w:r>
      <w:proofErr w:type="spellEnd"/>
      <w:r w:rsidRPr="00B4151A">
        <w:rPr>
          <w:rFonts w:asciiTheme="minorHAnsi" w:hAnsiTheme="minorHAnsi"/>
        </w:rPr>
        <w:t xml:space="preserve"> major is not evenly distributed across Australia as the condition occurs more frequently in some ethnic populations such as Greeks and Italians. Victoria and South Australia have the highest number of patients with </w:t>
      </w:r>
      <w:proofErr w:type="spellStart"/>
      <w:r w:rsidR="001A5A63" w:rsidRPr="00B4151A">
        <w:rPr>
          <w:rFonts w:asciiTheme="minorHAnsi" w:hAnsiTheme="minorHAnsi"/>
        </w:rPr>
        <w:t>t</w:t>
      </w:r>
      <w:r w:rsidRPr="00B4151A">
        <w:rPr>
          <w:rFonts w:asciiTheme="minorHAnsi" w:hAnsiTheme="minorHAnsi"/>
        </w:rPr>
        <w:t>halassaemia</w:t>
      </w:r>
      <w:proofErr w:type="spellEnd"/>
      <w:r w:rsidRPr="00B4151A">
        <w:rPr>
          <w:rFonts w:asciiTheme="minorHAnsi" w:hAnsiTheme="minorHAnsi"/>
        </w:rPr>
        <w:t xml:space="preserve"> per capita. </w:t>
      </w:r>
    </w:p>
    <w:p w14:paraId="35493F40" w14:textId="77777777" w:rsidR="000B00BE" w:rsidRPr="00B4151A" w:rsidRDefault="000B00BE" w:rsidP="00F76431">
      <w:pPr>
        <w:numPr>
          <w:ilvl w:val="0"/>
          <w:numId w:val="14"/>
        </w:numPr>
        <w:spacing w:after="0" w:line="240" w:lineRule="auto"/>
        <w:rPr>
          <w:rFonts w:asciiTheme="minorHAnsi" w:hAnsiTheme="minorHAnsi"/>
          <w:b/>
        </w:rPr>
      </w:pPr>
      <w:r w:rsidRPr="00B4151A">
        <w:rPr>
          <w:rFonts w:asciiTheme="minorHAnsi" w:hAnsiTheme="minorHAnsi"/>
        </w:rPr>
        <w:t xml:space="preserve">The uptake of </w:t>
      </w:r>
      <w:proofErr w:type="spellStart"/>
      <w:r w:rsidRPr="00B4151A">
        <w:rPr>
          <w:rFonts w:asciiTheme="minorHAnsi" w:hAnsiTheme="minorHAnsi"/>
        </w:rPr>
        <w:t>deferiprone</w:t>
      </w:r>
      <w:proofErr w:type="spellEnd"/>
      <w:r w:rsidRPr="00B4151A">
        <w:rPr>
          <w:rFonts w:asciiTheme="minorHAnsi" w:hAnsiTheme="minorHAnsi"/>
        </w:rPr>
        <w:t xml:space="preserve"> was not evenly spread across the various States and Territories. </w:t>
      </w:r>
    </w:p>
    <w:p w14:paraId="560C41A8" w14:textId="77777777" w:rsidR="000B00BE" w:rsidRPr="00B4151A" w:rsidRDefault="000B00BE" w:rsidP="00F76431">
      <w:pPr>
        <w:spacing w:after="0" w:line="240" w:lineRule="auto"/>
        <w:ind w:left="360"/>
        <w:rPr>
          <w:rFonts w:asciiTheme="minorHAnsi" w:hAnsiTheme="minorHAnsi"/>
          <w:b/>
        </w:rPr>
      </w:pPr>
    </w:p>
    <w:p w14:paraId="2F3FA7D8" w14:textId="555C487F" w:rsidR="000B00BE" w:rsidRPr="00611635" w:rsidRDefault="000B00BE" w:rsidP="00F76431">
      <w:pPr>
        <w:spacing w:line="240" w:lineRule="auto"/>
        <w:rPr>
          <w:rFonts w:asciiTheme="minorHAnsi" w:hAnsiTheme="minorHAnsi"/>
        </w:rPr>
      </w:pPr>
      <w:r w:rsidRPr="00446A9F">
        <w:rPr>
          <w:rFonts w:asciiTheme="minorHAnsi" w:hAnsiTheme="minorHAnsi"/>
        </w:rPr>
        <w:t>A 12</w:t>
      </w:r>
      <w:r w:rsidRPr="00611635">
        <w:rPr>
          <w:rFonts w:asciiTheme="minorHAnsi" w:hAnsiTheme="minorHAnsi"/>
        </w:rPr>
        <w:t xml:space="preserve">-month review of </w:t>
      </w:r>
      <w:proofErr w:type="spellStart"/>
      <w:r w:rsidRPr="00611635">
        <w:rPr>
          <w:rFonts w:asciiTheme="minorHAnsi" w:hAnsiTheme="minorHAnsi"/>
        </w:rPr>
        <w:t>deferasirox</w:t>
      </w:r>
      <w:proofErr w:type="spellEnd"/>
      <w:r w:rsidRPr="00611635">
        <w:rPr>
          <w:rFonts w:asciiTheme="minorHAnsi" w:hAnsiTheme="minorHAnsi"/>
        </w:rPr>
        <w:t xml:space="preserve"> was undertaken by DUSC in June 2008. It found that:</w:t>
      </w:r>
    </w:p>
    <w:p w14:paraId="3816CCD5" w14:textId="0CE6BEFF" w:rsidR="000B00BE" w:rsidRPr="008D2036" w:rsidRDefault="000B00BE" w:rsidP="00F76431">
      <w:pPr>
        <w:numPr>
          <w:ilvl w:val="0"/>
          <w:numId w:val="13"/>
        </w:numPr>
        <w:tabs>
          <w:tab w:val="clear" w:pos="720"/>
          <w:tab w:val="num" w:pos="426"/>
        </w:tabs>
        <w:spacing w:after="0" w:line="240" w:lineRule="auto"/>
        <w:ind w:left="426" w:hanging="426"/>
        <w:rPr>
          <w:rFonts w:asciiTheme="minorHAnsi" w:hAnsiTheme="minorHAnsi"/>
        </w:rPr>
      </w:pPr>
      <w:r w:rsidRPr="0002516A">
        <w:rPr>
          <w:rFonts w:asciiTheme="minorHAnsi" w:hAnsiTheme="minorHAnsi"/>
        </w:rPr>
        <w:t xml:space="preserve">The estimate of patients treated with </w:t>
      </w:r>
      <w:proofErr w:type="spellStart"/>
      <w:r w:rsidRPr="0002516A">
        <w:rPr>
          <w:rFonts w:asciiTheme="minorHAnsi" w:hAnsiTheme="minorHAnsi"/>
        </w:rPr>
        <w:t>deferasirox</w:t>
      </w:r>
      <w:proofErr w:type="spellEnd"/>
      <w:r w:rsidRPr="0002516A">
        <w:rPr>
          <w:rFonts w:asciiTheme="minorHAnsi" w:hAnsiTheme="minorHAnsi"/>
        </w:rPr>
        <w:t xml:space="preserve"> in the first year of listing was significantly underestimated in the submission (actual</w:t>
      </w:r>
      <w:r w:rsidR="003B3627">
        <w:rPr>
          <w:rFonts w:asciiTheme="minorHAnsi" w:hAnsiTheme="minorHAnsi"/>
        </w:rPr>
        <w:t xml:space="preserve"> less than 1000</w:t>
      </w:r>
      <w:r w:rsidRPr="0002516A">
        <w:rPr>
          <w:rFonts w:asciiTheme="minorHAnsi" w:hAnsiTheme="minorHAnsi"/>
        </w:rPr>
        <w:t xml:space="preserve">) patients. This may </w:t>
      </w:r>
      <w:r w:rsidR="001A5A63" w:rsidRPr="008D2036">
        <w:rPr>
          <w:rFonts w:asciiTheme="minorHAnsi" w:hAnsiTheme="minorHAnsi"/>
        </w:rPr>
        <w:t>have been</w:t>
      </w:r>
      <w:r w:rsidRPr="008D2036">
        <w:rPr>
          <w:rFonts w:asciiTheme="minorHAnsi" w:hAnsiTheme="minorHAnsi"/>
        </w:rPr>
        <w:t xml:space="preserve"> due to patients being treated earlier for iron overload. </w:t>
      </w:r>
    </w:p>
    <w:p w14:paraId="5DBCC62B" w14:textId="49E9F8C0" w:rsidR="000B00BE" w:rsidRPr="00347BA7" w:rsidRDefault="000B00BE" w:rsidP="00F76431">
      <w:pPr>
        <w:numPr>
          <w:ilvl w:val="0"/>
          <w:numId w:val="13"/>
        </w:numPr>
        <w:tabs>
          <w:tab w:val="clear" w:pos="720"/>
          <w:tab w:val="num" w:pos="426"/>
        </w:tabs>
        <w:spacing w:after="0" w:line="240" w:lineRule="auto"/>
        <w:ind w:left="426" w:hanging="426"/>
        <w:rPr>
          <w:rFonts w:asciiTheme="minorHAnsi" w:hAnsiTheme="minorHAnsi"/>
        </w:rPr>
      </w:pPr>
      <w:r w:rsidRPr="008D2036">
        <w:rPr>
          <w:rFonts w:asciiTheme="minorHAnsi" w:hAnsiTheme="minorHAnsi"/>
        </w:rPr>
        <w:lastRenderedPageBreak/>
        <w:t xml:space="preserve">The submission estimated expenditure in </w:t>
      </w:r>
      <w:r w:rsidR="001A5A63" w:rsidRPr="008D2036">
        <w:rPr>
          <w:rFonts w:asciiTheme="minorHAnsi" w:hAnsiTheme="minorHAnsi"/>
        </w:rPr>
        <w:t>Y</w:t>
      </w:r>
      <w:r w:rsidRPr="008D2036">
        <w:rPr>
          <w:rFonts w:asciiTheme="minorHAnsi" w:hAnsiTheme="minorHAnsi"/>
        </w:rPr>
        <w:t xml:space="preserve">ear </w:t>
      </w:r>
      <w:r w:rsidR="001A5A63" w:rsidRPr="008D2036">
        <w:rPr>
          <w:rFonts w:asciiTheme="minorHAnsi" w:hAnsiTheme="minorHAnsi"/>
        </w:rPr>
        <w:t>1</w:t>
      </w:r>
      <w:r w:rsidRPr="008D2036">
        <w:rPr>
          <w:rFonts w:asciiTheme="minorHAnsi" w:hAnsiTheme="minorHAnsi"/>
        </w:rPr>
        <w:t xml:space="preserve"> (2007) </w:t>
      </w:r>
      <w:r w:rsidR="00446A9F" w:rsidRPr="008D2036">
        <w:rPr>
          <w:rFonts w:asciiTheme="minorHAnsi" w:hAnsiTheme="minorHAnsi"/>
        </w:rPr>
        <w:t xml:space="preserve">to be approximately </w:t>
      </w:r>
      <w:r w:rsidR="002E132F">
        <w:rPr>
          <w:rFonts w:asciiTheme="minorHAnsi" w:hAnsiTheme="minorHAnsi"/>
        </w:rPr>
        <w:t>less than $5</w:t>
      </w:r>
      <w:r w:rsidR="008A4D1E">
        <w:rPr>
          <w:rFonts w:asciiTheme="minorHAnsi" w:hAnsiTheme="minorHAnsi"/>
        </w:rPr>
        <w:t xml:space="preserve"> million</w:t>
      </w:r>
      <w:r w:rsidRPr="008D2036">
        <w:rPr>
          <w:rFonts w:asciiTheme="minorHAnsi" w:hAnsiTheme="minorHAnsi"/>
        </w:rPr>
        <w:t xml:space="preserve"> however the actual expenditure of </w:t>
      </w:r>
      <w:proofErr w:type="spellStart"/>
      <w:r w:rsidRPr="008D2036">
        <w:rPr>
          <w:rFonts w:asciiTheme="minorHAnsi" w:hAnsiTheme="minorHAnsi"/>
        </w:rPr>
        <w:t>deferasirox</w:t>
      </w:r>
      <w:proofErr w:type="spellEnd"/>
      <w:r w:rsidRPr="008D2036">
        <w:rPr>
          <w:rFonts w:asciiTheme="minorHAnsi" w:hAnsiTheme="minorHAnsi"/>
        </w:rPr>
        <w:t xml:space="preserve"> was $9,524,233. This is </w:t>
      </w:r>
      <w:r w:rsidR="003C1C48" w:rsidRPr="00347BA7">
        <w:rPr>
          <w:rFonts w:asciiTheme="minorHAnsi" w:hAnsiTheme="minorHAnsi"/>
        </w:rPr>
        <w:t xml:space="preserve">more than 100% </w:t>
      </w:r>
      <w:r w:rsidRPr="00347BA7">
        <w:rPr>
          <w:rFonts w:asciiTheme="minorHAnsi" w:hAnsiTheme="minorHAnsi"/>
        </w:rPr>
        <w:t xml:space="preserve">over that which was estimated by the sponsor. </w:t>
      </w:r>
    </w:p>
    <w:p w14:paraId="2E0B41B4" w14:textId="50560136" w:rsidR="000B00BE" w:rsidRPr="008D2036" w:rsidRDefault="000B00BE" w:rsidP="00922599">
      <w:pPr>
        <w:numPr>
          <w:ilvl w:val="0"/>
          <w:numId w:val="13"/>
        </w:numPr>
        <w:tabs>
          <w:tab w:val="clear" w:pos="720"/>
          <w:tab w:val="num" w:pos="426"/>
        </w:tabs>
        <w:spacing w:line="240" w:lineRule="auto"/>
        <w:ind w:left="426" w:hanging="426"/>
        <w:contextualSpacing/>
        <w:rPr>
          <w:rFonts w:asciiTheme="minorHAnsi" w:eastAsia="Times New Roman" w:hAnsiTheme="minorHAnsi" w:cs="Times New Roman"/>
        </w:rPr>
      </w:pPr>
      <w:r w:rsidRPr="008D2036">
        <w:rPr>
          <w:rFonts w:asciiTheme="minorHAnsi" w:eastAsia="Times New Roman" w:hAnsiTheme="minorHAnsi" w:cs="Times New Roman"/>
        </w:rPr>
        <w:t xml:space="preserve">The proportion of pack sizes estimated in the submission was not reflected in the actual usage post PBS listing. There was considerably more of the 500 mg strength packs being used, contributing to the higher than expected expenditure. </w:t>
      </w:r>
    </w:p>
    <w:p w14:paraId="0312FFEC" w14:textId="7F0A2A52" w:rsidR="00E677DD" w:rsidRPr="0092516A" w:rsidRDefault="00E677DD" w:rsidP="007F19F0">
      <w:pPr>
        <w:pStyle w:val="Heading4"/>
      </w:pPr>
      <w:r w:rsidRPr="00932FD9">
        <w:t>Method</w:t>
      </w:r>
      <w:r w:rsidR="001B5D37" w:rsidRPr="00932FD9">
        <w:t>s</w:t>
      </w:r>
    </w:p>
    <w:p w14:paraId="0DA6ECEE" w14:textId="77777777" w:rsidR="000B00BE" w:rsidRPr="000B00BE" w:rsidRDefault="000B00BE" w:rsidP="00F76431">
      <w:pPr>
        <w:spacing w:line="240" w:lineRule="auto"/>
        <w:rPr>
          <w:rFonts w:asciiTheme="minorHAnsi" w:hAnsiTheme="minorHAnsi"/>
          <w:lang w:val="en-US"/>
        </w:rPr>
      </w:pPr>
      <w:r w:rsidRPr="000B00BE">
        <w:rPr>
          <w:rFonts w:asciiTheme="minorHAnsi" w:hAnsiTheme="minorHAnsi"/>
          <w:lang w:val="en-US"/>
        </w:rPr>
        <w:t xml:space="preserve">Iron chelating drugs are part of the Section 100 Highly </w:t>
      </w:r>
      <w:proofErr w:type="spellStart"/>
      <w:r w:rsidRPr="000B00BE">
        <w:rPr>
          <w:rFonts w:asciiTheme="minorHAnsi" w:hAnsiTheme="minorHAnsi"/>
          <w:lang w:val="en-US"/>
        </w:rPr>
        <w:t>Specialised</w:t>
      </w:r>
      <w:proofErr w:type="spellEnd"/>
      <w:r w:rsidRPr="000B00BE">
        <w:rPr>
          <w:rFonts w:asciiTheme="minorHAnsi" w:hAnsiTheme="minorHAnsi"/>
          <w:lang w:val="en-US"/>
        </w:rPr>
        <w:t xml:space="preserve"> Drugs (HSD) Program.</w:t>
      </w:r>
    </w:p>
    <w:p w14:paraId="57DC2C38" w14:textId="359443C2" w:rsidR="000B00BE" w:rsidRPr="000B00BE" w:rsidRDefault="000B00BE" w:rsidP="00F76431">
      <w:pPr>
        <w:spacing w:line="240" w:lineRule="auto"/>
        <w:rPr>
          <w:rFonts w:asciiTheme="minorHAnsi" w:hAnsiTheme="minorHAnsi"/>
          <w:lang w:val="en-US"/>
        </w:rPr>
      </w:pPr>
      <w:r w:rsidRPr="000B00BE">
        <w:rPr>
          <w:rFonts w:asciiTheme="minorHAnsi" w:hAnsiTheme="minorHAnsi"/>
          <w:lang w:val="en-US"/>
        </w:rPr>
        <w:t>For prescriptions supplied through public hospitals the vast majority of data are in aggregated form: number of packs supp</w:t>
      </w:r>
      <w:r w:rsidR="00A84D56">
        <w:rPr>
          <w:rFonts w:asciiTheme="minorHAnsi" w:hAnsiTheme="minorHAnsi"/>
          <w:lang w:val="en-US"/>
        </w:rPr>
        <w:t xml:space="preserve">lied and expenditure per </w:t>
      </w:r>
      <w:r w:rsidR="00432E97">
        <w:rPr>
          <w:rFonts w:asciiTheme="minorHAnsi" w:hAnsiTheme="minorHAnsi"/>
          <w:lang w:val="en-US"/>
        </w:rPr>
        <w:t>quarter</w:t>
      </w:r>
      <w:r w:rsidRPr="000B00BE">
        <w:rPr>
          <w:rFonts w:asciiTheme="minorHAnsi" w:hAnsiTheme="minorHAnsi"/>
          <w:lang w:val="en-US"/>
        </w:rPr>
        <w:t xml:space="preserve"> and an estimate of the number of patients prescribe</w:t>
      </w:r>
      <w:r w:rsidR="00066CC0">
        <w:rPr>
          <w:rFonts w:asciiTheme="minorHAnsi" w:hAnsiTheme="minorHAnsi"/>
          <w:lang w:val="en-US"/>
        </w:rPr>
        <w:t xml:space="preserve">d each drug in a given quarter.  </w:t>
      </w:r>
      <w:r w:rsidRPr="000B00BE">
        <w:rPr>
          <w:rFonts w:asciiTheme="minorHAnsi" w:hAnsiTheme="minorHAnsi"/>
          <w:lang w:val="en-US"/>
        </w:rPr>
        <w:t xml:space="preserve">Thus the information available is extremely limited. </w:t>
      </w:r>
    </w:p>
    <w:p w14:paraId="34993E4E" w14:textId="65520248" w:rsidR="000B00BE" w:rsidRPr="000B00BE" w:rsidRDefault="000B00BE" w:rsidP="00F76431">
      <w:pPr>
        <w:spacing w:line="240" w:lineRule="auto"/>
        <w:rPr>
          <w:rFonts w:asciiTheme="minorHAnsi" w:hAnsiTheme="minorHAnsi"/>
          <w:lang w:val="en-US"/>
        </w:rPr>
      </w:pPr>
      <w:r w:rsidRPr="000B00BE">
        <w:rPr>
          <w:rFonts w:asciiTheme="minorHAnsi" w:hAnsiTheme="minorHAnsi"/>
          <w:lang w:val="en-US"/>
        </w:rPr>
        <w:t>For private hospital prescriptions, full data capture occurs from the D</w:t>
      </w:r>
      <w:r w:rsidR="0009625C">
        <w:rPr>
          <w:rFonts w:asciiTheme="minorHAnsi" w:hAnsiTheme="minorHAnsi"/>
          <w:lang w:val="en-US"/>
        </w:rPr>
        <w:t>epartment of Human Services (D</w:t>
      </w:r>
      <w:r w:rsidRPr="000B00BE">
        <w:rPr>
          <w:rFonts w:asciiTheme="minorHAnsi" w:hAnsiTheme="minorHAnsi"/>
          <w:lang w:val="en-US"/>
        </w:rPr>
        <w:t>HS</w:t>
      </w:r>
      <w:r w:rsidR="0009625C">
        <w:rPr>
          <w:rFonts w:asciiTheme="minorHAnsi" w:hAnsiTheme="minorHAnsi"/>
          <w:lang w:val="en-US"/>
        </w:rPr>
        <w:t>)</w:t>
      </w:r>
      <w:r w:rsidRPr="000B00BE">
        <w:rPr>
          <w:rFonts w:asciiTheme="minorHAnsi" w:hAnsiTheme="minorHAnsi"/>
          <w:lang w:val="en-US"/>
        </w:rPr>
        <w:t xml:space="preserve"> (Medicare) Authority approvals database and prescription processing system. Individual, de-identified, patient level data are available. </w:t>
      </w:r>
    </w:p>
    <w:p w14:paraId="75F807A1" w14:textId="69C72C99" w:rsidR="000B00BE" w:rsidRPr="000B00BE" w:rsidRDefault="000B00BE" w:rsidP="00F76431">
      <w:pPr>
        <w:spacing w:line="240" w:lineRule="auto"/>
        <w:rPr>
          <w:rFonts w:asciiTheme="minorHAnsi" w:hAnsiTheme="minorHAnsi"/>
          <w:lang w:val="en-US"/>
        </w:rPr>
      </w:pPr>
      <w:r w:rsidRPr="000B00BE">
        <w:rPr>
          <w:rFonts w:asciiTheme="minorHAnsi" w:hAnsiTheme="minorHAnsi"/>
          <w:lang w:val="en-US"/>
        </w:rPr>
        <w:t>From 1 July 2010 public hospitals are able to process prescriptions through the D</w:t>
      </w:r>
      <w:r w:rsidR="0009625C">
        <w:rPr>
          <w:rFonts w:asciiTheme="minorHAnsi" w:hAnsiTheme="minorHAnsi"/>
          <w:lang w:val="en-US"/>
        </w:rPr>
        <w:t>HS</w:t>
      </w:r>
      <w:r w:rsidR="00066CC0">
        <w:rPr>
          <w:rFonts w:asciiTheme="minorHAnsi" w:hAnsiTheme="minorHAnsi"/>
          <w:lang w:val="en-US"/>
        </w:rPr>
        <w:t xml:space="preserve"> (Medicare).  </w:t>
      </w:r>
      <w:r w:rsidRPr="000B00BE">
        <w:rPr>
          <w:rFonts w:asciiTheme="minorHAnsi" w:hAnsiTheme="minorHAnsi"/>
          <w:lang w:val="en-US"/>
        </w:rPr>
        <w:t>Public hospitals are increasingly process</w:t>
      </w:r>
      <w:r w:rsidR="00066CC0">
        <w:rPr>
          <w:rFonts w:asciiTheme="minorHAnsi" w:hAnsiTheme="minorHAnsi"/>
          <w:lang w:val="en-US"/>
        </w:rPr>
        <w:t xml:space="preserve">ing HSD medicines through DHS.  </w:t>
      </w:r>
      <w:r w:rsidRPr="000B00BE">
        <w:rPr>
          <w:rFonts w:asciiTheme="minorHAnsi" w:hAnsiTheme="minorHAnsi"/>
          <w:lang w:val="en-US"/>
        </w:rPr>
        <w:t xml:space="preserve">In the second quarter of 2013, 96% of total iron chelating drugs dispensed (public and </w:t>
      </w:r>
      <w:r w:rsidR="00066CC0">
        <w:rPr>
          <w:rFonts w:asciiTheme="minorHAnsi" w:hAnsiTheme="minorHAnsi"/>
          <w:lang w:val="en-US"/>
        </w:rPr>
        <w:t xml:space="preserve">private) had full data capture.  </w:t>
      </w:r>
      <w:r w:rsidRPr="000B00BE">
        <w:rPr>
          <w:rFonts w:asciiTheme="minorHAnsi" w:hAnsiTheme="minorHAnsi"/>
          <w:lang w:val="en-US"/>
        </w:rPr>
        <w:t xml:space="preserve">Changes in data capture are presented in </w:t>
      </w:r>
      <w:r w:rsidRPr="00D719BD">
        <w:rPr>
          <w:rFonts w:asciiTheme="minorHAnsi" w:hAnsiTheme="minorHAnsi"/>
          <w:lang w:val="en-US"/>
        </w:rPr>
        <w:fldChar w:fldCharType="begin"/>
      </w:r>
      <w:r w:rsidRPr="00D719BD">
        <w:rPr>
          <w:rFonts w:asciiTheme="minorHAnsi" w:hAnsiTheme="minorHAnsi"/>
          <w:lang w:val="en-US"/>
        </w:rPr>
        <w:instrText xml:space="preserve"> REF _Ref374977959 \h </w:instrText>
      </w:r>
      <w:r w:rsidR="00F76431" w:rsidRPr="00D719BD">
        <w:rPr>
          <w:rFonts w:asciiTheme="minorHAnsi" w:hAnsiTheme="minorHAnsi"/>
          <w:lang w:val="en-US"/>
        </w:rPr>
        <w:instrText xml:space="preserve"> \* MERGEFORMAT </w:instrText>
      </w:r>
      <w:r w:rsidRPr="00D719BD">
        <w:rPr>
          <w:rFonts w:asciiTheme="minorHAnsi" w:hAnsiTheme="minorHAnsi"/>
          <w:lang w:val="en-US"/>
        </w:rPr>
      </w:r>
      <w:r w:rsidRPr="00D719BD">
        <w:rPr>
          <w:rFonts w:asciiTheme="minorHAnsi" w:hAnsiTheme="minorHAnsi"/>
          <w:lang w:val="en-US"/>
        </w:rPr>
        <w:fldChar w:fldCharType="separate"/>
      </w:r>
      <w:r w:rsidR="00BE4490" w:rsidRPr="00D719BD">
        <w:rPr>
          <w:rFonts w:asciiTheme="minorHAnsi" w:hAnsiTheme="minorHAnsi"/>
        </w:rPr>
        <w:t>Figure</w:t>
      </w:r>
      <w:r w:rsidR="00BE4490" w:rsidRPr="00D719BD">
        <w:rPr>
          <w:rFonts w:asciiTheme="minorHAnsi" w:hAnsiTheme="minorHAnsi"/>
          <w:bCs/>
          <w:szCs w:val="18"/>
        </w:rPr>
        <w:t xml:space="preserve"> </w:t>
      </w:r>
      <w:r w:rsidR="00BE4490" w:rsidRPr="00D719BD">
        <w:rPr>
          <w:rFonts w:asciiTheme="minorHAnsi" w:hAnsiTheme="minorHAnsi"/>
          <w:bCs/>
          <w:noProof/>
          <w:szCs w:val="18"/>
        </w:rPr>
        <w:t>1</w:t>
      </w:r>
      <w:r w:rsidRPr="00D719BD">
        <w:rPr>
          <w:rFonts w:asciiTheme="minorHAnsi" w:hAnsiTheme="minorHAnsi"/>
          <w:lang w:val="en-US"/>
        </w:rPr>
        <w:fldChar w:fldCharType="end"/>
      </w:r>
      <w:r w:rsidRPr="00D719BD">
        <w:rPr>
          <w:rFonts w:asciiTheme="minorHAnsi" w:hAnsiTheme="minorHAnsi"/>
          <w:lang w:val="en-US"/>
        </w:rPr>
        <w:t>.</w:t>
      </w:r>
    </w:p>
    <w:p w14:paraId="6A8683FF" w14:textId="0DF9DDE4" w:rsidR="00C661FC" w:rsidRDefault="000B00BE" w:rsidP="00D5073D">
      <w:pPr>
        <w:pStyle w:val="Heading2"/>
      </w:pPr>
      <w:r>
        <w:rPr>
          <w:noProof/>
        </w:rPr>
        <w:drawing>
          <wp:inline distT="0" distB="0" distL="0" distR="0" wp14:anchorId="60ED4E57" wp14:editId="58657D03">
            <wp:extent cx="5578475" cy="2926080"/>
            <wp:effectExtent l="0" t="0" r="3175" b="7620"/>
            <wp:docPr id="3" name="Picture 3" descr="Percentage of aggrate compared to full data for the iron chelating agents." title="Figure 1: Highly Specialised Drugs data capture for iron chelating dru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578475" cy="2926080"/>
                    </a:xfrm>
                    <a:prstGeom prst="rect">
                      <a:avLst/>
                    </a:prstGeom>
                    <a:noFill/>
                  </pic:spPr>
                </pic:pic>
              </a:graphicData>
            </a:graphic>
          </wp:inline>
        </w:drawing>
      </w:r>
    </w:p>
    <w:p w14:paraId="78323DF4" w14:textId="77777777" w:rsidR="000B00BE" w:rsidRPr="000B00BE" w:rsidRDefault="000B00BE" w:rsidP="00F76431">
      <w:pPr>
        <w:spacing w:after="0" w:line="240" w:lineRule="auto"/>
        <w:rPr>
          <w:rFonts w:asciiTheme="minorHAnsi" w:hAnsiTheme="minorHAnsi"/>
          <w:b/>
          <w:bCs/>
          <w:szCs w:val="18"/>
        </w:rPr>
      </w:pPr>
      <w:bookmarkStart w:id="1" w:name="_Ref374977959"/>
      <w:r w:rsidRPr="000B00BE">
        <w:rPr>
          <w:rFonts w:asciiTheme="minorHAnsi" w:hAnsiTheme="minorHAnsi"/>
          <w:b/>
          <w:bCs/>
          <w:szCs w:val="18"/>
        </w:rPr>
        <w:t xml:space="preserve">Figure </w:t>
      </w:r>
      <w:r w:rsidRPr="000B00BE">
        <w:rPr>
          <w:rFonts w:asciiTheme="minorHAnsi" w:hAnsiTheme="minorHAnsi"/>
          <w:b/>
          <w:bCs/>
          <w:szCs w:val="18"/>
        </w:rPr>
        <w:fldChar w:fldCharType="begin"/>
      </w:r>
      <w:r w:rsidRPr="000B00BE">
        <w:rPr>
          <w:rFonts w:asciiTheme="minorHAnsi" w:hAnsiTheme="minorHAnsi"/>
          <w:b/>
          <w:bCs/>
          <w:szCs w:val="18"/>
        </w:rPr>
        <w:instrText xml:space="preserve"> SEQ Figure \* ARABIC </w:instrText>
      </w:r>
      <w:r w:rsidRPr="000B00BE">
        <w:rPr>
          <w:rFonts w:asciiTheme="minorHAnsi" w:hAnsiTheme="minorHAnsi"/>
          <w:b/>
          <w:bCs/>
          <w:szCs w:val="18"/>
        </w:rPr>
        <w:fldChar w:fldCharType="separate"/>
      </w:r>
      <w:r w:rsidR="00BE4490">
        <w:rPr>
          <w:rFonts w:asciiTheme="minorHAnsi" w:hAnsiTheme="minorHAnsi"/>
          <w:b/>
          <w:bCs/>
          <w:noProof/>
          <w:szCs w:val="18"/>
        </w:rPr>
        <w:t>1</w:t>
      </w:r>
      <w:r w:rsidRPr="000B00BE">
        <w:rPr>
          <w:rFonts w:asciiTheme="minorHAnsi" w:hAnsiTheme="minorHAnsi"/>
          <w:b/>
          <w:bCs/>
          <w:noProof/>
          <w:szCs w:val="18"/>
        </w:rPr>
        <w:fldChar w:fldCharType="end"/>
      </w:r>
      <w:bookmarkEnd w:id="1"/>
      <w:r w:rsidRPr="000B00BE">
        <w:rPr>
          <w:rFonts w:asciiTheme="minorHAnsi" w:hAnsiTheme="minorHAnsi"/>
          <w:b/>
          <w:bCs/>
          <w:szCs w:val="18"/>
        </w:rPr>
        <w:t>: Highly Specialised Drugs data capture for iron chelating drugs</w:t>
      </w:r>
    </w:p>
    <w:p w14:paraId="3A7FA8E9" w14:textId="77777777" w:rsidR="000B00BE" w:rsidRPr="000B00BE" w:rsidRDefault="000B00BE" w:rsidP="00F76431">
      <w:pPr>
        <w:spacing w:line="240" w:lineRule="auto"/>
        <w:rPr>
          <w:rFonts w:asciiTheme="minorHAnsi" w:hAnsiTheme="minorHAnsi"/>
          <w:sz w:val="20"/>
          <w:szCs w:val="20"/>
        </w:rPr>
      </w:pPr>
      <w:r w:rsidRPr="000B00BE">
        <w:rPr>
          <w:rFonts w:asciiTheme="minorHAnsi" w:hAnsiTheme="minorHAnsi"/>
          <w:sz w:val="20"/>
          <w:szCs w:val="20"/>
        </w:rPr>
        <w:t>Source: Highly Specialised Drugs Database, extracted November 2013.</w:t>
      </w:r>
    </w:p>
    <w:p w14:paraId="4E7FC271" w14:textId="77777777" w:rsidR="000B00BE" w:rsidRPr="000B00BE" w:rsidDel="009B0F2A" w:rsidRDefault="000B00BE" w:rsidP="00F76431">
      <w:pPr>
        <w:spacing w:line="240" w:lineRule="auto"/>
        <w:rPr>
          <w:rFonts w:asciiTheme="minorHAnsi" w:hAnsiTheme="minorHAnsi"/>
        </w:rPr>
      </w:pPr>
      <w:r w:rsidRPr="000B00BE" w:rsidDel="009B0F2A">
        <w:rPr>
          <w:rFonts w:asciiTheme="minorHAnsi" w:hAnsiTheme="minorHAnsi"/>
        </w:rPr>
        <w:lastRenderedPageBreak/>
        <w:t xml:space="preserve">The time to next dispensing analysis used the available full data from July 2011 to July 2013. Prescriptions within the last 150 days of this period were excluded to reduce bias towards more frequent dispensing. </w:t>
      </w:r>
    </w:p>
    <w:p w14:paraId="1653540D" w14:textId="1C68F138" w:rsidR="000B00BE" w:rsidRPr="000B00BE" w:rsidRDefault="000B00BE" w:rsidP="00F76431">
      <w:pPr>
        <w:spacing w:line="240" w:lineRule="auto"/>
        <w:rPr>
          <w:rFonts w:asciiTheme="minorHAnsi" w:hAnsiTheme="minorHAnsi"/>
        </w:rPr>
      </w:pPr>
      <w:r w:rsidRPr="000B00BE">
        <w:rPr>
          <w:rFonts w:asciiTheme="minorHAnsi" w:hAnsiTheme="minorHAnsi"/>
        </w:rPr>
        <w:t xml:space="preserve">The patient age and sex analysis used the full data from the second quarter of 2013 because data for this period is almost complete </w:t>
      </w:r>
      <w:r w:rsidR="00113B76">
        <w:rPr>
          <w:rFonts w:asciiTheme="minorHAnsi" w:hAnsiTheme="minorHAnsi"/>
        </w:rPr>
        <w:t xml:space="preserve">(see </w:t>
      </w:r>
      <w:r w:rsidRPr="000B00BE">
        <w:rPr>
          <w:rFonts w:asciiTheme="minorHAnsi" w:hAnsiTheme="minorHAnsi"/>
        </w:rPr>
        <w:fldChar w:fldCharType="begin"/>
      </w:r>
      <w:r w:rsidRPr="000B00BE">
        <w:rPr>
          <w:rFonts w:asciiTheme="minorHAnsi" w:hAnsiTheme="minorHAnsi"/>
        </w:rPr>
        <w:instrText xml:space="preserve"> REF _Ref374977959 \h </w:instrText>
      </w:r>
      <w:r w:rsidR="00F76431">
        <w:rPr>
          <w:rFonts w:asciiTheme="minorHAnsi" w:hAnsiTheme="minorHAnsi"/>
        </w:rPr>
        <w:instrText xml:space="preserve"> \* MERGEFORMAT </w:instrText>
      </w:r>
      <w:r w:rsidRPr="000B00BE">
        <w:rPr>
          <w:rFonts w:asciiTheme="minorHAnsi" w:hAnsiTheme="minorHAnsi"/>
        </w:rPr>
      </w:r>
      <w:r w:rsidRPr="000B00BE">
        <w:rPr>
          <w:rFonts w:asciiTheme="minorHAnsi" w:hAnsiTheme="minorHAnsi"/>
        </w:rPr>
        <w:fldChar w:fldCharType="separate"/>
      </w:r>
      <w:r w:rsidR="00BE4490" w:rsidRPr="00BE4490">
        <w:rPr>
          <w:rFonts w:asciiTheme="minorHAnsi" w:hAnsiTheme="minorHAnsi"/>
        </w:rPr>
        <w:t xml:space="preserve">Figure </w:t>
      </w:r>
      <w:r w:rsidR="00BE4490" w:rsidRPr="00BE4490">
        <w:rPr>
          <w:rFonts w:asciiTheme="minorHAnsi" w:hAnsiTheme="minorHAnsi"/>
          <w:noProof/>
        </w:rPr>
        <w:t>1</w:t>
      </w:r>
      <w:r w:rsidRPr="000B00BE">
        <w:rPr>
          <w:rFonts w:asciiTheme="minorHAnsi" w:hAnsiTheme="minorHAnsi"/>
        </w:rPr>
        <w:fldChar w:fldCharType="end"/>
      </w:r>
      <w:r w:rsidR="00113B76">
        <w:rPr>
          <w:rFonts w:asciiTheme="minorHAnsi" w:hAnsiTheme="minorHAnsi"/>
        </w:rPr>
        <w:t>)</w:t>
      </w:r>
      <w:r w:rsidR="004F7A1F">
        <w:rPr>
          <w:rFonts w:asciiTheme="minorHAnsi" w:hAnsiTheme="minorHAnsi"/>
        </w:rPr>
        <w:t xml:space="preserve">.  </w:t>
      </w:r>
      <w:r w:rsidRPr="000B00BE">
        <w:rPr>
          <w:rFonts w:asciiTheme="minorHAnsi" w:hAnsiTheme="minorHAnsi"/>
        </w:rPr>
        <w:t>Unique patient identification numbers (PINs) were used to ens</w:t>
      </w:r>
      <w:r w:rsidR="004F7A1F">
        <w:rPr>
          <w:rFonts w:asciiTheme="minorHAnsi" w:hAnsiTheme="minorHAnsi"/>
        </w:rPr>
        <w:t xml:space="preserve">ure patients were counted once.  </w:t>
      </w:r>
      <w:r w:rsidRPr="000B00BE">
        <w:rPr>
          <w:rFonts w:asciiTheme="minorHAnsi" w:hAnsiTheme="minorHAnsi"/>
        </w:rPr>
        <w:t>The time to next dispensing analysis shows the majority of prescriptions are refilled within a 9</w:t>
      </w:r>
      <w:r w:rsidR="004F7A1F">
        <w:rPr>
          <w:rFonts w:asciiTheme="minorHAnsi" w:hAnsiTheme="minorHAnsi"/>
        </w:rPr>
        <w:t xml:space="preserve">0 day period.  </w:t>
      </w:r>
      <w:r w:rsidRPr="000B00BE">
        <w:rPr>
          <w:rFonts w:asciiTheme="minorHAnsi" w:hAnsiTheme="minorHAnsi"/>
        </w:rPr>
        <w:t>At present, it is not possible to undertake an a</w:t>
      </w:r>
      <w:r w:rsidR="004F7A1F">
        <w:rPr>
          <w:rFonts w:asciiTheme="minorHAnsi" w:hAnsiTheme="minorHAnsi"/>
        </w:rPr>
        <w:t xml:space="preserve">nalysis of initiating patients.  </w:t>
      </w:r>
      <w:r w:rsidRPr="000B00BE">
        <w:rPr>
          <w:rFonts w:asciiTheme="minorHAnsi" w:hAnsiTheme="minorHAnsi"/>
        </w:rPr>
        <w:t xml:space="preserve">When public hospitals transition from bulk processing (aggregate data) to online processing (full data), patients appear as initiators on the online data although they were previously treated with iron chelating drugs. </w:t>
      </w:r>
    </w:p>
    <w:p w14:paraId="15CC38E3" w14:textId="51C80BA2" w:rsidR="000B00BE" w:rsidRPr="000B00BE" w:rsidRDefault="000B00BE" w:rsidP="00F76431">
      <w:pPr>
        <w:spacing w:line="240" w:lineRule="auto"/>
        <w:rPr>
          <w:rFonts w:asciiTheme="minorHAnsi" w:hAnsiTheme="minorHAnsi"/>
        </w:rPr>
      </w:pPr>
      <w:r w:rsidRPr="000B00BE">
        <w:rPr>
          <w:rFonts w:asciiTheme="minorHAnsi" w:hAnsiTheme="minorHAnsi"/>
        </w:rPr>
        <w:t>Special pricing arra</w:t>
      </w:r>
      <w:r w:rsidR="00CA644E">
        <w:rPr>
          <w:rFonts w:asciiTheme="minorHAnsi" w:hAnsiTheme="minorHAnsi"/>
        </w:rPr>
        <w:t xml:space="preserve">ngements apply for </w:t>
      </w:r>
      <w:proofErr w:type="spellStart"/>
      <w:r w:rsidR="00CA644E">
        <w:rPr>
          <w:rFonts w:asciiTheme="minorHAnsi" w:hAnsiTheme="minorHAnsi"/>
        </w:rPr>
        <w:t>deferasirox</w:t>
      </w:r>
      <w:proofErr w:type="spellEnd"/>
      <w:r w:rsidR="00CA644E">
        <w:rPr>
          <w:rFonts w:asciiTheme="minorHAnsi" w:hAnsiTheme="minorHAnsi"/>
        </w:rPr>
        <w:t xml:space="preserve">.  </w:t>
      </w:r>
      <w:r w:rsidRPr="000B00BE">
        <w:rPr>
          <w:rFonts w:asciiTheme="minorHAnsi" w:hAnsiTheme="minorHAnsi"/>
        </w:rPr>
        <w:t xml:space="preserve">Expenditure presented in this report is based on the prices published in the PBS schedule.  </w:t>
      </w:r>
    </w:p>
    <w:p w14:paraId="4F91A98A" w14:textId="6CFDAE89" w:rsidR="00C714D0" w:rsidRPr="0021104B" w:rsidRDefault="00C714D0" w:rsidP="0021104B">
      <w:pPr>
        <w:rPr>
          <w:rFonts w:asciiTheme="minorHAnsi" w:hAnsiTheme="minorHAnsi"/>
          <w:b/>
          <w:sz w:val="32"/>
          <w:szCs w:val="32"/>
        </w:rPr>
      </w:pPr>
      <w:r w:rsidRPr="0021104B">
        <w:rPr>
          <w:rFonts w:asciiTheme="minorHAnsi" w:hAnsiTheme="minorHAnsi"/>
          <w:b/>
          <w:sz w:val="32"/>
          <w:szCs w:val="32"/>
        </w:rPr>
        <w:t>Results</w:t>
      </w:r>
    </w:p>
    <w:p w14:paraId="0B541F95" w14:textId="77777777" w:rsidR="000B00BE" w:rsidRPr="00BE0A35" w:rsidRDefault="000B00BE" w:rsidP="00BE0A35">
      <w:pPr>
        <w:rPr>
          <w:rFonts w:asciiTheme="minorHAnsi" w:hAnsiTheme="minorHAnsi"/>
          <w:b/>
          <w:i/>
        </w:rPr>
      </w:pPr>
      <w:r w:rsidRPr="00BE0A35">
        <w:rPr>
          <w:rFonts w:asciiTheme="minorHAnsi" w:hAnsiTheme="minorHAnsi"/>
          <w:b/>
          <w:i/>
        </w:rPr>
        <w:t>Overall utilisation</w:t>
      </w:r>
    </w:p>
    <w:p w14:paraId="4941CC2C" w14:textId="77777777" w:rsidR="000B00BE" w:rsidRDefault="000B00BE" w:rsidP="00F76431">
      <w:pPr>
        <w:spacing w:line="240" w:lineRule="auto"/>
        <w:rPr>
          <w:rFonts w:asciiTheme="minorHAnsi" w:hAnsiTheme="minorHAnsi"/>
        </w:rPr>
      </w:pPr>
      <w:r w:rsidRPr="000B00BE">
        <w:rPr>
          <w:rFonts w:asciiTheme="minorHAnsi" w:hAnsiTheme="minorHAnsi"/>
        </w:rPr>
        <w:t xml:space="preserve">The overall usage of the iron chelating </w:t>
      </w:r>
      <w:proofErr w:type="gramStart"/>
      <w:r w:rsidRPr="000B00BE">
        <w:rPr>
          <w:rFonts w:asciiTheme="minorHAnsi" w:hAnsiTheme="minorHAnsi"/>
        </w:rPr>
        <w:t>agents</w:t>
      </w:r>
      <w:proofErr w:type="gramEnd"/>
      <w:r w:rsidRPr="000B00BE">
        <w:rPr>
          <w:rFonts w:asciiTheme="minorHAnsi" w:hAnsiTheme="minorHAnsi"/>
        </w:rPr>
        <w:t xml:space="preserve"> </w:t>
      </w:r>
      <w:proofErr w:type="spellStart"/>
      <w:r w:rsidRPr="000B00BE">
        <w:rPr>
          <w:rFonts w:asciiTheme="minorHAnsi" w:hAnsiTheme="minorHAnsi"/>
        </w:rPr>
        <w:t>desferrioxamine</w:t>
      </w:r>
      <w:proofErr w:type="spellEnd"/>
      <w:r w:rsidRPr="000B00BE">
        <w:rPr>
          <w:rFonts w:asciiTheme="minorHAnsi" w:hAnsiTheme="minorHAnsi"/>
        </w:rPr>
        <w:t xml:space="preserve">, </w:t>
      </w:r>
      <w:proofErr w:type="spellStart"/>
      <w:r w:rsidRPr="000B00BE">
        <w:rPr>
          <w:rFonts w:asciiTheme="minorHAnsi" w:hAnsiTheme="minorHAnsi"/>
        </w:rPr>
        <w:t>deferiprone</w:t>
      </w:r>
      <w:proofErr w:type="spellEnd"/>
      <w:r w:rsidRPr="000B00BE">
        <w:rPr>
          <w:rFonts w:asciiTheme="minorHAnsi" w:hAnsiTheme="minorHAnsi"/>
        </w:rPr>
        <w:t xml:space="preserve"> and </w:t>
      </w:r>
      <w:proofErr w:type="spellStart"/>
      <w:r w:rsidRPr="000B00BE">
        <w:rPr>
          <w:rFonts w:asciiTheme="minorHAnsi" w:hAnsiTheme="minorHAnsi"/>
        </w:rPr>
        <w:t>deferasirox</w:t>
      </w:r>
      <w:proofErr w:type="spellEnd"/>
      <w:r w:rsidRPr="000B00BE">
        <w:rPr>
          <w:rFonts w:asciiTheme="minorHAnsi" w:hAnsiTheme="minorHAnsi"/>
        </w:rPr>
        <w:t xml:space="preserve"> from January 2009 to June 2013 is presented in Figure </w:t>
      </w:r>
      <w:r>
        <w:rPr>
          <w:rFonts w:asciiTheme="minorHAnsi" w:hAnsiTheme="minorHAnsi"/>
        </w:rPr>
        <w:t>2</w:t>
      </w:r>
      <w:r w:rsidRPr="000B00BE">
        <w:rPr>
          <w:rFonts w:asciiTheme="minorHAnsi" w:hAnsiTheme="minorHAnsi"/>
        </w:rPr>
        <w:t xml:space="preserve">. </w:t>
      </w:r>
    </w:p>
    <w:p w14:paraId="2E35D992" w14:textId="08DE4BD6" w:rsidR="000B00BE" w:rsidRDefault="000B00BE" w:rsidP="00F76431">
      <w:pPr>
        <w:spacing w:line="240" w:lineRule="auto"/>
        <w:rPr>
          <w:rFonts w:asciiTheme="minorHAnsi" w:hAnsiTheme="minorHAnsi"/>
          <w:sz w:val="20"/>
          <w:szCs w:val="20"/>
        </w:rPr>
      </w:pPr>
      <w:r w:rsidRPr="000B00BE">
        <w:rPr>
          <w:rFonts w:asciiTheme="minorHAnsi" w:hAnsiTheme="minorHAnsi"/>
          <w:b/>
          <w:noProof/>
        </w:rPr>
        <w:drawing>
          <wp:inline distT="0" distB="0" distL="0" distR="0" wp14:anchorId="6BC1A264" wp14:editId="11642EFA">
            <wp:extent cx="5687695" cy="3014415"/>
            <wp:effectExtent l="0" t="0" r="8255" b="0"/>
            <wp:docPr id="5" name="Picture 5" descr="Packs of iron chelating agents by year and quarter - January 2009 (Q1) to June 2013 (Q2) " title="Figure 2: Iron chelating drug packs - January 2009 (Q1) to June 2013 (Q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687695" cy="3014415"/>
                    </a:xfrm>
                    <a:prstGeom prst="rect">
                      <a:avLst/>
                    </a:prstGeom>
                    <a:noFill/>
                  </pic:spPr>
                </pic:pic>
              </a:graphicData>
            </a:graphic>
          </wp:inline>
        </w:drawing>
      </w:r>
      <w:r w:rsidRPr="000B00BE">
        <w:rPr>
          <w:rFonts w:asciiTheme="minorHAnsi" w:hAnsiTheme="minorHAnsi"/>
          <w:b/>
        </w:rPr>
        <w:t xml:space="preserve">Figure </w:t>
      </w:r>
      <w:r w:rsidRPr="000B00BE">
        <w:rPr>
          <w:rFonts w:asciiTheme="minorHAnsi" w:hAnsiTheme="minorHAnsi"/>
          <w:b/>
        </w:rPr>
        <w:fldChar w:fldCharType="begin"/>
      </w:r>
      <w:r w:rsidRPr="000B00BE">
        <w:rPr>
          <w:rFonts w:asciiTheme="minorHAnsi" w:hAnsiTheme="minorHAnsi"/>
          <w:b/>
        </w:rPr>
        <w:instrText xml:space="preserve"> SEQ Figure \* ARABIC </w:instrText>
      </w:r>
      <w:r w:rsidRPr="000B00BE">
        <w:rPr>
          <w:rFonts w:asciiTheme="minorHAnsi" w:hAnsiTheme="minorHAnsi"/>
          <w:b/>
        </w:rPr>
        <w:fldChar w:fldCharType="separate"/>
      </w:r>
      <w:r w:rsidR="00BE4490">
        <w:rPr>
          <w:rFonts w:asciiTheme="minorHAnsi" w:hAnsiTheme="minorHAnsi"/>
          <w:b/>
          <w:noProof/>
        </w:rPr>
        <w:t>2</w:t>
      </w:r>
      <w:r w:rsidRPr="000B00BE">
        <w:rPr>
          <w:rFonts w:asciiTheme="minorHAnsi" w:hAnsiTheme="minorHAnsi"/>
          <w:b/>
        </w:rPr>
        <w:fldChar w:fldCharType="end"/>
      </w:r>
      <w:r w:rsidRPr="000B00BE">
        <w:rPr>
          <w:rFonts w:asciiTheme="minorHAnsi" w:hAnsiTheme="minorHAnsi"/>
          <w:b/>
        </w:rPr>
        <w:t>: Iron chelating drug packs - January 2009 (Q1) to June 2013 (Q2</w:t>
      </w:r>
      <w:r w:rsidR="00432E97" w:rsidRPr="000B00BE">
        <w:rPr>
          <w:rFonts w:asciiTheme="minorHAnsi" w:hAnsiTheme="minorHAnsi"/>
          <w:b/>
        </w:rPr>
        <w:t xml:space="preserve">) </w:t>
      </w:r>
      <w:r w:rsidRPr="000B00BE">
        <w:rPr>
          <w:rFonts w:asciiTheme="minorHAnsi" w:hAnsiTheme="minorHAnsi"/>
          <w:b/>
        </w:rPr>
        <w:br/>
      </w:r>
      <w:r w:rsidRPr="000B00BE">
        <w:rPr>
          <w:rFonts w:asciiTheme="minorHAnsi" w:hAnsiTheme="minorHAnsi"/>
          <w:sz w:val="20"/>
          <w:szCs w:val="20"/>
        </w:rPr>
        <w:t>Source: Highly Specialised Drugs Database, extracted November 2013</w:t>
      </w:r>
    </w:p>
    <w:p w14:paraId="2F791391" w14:textId="4A5D4035" w:rsidR="000B00BE" w:rsidRDefault="000B00BE" w:rsidP="00F76431">
      <w:pPr>
        <w:spacing w:line="240" w:lineRule="auto"/>
        <w:rPr>
          <w:rFonts w:asciiTheme="minorHAnsi" w:hAnsiTheme="minorHAnsi"/>
        </w:rPr>
      </w:pPr>
      <w:r w:rsidRPr="000B00BE">
        <w:rPr>
          <w:rFonts w:asciiTheme="minorHAnsi" w:hAnsiTheme="minorHAnsi"/>
        </w:rPr>
        <w:t xml:space="preserve">The number of packs of </w:t>
      </w:r>
      <w:proofErr w:type="spellStart"/>
      <w:r w:rsidRPr="000B00BE">
        <w:rPr>
          <w:rFonts w:asciiTheme="minorHAnsi" w:hAnsiTheme="minorHAnsi"/>
        </w:rPr>
        <w:t>deferiprone</w:t>
      </w:r>
      <w:proofErr w:type="spellEnd"/>
      <w:r w:rsidRPr="000B00BE">
        <w:rPr>
          <w:rFonts w:asciiTheme="minorHAnsi" w:hAnsiTheme="minorHAnsi"/>
        </w:rPr>
        <w:t xml:space="preserve"> supplied has been stable over this time period while the number of </w:t>
      </w:r>
      <w:proofErr w:type="spellStart"/>
      <w:r w:rsidRPr="000B00BE">
        <w:rPr>
          <w:rFonts w:asciiTheme="minorHAnsi" w:hAnsiTheme="minorHAnsi"/>
        </w:rPr>
        <w:t>d</w:t>
      </w:r>
      <w:r w:rsidR="003B7642">
        <w:rPr>
          <w:rFonts w:asciiTheme="minorHAnsi" w:hAnsiTheme="minorHAnsi"/>
        </w:rPr>
        <w:t>esferrioxamine</w:t>
      </w:r>
      <w:proofErr w:type="spellEnd"/>
      <w:r w:rsidR="003B7642">
        <w:rPr>
          <w:rFonts w:asciiTheme="minorHAnsi" w:hAnsiTheme="minorHAnsi"/>
        </w:rPr>
        <w:t xml:space="preserve"> packs decreased.  </w:t>
      </w:r>
      <w:r w:rsidRPr="000B00BE">
        <w:rPr>
          <w:rFonts w:asciiTheme="minorHAnsi" w:hAnsiTheme="minorHAnsi"/>
        </w:rPr>
        <w:t xml:space="preserve">The total number of packs of </w:t>
      </w:r>
      <w:proofErr w:type="spellStart"/>
      <w:r w:rsidRPr="000B00BE">
        <w:rPr>
          <w:rFonts w:asciiTheme="minorHAnsi" w:hAnsiTheme="minorHAnsi"/>
        </w:rPr>
        <w:t>deferasirox</w:t>
      </w:r>
      <w:proofErr w:type="spellEnd"/>
      <w:r w:rsidRPr="000B00BE">
        <w:rPr>
          <w:rFonts w:asciiTheme="minorHAnsi" w:hAnsiTheme="minorHAnsi"/>
        </w:rPr>
        <w:t xml:space="preserve"> per quarter increased until the third quarter of 2011 and has remained relatively stable since. It should be noted that one pack of a drug may not last for the same duration</w:t>
      </w:r>
      <w:r w:rsidR="00113B76">
        <w:rPr>
          <w:rFonts w:asciiTheme="minorHAnsi" w:hAnsiTheme="minorHAnsi"/>
        </w:rPr>
        <w:t xml:space="preserve"> as a pack of another drug</w:t>
      </w:r>
      <w:r w:rsidR="003B7642">
        <w:rPr>
          <w:rFonts w:asciiTheme="minorHAnsi" w:hAnsiTheme="minorHAnsi"/>
        </w:rPr>
        <w:t xml:space="preserve">.  </w:t>
      </w:r>
      <w:r w:rsidRPr="000B00BE">
        <w:rPr>
          <w:rFonts w:asciiTheme="minorHAnsi" w:hAnsiTheme="minorHAnsi"/>
        </w:rPr>
        <w:t xml:space="preserve">The maximum quantity per </w:t>
      </w:r>
      <w:proofErr w:type="spellStart"/>
      <w:r w:rsidRPr="000B00BE">
        <w:rPr>
          <w:rFonts w:asciiTheme="minorHAnsi" w:hAnsiTheme="minorHAnsi"/>
        </w:rPr>
        <w:t>desferrioxamine</w:t>
      </w:r>
      <w:proofErr w:type="spellEnd"/>
      <w:r w:rsidRPr="000B00BE">
        <w:rPr>
          <w:rFonts w:asciiTheme="minorHAnsi" w:hAnsiTheme="minorHAnsi"/>
        </w:rPr>
        <w:t xml:space="preserve"> prescription is 60 to 400 vials whereas the maximum quantity for </w:t>
      </w:r>
      <w:proofErr w:type="spellStart"/>
      <w:r w:rsidRPr="000B00BE">
        <w:rPr>
          <w:rFonts w:asciiTheme="minorHAnsi" w:hAnsiTheme="minorHAnsi"/>
        </w:rPr>
        <w:t>deferasirox</w:t>
      </w:r>
      <w:proofErr w:type="spellEnd"/>
      <w:r w:rsidRPr="000B00BE">
        <w:rPr>
          <w:rFonts w:asciiTheme="minorHAnsi" w:hAnsiTheme="minorHAnsi"/>
        </w:rPr>
        <w:t xml:space="preserve"> is 6 packs (168 tablets).</w:t>
      </w:r>
    </w:p>
    <w:p w14:paraId="5E24E9E6" w14:textId="52F076A5" w:rsidR="000B00BE" w:rsidRPr="000B00BE" w:rsidRDefault="000B00BE" w:rsidP="00F76431">
      <w:pPr>
        <w:spacing w:line="240" w:lineRule="auto"/>
        <w:rPr>
          <w:rFonts w:asciiTheme="minorHAnsi" w:hAnsiTheme="minorHAnsi"/>
        </w:rPr>
      </w:pPr>
      <w:r w:rsidRPr="000B00BE">
        <w:rPr>
          <w:rFonts w:asciiTheme="minorHAnsi" w:hAnsiTheme="minorHAnsi"/>
        </w:rPr>
        <w:lastRenderedPageBreak/>
        <w:t xml:space="preserve">Figure 3 presents the utilisation of </w:t>
      </w:r>
      <w:proofErr w:type="spellStart"/>
      <w:r w:rsidRPr="000B00BE">
        <w:rPr>
          <w:rFonts w:asciiTheme="minorHAnsi" w:hAnsiTheme="minorHAnsi"/>
        </w:rPr>
        <w:t>deferasirox</w:t>
      </w:r>
      <w:proofErr w:type="spellEnd"/>
      <w:r w:rsidRPr="000B00BE">
        <w:rPr>
          <w:rFonts w:asciiTheme="minorHAnsi" w:hAnsiTheme="minorHAnsi"/>
        </w:rPr>
        <w:t xml:space="preserve"> by strength. </w:t>
      </w:r>
    </w:p>
    <w:p w14:paraId="492E02E8" w14:textId="77777777" w:rsidR="000B00BE" w:rsidRPr="000B00BE" w:rsidRDefault="000B00BE" w:rsidP="00F76431">
      <w:pPr>
        <w:keepNext/>
        <w:spacing w:line="240" w:lineRule="auto"/>
        <w:rPr>
          <w:rFonts w:asciiTheme="minorHAnsi" w:hAnsiTheme="minorHAnsi"/>
        </w:rPr>
      </w:pPr>
      <w:r w:rsidRPr="000B00BE">
        <w:rPr>
          <w:rFonts w:asciiTheme="minorHAnsi" w:hAnsiTheme="minorHAnsi"/>
          <w:noProof/>
        </w:rPr>
        <w:drawing>
          <wp:inline distT="0" distB="0" distL="0" distR="0" wp14:anchorId="058A5CDE" wp14:editId="269BFBF1">
            <wp:extent cx="5410200" cy="3110313"/>
            <wp:effectExtent l="0" t="0" r="0" b="0"/>
            <wp:docPr id="6" name="Picture 6" descr="Deferasirox packs by strength - January 2009 (Q1) to June 2013 (Q2)" title="Figure 3: Deferasirox packs by strength - January 2009 (Q1) to June 2013 (Q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412171" cy="3111446"/>
                    </a:xfrm>
                    <a:prstGeom prst="rect">
                      <a:avLst/>
                    </a:prstGeom>
                    <a:noFill/>
                  </pic:spPr>
                </pic:pic>
              </a:graphicData>
            </a:graphic>
          </wp:inline>
        </w:drawing>
      </w:r>
      <w:r w:rsidRPr="000B00BE">
        <w:rPr>
          <w:rFonts w:asciiTheme="minorHAnsi" w:hAnsiTheme="minorHAnsi"/>
          <w:b/>
        </w:rPr>
        <w:br/>
        <w:t xml:space="preserve">Figure </w:t>
      </w:r>
      <w:r w:rsidRPr="000B00BE">
        <w:rPr>
          <w:rFonts w:asciiTheme="minorHAnsi" w:hAnsiTheme="minorHAnsi"/>
          <w:b/>
        </w:rPr>
        <w:fldChar w:fldCharType="begin"/>
      </w:r>
      <w:r w:rsidRPr="000B00BE">
        <w:rPr>
          <w:rFonts w:asciiTheme="minorHAnsi" w:hAnsiTheme="minorHAnsi"/>
          <w:b/>
        </w:rPr>
        <w:instrText xml:space="preserve"> SEQ Figure \* ARABIC </w:instrText>
      </w:r>
      <w:r w:rsidRPr="000B00BE">
        <w:rPr>
          <w:rFonts w:asciiTheme="minorHAnsi" w:hAnsiTheme="minorHAnsi"/>
          <w:b/>
        </w:rPr>
        <w:fldChar w:fldCharType="separate"/>
      </w:r>
      <w:r w:rsidR="00BE4490">
        <w:rPr>
          <w:rFonts w:asciiTheme="minorHAnsi" w:hAnsiTheme="minorHAnsi"/>
          <w:b/>
          <w:noProof/>
        </w:rPr>
        <w:t>3</w:t>
      </w:r>
      <w:r w:rsidRPr="000B00BE">
        <w:rPr>
          <w:rFonts w:asciiTheme="minorHAnsi" w:hAnsiTheme="minorHAnsi"/>
          <w:b/>
        </w:rPr>
        <w:fldChar w:fldCharType="end"/>
      </w:r>
      <w:r w:rsidRPr="000B00BE">
        <w:rPr>
          <w:rFonts w:asciiTheme="minorHAnsi" w:hAnsiTheme="minorHAnsi"/>
          <w:b/>
        </w:rPr>
        <w:t xml:space="preserve">: </w:t>
      </w:r>
      <w:proofErr w:type="spellStart"/>
      <w:r w:rsidRPr="000B00BE">
        <w:rPr>
          <w:rFonts w:asciiTheme="minorHAnsi" w:hAnsiTheme="minorHAnsi"/>
          <w:b/>
        </w:rPr>
        <w:t>Deferasirox</w:t>
      </w:r>
      <w:proofErr w:type="spellEnd"/>
      <w:r w:rsidRPr="000B00BE">
        <w:rPr>
          <w:rFonts w:asciiTheme="minorHAnsi" w:hAnsiTheme="minorHAnsi"/>
          <w:b/>
        </w:rPr>
        <w:t xml:space="preserve"> packs by strength - January 2009 (Q1) to June 2013 (Q2)</w:t>
      </w:r>
    </w:p>
    <w:p w14:paraId="05325CC5" w14:textId="1CB238CA" w:rsidR="000B00BE" w:rsidRPr="000B00BE" w:rsidRDefault="000B00BE" w:rsidP="00F76431">
      <w:pPr>
        <w:spacing w:line="240" w:lineRule="auto"/>
        <w:rPr>
          <w:rFonts w:asciiTheme="minorHAnsi" w:hAnsiTheme="minorHAnsi"/>
        </w:rPr>
      </w:pPr>
      <w:r w:rsidRPr="000B00BE">
        <w:rPr>
          <w:rFonts w:asciiTheme="minorHAnsi" w:hAnsiTheme="minorHAnsi"/>
        </w:rPr>
        <w:t>The 500</w:t>
      </w:r>
      <w:r w:rsidR="00DD2EF0">
        <w:rPr>
          <w:rFonts w:asciiTheme="minorHAnsi" w:hAnsiTheme="minorHAnsi"/>
        </w:rPr>
        <w:t xml:space="preserve"> </w:t>
      </w:r>
      <w:r w:rsidRPr="000B00BE">
        <w:rPr>
          <w:rFonts w:asciiTheme="minorHAnsi" w:hAnsiTheme="minorHAnsi"/>
        </w:rPr>
        <w:t xml:space="preserve">mg strength is the most commonly used strength. </w:t>
      </w:r>
      <w:r w:rsidR="00113B76">
        <w:rPr>
          <w:rFonts w:asciiTheme="minorHAnsi" w:hAnsiTheme="minorHAnsi"/>
        </w:rPr>
        <w:t>Use of this strength</w:t>
      </w:r>
      <w:r w:rsidRPr="000B00BE">
        <w:rPr>
          <w:rFonts w:asciiTheme="minorHAnsi" w:hAnsiTheme="minorHAnsi"/>
        </w:rPr>
        <w:t xml:space="preserve"> </w:t>
      </w:r>
      <w:r w:rsidR="00BA4C7A">
        <w:rPr>
          <w:rFonts w:asciiTheme="minorHAnsi" w:hAnsiTheme="minorHAnsi"/>
        </w:rPr>
        <w:t>increased</w:t>
      </w:r>
      <w:r w:rsidRPr="000B00BE">
        <w:rPr>
          <w:rFonts w:asciiTheme="minorHAnsi" w:hAnsiTheme="minorHAnsi"/>
        </w:rPr>
        <w:t xml:space="preserve"> between the first quarter of 2009 and the fourth quarter of 2011. </w:t>
      </w:r>
    </w:p>
    <w:p w14:paraId="781DA6EA" w14:textId="77777777" w:rsidR="000B00BE" w:rsidRPr="00BB6737" w:rsidRDefault="000B00BE" w:rsidP="00BB6737">
      <w:pPr>
        <w:rPr>
          <w:rFonts w:asciiTheme="minorHAnsi" w:hAnsiTheme="minorHAnsi"/>
          <w:b/>
          <w:i/>
        </w:rPr>
      </w:pPr>
      <w:r w:rsidRPr="00BB6737">
        <w:rPr>
          <w:rFonts w:asciiTheme="minorHAnsi" w:hAnsiTheme="minorHAnsi"/>
          <w:b/>
          <w:i/>
        </w:rPr>
        <w:t>Patient level analysis</w:t>
      </w:r>
    </w:p>
    <w:p w14:paraId="24994570" w14:textId="441E2882" w:rsidR="000B00BE" w:rsidRPr="000B00BE" w:rsidRDefault="000B00BE" w:rsidP="00F76431">
      <w:pPr>
        <w:spacing w:line="240" w:lineRule="auto"/>
        <w:rPr>
          <w:rFonts w:asciiTheme="minorHAnsi" w:hAnsiTheme="minorHAnsi"/>
        </w:rPr>
      </w:pPr>
      <w:r w:rsidRPr="000B00BE">
        <w:rPr>
          <w:rFonts w:asciiTheme="minorHAnsi" w:hAnsiTheme="minorHAnsi"/>
          <w:b/>
          <w:noProof/>
          <w:sz w:val="20"/>
          <w:szCs w:val="20"/>
        </w:rPr>
        <w:drawing>
          <wp:inline distT="0" distB="0" distL="0" distR="0" wp14:anchorId="6681D56E" wp14:editId="1DE5C3C4">
            <wp:extent cx="5581650" cy="2857500"/>
            <wp:effectExtent l="0" t="0" r="0" b="0"/>
            <wp:docPr id="7" name="Picture 7" descr="Time to next dispensing - all iron chelating drugs" title="Figure 4: Time to next dispensing - all iron chelating dru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581650" cy="2857500"/>
                    </a:xfrm>
                    <a:prstGeom prst="rect">
                      <a:avLst/>
                    </a:prstGeom>
                    <a:noFill/>
                  </pic:spPr>
                </pic:pic>
              </a:graphicData>
            </a:graphic>
          </wp:inline>
        </w:drawing>
      </w:r>
      <w:r w:rsidRPr="000B00BE">
        <w:rPr>
          <w:rFonts w:asciiTheme="minorHAnsi" w:hAnsiTheme="minorHAnsi"/>
        </w:rPr>
        <w:t xml:space="preserve">Figure 4 presents the time to next dispensing analysis </w:t>
      </w:r>
      <w:r w:rsidR="003B7642">
        <w:rPr>
          <w:rFonts w:asciiTheme="minorHAnsi" w:hAnsiTheme="minorHAnsi"/>
        </w:rPr>
        <w:t xml:space="preserve">for all iron chelating agents.  </w:t>
      </w:r>
      <w:r w:rsidRPr="000B00BE">
        <w:rPr>
          <w:rFonts w:asciiTheme="minorHAnsi" w:hAnsiTheme="minorHAnsi"/>
        </w:rPr>
        <w:t xml:space="preserve">The individual medicines were not presented separately because </w:t>
      </w:r>
      <w:proofErr w:type="spellStart"/>
      <w:r w:rsidRPr="000B00BE">
        <w:rPr>
          <w:rFonts w:asciiTheme="minorHAnsi" w:hAnsiTheme="minorHAnsi"/>
        </w:rPr>
        <w:t>deferasirox</w:t>
      </w:r>
      <w:proofErr w:type="spellEnd"/>
      <w:r w:rsidRPr="000B00BE">
        <w:rPr>
          <w:rFonts w:asciiTheme="minorHAnsi" w:hAnsiTheme="minorHAnsi"/>
        </w:rPr>
        <w:t xml:space="preserve"> accounts for 91% of subsequent dispensing.</w:t>
      </w:r>
    </w:p>
    <w:p w14:paraId="270998DB" w14:textId="77777777" w:rsidR="000B00BE" w:rsidRPr="000B00BE" w:rsidRDefault="000B00BE" w:rsidP="00F76431">
      <w:pPr>
        <w:spacing w:after="0" w:line="240" w:lineRule="auto"/>
        <w:rPr>
          <w:rFonts w:asciiTheme="minorHAnsi" w:hAnsiTheme="minorHAnsi"/>
          <w:bCs/>
          <w:sz w:val="20"/>
          <w:szCs w:val="20"/>
        </w:rPr>
      </w:pPr>
      <w:r w:rsidRPr="000B00BE">
        <w:rPr>
          <w:rFonts w:asciiTheme="minorHAnsi" w:hAnsiTheme="minorHAnsi"/>
          <w:b/>
          <w:bCs/>
          <w:szCs w:val="18"/>
        </w:rPr>
        <w:t xml:space="preserve">Figure </w:t>
      </w:r>
      <w:r w:rsidRPr="000B00BE">
        <w:rPr>
          <w:rFonts w:asciiTheme="minorHAnsi" w:hAnsiTheme="minorHAnsi"/>
          <w:b/>
          <w:bCs/>
          <w:szCs w:val="18"/>
        </w:rPr>
        <w:fldChar w:fldCharType="begin"/>
      </w:r>
      <w:r w:rsidRPr="000B00BE">
        <w:rPr>
          <w:rFonts w:asciiTheme="minorHAnsi" w:hAnsiTheme="minorHAnsi"/>
          <w:b/>
          <w:bCs/>
          <w:szCs w:val="18"/>
        </w:rPr>
        <w:instrText xml:space="preserve"> SEQ Figure \* ARABIC </w:instrText>
      </w:r>
      <w:r w:rsidRPr="000B00BE">
        <w:rPr>
          <w:rFonts w:asciiTheme="minorHAnsi" w:hAnsiTheme="minorHAnsi"/>
          <w:b/>
          <w:bCs/>
          <w:szCs w:val="18"/>
        </w:rPr>
        <w:fldChar w:fldCharType="separate"/>
      </w:r>
      <w:r w:rsidR="00BE4490">
        <w:rPr>
          <w:rFonts w:asciiTheme="minorHAnsi" w:hAnsiTheme="minorHAnsi"/>
          <w:b/>
          <w:bCs/>
          <w:noProof/>
          <w:szCs w:val="18"/>
        </w:rPr>
        <w:t>4</w:t>
      </w:r>
      <w:r w:rsidRPr="000B00BE">
        <w:rPr>
          <w:rFonts w:asciiTheme="minorHAnsi" w:hAnsiTheme="minorHAnsi"/>
          <w:b/>
          <w:bCs/>
          <w:noProof/>
          <w:szCs w:val="18"/>
        </w:rPr>
        <w:fldChar w:fldCharType="end"/>
      </w:r>
      <w:r w:rsidRPr="000B00BE">
        <w:rPr>
          <w:rFonts w:asciiTheme="minorHAnsi" w:hAnsiTheme="minorHAnsi"/>
          <w:b/>
          <w:bCs/>
          <w:szCs w:val="18"/>
        </w:rPr>
        <w:t>: Time to next dispensing - all iron chelating drugs</w:t>
      </w:r>
      <w:r w:rsidRPr="000B00BE">
        <w:rPr>
          <w:rFonts w:asciiTheme="minorHAnsi" w:hAnsiTheme="minorHAnsi"/>
          <w:b/>
          <w:bCs/>
          <w:szCs w:val="18"/>
        </w:rPr>
        <w:br/>
      </w:r>
      <w:r w:rsidRPr="000B00BE">
        <w:rPr>
          <w:rFonts w:asciiTheme="minorHAnsi" w:hAnsiTheme="minorHAnsi"/>
          <w:bCs/>
          <w:sz w:val="20"/>
          <w:szCs w:val="20"/>
        </w:rPr>
        <w:t>Source: DHS Supplied Prescriptions Database, extracted November 2013</w:t>
      </w:r>
    </w:p>
    <w:p w14:paraId="3639C1C1" w14:textId="77777777" w:rsidR="000B00BE" w:rsidRPr="000B00BE" w:rsidRDefault="000B00BE" w:rsidP="00F76431">
      <w:pPr>
        <w:spacing w:line="240" w:lineRule="auto"/>
        <w:rPr>
          <w:rFonts w:asciiTheme="minorHAnsi" w:hAnsiTheme="minorHAnsi"/>
        </w:rPr>
      </w:pPr>
    </w:p>
    <w:p w14:paraId="60CAEBCB" w14:textId="4F832536" w:rsidR="000B00BE" w:rsidRPr="000B00BE" w:rsidRDefault="000B00BE" w:rsidP="00F76431">
      <w:pPr>
        <w:spacing w:line="240" w:lineRule="auto"/>
        <w:rPr>
          <w:rFonts w:asciiTheme="minorHAnsi" w:hAnsiTheme="minorHAnsi"/>
        </w:rPr>
      </w:pPr>
      <w:r w:rsidRPr="000B00BE">
        <w:rPr>
          <w:rFonts w:asciiTheme="minorHAnsi" w:hAnsiTheme="minorHAnsi"/>
        </w:rPr>
        <w:lastRenderedPageBreak/>
        <w:t xml:space="preserve">The results show </w:t>
      </w:r>
      <w:r w:rsidR="00113B76">
        <w:rPr>
          <w:rFonts w:asciiTheme="minorHAnsi" w:hAnsiTheme="minorHAnsi"/>
        </w:rPr>
        <w:t xml:space="preserve">that </w:t>
      </w:r>
      <w:r w:rsidRPr="000B00BE">
        <w:rPr>
          <w:rFonts w:asciiTheme="minorHAnsi" w:hAnsiTheme="minorHAnsi"/>
        </w:rPr>
        <w:t>by 90 days</w:t>
      </w:r>
      <w:r w:rsidR="00113B76">
        <w:rPr>
          <w:rFonts w:asciiTheme="minorHAnsi" w:hAnsiTheme="minorHAnsi"/>
        </w:rPr>
        <w:t>,</w:t>
      </w:r>
      <w:r w:rsidRPr="000B00BE">
        <w:rPr>
          <w:rFonts w:asciiTheme="minorHAnsi" w:hAnsiTheme="minorHAnsi"/>
        </w:rPr>
        <w:t xml:space="preserve"> 89% </w:t>
      </w:r>
      <w:r w:rsidR="003B7642">
        <w:rPr>
          <w:rFonts w:asciiTheme="minorHAnsi" w:hAnsiTheme="minorHAnsi"/>
        </w:rPr>
        <w:t xml:space="preserve">of prescriptions were refilled.  </w:t>
      </w:r>
      <w:r w:rsidRPr="000B00BE">
        <w:rPr>
          <w:rFonts w:asciiTheme="minorHAnsi" w:hAnsiTheme="minorHAnsi"/>
        </w:rPr>
        <w:t xml:space="preserve">This suggests the majority of patients </w:t>
      </w:r>
      <w:r w:rsidR="00113B76">
        <w:rPr>
          <w:rFonts w:asciiTheme="minorHAnsi" w:hAnsiTheme="minorHAnsi"/>
        </w:rPr>
        <w:t xml:space="preserve">who are prescribed </w:t>
      </w:r>
      <w:r w:rsidRPr="000B00BE">
        <w:rPr>
          <w:rFonts w:asciiTheme="minorHAnsi" w:hAnsiTheme="minorHAnsi"/>
        </w:rPr>
        <w:t>iron chelating agent</w:t>
      </w:r>
      <w:r w:rsidR="00113B76">
        <w:rPr>
          <w:rFonts w:asciiTheme="minorHAnsi" w:hAnsiTheme="minorHAnsi"/>
        </w:rPr>
        <w:t>s</w:t>
      </w:r>
      <w:r w:rsidRPr="000B00BE">
        <w:rPr>
          <w:rFonts w:asciiTheme="minorHAnsi" w:hAnsiTheme="minorHAnsi"/>
        </w:rPr>
        <w:t xml:space="preserve"> would receive a supply in a </w:t>
      </w:r>
      <w:r w:rsidR="00BA4C7A">
        <w:rPr>
          <w:rFonts w:asciiTheme="minorHAnsi" w:hAnsiTheme="minorHAnsi"/>
        </w:rPr>
        <w:t>3-</w:t>
      </w:r>
      <w:r w:rsidRPr="000B00BE">
        <w:rPr>
          <w:rFonts w:asciiTheme="minorHAnsi" w:hAnsiTheme="minorHAnsi"/>
        </w:rPr>
        <w:t>month period and would be captured i</w:t>
      </w:r>
      <w:r w:rsidR="003B7642">
        <w:rPr>
          <w:rFonts w:asciiTheme="minorHAnsi" w:hAnsiTheme="minorHAnsi"/>
        </w:rPr>
        <w:t xml:space="preserve">n a quarter of dispensing data.  </w:t>
      </w:r>
      <w:r w:rsidRPr="000B00BE">
        <w:rPr>
          <w:rFonts w:asciiTheme="minorHAnsi" w:hAnsiTheme="minorHAnsi"/>
        </w:rPr>
        <w:t xml:space="preserve">The data for re-supply after 180 days was not presented because only 2% of refills occurred after this time period. </w:t>
      </w:r>
    </w:p>
    <w:p w14:paraId="209825B5" w14:textId="04CF4A6C" w:rsidR="000B00BE" w:rsidRDefault="000B00BE" w:rsidP="00F76431">
      <w:pPr>
        <w:spacing w:line="240" w:lineRule="auto"/>
        <w:rPr>
          <w:rFonts w:asciiTheme="minorHAnsi" w:hAnsiTheme="minorHAnsi"/>
        </w:rPr>
      </w:pPr>
      <w:r w:rsidRPr="000B00BE">
        <w:rPr>
          <w:rFonts w:asciiTheme="minorHAnsi" w:hAnsiTheme="minorHAnsi"/>
        </w:rPr>
        <w:t>Figure 5 presents the age and sex distribution of patients who received any PBS iron chelating agent in the second quarter of 2013 (April</w:t>
      </w:r>
      <w:r w:rsidR="00113B76">
        <w:rPr>
          <w:rFonts w:asciiTheme="minorHAnsi" w:hAnsiTheme="minorHAnsi"/>
        </w:rPr>
        <w:t>–</w:t>
      </w:r>
      <w:r w:rsidRPr="000B00BE">
        <w:rPr>
          <w:rFonts w:asciiTheme="minorHAnsi" w:hAnsiTheme="minorHAnsi"/>
        </w:rPr>
        <w:t>June 2013).</w:t>
      </w:r>
    </w:p>
    <w:p w14:paraId="67889E66" w14:textId="6E7545D0" w:rsidR="000B00BE" w:rsidRDefault="000B00BE" w:rsidP="00F76431">
      <w:pPr>
        <w:spacing w:line="240" w:lineRule="auto"/>
        <w:rPr>
          <w:rFonts w:asciiTheme="minorHAnsi" w:hAnsiTheme="minorHAnsi"/>
        </w:rPr>
      </w:pPr>
      <w:r w:rsidRPr="000B00BE">
        <w:rPr>
          <w:rFonts w:asciiTheme="minorHAnsi" w:hAnsiTheme="minorHAnsi"/>
          <w:noProof/>
        </w:rPr>
        <mc:AlternateContent>
          <mc:Choice Requires="wps">
            <w:drawing>
              <wp:inline distT="0" distB="0" distL="0" distR="0" wp14:anchorId="26494AEC" wp14:editId="64CBFE5F">
                <wp:extent cx="5687695" cy="635"/>
                <wp:effectExtent l="0" t="0" r="8255" b="15240"/>
                <wp:docPr id="13" name="Text Box 13"/>
                <wp:cNvGraphicFramePr/>
                <a:graphic xmlns:a="http://schemas.openxmlformats.org/drawingml/2006/main">
                  <a:graphicData uri="http://schemas.microsoft.com/office/word/2010/wordprocessingShape">
                    <wps:wsp>
                      <wps:cNvSpPr txBox="1"/>
                      <wps:spPr>
                        <a:xfrm>
                          <a:off x="0" y="0"/>
                          <a:ext cx="5687695" cy="635"/>
                        </a:xfrm>
                        <a:prstGeom prst="rect">
                          <a:avLst/>
                        </a:prstGeom>
                        <a:noFill/>
                        <a:ln>
                          <a:noFill/>
                        </a:ln>
                        <a:effectLst/>
                      </wps:spPr>
                      <wps:txbx>
                        <w:txbxContent>
                          <w:p w14:paraId="219834E6" w14:textId="77777777" w:rsidR="006E4A35" w:rsidRPr="000B00BE" w:rsidRDefault="006E4A35" w:rsidP="000B00BE">
                            <w:pPr>
                              <w:pStyle w:val="Caption"/>
                              <w:rPr>
                                <w:rFonts w:asciiTheme="minorHAnsi" w:hAnsiTheme="minorHAnsi"/>
                                <w:color w:val="auto"/>
                                <w:sz w:val="24"/>
                                <w:szCs w:val="24"/>
                              </w:rPr>
                            </w:pPr>
                            <w:r w:rsidRPr="000B00BE">
                              <w:rPr>
                                <w:rFonts w:asciiTheme="minorHAnsi" w:hAnsiTheme="minorHAnsi"/>
                                <w:color w:val="auto"/>
                                <w:sz w:val="24"/>
                                <w:szCs w:val="24"/>
                              </w:rPr>
                              <w:t xml:space="preserve">Figure </w:t>
                            </w:r>
                            <w:r w:rsidRPr="000B00BE">
                              <w:rPr>
                                <w:rFonts w:asciiTheme="minorHAnsi" w:hAnsiTheme="minorHAnsi"/>
                                <w:color w:val="auto"/>
                                <w:sz w:val="24"/>
                                <w:szCs w:val="24"/>
                              </w:rPr>
                              <w:fldChar w:fldCharType="begin"/>
                            </w:r>
                            <w:r w:rsidRPr="000B00BE">
                              <w:rPr>
                                <w:rFonts w:asciiTheme="minorHAnsi" w:hAnsiTheme="minorHAnsi"/>
                                <w:color w:val="auto"/>
                                <w:sz w:val="24"/>
                                <w:szCs w:val="24"/>
                              </w:rPr>
                              <w:instrText xml:space="preserve"> SEQ Figure \* ARABIC </w:instrText>
                            </w:r>
                            <w:r w:rsidRPr="000B00BE">
                              <w:rPr>
                                <w:rFonts w:asciiTheme="minorHAnsi" w:hAnsiTheme="minorHAnsi"/>
                                <w:color w:val="auto"/>
                                <w:sz w:val="24"/>
                                <w:szCs w:val="24"/>
                              </w:rPr>
                              <w:fldChar w:fldCharType="separate"/>
                            </w:r>
                            <w:r w:rsidR="00BE4490">
                              <w:rPr>
                                <w:rFonts w:asciiTheme="minorHAnsi" w:hAnsiTheme="minorHAnsi"/>
                                <w:noProof/>
                                <w:color w:val="auto"/>
                                <w:sz w:val="24"/>
                                <w:szCs w:val="24"/>
                              </w:rPr>
                              <w:t>5</w:t>
                            </w:r>
                            <w:r w:rsidRPr="000B00BE">
                              <w:rPr>
                                <w:rFonts w:asciiTheme="minorHAnsi" w:hAnsiTheme="minorHAnsi"/>
                                <w:noProof/>
                                <w:color w:val="auto"/>
                                <w:sz w:val="24"/>
                                <w:szCs w:val="24"/>
                              </w:rPr>
                              <w:fldChar w:fldCharType="end"/>
                            </w:r>
                            <w:r w:rsidRPr="000B00BE">
                              <w:rPr>
                                <w:rFonts w:asciiTheme="minorHAnsi" w:hAnsiTheme="minorHAnsi"/>
                                <w:color w:val="auto"/>
                                <w:sz w:val="24"/>
                                <w:szCs w:val="24"/>
                              </w:rPr>
                              <w:t>: Age and sex of patients who received iron chelating drugs in April to June 2013 (Q2)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v:stroke joinstyle="miter"/>
                <v:path gradientshapeok="t" o:connecttype="rect"/>
              </v:shapetype>
              <v:shape id="Text Box 13" o:spid="_x0000_s1026" type="#_x0000_t202" style="width:447.8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" filled="f" stroked="f">
                <v:textbox style="mso-fit-shape-to-text:t" inset="0,0,0,0">
                  <w:txbxContent>
                    <w:p w14:paraId="219834E6" w14:textId="77777777" w:rsidR="006E4A35" w:rsidRPr="000B00BE" w:rsidRDefault="006E4A35" w:rsidP="000B00BE">
                      <w:pPr>
                        <w:pStyle w:val="Caption"/>
                        <w:rPr>
                          <w:rFonts w:asciiTheme="minorHAnsi" w:hAnsiTheme="minorHAnsi"/>
                          <w:color w:val="auto"/>
                          <w:sz w:val="24"/>
                          <w:szCs w:val="24"/>
                        </w:rPr>
                      </w:pPr>
                      <w:r w:rsidRPr="000B00BE">
                        <w:rPr>
                          <w:rFonts w:asciiTheme="minorHAnsi" w:hAnsiTheme="minorHAnsi"/>
                          <w:color w:val="auto"/>
                          <w:sz w:val="24"/>
                          <w:szCs w:val="24"/>
                        </w:rPr>
                        <w:t xml:space="preserve">Figure </w:t>
                      </w:r>
                      <w:r w:rsidRPr="000B00BE">
                        <w:rPr>
                          <w:rFonts w:asciiTheme="minorHAnsi" w:hAnsiTheme="minorHAnsi"/>
                          <w:color w:val="auto"/>
                          <w:sz w:val="24"/>
                          <w:szCs w:val="24"/>
                        </w:rPr>
                        <w:fldChar w:fldCharType="begin"/>
                      </w:r>
                      <w:r w:rsidRPr="000B00BE">
                        <w:rPr>
                          <w:rFonts w:asciiTheme="minorHAnsi" w:hAnsiTheme="minorHAnsi"/>
                          <w:color w:val="auto"/>
                          <w:sz w:val="24"/>
                          <w:szCs w:val="24"/>
                        </w:rPr>
                        <w:instrText xml:space="preserve"> SEQ Figure \* ARABIC </w:instrText>
                      </w:r>
                      <w:r w:rsidRPr="000B00BE">
                        <w:rPr>
                          <w:rFonts w:asciiTheme="minorHAnsi" w:hAnsiTheme="minorHAnsi"/>
                          <w:color w:val="auto"/>
                          <w:sz w:val="24"/>
                          <w:szCs w:val="24"/>
                        </w:rPr>
                        <w:fldChar w:fldCharType="separate"/>
                      </w:r>
                      <w:r w:rsidR="00BE4490">
                        <w:rPr>
                          <w:rFonts w:asciiTheme="minorHAnsi" w:hAnsiTheme="minorHAnsi"/>
                          <w:noProof/>
                          <w:color w:val="auto"/>
                          <w:sz w:val="24"/>
                          <w:szCs w:val="24"/>
                        </w:rPr>
                        <w:t>5</w:t>
                      </w:r>
                      <w:r w:rsidRPr="000B00BE">
                        <w:rPr>
                          <w:rFonts w:asciiTheme="minorHAnsi" w:hAnsiTheme="minorHAnsi"/>
                          <w:noProof/>
                          <w:color w:val="auto"/>
                          <w:sz w:val="24"/>
                          <w:szCs w:val="24"/>
                        </w:rPr>
                        <w:fldChar w:fldCharType="end"/>
                      </w:r>
                      <w:r w:rsidRPr="000B00BE">
                        <w:rPr>
                          <w:rFonts w:asciiTheme="minorHAnsi" w:hAnsiTheme="minorHAnsi"/>
                          <w:color w:val="auto"/>
                          <w:sz w:val="24"/>
                          <w:szCs w:val="24"/>
                        </w:rPr>
                        <w:t>: Age and sex of patients who received iron chelating drugs in April to June 2013 (Q2)</w:t>
                      </w:r>
                    </w:p>
                  </w:txbxContent>
                </v:textbox>
                <w10:anchorlock/>
              </v:shape>
            </w:pict>
          </mc:Fallback>
        </mc:AlternateContent>
      </w:r>
    </w:p>
    <w:p w14:paraId="0B2FB18E" w14:textId="321F1BAB" w:rsidR="000B00BE" w:rsidRPr="000B00BE" w:rsidRDefault="000B00BE" w:rsidP="00F76431">
      <w:pPr>
        <w:spacing w:line="240" w:lineRule="auto"/>
        <w:rPr>
          <w:rFonts w:asciiTheme="minorHAnsi" w:hAnsiTheme="minorHAnsi"/>
        </w:rPr>
      </w:pPr>
      <w:r w:rsidRPr="000B00BE">
        <w:rPr>
          <w:rFonts w:asciiTheme="minorHAnsi" w:hAnsiTheme="minorHAnsi"/>
          <w:noProof/>
        </w:rPr>
        <w:drawing>
          <wp:inline distT="0" distB="0" distL="0" distR="0" wp14:anchorId="640328AE" wp14:editId="683C91E5">
            <wp:extent cx="5687695" cy="3145790"/>
            <wp:effectExtent l="0" t="0" r="8255" b="0"/>
            <wp:docPr id="8" name="Picture 8" descr="Age and sex of patients who received iron chelating drugs in April to June 2013 (Q2)" title="Figure 5: Age and sex of patients who received iron chelating drugs in April to June 2013 (Q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687695" cy="3145790"/>
                    </a:xfrm>
                    <a:prstGeom prst="rect">
                      <a:avLst/>
                    </a:prstGeom>
                    <a:noFill/>
                  </pic:spPr>
                </pic:pic>
              </a:graphicData>
            </a:graphic>
          </wp:inline>
        </w:drawing>
      </w:r>
    </w:p>
    <w:p w14:paraId="3FBB424B" w14:textId="6DF22EAD" w:rsidR="000B00BE" w:rsidRPr="000B00BE" w:rsidRDefault="000B00BE" w:rsidP="00F76431">
      <w:pPr>
        <w:spacing w:line="240" w:lineRule="auto"/>
        <w:rPr>
          <w:rFonts w:asciiTheme="minorHAnsi" w:hAnsiTheme="minorHAnsi"/>
        </w:rPr>
      </w:pPr>
      <w:r w:rsidRPr="000B00BE">
        <w:rPr>
          <w:rFonts w:asciiTheme="minorHAnsi" w:hAnsiTheme="minorHAnsi"/>
          <w:sz w:val="20"/>
          <w:szCs w:val="20"/>
        </w:rPr>
        <w:t>Source: DHS Prescription Claim Database, extracted November 2013</w:t>
      </w:r>
    </w:p>
    <w:p w14:paraId="0DEB0972" w14:textId="393297A0" w:rsidR="000B00BE" w:rsidRPr="000B00BE" w:rsidRDefault="000B00BE" w:rsidP="00F76431">
      <w:pPr>
        <w:spacing w:line="240" w:lineRule="auto"/>
        <w:rPr>
          <w:rFonts w:asciiTheme="minorHAnsi" w:hAnsiTheme="minorHAnsi"/>
        </w:rPr>
      </w:pPr>
      <w:r w:rsidRPr="000B00BE">
        <w:rPr>
          <w:rFonts w:asciiTheme="minorHAnsi" w:hAnsiTheme="minorHAnsi"/>
        </w:rPr>
        <w:t>A total of 1,257 patients received a PBS iron chelating agent</w:t>
      </w:r>
      <w:r w:rsidR="00B8674A">
        <w:rPr>
          <w:rFonts w:asciiTheme="minorHAnsi" w:hAnsiTheme="minorHAnsi"/>
        </w:rPr>
        <w:t xml:space="preserve"> in the second quarter of 2013.  </w:t>
      </w:r>
      <w:r w:rsidRPr="000B00BE">
        <w:rPr>
          <w:rFonts w:asciiTheme="minorHAnsi" w:hAnsiTheme="minorHAnsi"/>
        </w:rPr>
        <w:t>Of these, 59%</w:t>
      </w:r>
      <w:r w:rsidR="00B8674A">
        <w:rPr>
          <w:rFonts w:asciiTheme="minorHAnsi" w:hAnsiTheme="minorHAnsi"/>
        </w:rPr>
        <w:t xml:space="preserve"> were 55 years of age or older.  </w:t>
      </w:r>
      <w:proofErr w:type="gramStart"/>
      <w:r w:rsidRPr="000B00BE">
        <w:rPr>
          <w:rFonts w:asciiTheme="minorHAnsi" w:hAnsiTheme="minorHAnsi"/>
        </w:rPr>
        <w:t xml:space="preserve">A larger proportion of patients aged 55 years or over </w:t>
      </w:r>
      <w:r w:rsidR="00113B76">
        <w:rPr>
          <w:rFonts w:asciiTheme="minorHAnsi" w:hAnsiTheme="minorHAnsi"/>
        </w:rPr>
        <w:t>were</w:t>
      </w:r>
      <w:proofErr w:type="gramEnd"/>
      <w:r w:rsidRPr="000B00BE">
        <w:rPr>
          <w:rFonts w:asciiTheme="minorHAnsi" w:hAnsiTheme="minorHAnsi"/>
        </w:rPr>
        <w:t xml:space="preserve"> male compared to the younger age groups. </w:t>
      </w:r>
    </w:p>
    <w:p w14:paraId="68001627" w14:textId="60C997DE" w:rsidR="00707CC9" w:rsidRPr="00815F68" w:rsidRDefault="000B00BE" w:rsidP="00815F68">
      <w:pPr>
        <w:spacing w:line="240" w:lineRule="auto"/>
        <w:rPr>
          <w:rFonts w:asciiTheme="minorHAnsi" w:hAnsiTheme="minorHAnsi"/>
        </w:rPr>
      </w:pPr>
      <w:r w:rsidRPr="000B00BE">
        <w:rPr>
          <w:rFonts w:asciiTheme="minorHAnsi" w:hAnsiTheme="minorHAnsi"/>
        </w:rPr>
        <w:t>Due to the data limitations outlined in the methods section, the age that a patient commenced treatment with an iron chelat</w:t>
      </w:r>
      <w:r w:rsidR="00B8674A">
        <w:rPr>
          <w:rFonts w:asciiTheme="minorHAnsi" w:hAnsiTheme="minorHAnsi"/>
        </w:rPr>
        <w:t xml:space="preserve">ing agent cannot be determined.  </w:t>
      </w:r>
      <w:r w:rsidRPr="000B00BE">
        <w:rPr>
          <w:rFonts w:asciiTheme="minorHAnsi" w:hAnsiTheme="minorHAnsi"/>
        </w:rPr>
        <w:t xml:space="preserve">Figure 5 represents </w:t>
      </w:r>
      <w:r w:rsidR="00113B76">
        <w:rPr>
          <w:rFonts w:asciiTheme="minorHAnsi" w:hAnsiTheme="minorHAnsi"/>
        </w:rPr>
        <w:t xml:space="preserve">the </w:t>
      </w:r>
      <w:r w:rsidRPr="000B00BE">
        <w:rPr>
          <w:rFonts w:asciiTheme="minorHAnsi" w:hAnsiTheme="minorHAnsi"/>
        </w:rPr>
        <w:t xml:space="preserve">age of the prevalent treated population in the second quarter of 2013. </w:t>
      </w:r>
    </w:p>
    <w:p w14:paraId="3919991F" w14:textId="77777777" w:rsidR="00BB456E" w:rsidRDefault="00BB456E">
      <w:pPr>
        <w:rPr>
          <w:rFonts w:asciiTheme="minorHAnsi" w:eastAsiaTheme="majorEastAsia" w:hAnsiTheme="minorHAnsi" w:cstheme="majorBidi"/>
          <w:b/>
          <w:bCs/>
          <w:sz w:val="28"/>
          <w:szCs w:val="28"/>
        </w:rPr>
      </w:pPr>
      <w:r>
        <w:br w:type="page"/>
      </w:r>
    </w:p>
    <w:p w14:paraId="0C5E044E" w14:textId="48F9FADC" w:rsidR="000B00BE" w:rsidRPr="000B00BE" w:rsidRDefault="000B00BE" w:rsidP="003208B0">
      <w:pPr>
        <w:pStyle w:val="Heading3"/>
      </w:pPr>
      <w:r w:rsidRPr="000B00BE">
        <w:lastRenderedPageBreak/>
        <w:t>Analysis of expenditure</w:t>
      </w:r>
    </w:p>
    <w:p w14:paraId="0DD7CC5A" w14:textId="7FF16A73" w:rsidR="000B00BE" w:rsidRPr="000B00BE" w:rsidRDefault="000B00BE" w:rsidP="00F76431">
      <w:pPr>
        <w:spacing w:line="240" w:lineRule="auto"/>
        <w:rPr>
          <w:rFonts w:asciiTheme="minorHAnsi" w:hAnsiTheme="minorHAnsi"/>
        </w:rPr>
      </w:pPr>
      <w:r w:rsidRPr="000B00BE">
        <w:rPr>
          <w:rFonts w:asciiTheme="minorHAnsi" w:hAnsiTheme="minorHAnsi"/>
        </w:rPr>
        <w:fldChar w:fldCharType="begin"/>
      </w:r>
      <w:r w:rsidRPr="000B00BE">
        <w:rPr>
          <w:rFonts w:asciiTheme="minorHAnsi" w:hAnsiTheme="minorHAnsi"/>
        </w:rPr>
        <w:instrText xml:space="preserve"> REF _Ref375039334 </w:instrText>
      </w:r>
      <w:r w:rsidR="00F76431">
        <w:rPr>
          <w:rFonts w:asciiTheme="minorHAnsi" w:hAnsiTheme="minorHAnsi"/>
        </w:rPr>
        <w:instrText xml:space="preserve"> \* MERGEFORMAT </w:instrText>
      </w:r>
      <w:r w:rsidRPr="000B00BE">
        <w:rPr>
          <w:rFonts w:asciiTheme="minorHAnsi" w:hAnsiTheme="minorHAnsi"/>
        </w:rPr>
        <w:fldChar w:fldCharType="separate"/>
      </w:r>
      <w:r w:rsidR="00BE4490" w:rsidRPr="00BE4490">
        <w:rPr>
          <w:rFonts w:asciiTheme="minorHAnsi" w:hAnsiTheme="minorHAnsi"/>
        </w:rPr>
        <w:t xml:space="preserve">Table </w:t>
      </w:r>
      <w:r w:rsidRPr="000B00BE">
        <w:rPr>
          <w:rFonts w:asciiTheme="minorHAnsi" w:hAnsiTheme="minorHAnsi"/>
          <w:noProof/>
        </w:rPr>
        <w:fldChar w:fldCharType="end"/>
      </w:r>
      <w:r w:rsidRPr="000B00BE">
        <w:rPr>
          <w:rFonts w:asciiTheme="minorHAnsi" w:hAnsiTheme="minorHAnsi"/>
        </w:rPr>
        <w:t xml:space="preserve"> presents the total PBS/RPBS expenditure on the three iron chelating agents. </w:t>
      </w:r>
    </w:p>
    <w:p w14:paraId="2AC74C06" w14:textId="0156CDB2" w:rsidR="000B00BE" w:rsidRPr="000B00BE" w:rsidRDefault="000B00BE" w:rsidP="00F76431">
      <w:pPr>
        <w:keepNext/>
        <w:spacing w:after="0" w:line="240" w:lineRule="auto"/>
        <w:rPr>
          <w:rFonts w:asciiTheme="minorHAnsi" w:hAnsiTheme="minorHAnsi"/>
          <w:b/>
          <w:bCs/>
          <w:szCs w:val="18"/>
        </w:rPr>
      </w:pPr>
      <w:bookmarkStart w:id="2" w:name="_Ref375039334"/>
      <w:r w:rsidRPr="000B00BE">
        <w:rPr>
          <w:rFonts w:asciiTheme="minorHAnsi" w:hAnsiTheme="minorHAnsi"/>
          <w:b/>
          <w:bCs/>
          <w:szCs w:val="18"/>
        </w:rPr>
        <w:t xml:space="preserve">Table </w:t>
      </w:r>
      <w:bookmarkEnd w:id="2"/>
      <w:r w:rsidR="00707CC9">
        <w:rPr>
          <w:rFonts w:asciiTheme="minorHAnsi" w:hAnsiTheme="minorHAnsi"/>
          <w:b/>
          <w:bCs/>
          <w:szCs w:val="18"/>
        </w:rPr>
        <w:t>5</w:t>
      </w:r>
      <w:r w:rsidRPr="000B00BE">
        <w:rPr>
          <w:rFonts w:asciiTheme="minorHAnsi" w:hAnsiTheme="minorHAnsi"/>
          <w:b/>
          <w:bCs/>
          <w:szCs w:val="18"/>
        </w:rPr>
        <w:t>: PBS/RPBS expenditure on iron chelating drugs</w:t>
      </w:r>
    </w:p>
    <w:tbl>
      <w:tblPr>
        <w:tblStyle w:val="TableGrid"/>
        <w:tblW w:w="0" w:type="auto"/>
        <w:tblLook w:val="04A0" w:firstRow="1" w:lastRow="0" w:firstColumn="1" w:lastColumn="0" w:noHBand="0" w:noVBand="1"/>
        <w:tblCaption w:val="Table 5: PBS/RPBS expenditure on iron chelating drugs"/>
        <w:tblDescription w:val="PBS/RPBS expenditure on iron chelating drugs - 2009 to 2013 (first half)"/>
      </w:tblPr>
      <w:tblGrid>
        <w:gridCol w:w="1656"/>
        <w:gridCol w:w="1357"/>
        <w:gridCol w:w="1540"/>
        <w:gridCol w:w="1540"/>
        <w:gridCol w:w="1540"/>
        <w:gridCol w:w="1540"/>
      </w:tblGrid>
      <w:tr w:rsidR="000B00BE" w:rsidRPr="000B00BE" w14:paraId="68ABA72B" w14:textId="77777777" w:rsidTr="00E363CB">
        <w:trPr>
          <w:trHeight w:val="300"/>
          <w:tblHeader/>
        </w:trPr>
        <w:tc>
          <w:tcPr>
            <w:tcW w:w="1656" w:type="dxa"/>
            <w:shd w:val="clear" w:color="auto" w:fill="BFBFBF" w:themeFill="background1" w:themeFillShade="BF"/>
            <w:noWrap/>
            <w:hideMark/>
          </w:tcPr>
          <w:p w14:paraId="3ABC45EA" w14:textId="77777777" w:rsidR="000B00BE" w:rsidRPr="000B00BE" w:rsidRDefault="000B00BE" w:rsidP="00F76431">
            <w:pPr>
              <w:spacing w:after="200"/>
              <w:rPr>
                <w:rFonts w:asciiTheme="minorHAnsi" w:hAnsiTheme="minorHAnsi"/>
                <w:sz w:val="20"/>
                <w:szCs w:val="20"/>
              </w:rPr>
            </w:pPr>
          </w:p>
        </w:tc>
        <w:tc>
          <w:tcPr>
            <w:tcW w:w="1357" w:type="dxa"/>
            <w:shd w:val="clear" w:color="auto" w:fill="BFBFBF" w:themeFill="background1" w:themeFillShade="BF"/>
            <w:noWrap/>
            <w:vAlign w:val="center"/>
            <w:hideMark/>
          </w:tcPr>
          <w:p w14:paraId="63D303A3" w14:textId="77777777" w:rsidR="000B00BE" w:rsidRPr="000B00BE" w:rsidRDefault="000B00BE" w:rsidP="00F76431">
            <w:pPr>
              <w:spacing w:after="200"/>
              <w:rPr>
                <w:rFonts w:asciiTheme="minorHAnsi" w:hAnsiTheme="minorHAnsi"/>
                <w:sz w:val="20"/>
                <w:szCs w:val="20"/>
              </w:rPr>
            </w:pPr>
            <w:r w:rsidRPr="000B00BE">
              <w:rPr>
                <w:rFonts w:asciiTheme="minorHAnsi" w:hAnsiTheme="minorHAnsi"/>
                <w:sz w:val="20"/>
                <w:szCs w:val="20"/>
              </w:rPr>
              <w:t>2009</w:t>
            </w:r>
          </w:p>
        </w:tc>
        <w:tc>
          <w:tcPr>
            <w:tcW w:w="1540" w:type="dxa"/>
            <w:shd w:val="clear" w:color="auto" w:fill="BFBFBF" w:themeFill="background1" w:themeFillShade="BF"/>
            <w:noWrap/>
            <w:vAlign w:val="center"/>
            <w:hideMark/>
          </w:tcPr>
          <w:p w14:paraId="313F780E" w14:textId="77777777" w:rsidR="000B00BE" w:rsidRPr="000B00BE" w:rsidRDefault="000B00BE" w:rsidP="00F76431">
            <w:pPr>
              <w:spacing w:after="200"/>
              <w:rPr>
                <w:rFonts w:asciiTheme="minorHAnsi" w:hAnsiTheme="minorHAnsi"/>
                <w:sz w:val="20"/>
                <w:szCs w:val="20"/>
              </w:rPr>
            </w:pPr>
            <w:r w:rsidRPr="000B00BE">
              <w:rPr>
                <w:rFonts w:asciiTheme="minorHAnsi" w:hAnsiTheme="minorHAnsi"/>
                <w:sz w:val="20"/>
                <w:szCs w:val="20"/>
              </w:rPr>
              <w:t>2010</w:t>
            </w:r>
          </w:p>
        </w:tc>
        <w:tc>
          <w:tcPr>
            <w:tcW w:w="1540" w:type="dxa"/>
            <w:shd w:val="clear" w:color="auto" w:fill="BFBFBF" w:themeFill="background1" w:themeFillShade="BF"/>
            <w:noWrap/>
            <w:vAlign w:val="center"/>
            <w:hideMark/>
          </w:tcPr>
          <w:p w14:paraId="6AED83E1" w14:textId="77777777" w:rsidR="000B00BE" w:rsidRPr="000B00BE" w:rsidRDefault="000B00BE" w:rsidP="00F76431">
            <w:pPr>
              <w:spacing w:after="200"/>
              <w:rPr>
                <w:rFonts w:asciiTheme="minorHAnsi" w:hAnsiTheme="minorHAnsi"/>
                <w:sz w:val="20"/>
                <w:szCs w:val="20"/>
              </w:rPr>
            </w:pPr>
            <w:r w:rsidRPr="000B00BE">
              <w:rPr>
                <w:rFonts w:asciiTheme="minorHAnsi" w:hAnsiTheme="minorHAnsi"/>
                <w:sz w:val="20"/>
                <w:szCs w:val="20"/>
              </w:rPr>
              <w:t>2011</w:t>
            </w:r>
          </w:p>
        </w:tc>
        <w:tc>
          <w:tcPr>
            <w:tcW w:w="1540" w:type="dxa"/>
            <w:shd w:val="clear" w:color="auto" w:fill="BFBFBF" w:themeFill="background1" w:themeFillShade="BF"/>
            <w:noWrap/>
            <w:vAlign w:val="center"/>
            <w:hideMark/>
          </w:tcPr>
          <w:p w14:paraId="34E943ED" w14:textId="77777777" w:rsidR="000B00BE" w:rsidRPr="000B00BE" w:rsidRDefault="000B00BE" w:rsidP="00F76431">
            <w:pPr>
              <w:spacing w:after="200"/>
              <w:rPr>
                <w:rFonts w:asciiTheme="minorHAnsi" w:hAnsiTheme="minorHAnsi"/>
                <w:sz w:val="20"/>
                <w:szCs w:val="20"/>
              </w:rPr>
            </w:pPr>
            <w:r w:rsidRPr="000B00BE">
              <w:rPr>
                <w:rFonts w:asciiTheme="minorHAnsi" w:hAnsiTheme="minorHAnsi"/>
                <w:sz w:val="20"/>
                <w:szCs w:val="20"/>
              </w:rPr>
              <w:t>2012</w:t>
            </w:r>
          </w:p>
        </w:tc>
        <w:tc>
          <w:tcPr>
            <w:tcW w:w="1540" w:type="dxa"/>
            <w:shd w:val="clear" w:color="auto" w:fill="BFBFBF" w:themeFill="background1" w:themeFillShade="BF"/>
            <w:noWrap/>
            <w:vAlign w:val="center"/>
            <w:hideMark/>
          </w:tcPr>
          <w:p w14:paraId="73DFB83B" w14:textId="77777777" w:rsidR="000B00BE" w:rsidRPr="000B00BE" w:rsidRDefault="000B00BE" w:rsidP="00F76431">
            <w:pPr>
              <w:spacing w:after="200"/>
              <w:rPr>
                <w:rFonts w:asciiTheme="minorHAnsi" w:hAnsiTheme="minorHAnsi"/>
                <w:sz w:val="20"/>
                <w:szCs w:val="20"/>
              </w:rPr>
            </w:pPr>
            <w:r w:rsidRPr="000B00BE">
              <w:rPr>
                <w:rFonts w:asciiTheme="minorHAnsi" w:hAnsiTheme="minorHAnsi"/>
                <w:sz w:val="20"/>
                <w:szCs w:val="20"/>
              </w:rPr>
              <w:t xml:space="preserve">2013 </w:t>
            </w:r>
            <w:r w:rsidRPr="000B00BE">
              <w:rPr>
                <w:rFonts w:asciiTheme="minorHAnsi" w:hAnsiTheme="minorHAnsi"/>
                <w:sz w:val="20"/>
                <w:szCs w:val="20"/>
              </w:rPr>
              <w:br/>
              <w:t>(1st half)</w:t>
            </w:r>
          </w:p>
        </w:tc>
      </w:tr>
      <w:tr w:rsidR="000B00BE" w:rsidRPr="000B00BE" w14:paraId="35CD8E78" w14:textId="77777777" w:rsidTr="000B00BE">
        <w:trPr>
          <w:trHeight w:val="300"/>
        </w:trPr>
        <w:tc>
          <w:tcPr>
            <w:tcW w:w="1656" w:type="dxa"/>
            <w:noWrap/>
            <w:vAlign w:val="center"/>
            <w:hideMark/>
          </w:tcPr>
          <w:p w14:paraId="1C390081" w14:textId="77777777" w:rsidR="000B00BE" w:rsidRPr="000B00BE" w:rsidRDefault="000B00BE" w:rsidP="00F76431">
            <w:pPr>
              <w:spacing w:after="200"/>
              <w:rPr>
                <w:rFonts w:asciiTheme="minorHAnsi" w:hAnsiTheme="minorHAnsi"/>
                <w:sz w:val="20"/>
                <w:szCs w:val="20"/>
              </w:rPr>
            </w:pPr>
            <w:proofErr w:type="spellStart"/>
            <w:r w:rsidRPr="000B00BE">
              <w:rPr>
                <w:rFonts w:asciiTheme="minorHAnsi" w:hAnsiTheme="minorHAnsi"/>
                <w:sz w:val="20"/>
                <w:szCs w:val="20"/>
              </w:rPr>
              <w:t>Deferasirox</w:t>
            </w:r>
            <w:proofErr w:type="spellEnd"/>
          </w:p>
        </w:tc>
        <w:tc>
          <w:tcPr>
            <w:tcW w:w="1357" w:type="dxa"/>
            <w:noWrap/>
            <w:vAlign w:val="center"/>
            <w:hideMark/>
          </w:tcPr>
          <w:p w14:paraId="51D50D35" w14:textId="77777777" w:rsidR="000B00BE" w:rsidRPr="000B00BE" w:rsidRDefault="000B00BE" w:rsidP="00F76431">
            <w:pPr>
              <w:spacing w:after="200"/>
              <w:rPr>
                <w:rFonts w:asciiTheme="minorHAnsi" w:hAnsiTheme="minorHAnsi"/>
                <w:sz w:val="20"/>
                <w:szCs w:val="20"/>
              </w:rPr>
            </w:pPr>
            <w:r w:rsidRPr="000B00BE">
              <w:rPr>
                <w:rFonts w:asciiTheme="minorHAnsi" w:hAnsiTheme="minorHAnsi"/>
                <w:sz w:val="20"/>
                <w:szCs w:val="20"/>
              </w:rPr>
              <w:t>$13,268,025</w:t>
            </w:r>
          </w:p>
        </w:tc>
        <w:tc>
          <w:tcPr>
            <w:tcW w:w="1540" w:type="dxa"/>
            <w:noWrap/>
            <w:vAlign w:val="center"/>
            <w:hideMark/>
          </w:tcPr>
          <w:p w14:paraId="75689ADE" w14:textId="77777777" w:rsidR="000B00BE" w:rsidRPr="000B00BE" w:rsidRDefault="000B00BE" w:rsidP="00F76431">
            <w:pPr>
              <w:spacing w:after="200"/>
              <w:rPr>
                <w:rFonts w:asciiTheme="minorHAnsi" w:hAnsiTheme="minorHAnsi"/>
                <w:sz w:val="20"/>
                <w:szCs w:val="20"/>
              </w:rPr>
            </w:pPr>
            <w:r w:rsidRPr="000B00BE">
              <w:rPr>
                <w:rFonts w:asciiTheme="minorHAnsi" w:hAnsiTheme="minorHAnsi"/>
                <w:sz w:val="20"/>
                <w:szCs w:val="20"/>
              </w:rPr>
              <w:t>$15,685,323</w:t>
            </w:r>
          </w:p>
        </w:tc>
        <w:tc>
          <w:tcPr>
            <w:tcW w:w="1540" w:type="dxa"/>
            <w:noWrap/>
            <w:vAlign w:val="center"/>
            <w:hideMark/>
          </w:tcPr>
          <w:p w14:paraId="490A3713" w14:textId="77777777" w:rsidR="000B00BE" w:rsidRPr="000B00BE" w:rsidRDefault="000B00BE" w:rsidP="00F76431">
            <w:pPr>
              <w:spacing w:after="200"/>
              <w:rPr>
                <w:rFonts w:asciiTheme="minorHAnsi" w:hAnsiTheme="minorHAnsi"/>
                <w:sz w:val="20"/>
                <w:szCs w:val="20"/>
              </w:rPr>
            </w:pPr>
            <w:r w:rsidRPr="000B00BE">
              <w:rPr>
                <w:rFonts w:asciiTheme="minorHAnsi" w:hAnsiTheme="minorHAnsi"/>
                <w:sz w:val="20"/>
                <w:szCs w:val="20"/>
              </w:rPr>
              <w:t>$19,038,592</w:t>
            </w:r>
          </w:p>
        </w:tc>
        <w:tc>
          <w:tcPr>
            <w:tcW w:w="1540" w:type="dxa"/>
            <w:noWrap/>
            <w:vAlign w:val="center"/>
            <w:hideMark/>
          </w:tcPr>
          <w:p w14:paraId="27EFBA7B" w14:textId="77777777" w:rsidR="000B00BE" w:rsidRPr="000B00BE" w:rsidRDefault="000B00BE" w:rsidP="00F76431">
            <w:pPr>
              <w:spacing w:after="200"/>
              <w:rPr>
                <w:rFonts w:asciiTheme="minorHAnsi" w:hAnsiTheme="minorHAnsi"/>
                <w:sz w:val="20"/>
                <w:szCs w:val="20"/>
              </w:rPr>
            </w:pPr>
            <w:r w:rsidRPr="000B00BE">
              <w:rPr>
                <w:rFonts w:asciiTheme="minorHAnsi" w:hAnsiTheme="minorHAnsi"/>
                <w:sz w:val="20"/>
                <w:szCs w:val="20"/>
              </w:rPr>
              <w:t>$20,601,860</w:t>
            </w:r>
          </w:p>
        </w:tc>
        <w:tc>
          <w:tcPr>
            <w:tcW w:w="1540" w:type="dxa"/>
            <w:noWrap/>
            <w:vAlign w:val="center"/>
            <w:hideMark/>
          </w:tcPr>
          <w:p w14:paraId="32D1CDB6" w14:textId="77777777" w:rsidR="000B00BE" w:rsidRPr="000B00BE" w:rsidRDefault="000B00BE" w:rsidP="00F76431">
            <w:pPr>
              <w:spacing w:after="200"/>
              <w:rPr>
                <w:rFonts w:asciiTheme="minorHAnsi" w:hAnsiTheme="minorHAnsi"/>
                <w:sz w:val="20"/>
                <w:szCs w:val="20"/>
              </w:rPr>
            </w:pPr>
            <w:r w:rsidRPr="000B00BE">
              <w:rPr>
                <w:rFonts w:asciiTheme="minorHAnsi" w:hAnsiTheme="minorHAnsi"/>
                <w:sz w:val="20"/>
                <w:szCs w:val="20"/>
              </w:rPr>
              <w:t>$10,234,971</w:t>
            </w:r>
          </w:p>
        </w:tc>
      </w:tr>
      <w:tr w:rsidR="000B00BE" w:rsidRPr="000B00BE" w14:paraId="60EEC344" w14:textId="77777777" w:rsidTr="000B00BE">
        <w:trPr>
          <w:trHeight w:val="300"/>
        </w:trPr>
        <w:tc>
          <w:tcPr>
            <w:tcW w:w="1656" w:type="dxa"/>
            <w:noWrap/>
            <w:vAlign w:val="center"/>
            <w:hideMark/>
          </w:tcPr>
          <w:p w14:paraId="29DF52C8" w14:textId="77777777" w:rsidR="000B00BE" w:rsidRPr="000B00BE" w:rsidRDefault="000B00BE" w:rsidP="00F76431">
            <w:pPr>
              <w:spacing w:after="200"/>
              <w:rPr>
                <w:rFonts w:asciiTheme="minorHAnsi" w:hAnsiTheme="minorHAnsi"/>
                <w:sz w:val="20"/>
                <w:szCs w:val="20"/>
              </w:rPr>
            </w:pPr>
            <w:proofErr w:type="spellStart"/>
            <w:r w:rsidRPr="000B00BE">
              <w:rPr>
                <w:rFonts w:asciiTheme="minorHAnsi" w:hAnsiTheme="minorHAnsi"/>
                <w:sz w:val="20"/>
                <w:szCs w:val="20"/>
              </w:rPr>
              <w:t>Deferiprone</w:t>
            </w:r>
            <w:proofErr w:type="spellEnd"/>
          </w:p>
        </w:tc>
        <w:tc>
          <w:tcPr>
            <w:tcW w:w="1357" w:type="dxa"/>
            <w:noWrap/>
            <w:vAlign w:val="center"/>
            <w:hideMark/>
          </w:tcPr>
          <w:p w14:paraId="77779D8B" w14:textId="77777777" w:rsidR="000B00BE" w:rsidRPr="000B00BE" w:rsidRDefault="000B00BE" w:rsidP="00F76431">
            <w:pPr>
              <w:spacing w:after="200"/>
              <w:rPr>
                <w:rFonts w:asciiTheme="minorHAnsi" w:hAnsiTheme="minorHAnsi"/>
                <w:sz w:val="20"/>
                <w:szCs w:val="20"/>
              </w:rPr>
            </w:pPr>
            <w:r w:rsidRPr="000B00BE">
              <w:rPr>
                <w:rFonts w:asciiTheme="minorHAnsi" w:hAnsiTheme="minorHAnsi"/>
                <w:sz w:val="20"/>
                <w:szCs w:val="20"/>
              </w:rPr>
              <w:t>$637,727</w:t>
            </w:r>
          </w:p>
        </w:tc>
        <w:tc>
          <w:tcPr>
            <w:tcW w:w="1540" w:type="dxa"/>
            <w:noWrap/>
            <w:vAlign w:val="center"/>
            <w:hideMark/>
          </w:tcPr>
          <w:p w14:paraId="42E3C400" w14:textId="77777777" w:rsidR="000B00BE" w:rsidRPr="000B00BE" w:rsidRDefault="000B00BE" w:rsidP="00F76431">
            <w:pPr>
              <w:spacing w:after="200"/>
              <w:rPr>
                <w:rFonts w:asciiTheme="minorHAnsi" w:hAnsiTheme="minorHAnsi"/>
                <w:sz w:val="20"/>
                <w:szCs w:val="20"/>
              </w:rPr>
            </w:pPr>
            <w:r w:rsidRPr="000B00BE">
              <w:rPr>
                <w:rFonts w:asciiTheme="minorHAnsi" w:hAnsiTheme="minorHAnsi"/>
                <w:sz w:val="20"/>
                <w:szCs w:val="20"/>
              </w:rPr>
              <w:t>$740,226</w:t>
            </w:r>
          </w:p>
        </w:tc>
        <w:tc>
          <w:tcPr>
            <w:tcW w:w="1540" w:type="dxa"/>
            <w:noWrap/>
            <w:vAlign w:val="center"/>
            <w:hideMark/>
          </w:tcPr>
          <w:p w14:paraId="36E2FA0F" w14:textId="77777777" w:rsidR="000B00BE" w:rsidRPr="000B00BE" w:rsidRDefault="000B00BE" w:rsidP="00F76431">
            <w:pPr>
              <w:spacing w:after="200"/>
              <w:rPr>
                <w:rFonts w:asciiTheme="minorHAnsi" w:hAnsiTheme="minorHAnsi"/>
                <w:sz w:val="20"/>
                <w:szCs w:val="20"/>
              </w:rPr>
            </w:pPr>
            <w:r w:rsidRPr="000B00BE">
              <w:rPr>
                <w:rFonts w:asciiTheme="minorHAnsi" w:hAnsiTheme="minorHAnsi"/>
                <w:sz w:val="20"/>
                <w:szCs w:val="20"/>
              </w:rPr>
              <w:t>$723,090</w:t>
            </w:r>
          </w:p>
        </w:tc>
        <w:tc>
          <w:tcPr>
            <w:tcW w:w="1540" w:type="dxa"/>
            <w:noWrap/>
            <w:vAlign w:val="center"/>
            <w:hideMark/>
          </w:tcPr>
          <w:p w14:paraId="3C9FE4EB" w14:textId="77777777" w:rsidR="000B00BE" w:rsidRPr="000B00BE" w:rsidRDefault="000B00BE" w:rsidP="00F76431">
            <w:pPr>
              <w:spacing w:after="200"/>
              <w:rPr>
                <w:rFonts w:asciiTheme="minorHAnsi" w:hAnsiTheme="minorHAnsi"/>
                <w:sz w:val="20"/>
                <w:szCs w:val="20"/>
              </w:rPr>
            </w:pPr>
            <w:r w:rsidRPr="000B00BE">
              <w:rPr>
                <w:rFonts w:asciiTheme="minorHAnsi" w:hAnsiTheme="minorHAnsi"/>
                <w:sz w:val="20"/>
                <w:szCs w:val="20"/>
              </w:rPr>
              <w:t>$640,553</w:t>
            </w:r>
          </w:p>
        </w:tc>
        <w:tc>
          <w:tcPr>
            <w:tcW w:w="1540" w:type="dxa"/>
            <w:noWrap/>
            <w:vAlign w:val="center"/>
            <w:hideMark/>
          </w:tcPr>
          <w:p w14:paraId="5D1DF28C" w14:textId="77777777" w:rsidR="000B00BE" w:rsidRPr="000B00BE" w:rsidRDefault="000B00BE" w:rsidP="00F76431">
            <w:pPr>
              <w:spacing w:after="200"/>
              <w:rPr>
                <w:rFonts w:asciiTheme="minorHAnsi" w:hAnsiTheme="minorHAnsi"/>
                <w:sz w:val="20"/>
                <w:szCs w:val="20"/>
              </w:rPr>
            </w:pPr>
            <w:r w:rsidRPr="000B00BE">
              <w:rPr>
                <w:rFonts w:asciiTheme="minorHAnsi" w:hAnsiTheme="minorHAnsi"/>
                <w:sz w:val="20"/>
                <w:szCs w:val="20"/>
              </w:rPr>
              <w:t>$313,257</w:t>
            </w:r>
          </w:p>
        </w:tc>
      </w:tr>
      <w:tr w:rsidR="000B00BE" w:rsidRPr="000B00BE" w14:paraId="619B4366" w14:textId="77777777" w:rsidTr="000B00BE">
        <w:trPr>
          <w:trHeight w:val="300"/>
        </w:trPr>
        <w:tc>
          <w:tcPr>
            <w:tcW w:w="1656" w:type="dxa"/>
            <w:noWrap/>
            <w:vAlign w:val="center"/>
            <w:hideMark/>
          </w:tcPr>
          <w:p w14:paraId="42C602CF" w14:textId="77777777" w:rsidR="000B00BE" w:rsidRPr="000B00BE" w:rsidRDefault="000B00BE" w:rsidP="00F76431">
            <w:pPr>
              <w:spacing w:after="200"/>
              <w:rPr>
                <w:rFonts w:asciiTheme="minorHAnsi" w:hAnsiTheme="minorHAnsi"/>
                <w:sz w:val="20"/>
                <w:szCs w:val="20"/>
              </w:rPr>
            </w:pPr>
            <w:proofErr w:type="spellStart"/>
            <w:r w:rsidRPr="000B00BE">
              <w:rPr>
                <w:rFonts w:asciiTheme="minorHAnsi" w:hAnsiTheme="minorHAnsi"/>
                <w:sz w:val="20"/>
                <w:szCs w:val="20"/>
              </w:rPr>
              <w:t>Desferrioxamine</w:t>
            </w:r>
            <w:proofErr w:type="spellEnd"/>
          </w:p>
        </w:tc>
        <w:tc>
          <w:tcPr>
            <w:tcW w:w="1357" w:type="dxa"/>
            <w:noWrap/>
            <w:vAlign w:val="center"/>
            <w:hideMark/>
          </w:tcPr>
          <w:p w14:paraId="4166A9BF" w14:textId="77777777" w:rsidR="000B00BE" w:rsidRPr="000B00BE" w:rsidRDefault="000B00BE" w:rsidP="00F76431">
            <w:pPr>
              <w:spacing w:after="200"/>
              <w:rPr>
                <w:rFonts w:asciiTheme="minorHAnsi" w:hAnsiTheme="minorHAnsi"/>
                <w:sz w:val="20"/>
                <w:szCs w:val="20"/>
              </w:rPr>
            </w:pPr>
            <w:r w:rsidRPr="000B00BE">
              <w:rPr>
                <w:rFonts w:asciiTheme="minorHAnsi" w:hAnsiTheme="minorHAnsi"/>
                <w:sz w:val="20"/>
                <w:szCs w:val="20"/>
              </w:rPr>
              <w:t>$1,070,243</w:t>
            </w:r>
          </w:p>
        </w:tc>
        <w:tc>
          <w:tcPr>
            <w:tcW w:w="1540" w:type="dxa"/>
            <w:noWrap/>
            <w:vAlign w:val="center"/>
            <w:hideMark/>
          </w:tcPr>
          <w:p w14:paraId="1A8AE978" w14:textId="77777777" w:rsidR="000B00BE" w:rsidRPr="000B00BE" w:rsidRDefault="000B00BE" w:rsidP="00F76431">
            <w:pPr>
              <w:spacing w:after="200"/>
              <w:rPr>
                <w:rFonts w:asciiTheme="minorHAnsi" w:hAnsiTheme="minorHAnsi"/>
                <w:sz w:val="20"/>
                <w:szCs w:val="20"/>
              </w:rPr>
            </w:pPr>
            <w:r w:rsidRPr="000B00BE">
              <w:rPr>
                <w:rFonts w:asciiTheme="minorHAnsi" w:hAnsiTheme="minorHAnsi"/>
                <w:sz w:val="20"/>
                <w:szCs w:val="20"/>
              </w:rPr>
              <w:t>$898,305</w:t>
            </w:r>
          </w:p>
        </w:tc>
        <w:tc>
          <w:tcPr>
            <w:tcW w:w="1540" w:type="dxa"/>
            <w:noWrap/>
            <w:vAlign w:val="center"/>
            <w:hideMark/>
          </w:tcPr>
          <w:p w14:paraId="5E2B5557" w14:textId="77777777" w:rsidR="000B00BE" w:rsidRPr="000B00BE" w:rsidRDefault="000B00BE" w:rsidP="00F76431">
            <w:pPr>
              <w:spacing w:after="200"/>
              <w:rPr>
                <w:rFonts w:asciiTheme="minorHAnsi" w:hAnsiTheme="minorHAnsi"/>
                <w:sz w:val="20"/>
                <w:szCs w:val="20"/>
              </w:rPr>
            </w:pPr>
            <w:r w:rsidRPr="000B00BE">
              <w:rPr>
                <w:rFonts w:asciiTheme="minorHAnsi" w:hAnsiTheme="minorHAnsi"/>
                <w:sz w:val="20"/>
                <w:szCs w:val="20"/>
              </w:rPr>
              <w:t>$856,414</w:t>
            </w:r>
          </w:p>
        </w:tc>
        <w:tc>
          <w:tcPr>
            <w:tcW w:w="1540" w:type="dxa"/>
            <w:noWrap/>
            <w:vAlign w:val="center"/>
            <w:hideMark/>
          </w:tcPr>
          <w:p w14:paraId="3F75E603" w14:textId="77777777" w:rsidR="000B00BE" w:rsidRPr="000B00BE" w:rsidRDefault="000B00BE" w:rsidP="00F76431">
            <w:pPr>
              <w:spacing w:after="200"/>
              <w:rPr>
                <w:rFonts w:asciiTheme="minorHAnsi" w:hAnsiTheme="minorHAnsi"/>
                <w:sz w:val="20"/>
                <w:szCs w:val="20"/>
              </w:rPr>
            </w:pPr>
            <w:r w:rsidRPr="000B00BE">
              <w:rPr>
                <w:rFonts w:asciiTheme="minorHAnsi" w:hAnsiTheme="minorHAnsi"/>
                <w:sz w:val="20"/>
                <w:szCs w:val="20"/>
              </w:rPr>
              <w:t>$817,508</w:t>
            </w:r>
          </w:p>
        </w:tc>
        <w:tc>
          <w:tcPr>
            <w:tcW w:w="1540" w:type="dxa"/>
            <w:noWrap/>
            <w:vAlign w:val="center"/>
            <w:hideMark/>
          </w:tcPr>
          <w:p w14:paraId="2905E126" w14:textId="77777777" w:rsidR="000B00BE" w:rsidRPr="000B00BE" w:rsidRDefault="000B00BE" w:rsidP="00F76431">
            <w:pPr>
              <w:spacing w:after="200"/>
              <w:rPr>
                <w:rFonts w:asciiTheme="minorHAnsi" w:hAnsiTheme="minorHAnsi"/>
                <w:sz w:val="20"/>
                <w:szCs w:val="20"/>
              </w:rPr>
            </w:pPr>
            <w:r w:rsidRPr="000B00BE">
              <w:rPr>
                <w:rFonts w:asciiTheme="minorHAnsi" w:hAnsiTheme="minorHAnsi"/>
                <w:sz w:val="20"/>
                <w:szCs w:val="20"/>
              </w:rPr>
              <w:t>$331,835</w:t>
            </w:r>
          </w:p>
        </w:tc>
      </w:tr>
      <w:tr w:rsidR="000B00BE" w:rsidRPr="000B00BE" w14:paraId="004EC554" w14:textId="77777777" w:rsidTr="000B00BE">
        <w:trPr>
          <w:trHeight w:val="300"/>
        </w:trPr>
        <w:tc>
          <w:tcPr>
            <w:tcW w:w="1656" w:type="dxa"/>
            <w:noWrap/>
            <w:vAlign w:val="center"/>
          </w:tcPr>
          <w:p w14:paraId="1C757CAB" w14:textId="77777777" w:rsidR="000B00BE" w:rsidRPr="000B00BE" w:rsidRDefault="000B00BE" w:rsidP="00F76431">
            <w:pPr>
              <w:spacing w:after="200"/>
              <w:rPr>
                <w:rFonts w:asciiTheme="minorHAnsi" w:hAnsiTheme="minorHAnsi"/>
                <w:sz w:val="20"/>
                <w:szCs w:val="20"/>
              </w:rPr>
            </w:pPr>
            <w:r w:rsidRPr="000B00BE">
              <w:rPr>
                <w:rFonts w:asciiTheme="minorHAnsi" w:hAnsiTheme="minorHAnsi"/>
                <w:sz w:val="20"/>
                <w:szCs w:val="20"/>
              </w:rPr>
              <w:t>Total</w:t>
            </w:r>
          </w:p>
        </w:tc>
        <w:tc>
          <w:tcPr>
            <w:tcW w:w="1357" w:type="dxa"/>
            <w:noWrap/>
            <w:vAlign w:val="center"/>
          </w:tcPr>
          <w:p w14:paraId="623C7314" w14:textId="77777777" w:rsidR="000B00BE" w:rsidRPr="000B00BE" w:rsidRDefault="000B00BE" w:rsidP="00F76431">
            <w:pPr>
              <w:spacing w:after="200"/>
              <w:rPr>
                <w:rFonts w:ascii="Calibri" w:hAnsi="Calibri"/>
                <w:color w:val="000000"/>
                <w:sz w:val="20"/>
                <w:szCs w:val="20"/>
              </w:rPr>
            </w:pPr>
            <w:r w:rsidRPr="000B00BE">
              <w:rPr>
                <w:rFonts w:ascii="Calibri" w:hAnsi="Calibri"/>
                <w:color w:val="000000"/>
                <w:sz w:val="20"/>
                <w:szCs w:val="20"/>
              </w:rPr>
              <w:t>$14,975,995</w:t>
            </w:r>
          </w:p>
        </w:tc>
        <w:tc>
          <w:tcPr>
            <w:tcW w:w="1540" w:type="dxa"/>
            <w:noWrap/>
            <w:vAlign w:val="center"/>
          </w:tcPr>
          <w:p w14:paraId="4417A0A1" w14:textId="77777777" w:rsidR="000B00BE" w:rsidRPr="000B00BE" w:rsidRDefault="000B00BE" w:rsidP="00F76431">
            <w:pPr>
              <w:spacing w:after="200"/>
              <w:rPr>
                <w:rFonts w:ascii="Calibri" w:hAnsi="Calibri"/>
                <w:color w:val="000000"/>
                <w:sz w:val="20"/>
                <w:szCs w:val="20"/>
              </w:rPr>
            </w:pPr>
            <w:r w:rsidRPr="000B00BE">
              <w:rPr>
                <w:rFonts w:ascii="Calibri" w:hAnsi="Calibri"/>
                <w:color w:val="000000"/>
                <w:sz w:val="20"/>
                <w:szCs w:val="20"/>
              </w:rPr>
              <w:t>$17,323,854</w:t>
            </w:r>
          </w:p>
        </w:tc>
        <w:tc>
          <w:tcPr>
            <w:tcW w:w="1540" w:type="dxa"/>
            <w:noWrap/>
            <w:vAlign w:val="center"/>
          </w:tcPr>
          <w:p w14:paraId="597A1C93" w14:textId="77777777" w:rsidR="000B00BE" w:rsidRPr="000B00BE" w:rsidRDefault="000B00BE" w:rsidP="00F76431">
            <w:pPr>
              <w:spacing w:after="200"/>
              <w:rPr>
                <w:rFonts w:ascii="Calibri" w:hAnsi="Calibri"/>
                <w:color w:val="000000"/>
                <w:sz w:val="20"/>
                <w:szCs w:val="20"/>
              </w:rPr>
            </w:pPr>
            <w:r w:rsidRPr="000B00BE">
              <w:rPr>
                <w:rFonts w:ascii="Calibri" w:hAnsi="Calibri"/>
                <w:color w:val="000000"/>
                <w:sz w:val="20"/>
                <w:szCs w:val="20"/>
              </w:rPr>
              <w:t>$20,618,096</w:t>
            </w:r>
          </w:p>
        </w:tc>
        <w:tc>
          <w:tcPr>
            <w:tcW w:w="1540" w:type="dxa"/>
            <w:noWrap/>
            <w:vAlign w:val="center"/>
          </w:tcPr>
          <w:p w14:paraId="3CA7164F" w14:textId="77777777" w:rsidR="000B00BE" w:rsidRPr="000B00BE" w:rsidRDefault="000B00BE" w:rsidP="00F76431">
            <w:pPr>
              <w:spacing w:after="200"/>
              <w:rPr>
                <w:rFonts w:ascii="Calibri" w:hAnsi="Calibri"/>
                <w:color w:val="000000"/>
                <w:sz w:val="20"/>
                <w:szCs w:val="20"/>
              </w:rPr>
            </w:pPr>
            <w:r w:rsidRPr="000B00BE">
              <w:rPr>
                <w:rFonts w:ascii="Calibri" w:hAnsi="Calibri"/>
                <w:color w:val="000000"/>
                <w:sz w:val="20"/>
                <w:szCs w:val="20"/>
              </w:rPr>
              <w:t>$22,059,921</w:t>
            </w:r>
          </w:p>
        </w:tc>
        <w:tc>
          <w:tcPr>
            <w:tcW w:w="1540" w:type="dxa"/>
            <w:noWrap/>
            <w:vAlign w:val="center"/>
          </w:tcPr>
          <w:p w14:paraId="710FA58B" w14:textId="77777777" w:rsidR="000B00BE" w:rsidRPr="000B00BE" w:rsidRDefault="000B00BE" w:rsidP="00F76431">
            <w:pPr>
              <w:spacing w:after="200"/>
              <w:rPr>
                <w:rFonts w:ascii="Calibri" w:hAnsi="Calibri"/>
                <w:color w:val="000000"/>
                <w:sz w:val="20"/>
                <w:szCs w:val="20"/>
              </w:rPr>
            </w:pPr>
            <w:r w:rsidRPr="000B00BE">
              <w:rPr>
                <w:rFonts w:ascii="Calibri" w:hAnsi="Calibri"/>
                <w:color w:val="000000"/>
                <w:sz w:val="20"/>
                <w:szCs w:val="20"/>
              </w:rPr>
              <w:t>$10,880,063</w:t>
            </w:r>
          </w:p>
        </w:tc>
      </w:tr>
    </w:tbl>
    <w:p w14:paraId="68F4D658" w14:textId="77777777" w:rsidR="000B00BE" w:rsidRPr="000B00BE" w:rsidRDefault="000B00BE" w:rsidP="00F76431">
      <w:pPr>
        <w:spacing w:line="240" w:lineRule="auto"/>
        <w:rPr>
          <w:rFonts w:asciiTheme="minorHAnsi" w:hAnsiTheme="minorHAnsi" w:cs="Baskerville"/>
          <w:sz w:val="20"/>
          <w:szCs w:val="20"/>
        </w:rPr>
      </w:pPr>
      <w:r w:rsidRPr="000B00BE">
        <w:rPr>
          <w:rFonts w:asciiTheme="minorHAnsi" w:hAnsiTheme="minorHAnsi" w:cs="Baskerville"/>
          <w:sz w:val="20"/>
          <w:szCs w:val="20"/>
        </w:rPr>
        <w:t>Source: Highly Specialised Drugs Database, extracted November 2013</w:t>
      </w:r>
    </w:p>
    <w:p w14:paraId="13CFDBF8" w14:textId="07E69865" w:rsidR="000B00BE" w:rsidRPr="000B00BE" w:rsidRDefault="000B00BE" w:rsidP="00F76431">
      <w:pPr>
        <w:spacing w:line="240" w:lineRule="auto"/>
        <w:rPr>
          <w:rFonts w:asciiTheme="minorHAnsi" w:hAnsiTheme="minorHAnsi"/>
        </w:rPr>
      </w:pPr>
      <w:proofErr w:type="spellStart"/>
      <w:r w:rsidRPr="000B00BE">
        <w:rPr>
          <w:rFonts w:asciiTheme="minorHAnsi" w:hAnsiTheme="minorHAnsi"/>
        </w:rPr>
        <w:t>Deferasirox</w:t>
      </w:r>
      <w:proofErr w:type="spellEnd"/>
      <w:r w:rsidRPr="000B00BE">
        <w:rPr>
          <w:rFonts w:asciiTheme="minorHAnsi" w:hAnsiTheme="minorHAnsi"/>
        </w:rPr>
        <w:t xml:space="preserve"> expenditure is substantially higher than the expenditure for </w:t>
      </w:r>
      <w:proofErr w:type="spellStart"/>
      <w:r w:rsidRPr="000B00BE">
        <w:rPr>
          <w:rFonts w:asciiTheme="minorHAnsi" w:hAnsiTheme="minorHAnsi"/>
        </w:rPr>
        <w:t>d</w:t>
      </w:r>
      <w:r w:rsidR="00AE31C0">
        <w:rPr>
          <w:rFonts w:asciiTheme="minorHAnsi" w:hAnsiTheme="minorHAnsi"/>
        </w:rPr>
        <w:t>eferiprone</w:t>
      </w:r>
      <w:proofErr w:type="spellEnd"/>
      <w:r w:rsidR="00AE31C0">
        <w:rPr>
          <w:rFonts w:asciiTheme="minorHAnsi" w:hAnsiTheme="minorHAnsi"/>
        </w:rPr>
        <w:t xml:space="preserve"> and </w:t>
      </w:r>
      <w:proofErr w:type="spellStart"/>
      <w:r w:rsidR="00AE31C0">
        <w:rPr>
          <w:rFonts w:asciiTheme="minorHAnsi" w:hAnsiTheme="minorHAnsi"/>
        </w:rPr>
        <w:t>desferrioxamine</w:t>
      </w:r>
      <w:proofErr w:type="spellEnd"/>
      <w:r w:rsidR="00AE31C0">
        <w:rPr>
          <w:rFonts w:asciiTheme="minorHAnsi" w:hAnsiTheme="minorHAnsi"/>
        </w:rPr>
        <w:t xml:space="preserve">.  </w:t>
      </w:r>
      <w:proofErr w:type="spellStart"/>
      <w:r w:rsidRPr="000B00BE">
        <w:rPr>
          <w:rFonts w:asciiTheme="minorHAnsi" w:hAnsiTheme="minorHAnsi"/>
        </w:rPr>
        <w:t>Deferiprone</w:t>
      </w:r>
      <w:proofErr w:type="spellEnd"/>
      <w:r w:rsidRPr="000B00BE">
        <w:rPr>
          <w:rFonts w:asciiTheme="minorHAnsi" w:hAnsiTheme="minorHAnsi"/>
        </w:rPr>
        <w:t xml:space="preserve"> expenditure appears relatively stable whereas </w:t>
      </w:r>
      <w:proofErr w:type="spellStart"/>
      <w:r w:rsidRPr="000B00BE">
        <w:rPr>
          <w:rFonts w:asciiTheme="minorHAnsi" w:hAnsiTheme="minorHAnsi"/>
        </w:rPr>
        <w:t>desferrioxamine</w:t>
      </w:r>
      <w:proofErr w:type="spellEnd"/>
      <w:r w:rsidRPr="000B00BE">
        <w:rPr>
          <w:rFonts w:asciiTheme="minorHAnsi" w:hAnsiTheme="minorHAnsi"/>
        </w:rPr>
        <w:t xml:space="preserve"> expenditure decreased each year between 2009 and 20</w:t>
      </w:r>
      <w:r w:rsidR="00AE31C0">
        <w:rPr>
          <w:rFonts w:asciiTheme="minorHAnsi" w:hAnsiTheme="minorHAnsi"/>
        </w:rPr>
        <w:t xml:space="preserve">12.  </w:t>
      </w:r>
      <w:proofErr w:type="spellStart"/>
      <w:r w:rsidRPr="000B00BE">
        <w:rPr>
          <w:rFonts w:asciiTheme="minorHAnsi" w:hAnsiTheme="minorHAnsi"/>
        </w:rPr>
        <w:t>Deferasirox</w:t>
      </w:r>
      <w:proofErr w:type="spellEnd"/>
      <w:r w:rsidRPr="000B00BE">
        <w:rPr>
          <w:rFonts w:asciiTheme="minorHAnsi" w:hAnsiTheme="minorHAnsi"/>
        </w:rPr>
        <w:t xml:space="preserve"> has a special pricing arrangement.</w:t>
      </w:r>
    </w:p>
    <w:p w14:paraId="28366D78" w14:textId="74E01AF4" w:rsidR="000B00BE" w:rsidRPr="000B00BE" w:rsidRDefault="000B00BE" w:rsidP="00F76431">
      <w:pPr>
        <w:spacing w:line="240" w:lineRule="auto"/>
        <w:rPr>
          <w:rFonts w:asciiTheme="minorHAnsi" w:hAnsiTheme="minorHAnsi"/>
          <w:highlight w:val="yellow"/>
        </w:rPr>
      </w:pPr>
      <w:r w:rsidRPr="000B00BE">
        <w:rPr>
          <w:rFonts w:asciiTheme="minorHAnsi" w:hAnsiTheme="minorHAnsi"/>
        </w:rPr>
        <w:fldChar w:fldCharType="begin"/>
      </w:r>
      <w:r w:rsidRPr="000B00BE">
        <w:rPr>
          <w:rFonts w:asciiTheme="minorHAnsi" w:hAnsiTheme="minorHAnsi"/>
        </w:rPr>
        <w:instrText xml:space="preserve"> REF _Ref375039399 </w:instrText>
      </w:r>
      <w:r w:rsidR="00F76431">
        <w:rPr>
          <w:rFonts w:asciiTheme="minorHAnsi" w:hAnsiTheme="minorHAnsi"/>
        </w:rPr>
        <w:instrText xml:space="preserve"> \* MERGEFORMAT </w:instrText>
      </w:r>
      <w:r w:rsidRPr="000B00BE">
        <w:rPr>
          <w:rFonts w:asciiTheme="minorHAnsi" w:hAnsiTheme="minorHAnsi"/>
        </w:rPr>
        <w:fldChar w:fldCharType="separate"/>
      </w:r>
      <w:r w:rsidR="00BE4490" w:rsidRPr="00BE4490">
        <w:rPr>
          <w:rFonts w:asciiTheme="minorHAnsi" w:hAnsiTheme="minorHAnsi"/>
        </w:rPr>
        <w:t xml:space="preserve">Table </w:t>
      </w:r>
      <w:r w:rsidRPr="000B00BE">
        <w:rPr>
          <w:rFonts w:asciiTheme="minorHAnsi" w:hAnsiTheme="minorHAnsi"/>
          <w:noProof/>
        </w:rPr>
        <w:fldChar w:fldCharType="end"/>
      </w:r>
      <w:r w:rsidRPr="000B00BE">
        <w:rPr>
          <w:rFonts w:asciiTheme="minorHAnsi" w:hAnsiTheme="minorHAnsi"/>
        </w:rPr>
        <w:t xml:space="preserve"> presents the expenditure of </w:t>
      </w:r>
      <w:proofErr w:type="spellStart"/>
      <w:r w:rsidRPr="000B00BE">
        <w:rPr>
          <w:rFonts w:asciiTheme="minorHAnsi" w:hAnsiTheme="minorHAnsi"/>
        </w:rPr>
        <w:t>deferasirox</w:t>
      </w:r>
      <w:proofErr w:type="spellEnd"/>
      <w:r w:rsidRPr="000B00BE">
        <w:rPr>
          <w:rFonts w:asciiTheme="minorHAnsi" w:hAnsiTheme="minorHAnsi"/>
        </w:rPr>
        <w:t xml:space="preserve"> by strength. </w:t>
      </w:r>
    </w:p>
    <w:p w14:paraId="4B126D29" w14:textId="443DFFBB" w:rsidR="000B00BE" w:rsidRPr="000B00BE" w:rsidRDefault="000B00BE" w:rsidP="00F76431">
      <w:pPr>
        <w:keepNext/>
        <w:spacing w:after="0" w:line="240" w:lineRule="auto"/>
        <w:rPr>
          <w:rFonts w:asciiTheme="minorHAnsi" w:hAnsiTheme="minorHAnsi"/>
          <w:b/>
          <w:bCs/>
          <w:szCs w:val="18"/>
        </w:rPr>
      </w:pPr>
      <w:bookmarkStart w:id="3" w:name="_Ref375039399"/>
      <w:r w:rsidRPr="000B00BE">
        <w:rPr>
          <w:rFonts w:asciiTheme="minorHAnsi" w:hAnsiTheme="minorHAnsi"/>
          <w:b/>
          <w:bCs/>
          <w:szCs w:val="18"/>
        </w:rPr>
        <w:t xml:space="preserve">Table </w:t>
      </w:r>
      <w:bookmarkEnd w:id="3"/>
      <w:r w:rsidR="00707CC9">
        <w:rPr>
          <w:rFonts w:asciiTheme="minorHAnsi" w:hAnsiTheme="minorHAnsi"/>
          <w:b/>
          <w:bCs/>
          <w:szCs w:val="18"/>
        </w:rPr>
        <w:t>6</w:t>
      </w:r>
      <w:r w:rsidRPr="000B00BE">
        <w:rPr>
          <w:rFonts w:asciiTheme="minorHAnsi" w:hAnsiTheme="minorHAnsi"/>
          <w:b/>
          <w:bCs/>
          <w:szCs w:val="18"/>
        </w:rPr>
        <w:t xml:space="preserve">: PBS expenditure of </w:t>
      </w:r>
      <w:proofErr w:type="spellStart"/>
      <w:r w:rsidRPr="000B00BE">
        <w:rPr>
          <w:rFonts w:asciiTheme="minorHAnsi" w:hAnsiTheme="minorHAnsi"/>
          <w:b/>
          <w:bCs/>
          <w:szCs w:val="18"/>
        </w:rPr>
        <w:t>deferasirox</w:t>
      </w:r>
      <w:proofErr w:type="spellEnd"/>
      <w:r w:rsidRPr="000B00BE">
        <w:rPr>
          <w:rFonts w:asciiTheme="minorHAnsi" w:hAnsiTheme="minorHAnsi"/>
          <w:b/>
          <w:bCs/>
          <w:szCs w:val="18"/>
        </w:rPr>
        <w:t xml:space="preserve"> by strength</w:t>
      </w:r>
    </w:p>
    <w:tbl>
      <w:tblPr>
        <w:tblStyle w:val="TableGrid"/>
        <w:tblW w:w="0" w:type="auto"/>
        <w:tblLook w:val="04A0" w:firstRow="1" w:lastRow="0" w:firstColumn="1" w:lastColumn="0" w:noHBand="0" w:noVBand="1"/>
        <w:tblCaption w:val="Table 6: PBS expenditure of deferasirox by strength"/>
        <w:tblDescription w:val="PBS expenditure of deferasirox by strength - 2009 to 2013 (first half)"/>
      </w:tblPr>
      <w:tblGrid>
        <w:gridCol w:w="1526"/>
        <w:gridCol w:w="1487"/>
        <w:gridCol w:w="1540"/>
        <w:gridCol w:w="1540"/>
        <w:gridCol w:w="1540"/>
        <w:gridCol w:w="1540"/>
      </w:tblGrid>
      <w:tr w:rsidR="000B00BE" w:rsidRPr="000B00BE" w14:paraId="34FD01D2" w14:textId="77777777" w:rsidTr="00E363CB">
        <w:trPr>
          <w:trHeight w:val="300"/>
          <w:tblHeader/>
        </w:trPr>
        <w:tc>
          <w:tcPr>
            <w:tcW w:w="1526" w:type="dxa"/>
            <w:shd w:val="clear" w:color="auto" w:fill="BFBFBF" w:themeFill="background1" w:themeFillShade="BF"/>
            <w:noWrap/>
            <w:hideMark/>
          </w:tcPr>
          <w:p w14:paraId="1CF28C32" w14:textId="77777777" w:rsidR="000B00BE" w:rsidRPr="000B00BE" w:rsidRDefault="000B00BE" w:rsidP="00F76431">
            <w:pPr>
              <w:spacing w:after="200"/>
              <w:rPr>
                <w:rFonts w:asciiTheme="minorHAnsi" w:hAnsiTheme="minorHAnsi"/>
                <w:sz w:val="20"/>
                <w:szCs w:val="20"/>
              </w:rPr>
            </w:pPr>
          </w:p>
        </w:tc>
        <w:tc>
          <w:tcPr>
            <w:tcW w:w="1487" w:type="dxa"/>
            <w:shd w:val="clear" w:color="auto" w:fill="BFBFBF" w:themeFill="background1" w:themeFillShade="BF"/>
            <w:noWrap/>
            <w:vAlign w:val="center"/>
            <w:hideMark/>
          </w:tcPr>
          <w:p w14:paraId="1FF92CE3" w14:textId="77777777" w:rsidR="000B00BE" w:rsidRPr="000B00BE" w:rsidRDefault="000B00BE" w:rsidP="00F76431">
            <w:pPr>
              <w:spacing w:after="200"/>
              <w:rPr>
                <w:rFonts w:asciiTheme="minorHAnsi" w:hAnsiTheme="minorHAnsi"/>
                <w:sz w:val="20"/>
                <w:szCs w:val="20"/>
              </w:rPr>
            </w:pPr>
            <w:r w:rsidRPr="000B00BE">
              <w:rPr>
                <w:rFonts w:asciiTheme="minorHAnsi" w:hAnsiTheme="minorHAnsi"/>
                <w:sz w:val="20"/>
                <w:szCs w:val="20"/>
              </w:rPr>
              <w:t>2009</w:t>
            </w:r>
          </w:p>
        </w:tc>
        <w:tc>
          <w:tcPr>
            <w:tcW w:w="1540" w:type="dxa"/>
            <w:shd w:val="clear" w:color="auto" w:fill="BFBFBF" w:themeFill="background1" w:themeFillShade="BF"/>
            <w:noWrap/>
            <w:vAlign w:val="center"/>
            <w:hideMark/>
          </w:tcPr>
          <w:p w14:paraId="353BC852" w14:textId="77777777" w:rsidR="000B00BE" w:rsidRPr="000B00BE" w:rsidRDefault="000B00BE" w:rsidP="00F76431">
            <w:pPr>
              <w:spacing w:after="200"/>
              <w:rPr>
                <w:rFonts w:asciiTheme="minorHAnsi" w:hAnsiTheme="minorHAnsi"/>
                <w:sz w:val="20"/>
                <w:szCs w:val="20"/>
              </w:rPr>
            </w:pPr>
            <w:r w:rsidRPr="000B00BE">
              <w:rPr>
                <w:rFonts w:asciiTheme="minorHAnsi" w:hAnsiTheme="minorHAnsi"/>
                <w:sz w:val="20"/>
                <w:szCs w:val="20"/>
              </w:rPr>
              <w:t>2010</w:t>
            </w:r>
          </w:p>
        </w:tc>
        <w:tc>
          <w:tcPr>
            <w:tcW w:w="1540" w:type="dxa"/>
            <w:shd w:val="clear" w:color="auto" w:fill="BFBFBF" w:themeFill="background1" w:themeFillShade="BF"/>
            <w:noWrap/>
            <w:vAlign w:val="center"/>
            <w:hideMark/>
          </w:tcPr>
          <w:p w14:paraId="5180D30C" w14:textId="77777777" w:rsidR="000B00BE" w:rsidRPr="000B00BE" w:rsidRDefault="000B00BE" w:rsidP="00F76431">
            <w:pPr>
              <w:spacing w:after="200"/>
              <w:rPr>
                <w:rFonts w:asciiTheme="minorHAnsi" w:hAnsiTheme="minorHAnsi"/>
                <w:sz w:val="20"/>
                <w:szCs w:val="20"/>
              </w:rPr>
            </w:pPr>
            <w:r w:rsidRPr="000B00BE">
              <w:rPr>
                <w:rFonts w:asciiTheme="minorHAnsi" w:hAnsiTheme="minorHAnsi"/>
                <w:sz w:val="20"/>
                <w:szCs w:val="20"/>
              </w:rPr>
              <w:t>2011</w:t>
            </w:r>
          </w:p>
        </w:tc>
        <w:tc>
          <w:tcPr>
            <w:tcW w:w="1540" w:type="dxa"/>
            <w:shd w:val="clear" w:color="auto" w:fill="BFBFBF" w:themeFill="background1" w:themeFillShade="BF"/>
            <w:noWrap/>
            <w:vAlign w:val="center"/>
            <w:hideMark/>
          </w:tcPr>
          <w:p w14:paraId="562D445B" w14:textId="77777777" w:rsidR="000B00BE" w:rsidRPr="000B00BE" w:rsidRDefault="000B00BE" w:rsidP="00F76431">
            <w:pPr>
              <w:spacing w:after="200"/>
              <w:rPr>
                <w:rFonts w:asciiTheme="minorHAnsi" w:hAnsiTheme="minorHAnsi"/>
                <w:sz w:val="20"/>
                <w:szCs w:val="20"/>
              </w:rPr>
            </w:pPr>
            <w:r w:rsidRPr="000B00BE">
              <w:rPr>
                <w:rFonts w:asciiTheme="minorHAnsi" w:hAnsiTheme="minorHAnsi"/>
                <w:sz w:val="20"/>
                <w:szCs w:val="20"/>
              </w:rPr>
              <w:t>2012</w:t>
            </w:r>
          </w:p>
        </w:tc>
        <w:tc>
          <w:tcPr>
            <w:tcW w:w="1540" w:type="dxa"/>
            <w:shd w:val="clear" w:color="auto" w:fill="BFBFBF" w:themeFill="background1" w:themeFillShade="BF"/>
            <w:noWrap/>
            <w:vAlign w:val="center"/>
            <w:hideMark/>
          </w:tcPr>
          <w:p w14:paraId="21A43E76" w14:textId="77777777" w:rsidR="000B00BE" w:rsidRPr="000B00BE" w:rsidRDefault="000B00BE" w:rsidP="00F76431">
            <w:pPr>
              <w:spacing w:after="200"/>
              <w:rPr>
                <w:rFonts w:asciiTheme="minorHAnsi" w:hAnsiTheme="minorHAnsi"/>
                <w:sz w:val="20"/>
                <w:szCs w:val="20"/>
              </w:rPr>
            </w:pPr>
            <w:r w:rsidRPr="000B00BE">
              <w:rPr>
                <w:rFonts w:asciiTheme="minorHAnsi" w:hAnsiTheme="minorHAnsi"/>
                <w:sz w:val="20"/>
                <w:szCs w:val="20"/>
              </w:rPr>
              <w:t xml:space="preserve">2013 </w:t>
            </w:r>
            <w:r w:rsidRPr="000B00BE">
              <w:rPr>
                <w:rFonts w:asciiTheme="minorHAnsi" w:hAnsiTheme="minorHAnsi"/>
                <w:sz w:val="20"/>
                <w:szCs w:val="20"/>
              </w:rPr>
              <w:br/>
              <w:t>(1st half)</w:t>
            </w:r>
          </w:p>
        </w:tc>
      </w:tr>
      <w:tr w:rsidR="000B00BE" w:rsidRPr="000B00BE" w14:paraId="217A785F" w14:textId="77777777" w:rsidTr="000B00BE">
        <w:trPr>
          <w:trHeight w:val="300"/>
        </w:trPr>
        <w:tc>
          <w:tcPr>
            <w:tcW w:w="1526" w:type="dxa"/>
            <w:noWrap/>
            <w:vAlign w:val="center"/>
          </w:tcPr>
          <w:p w14:paraId="693B9DAB" w14:textId="77777777" w:rsidR="000B00BE" w:rsidRPr="000B00BE" w:rsidRDefault="000B00BE" w:rsidP="00F76431">
            <w:pPr>
              <w:spacing w:after="200"/>
              <w:rPr>
                <w:rFonts w:ascii="Calibri" w:hAnsi="Calibri"/>
                <w:color w:val="000000"/>
                <w:sz w:val="20"/>
                <w:szCs w:val="20"/>
              </w:rPr>
            </w:pPr>
            <w:r w:rsidRPr="000B00BE">
              <w:rPr>
                <w:rFonts w:ascii="Calibri" w:hAnsi="Calibri"/>
                <w:color w:val="000000"/>
                <w:sz w:val="20"/>
                <w:szCs w:val="20"/>
              </w:rPr>
              <w:t>125 mg</w:t>
            </w:r>
          </w:p>
        </w:tc>
        <w:tc>
          <w:tcPr>
            <w:tcW w:w="1487" w:type="dxa"/>
            <w:noWrap/>
            <w:vAlign w:val="center"/>
          </w:tcPr>
          <w:p w14:paraId="2F1C94CB" w14:textId="37CD31D4" w:rsidR="000B00BE" w:rsidRPr="000B00BE" w:rsidRDefault="000B00BE" w:rsidP="00357839">
            <w:pPr>
              <w:spacing w:after="200"/>
              <w:jc w:val="right"/>
              <w:rPr>
                <w:rFonts w:ascii="Calibri" w:hAnsi="Calibri"/>
                <w:color w:val="000000"/>
                <w:sz w:val="20"/>
                <w:szCs w:val="20"/>
              </w:rPr>
            </w:pPr>
            <w:r w:rsidRPr="000B00BE">
              <w:rPr>
                <w:rFonts w:ascii="Calibri" w:hAnsi="Calibri"/>
                <w:color w:val="000000"/>
                <w:sz w:val="20"/>
                <w:szCs w:val="20"/>
              </w:rPr>
              <w:t xml:space="preserve">$111,280 </w:t>
            </w:r>
          </w:p>
        </w:tc>
        <w:tc>
          <w:tcPr>
            <w:tcW w:w="1540" w:type="dxa"/>
            <w:noWrap/>
            <w:vAlign w:val="center"/>
          </w:tcPr>
          <w:p w14:paraId="76850A42" w14:textId="55FD71D9" w:rsidR="000B00BE" w:rsidRPr="000B00BE" w:rsidRDefault="000B00BE" w:rsidP="00357839">
            <w:pPr>
              <w:spacing w:after="200"/>
              <w:jc w:val="right"/>
              <w:rPr>
                <w:rFonts w:ascii="Calibri" w:hAnsi="Calibri"/>
                <w:color w:val="000000"/>
                <w:sz w:val="20"/>
                <w:szCs w:val="20"/>
              </w:rPr>
            </w:pPr>
            <w:r w:rsidRPr="000B00BE">
              <w:rPr>
                <w:rFonts w:ascii="Calibri" w:hAnsi="Calibri"/>
                <w:color w:val="000000"/>
                <w:sz w:val="20"/>
                <w:szCs w:val="20"/>
              </w:rPr>
              <w:t xml:space="preserve">$132,788 </w:t>
            </w:r>
          </w:p>
        </w:tc>
        <w:tc>
          <w:tcPr>
            <w:tcW w:w="1540" w:type="dxa"/>
            <w:noWrap/>
            <w:vAlign w:val="center"/>
          </w:tcPr>
          <w:p w14:paraId="68E76FFF" w14:textId="770577E2" w:rsidR="000B00BE" w:rsidRPr="000B00BE" w:rsidRDefault="000B00BE" w:rsidP="00357839">
            <w:pPr>
              <w:spacing w:after="200"/>
              <w:jc w:val="right"/>
              <w:rPr>
                <w:rFonts w:ascii="Calibri" w:hAnsi="Calibri"/>
                <w:color w:val="000000"/>
                <w:sz w:val="20"/>
                <w:szCs w:val="20"/>
              </w:rPr>
            </w:pPr>
            <w:r w:rsidRPr="000B00BE">
              <w:rPr>
                <w:rFonts w:ascii="Calibri" w:hAnsi="Calibri"/>
                <w:color w:val="000000"/>
                <w:sz w:val="20"/>
                <w:szCs w:val="20"/>
              </w:rPr>
              <w:t xml:space="preserve">$147,845 </w:t>
            </w:r>
          </w:p>
        </w:tc>
        <w:tc>
          <w:tcPr>
            <w:tcW w:w="1540" w:type="dxa"/>
            <w:noWrap/>
            <w:vAlign w:val="center"/>
          </w:tcPr>
          <w:p w14:paraId="11C08ABE" w14:textId="27D50214" w:rsidR="000B00BE" w:rsidRPr="000B00BE" w:rsidRDefault="000B00BE" w:rsidP="00357839">
            <w:pPr>
              <w:spacing w:after="200"/>
              <w:jc w:val="right"/>
              <w:rPr>
                <w:rFonts w:ascii="Calibri" w:hAnsi="Calibri"/>
                <w:color w:val="000000"/>
                <w:sz w:val="20"/>
                <w:szCs w:val="20"/>
              </w:rPr>
            </w:pPr>
            <w:r w:rsidRPr="000B00BE">
              <w:rPr>
                <w:rFonts w:ascii="Calibri" w:hAnsi="Calibri"/>
                <w:color w:val="000000"/>
                <w:sz w:val="20"/>
                <w:szCs w:val="20"/>
              </w:rPr>
              <w:t xml:space="preserve">$116,456 </w:t>
            </w:r>
          </w:p>
        </w:tc>
        <w:tc>
          <w:tcPr>
            <w:tcW w:w="1540" w:type="dxa"/>
            <w:noWrap/>
            <w:vAlign w:val="center"/>
          </w:tcPr>
          <w:p w14:paraId="22974D3A" w14:textId="31BD7F2D" w:rsidR="000B00BE" w:rsidRPr="000B00BE" w:rsidRDefault="000B00BE" w:rsidP="00357839">
            <w:pPr>
              <w:spacing w:after="200"/>
              <w:jc w:val="right"/>
              <w:rPr>
                <w:rFonts w:ascii="Calibri" w:hAnsi="Calibri"/>
                <w:color w:val="000000"/>
                <w:sz w:val="20"/>
                <w:szCs w:val="20"/>
              </w:rPr>
            </w:pPr>
            <w:r w:rsidRPr="000B00BE">
              <w:rPr>
                <w:rFonts w:ascii="Calibri" w:hAnsi="Calibri"/>
                <w:color w:val="000000"/>
                <w:sz w:val="20"/>
                <w:szCs w:val="20"/>
              </w:rPr>
              <w:t xml:space="preserve">$63,162 </w:t>
            </w:r>
          </w:p>
        </w:tc>
      </w:tr>
      <w:tr w:rsidR="000B00BE" w:rsidRPr="000B00BE" w14:paraId="0C64B7BC" w14:textId="77777777" w:rsidTr="000B00BE">
        <w:trPr>
          <w:trHeight w:val="300"/>
        </w:trPr>
        <w:tc>
          <w:tcPr>
            <w:tcW w:w="1526" w:type="dxa"/>
            <w:noWrap/>
            <w:vAlign w:val="center"/>
          </w:tcPr>
          <w:p w14:paraId="7268A73B" w14:textId="77777777" w:rsidR="000B00BE" w:rsidRPr="000B00BE" w:rsidRDefault="000B00BE" w:rsidP="00F76431">
            <w:pPr>
              <w:spacing w:after="200"/>
              <w:rPr>
                <w:rFonts w:ascii="Calibri" w:hAnsi="Calibri"/>
                <w:color w:val="000000"/>
                <w:sz w:val="20"/>
                <w:szCs w:val="20"/>
              </w:rPr>
            </w:pPr>
            <w:r w:rsidRPr="000B00BE">
              <w:rPr>
                <w:rFonts w:ascii="Calibri" w:hAnsi="Calibri"/>
                <w:color w:val="000000"/>
                <w:sz w:val="20"/>
                <w:szCs w:val="20"/>
              </w:rPr>
              <w:t>250 mg</w:t>
            </w:r>
          </w:p>
        </w:tc>
        <w:tc>
          <w:tcPr>
            <w:tcW w:w="1487" w:type="dxa"/>
            <w:noWrap/>
            <w:vAlign w:val="center"/>
          </w:tcPr>
          <w:p w14:paraId="33E470A7" w14:textId="4DC4A6E1" w:rsidR="000B00BE" w:rsidRPr="000B00BE" w:rsidRDefault="000B00BE" w:rsidP="00357839">
            <w:pPr>
              <w:spacing w:after="200"/>
              <w:jc w:val="right"/>
              <w:rPr>
                <w:rFonts w:ascii="Calibri" w:hAnsi="Calibri"/>
                <w:color w:val="000000"/>
                <w:sz w:val="20"/>
                <w:szCs w:val="20"/>
              </w:rPr>
            </w:pPr>
            <w:r w:rsidRPr="000B00BE">
              <w:rPr>
                <w:rFonts w:ascii="Calibri" w:hAnsi="Calibri"/>
                <w:color w:val="000000"/>
                <w:sz w:val="20"/>
                <w:szCs w:val="20"/>
              </w:rPr>
              <w:t xml:space="preserve">$1,167,187 </w:t>
            </w:r>
          </w:p>
        </w:tc>
        <w:tc>
          <w:tcPr>
            <w:tcW w:w="1540" w:type="dxa"/>
            <w:noWrap/>
            <w:vAlign w:val="center"/>
          </w:tcPr>
          <w:p w14:paraId="5DC29800" w14:textId="107C78B3" w:rsidR="000B00BE" w:rsidRPr="000B00BE" w:rsidRDefault="000B00BE" w:rsidP="00357839">
            <w:pPr>
              <w:spacing w:after="200"/>
              <w:jc w:val="right"/>
              <w:rPr>
                <w:rFonts w:ascii="Calibri" w:hAnsi="Calibri"/>
                <w:color w:val="000000"/>
                <w:sz w:val="20"/>
                <w:szCs w:val="20"/>
              </w:rPr>
            </w:pPr>
            <w:r w:rsidRPr="000B00BE">
              <w:rPr>
                <w:rFonts w:ascii="Calibri" w:hAnsi="Calibri"/>
                <w:color w:val="000000"/>
                <w:sz w:val="20"/>
                <w:szCs w:val="20"/>
              </w:rPr>
              <w:t xml:space="preserve">$1,439,405 </w:t>
            </w:r>
          </w:p>
        </w:tc>
        <w:tc>
          <w:tcPr>
            <w:tcW w:w="1540" w:type="dxa"/>
            <w:noWrap/>
            <w:vAlign w:val="center"/>
          </w:tcPr>
          <w:p w14:paraId="0D4E0FF8" w14:textId="122F1BA9" w:rsidR="000B00BE" w:rsidRPr="000B00BE" w:rsidRDefault="000B00BE" w:rsidP="00357839">
            <w:pPr>
              <w:spacing w:after="200"/>
              <w:jc w:val="right"/>
              <w:rPr>
                <w:rFonts w:ascii="Calibri" w:hAnsi="Calibri"/>
                <w:color w:val="000000"/>
                <w:sz w:val="20"/>
                <w:szCs w:val="20"/>
              </w:rPr>
            </w:pPr>
            <w:r w:rsidRPr="000B00BE">
              <w:rPr>
                <w:rFonts w:ascii="Calibri" w:hAnsi="Calibri"/>
                <w:color w:val="000000"/>
                <w:sz w:val="20"/>
                <w:szCs w:val="20"/>
              </w:rPr>
              <w:t xml:space="preserve">$1,631,827 </w:t>
            </w:r>
          </w:p>
        </w:tc>
        <w:tc>
          <w:tcPr>
            <w:tcW w:w="1540" w:type="dxa"/>
            <w:noWrap/>
            <w:vAlign w:val="center"/>
          </w:tcPr>
          <w:p w14:paraId="06C75A04" w14:textId="3444D173" w:rsidR="000B00BE" w:rsidRPr="000B00BE" w:rsidRDefault="000B00BE" w:rsidP="00357839">
            <w:pPr>
              <w:spacing w:after="200"/>
              <w:jc w:val="right"/>
              <w:rPr>
                <w:rFonts w:ascii="Calibri" w:hAnsi="Calibri"/>
                <w:color w:val="000000"/>
                <w:sz w:val="20"/>
                <w:szCs w:val="20"/>
              </w:rPr>
            </w:pPr>
            <w:r w:rsidRPr="000B00BE">
              <w:rPr>
                <w:rFonts w:ascii="Calibri" w:hAnsi="Calibri"/>
                <w:color w:val="000000"/>
                <w:sz w:val="20"/>
                <w:szCs w:val="20"/>
              </w:rPr>
              <w:t xml:space="preserve">$1,639,448 </w:t>
            </w:r>
          </w:p>
        </w:tc>
        <w:tc>
          <w:tcPr>
            <w:tcW w:w="1540" w:type="dxa"/>
            <w:noWrap/>
            <w:vAlign w:val="center"/>
          </w:tcPr>
          <w:p w14:paraId="28D4F26B" w14:textId="4F240550" w:rsidR="000B00BE" w:rsidRPr="000B00BE" w:rsidRDefault="000B00BE" w:rsidP="00357839">
            <w:pPr>
              <w:spacing w:after="200"/>
              <w:jc w:val="right"/>
              <w:rPr>
                <w:rFonts w:ascii="Calibri" w:hAnsi="Calibri"/>
                <w:color w:val="000000"/>
                <w:sz w:val="20"/>
                <w:szCs w:val="20"/>
              </w:rPr>
            </w:pPr>
            <w:r w:rsidRPr="000B00BE">
              <w:rPr>
                <w:rFonts w:ascii="Calibri" w:hAnsi="Calibri"/>
                <w:color w:val="000000"/>
                <w:sz w:val="20"/>
                <w:szCs w:val="20"/>
              </w:rPr>
              <w:t xml:space="preserve">$730,493 </w:t>
            </w:r>
          </w:p>
        </w:tc>
      </w:tr>
      <w:tr w:rsidR="000B00BE" w:rsidRPr="000B00BE" w14:paraId="4F8269C2" w14:textId="77777777" w:rsidTr="000B00BE">
        <w:trPr>
          <w:trHeight w:val="300"/>
        </w:trPr>
        <w:tc>
          <w:tcPr>
            <w:tcW w:w="1526" w:type="dxa"/>
            <w:noWrap/>
            <w:vAlign w:val="center"/>
          </w:tcPr>
          <w:p w14:paraId="0EE95801" w14:textId="77777777" w:rsidR="000B00BE" w:rsidRPr="000B00BE" w:rsidRDefault="000B00BE" w:rsidP="00F76431">
            <w:pPr>
              <w:spacing w:after="200"/>
              <w:rPr>
                <w:rFonts w:ascii="Calibri" w:hAnsi="Calibri"/>
                <w:color w:val="000000"/>
                <w:sz w:val="20"/>
                <w:szCs w:val="20"/>
              </w:rPr>
            </w:pPr>
            <w:r w:rsidRPr="000B00BE">
              <w:rPr>
                <w:rFonts w:ascii="Calibri" w:hAnsi="Calibri"/>
                <w:color w:val="000000"/>
                <w:sz w:val="20"/>
                <w:szCs w:val="20"/>
              </w:rPr>
              <w:t>500 mg</w:t>
            </w:r>
          </w:p>
        </w:tc>
        <w:tc>
          <w:tcPr>
            <w:tcW w:w="1487" w:type="dxa"/>
            <w:noWrap/>
            <w:vAlign w:val="center"/>
          </w:tcPr>
          <w:p w14:paraId="28E1D463" w14:textId="2763D1E9" w:rsidR="000B00BE" w:rsidRPr="000B00BE" w:rsidRDefault="00337CE7" w:rsidP="00357839">
            <w:pPr>
              <w:spacing w:after="200"/>
              <w:jc w:val="right"/>
              <w:rPr>
                <w:rFonts w:ascii="Calibri" w:hAnsi="Calibri"/>
                <w:color w:val="000000"/>
                <w:sz w:val="20"/>
                <w:szCs w:val="20"/>
              </w:rPr>
            </w:pPr>
            <w:r>
              <w:rPr>
                <w:rFonts w:ascii="Calibri" w:hAnsi="Calibri"/>
                <w:color w:val="000000"/>
                <w:sz w:val="20"/>
                <w:szCs w:val="20"/>
              </w:rPr>
              <w:t>$</w:t>
            </w:r>
            <w:r w:rsidR="000B00BE" w:rsidRPr="000B00BE">
              <w:rPr>
                <w:rFonts w:ascii="Calibri" w:hAnsi="Calibri"/>
                <w:color w:val="000000"/>
                <w:sz w:val="20"/>
                <w:szCs w:val="20"/>
              </w:rPr>
              <w:t xml:space="preserve">11,989,557 </w:t>
            </w:r>
          </w:p>
        </w:tc>
        <w:tc>
          <w:tcPr>
            <w:tcW w:w="1540" w:type="dxa"/>
            <w:noWrap/>
            <w:vAlign w:val="center"/>
          </w:tcPr>
          <w:p w14:paraId="7A9DB261" w14:textId="03ECDBDE" w:rsidR="000B00BE" w:rsidRPr="000B00BE" w:rsidRDefault="00337CE7" w:rsidP="00357839">
            <w:pPr>
              <w:spacing w:after="200"/>
              <w:jc w:val="right"/>
              <w:rPr>
                <w:rFonts w:ascii="Calibri" w:hAnsi="Calibri"/>
                <w:color w:val="000000"/>
                <w:sz w:val="20"/>
                <w:szCs w:val="20"/>
              </w:rPr>
            </w:pPr>
            <w:r>
              <w:rPr>
                <w:rFonts w:ascii="Calibri" w:hAnsi="Calibri"/>
                <w:color w:val="000000"/>
                <w:sz w:val="20"/>
                <w:szCs w:val="20"/>
              </w:rPr>
              <w:t>$</w:t>
            </w:r>
            <w:r w:rsidR="000B00BE" w:rsidRPr="000B00BE">
              <w:rPr>
                <w:rFonts w:ascii="Calibri" w:hAnsi="Calibri"/>
                <w:color w:val="000000"/>
                <w:sz w:val="20"/>
                <w:szCs w:val="20"/>
              </w:rPr>
              <w:t xml:space="preserve">14,113,130 </w:t>
            </w:r>
          </w:p>
        </w:tc>
        <w:tc>
          <w:tcPr>
            <w:tcW w:w="1540" w:type="dxa"/>
            <w:noWrap/>
            <w:vAlign w:val="center"/>
          </w:tcPr>
          <w:p w14:paraId="0ED119F8" w14:textId="4142BF1F" w:rsidR="000B00BE" w:rsidRPr="000B00BE" w:rsidRDefault="00337CE7" w:rsidP="00357839">
            <w:pPr>
              <w:spacing w:after="200"/>
              <w:jc w:val="right"/>
              <w:rPr>
                <w:rFonts w:ascii="Calibri" w:hAnsi="Calibri"/>
                <w:color w:val="000000"/>
                <w:sz w:val="20"/>
                <w:szCs w:val="20"/>
              </w:rPr>
            </w:pPr>
            <w:r>
              <w:rPr>
                <w:rFonts w:ascii="Calibri" w:hAnsi="Calibri"/>
                <w:color w:val="000000"/>
                <w:sz w:val="20"/>
                <w:szCs w:val="20"/>
              </w:rPr>
              <w:t>$</w:t>
            </w:r>
            <w:r w:rsidR="000B00BE" w:rsidRPr="000B00BE">
              <w:rPr>
                <w:rFonts w:ascii="Calibri" w:hAnsi="Calibri"/>
                <w:color w:val="000000"/>
                <w:sz w:val="20"/>
                <w:szCs w:val="20"/>
              </w:rPr>
              <w:t xml:space="preserve">17,258,920 </w:t>
            </w:r>
          </w:p>
        </w:tc>
        <w:tc>
          <w:tcPr>
            <w:tcW w:w="1540" w:type="dxa"/>
            <w:noWrap/>
            <w:vAlign w:val="center"/>
          </w:tcPr>
          <w:p w14:paraId="06DDF3C6" w14:textId="0E26CA59" w:rsidR="000B00BE" w:rsidRPr="000B00BE" w:rsidRDefault="00337CE7" w:rsidP="00357839">
            <w:pPr>
              <w:spacing w:after="200"/>
              <w:jc w:val="right"/>
              <w:rPr>
                <w:rFonts w:ascii="Calibri" w:hAnsi="Calibri"/>
                <w:color w:val="000000"/>
                <w:sz w:val="20"/>
                <w:szCs w:val="20"/>
              </w:rPr>
            </w:pPr>
            <w:r>
              <w:rPr>
                <w:rFonts w:ascii="Calibri" w:hAnsi="Calibri"/>
                <w:color w:val="000000"/>
                <w:sz w:val="20"/>
                <w:szCs w:val="20"/>
              </w:rPr>
              <w:t>$</w:t>
            </w:r>
            <w:r w:rsidR="000B00BE" w:rsidRPr="000B00BE">
              <w:rPr>
                <w:rFonts w:ascii="Calibri" w:hAnsi="Calibri"/>
                <w:color w:val="000000"/>
                <w:sz w:val="20"/>
                <w:szCs w:val="20"/>
              </w:rPr>
              <w:t xml:space="preserve">18,845,955 </w:t>
            </w:r>
          </w:p>
        </w:tc>
        <w:tc>
          <w:tcPr>
            <w:tcW w:w="1540" w:type="dxa"/>
            <w:noWrap/>
            <w:vAlign w:val="center"/>
          </w:tcPr>
          <w:p w14:paraId="0BDD9AA5" w14:textId="22A485DA" w:rsidR="000B00BE" w:rsidRPr="000B00BE" w:rsidRDefault="00337CE7" w:rsidP="00357839">
            <w:pPr>
              <w:spacing w:after="200"/>
              <w:jc w:val="right"/>
              <w:rPr>
                <w:rFonts w:ascii="Calibri" w:hAnsi="Calibri"/>
                <w:color w:val="000000"/>
                <w:sz w:val="20"/>
                <w:szCs w:val="20"/>
              </w:rPr>
            </w:pPr>
            <w:r>
              <w:rPr>
                <w:rFonts w:ascii="Calibri" w:hAnsi="Calibri"/>
                <w:color w:val="000000"/>
                <w:sz w:val="20"/>
                <w:szCs w:val="20"/>
              </w:rPr>
              <w:t>$</w:t>
            </w:r>
            <w:r w:rsidR="000B00BE" w:rsidRPr="000B00BE">
              <w:rPr>
                <w:rFonts w:ascii="Calibri" w:hAnsi="Calibri"/>
                <w:color w:val="000000"/>
                <w:sz w:val="20"/>
                <w:szCs w:val="20"/>
              </w:rPr>
              <w:t xml:space="preserve">9,441,316 </w:t>
            </w:r>
          </w:p>
        </w:tc>
      </w:tr>
    </w:tbl>
    <w:p w14:paraId="59200BB2" w14:textId="77777777" w:rsidR="000B00BE" w:rsidRPr="000B00BE" w:rsidRDefault="000B00BE" w:rsidP="00F76431">
      <w:pPr>
        <w:spacing w:line="240" w:lineRule="auto"/>
        <w:rPr>
          <w:rFonts w:asciiTheme="minorHAnsi" w:hAnsiTheme="minorHAnsi" w:cs="Baskerville"/>
          <w:sz w:val="20"/>
          <w:szCs w:val="20"/>
        </w:rPr>
      </w:pPr>
      <w:r w:rsidRPr="000B00BE">
        <w:rPr>
          <w:rFonts w:asciiTheme="minorHAnsi" w:hAnsiTheme="minorHAnsi" w:cs="Baskerville"/>
          <w:sz w:val="20"/>
          <w:szCs w:val="20"/>
        </w:rPr>
        <w:t>Source: Highly Specialised Drugs Database, extracted November 2013</w:t>
      </w:r>
    </w:p>
    <w:p w14:paraId="3D6D8BCC" w14:textId="3A1DA684" w:rsidR="000B00BE" w:rsidRPr="005E1C3E" w:rsidRDefault="000B00BE" w:rsidP="005E1C3E">
      <w:pPr>
        <w:rPr>
          <w:rFonts w:asciiTheme="minorHAnsi" w:hAnsiTheme="minorHAnsi"/>
          <w:b/>
        </w:rPr>
      </w:pPr>
      <w:r w:rsidRPr="005E1C3E">
        <w:rPr>
          <w:rFonts w:asciiTheme="minorHAnsi" w:hAnsiTheme="minorHAnsi"/>
        </w:rPr>
        <w:t xml:space="preserve">The results show that the 500 mg tablet of </w:t>
      </w:r>
      <w:proofErr w:type="spellStart"/>
      <w:r w:rsidRPr="005E1C3E">
        <w:rPr>
          <w:rFonts w:asciiTheme="minorHAnsi" w:hAnsiTheme="minorHAnsi"/>
        </w:rPr>
        <w:t>deferasirox</w:t>
      </w:r>
      <w:proofErr w:type="spellEnd"/>
      <w:r w:rsidRPr="005E1C3E">
        <w:rPr>
          <w:rFonts w:asciiTheme="minorHAnsi" w:hAnsiTheme="minorHAnsi"/>
        </w:rPr>
        <w:t xml:space="preserve"> is the most commonly used strength and accounts for the majority of </w:t>
      </w:r>
      <w:proofErr w:type="spellStart"/>
      <w:r w:rsidRPr="005E1C3E">
        <w:rPr>
          <w:rFonts w:asciiTheme="minorHAnsi" w:hAnsiTheme="minorHAnsi"/>
        </w:rPr>
        <w:t>deferasirox</w:t>
      </w:r>
      <w:proofErr w:type="spellEnd"/>
      <w:r w:rsidRPr="005E1C3E">
        <w:rPr>
          <w:rFonts w:asciiTheme="minorHAnsi" w:hAnsiTheme="minorHAnsi"/>
        </w:rPr>
        <w:t xml:space="preserve"> expenditure. </w:t>
      </w:r>
    </w:p>
    <w:p w14:paraId="26BCE434" w14:textId="77777777" w:rsidR="00707CC9" w:rsidRDefault="00707CC9" w:rsidP="00F76431">
      <w:pPr>
        <w:rPr>
          <w:rFonts w:asciiTheme="minorHAnsi" w:hAnsiTheme="minorHAnsi"/>
          <w:b/>
          <w:sz w:val="28"/>
          <w:szCs w:val="28"/>
        </w:rPr>
      </w:pPr>
      <w:r>
        <w:rPr>
          <w:rFonts w:asciiTheme="minorHAnsi" w:hAnsiTheme="minorHAnsi"/>
          <w:b/>
          <w:sz w:val="28"/>
          <w:szCs w:val="28"/>
        </w:rPr>
        <w:br w:type="page"/>
      </w:r>
    </w:p>
    <w:p w14:paraId="2E98ECAC" w14:textId="19888E04" w:rsidR="000B00BE" w:rsidRPr="000B00BE" w:rsidRDefault="000B00BE" w:rsidP="003208B0">
      <w:pPr>
        <w:pStyle w:val="Heading3"/>
      </w:pPr>
      <w:r w:rsidRPr="000B00BE">
        <w:lastRenderedPageBreak/>
        <w:t>Analysis of actual versus predicted utilisation</w:t>
      </w:r>
    </w:p>
    <w:p w14:paraId="43FAF027" w14:textId="7BEB77E1" w:rsidR="000B00BE" w:rsidRPr="000B00BE" w:rsidRDefault="000B00BE" w:rsidP="00F76431">
      <w:pPr>
        <w:keepNext/>
        <w:spacing w:after="0" w:line="240" w:lineRule="auto"/>
        <w:rPr>
          <w:rFonts w:asciiTheme="minorHAnsi" w:hAnsiTheme="minorHAnsi"/>
          <w:b/>
          <w:bCs/>
          <w:szCs w:val="18"/>
        </w:rPr>
      </w:pPr>
      <w:r w:rsidRPr="000B00BE">
        <w:rPr>
          <w:rFonts w:asciiTheme="minorHAnsi" w:hAnsiTheme="minorHAnsi"/>
          <w:b/>
          <w:bCs/>
          <w:szCs w:val="18"/>
        </w:rPr>
        <w:t xml:space="preserve">Table </w:t>
      </w:r>
      <w:r w:rsidR="00707CC9">
        <w:rPr>
          <w:rFonts w:asciiTheme="minorHAnsi" w:hAnsiTheme="minorHAnsi"/>
          <w:b/>
          <w:bCs/>
          <w:szCs w:val="18"/>
        </w:rPr>
        <w:t>7</w:t>
      </w:r>
      <w:r w:rsidRPr="000B00BE">
        <w:rPr>
          <w:rFonts w:asciiTheme="minorHAnsi" w:hAnsiTheme="minorHAnsi"/>
          <w:b/>
          <w:bCs/>
          <w:szCs w:val="18"/>
        </w:rPr>
        <w:t>: Predicted versus actual utilisation of iron chelating medicines</w:t>
      </w:r>
    </w:p>
    <w:tbl>
      <w:tblPr>
        <w:tblStyle w:val="TableGrid"/>
        <w:tblW w:w="0" w:type="auto"/>
        <w:tblLook w:val="04A0" w:firstRow="1" w:lastRow="0" w:firstColumn="1" w:lastColumn="0" w:noHBand="0" w:noVBand="1"/>
        <w:tblCaption w:val="Table 7: Predicted versus actual utilisation of iron chelating medicines"/>
        <w:tblDescription w:val="Predicted versus actual utilisation of iron chelating medicines"/>
      </w:tblPr>
      <w:tblGrid>
        <w:gridCol w:w="2918"/>
        <w:gridCol w:w="1487"/>
        <w:gridCol w:w="1834"/>
        <w:gridCol w:w="1645"/>
        <w:gridCol w:w="1358"/>
      </w:tblGrid>
      <w:tr w:rsidR="0026360A" w:rsidRPr="000B00BE" w14:paraId="6FE91804" w14:textId="77777777" w:rsidTr="00E363CB">
        <w:trPr>
          <w:tblHeader/>
        </w:trPr>
        <w:tc>
          <w:tcPr>
            <w:tcW w:w="0" w:type="auto"/>
            <w:shd w:val="clear" w:color="auto" w:fill="BFBFBF" w:themeFill="background1" w:themeFillShade="BF"/>
          </w:tcPr>
          <w:p w14:paraId="0CDBDF03" w14:textId="77777777" w:rsidR="000B00BE" w:rsidRPr="000B00BE" w:rsidRDefault="000B00BE" w:rsidP="00F76431">
            <w:pPr>
              <w:keepNext/>
              <w:rPr>
                <w:rFonts w:asciiTheme="minorHAnsi" w:hAnsiTheme="minorHAnsi"/>
                <w:b/>
                <w:bCs/>
                <w:szCs w:val="18"/>
              </w:rPr>
            </w:pPr>
          </w:p>
        </w:tc>
        <w:tc>
          <w:tcPr>
            <w:tcW w:w="0" w:type="auto"/>
            <w:shd w:val="clear" w:color="auto" w:fill="BFBFBF" w:themeFill="background1" w:themeFillShade="BF"/>
          </w:tcPr>
          <w:p w14:paraId="6A073D92" w14:textId="77777777" w:rsidR="000B00BE" w:rsidRPr="000B00BE" w:rsidRDefault="000B00BE" w:rsidP="00F76431">
            <w:pPr>
              <w:spacing w:after="200"/>
              <w:rPr>
                <w:rFonts w:ascii="Calibri" w:hAnsi="Calibri" w:cs="Arial"/>
                <w:sz w:val="20"/>
                <w:szCs w:val="20"/>
              </w:rPr>
            </w:pPr>
            <w:r w:rsidRPr="000B00BE">
              <w:rPr>
                <w:rFonts w:ascii="Calibri" w:hAnsi="Calibri" w:cs="Arial"/>
                <w:b/>
                <w:sz w:val="20"/>
                <w:szCs w:val="20"/>
              </w:rPr>
              <w:t>Submission estimate</w:t>
            </w:r>
          </w:p>
          <w:p w14:paraId="32D1EED2" w14:textId="77777777" w:rsidR="000B00BE" w:rsidRPr="000B00BE" w:rsidRDefault="000B00BE" w:rsidP="00F76431">
            <w:pPr>
              <w:keepNext/>
              <w:rPr>
                <w:rFonts w:asciiTheme="minorHAnsi" w:hAnsiTheme="minorHAnsi"/>
                <w:b/>
                <w:bCs/>
                <w:szCs w:val="18"/>
              </w:rPr>
            </w:pPr>
            <w:r w:rsidRPr="000B00BE">
              <w:rPr>
                <w:rFonts w:ascii="Calibri" w:hAnsi="Calibri" w:cs="Arial"/>
                <w:b/>
                <w:bCs/>
                <w:sz w:val="20"/>
                <w:szCs w:val="20"/>
              </w:rPr>
              <w:t>Year 4</w:t>
            </w:r>
          </w:p>
        </w:tc>
        <w:tc>
          <w:tcPr>
            <w:tcW w:w="0" w:type="auto"/>
            <w:shd w:val="clear" w:color="auto" w:fill="BFBFBF" w:themeFill="background1" w:themeFillShade="BF"/>
          </w:tcPr>
          <w:p w14:paraId="3AC3AD87" w14:textId="77777777" w:rsidR="000B00BE" w:rsidRPr="000B00BE" w:rsidRDefault="000B00BE" w:rsidP="00F76431">
            <w:pPr>
              <w:spacing w:after="200"/>
              <w:rPr>
                <w:rFonts w:ascii="Calibri" w:hAnsi="Calibri" w:cs="Arial"/>
                <w:b/>
                <w:sz w:val="20"/>
                <w:szCs w:val="20"/>
              </w:rPr>
            </w:pPr>
            <w:r w:rsidRPr="000B00BE">
              <w:rPr>
                <w:rFonts w:ascii="Calibri" w:hAnsi="Calibri" w:cs="Arial"/>
                <w:b/>
                <w:sz w:val="20"/>
                <w:szCs w:val="20"/>
              </w:rPr>
              <w:t>Actual use for a 12-month period</w:t>
            </w:r>
          </w:p>
          <w:p w14:paraId="7FE4F991" w14:textId="77777777" w:rsidR="000B00BE" w:rsidRPr="000B00BE" w:rsidRDefault="000B00BE" w:rsidP="00F76431">
            <w:pPr>
              <w:spacing w:after="200"/>
              <w:rPr>
                <w:rFonts w:ascii="Calibri" w:hAnsi="Calibri" w:cs="Arial"/>
                <w:sz w:val="20"/>
                <w:szCs w:val="20"/>
              </w:rPr>
            </w:pPr>
            <w:r w:rsidRPr="000B00BE">
              <w:rPr>
                <w:rFonts w:ascii="Calibri" w:hAnsi="Calibri" w:cs="Arial"/>
                <w:sz w:val="20"/>
                <w:szCs w:val="20"/>
                <w:u w:val="single"/>
              </w:rPr>
              <w:t>prior</w:t>
            </w:r>
            <w:r w:rsidRPr="000B00BE">
              <w:rPr>
                <w:rFonts w:ascii="Calibri" w:hAnsi="Calibri" w:cs="Arial"/>
                <w:sz w:val="20"/>
                <w:szCs w:val="20"/>
              </w:rPr>
              <w:t xml:space="preserve"> to listing of </w:t>
            </w:r>
            <w:proofErr w:type="spellStart"/>
            <w:r w:rsidRPr="000B00BE">
              <w:rPr>
                <w:rFonts w:ascii="Calibri" w:hAnsi="Calibri" w:cs="Times New Roman"/>
                <w:color w:val="000000"/>
                <w:sz w:val="20"/>
                <w:szCs w:val="20"/>
              </w:rPr>
              <w:t>deferasirox</w:t>
            </w:r>
            <w:proofErr w:type="spellEnd"/>
          </w:p>
          <w:p w14:paraId="0E47349A" w14:textId="77777777" w:rsidR="000B00BE" w:rsidRPr="000B00BE" w:rsidRDefault="000B00BE" w:rsidP="00F76431">
            <w:pPr>
              <w:keepNext/>
              <w:rPr>
                <w:rFonts w:asciiTheme="minorHAnsi" w:hAnsiTheme="minorHAnsi"/>
                <w:b/>
                <w:bCs/>
                <w:szCs w:val="18"/>
              </w:rPr>
            </w:pPr>
            <w:r w:rsidRPr="000B00BE">
              <w:rPr>
                <w:rFonts w:ascii="Calibri" w:hAnsi="Calibri" w:cs="Arial"/>
                <w:b/>
                <w:bCs/>
                <w:sz w:val="20"/>
                <w:szCs w:val="20"/>
              </w:rPr>
              <w:t>Oct05-Sept06</w:t>
            </w:r>
          </w:p>
        </w:tc>
        <w:tc>
          <w:tcPr>
            <w:tcW w:w="0" w:type="auto"/>
            <w:shd w:val="clear" w:color="auto" w:fill="BFBFBF" w:themeFill="background1" w:themeFillShade="BF"/>
          </w:tcPr>
          <w:p w14:paraId="5CB9B443" w14:textId="77777777" w:rsidR="000B00BE" w:rsidRPr="000B00BE" w:rsidRDefault="000B00BE" w:rsidP="00F76431">
            <w:pPr>
              <w:spacing w:after="200"/>
              <w:rPr>
                <w:rFonts w:ascii="Calibri" w:hAnsi="Calibri" w:cs="Arial"/>
                <w:b/>
                <w:sz w:val="20"/>
                <w:szCs w:val="20"/>
              </w:rPr>
            </w:pPr>
            <w:r w:rsidRPr="000B00BE">
              <w:rPr>
                <w:rFonts w:ascii="Calibri" w:hAnsi="Calibri" w:cs="Arial"/>
                <w:b/>
                <w:sz w:val="20"/>
                <w:szCs w:val="20"/>
              </w:rPr>
              <w:t>Actual use</w:t>
            </w:r>
          </w:p>
          <w:p w14:paraId="5B4550A5" w14:textId="77777777" w:rsidR="000B00BE" w:rsidRPr="000B00BE" w:rsidRDefault="000B00BE" w:rsidP="00F76431">
            <w:pPr>
              <w:spacing w:after="200"/>
              <w:rPr>
                <w:rFonts w:ascii="Calibri" w:hAnsi="Calibri" w:cs="Arial"/>
                <w:sz w:val="20"/>
                <w:szCs w:val="20"/>
              </w:rPr>
            </w:pPr>
            <w:r w:rsidRPr="000B00BE">
              <w:rPr>
                <w:rFonts w:ascii="Calibri" w:hAnsi="Calibri" w:cs="Arial"/>
                <w:sz w:val="20"/>
                <w:szCs w:val="20"/>
                <w:u w:val="single"/>
              </w:rPr>
              <w:t>after</w:t>
            </w:r>
            <w:r w:rsidRPr="000B00BE">
              <w:rPr>
                <w:rFonts w:ascii="Calibri" w:hAnsi="Calibri" w:cs="Arial"/>
                <w:sz w:val="20"/>
                <w:szCs w:val="20"/>
              </w:rPr>
              <w:t xml:space="preserve"> listing of </w:t>
            </w:r>
            <w:proofErr w:type="spellStart"/>
            <w:r w:rsidRPr="000B00BE">
              <w:rPr>
                <w:rFonts w:ascii="Calibri" w:hAnsi="Calibri" w:cs="Times New Roman"/>
                <w:color w:val="000000"/>
                <w:sz w:val="20"/>
                <w:szCs w:val="20"/>
              </w:rPr>
              <w:t>deferasirox</w:t>
            </w:r>
            <w:proofErr w:type="spellEnd"/>
          </w:p>
          <w:p w14:paraId="0D33AFC6" w14:textId="77777777" w:rsidR="000B00BE" w:rsidRPr="000B00BE" w:rsidRDefault="000B00BE" w:rsidP="00F76431">
            <w:pPr>
              <w:keepNext/>
              <w:rPr>
                <w:rFonts w:asciiTheme="minorHAnsi" w:hAnsiTheme="minorHAnsi"/>
                <w:b/>
                <w:bCs/>
                <w:szCs w:val="18"/>
              </w:rPr>
            </w:pPr>
            <w:r w:rsidRPr="000B00BE">
              <w:rPr>
                <w:rFonts w:ascii="Calibri" w:hAnsi="Calibri" w:cs="Arial"/>
                <w:b/>
                <w:bCs/>
                <w:sz w:val="20"/>
                <w:szCs w:val="20"/>
              </w:rPr>
              <w:t>Jan07-Dec07</w:t>
            </w:r>
          </w:p>
        </w:tc>
        <w:tc>
          <w:tcPr>
            <w:tcW w:w="0" w:type="auto"/>
            <w:shd w:val="clear" w:color="auto" w:fill="BFBFBF" w:themeFill="background1" w:themeFillShade="BF"/>
          </w:tcPr>
          <w:p w14:paraId="12EAECA4" w14:textId="77777777" w:rsidR="000B00BE" w:rsidRPr="000B00BE" w:rsidRDefault="000B00BE" w:rsidP="00F76431">
            <w:pPr>
              <w:spacing w:after="200"/>
              <w:rPr>
                <w:rFonts w:ascii="Calibri" w:hAnsi="Calibri" w:cs="Arial"/>
                <w:b/>
                <w:sz w:val="20"/>
                <w:szCs w:val="20"/>
              </w:rPr>
            </w:pPr>
            <w:r w:rsidRPr="000B00BE">
              <w:rPr>
                <w:rFonts w:ascii="Calibri" w:hAnsi="Calibri" w:cs="Arial"/>
                <w:b/>
                <w:sz w:val="20"/>
                <w:szCs w:val="20"/>
              </w:rPr>
              <w:t>Actual use</w:t>
            </w:r>
          </w:p>
          <w:p w14:paraId="5984FB69" w14:textId="0ED09860" w:rsidR="000B00BE" w:rsidRPr="00F3412B" w:rsidRDefault="000B00BE" w:rsidP="00F76431">
            <w:pPr>
              <w:spacing w:after="200"/>
              <w:rPr>
                <w:rFonts w:ascii="Calibri" w:hAnsi="Calibri" w:cs="Arial"/>
                <w:b/>
                <w:sz w:val="20"/>
                <w:szCs w:val="20"/>
              </w:rPr>
            </w:pPr>
            <w:r w:rsidRPr="000B00BE">
              <w:rPr>
                <w:rFonts w:ascii="Calibri" w:hAnsi="Calibri" w:cs="Arial"/>
                <w:b/>
                <w:sz w:val="20"/>
                <w:szCs w:val="20"/>
              </w:rPr>
              <w:t>June12</w:t>
            </w:r>
            <w:r w:rsidR="00F3412B">
              <w:rPr>
                <w:rFonts w:ascii="Calibri" w:hAnsi="Calibri" w:cs="Arial"/>
                <w:b/>
                <w:sz w:val="20"/>
                <w:szCs w:val="20"/>
              </w:rPr>
              <w:t xml:space="preserve"> – </w:t>
            </w:r>
            <w:r w:rsidRPr="000B00BE">
              <w:rPr>
                <w:rFonts w:ascii="Calibri" w:hAnsi="Calibri" w:cs="Arial"/>
                <w:b/>
                <w:sz w:val="20"/>
                <w:szCs w:val="20"/>
              </w:rPr>
              <w:t>May13</w:t>
            </w:r>
          </w:p>
          <w:p w14:paraId="5DADCEF3" w14:textId="77777777" w:rsidR="000B00BE" w:rsidRPr="000B00BE" w:rsidRDefault="000B00BE" w:rsidP="00F76431">
            <w:pPr>
              <w:keepNext/>
              <w:rPr>
                <w:rFonts w:asciiTheme="minorHAnsi" w:hAnsiTheme="minorHAnsi"/>
                <w:b/>
                <w:bCs/>
                <w:szCs w:val="18"/>
              </w:rPr>
            </w:pPr>
          </w:p>
        </w:tc>
      </w:tr>
      <w:tr w:rsidR="000B00BE" w:rsidRPr="000B00BE" w14:paraId="021FF0DB" w14:textId="77777777" w:rsidTr="000B00BE">
        <w:tc>
          <w:tcPr>
            <w:tcW w:w="0" w:type="auto"/>
          </w:tcPr>
          <w:p w14:paraId="5C4B4631" w14:textId="56C68C44" w:rsidR="000B00BE" w:rsidRPr="000B00BE" w:rsidRDefault="000B00BE" w:rsidP="00F76431">
            <w:pPr>
              <w:keepNext/>
              <w:rPr>
                <w:rFonts w:asciiTheme="minorHAnsi" w:hAnsiTheme="minorHAnsi"/>
                <w:b/>
                <w:bCs/>
                <w:szCs w:val="18"/>
              </w:rPr>
            </w:pPr>
            <w:proofErr w:type="spellStart"/>
            <w:r w:rsidRPr="000B00BE">
              <w:rPr>
                <w:rFonts w:ascii="Calibri" w:hAnsi="Calibri" w:cs="Arial"/>
                <w:b/>
                <w:bCs/>
                <w:sz w:val="20"/>
                <w:szCs w:val="20"/>
              </w:rPr>
              <w:t>Desferrioxamine</w:t>
            </w:r>
            <w:proofErr w:type="spellEnd"/>
          </w:p>
        </w:tc>
        <w:tc>
          <w:tcPr>
            <w:tcW w:w="0" w:type="auto"/>
          </w:tcPr>
          <w:p w14:paraId="4ED09F7D" w14:textId="77777777" w:rsidR="000B00BE" w:rsidRPr="000B00BE" w:rsidRDefault="000B00BE" w:rsidP="00F76431">
            <w:pPr>
              <w:keepNext/>
              <w:rPr>
                <w:rFonts w:asciiTheme="minorHAnsi" w:hAnsiTheme="minorHAnsi"/>
                <w:b/>
                <w:bCs/>
                <w:szCs w:val="18"/>
              </w:rPr>
            </w:pPr>
          </w:p>
        </w:tc>
        <w:tc>
          <w:tcPr>
            <w:tcW w:w="0" w:type="auto"/>
          </w:tcPr>
          <w:p w14:paraId="34836882" w14:textId="77777777" w:rsidR="000B00BE" w:rsidRPr="000B00BE" w:rsidRDefault="000B00BE" w:rsidP="00F76431">
            <w:pPr>
              <w:keepNext/>
              <w:rPr>
                <w:rFonts w:asciiTheme="minorHAnsi" w:hAnsiTheme="minorHAnsi"/>
                <w:b/>
                <w:bCs/>
                <w:szCs w:val="18"/>
              </w:rPr>
            </w:pPr>
          </w:p>
        </w:tc>
        <w:tc>
          <w:tcPr>
            <w:tcW w:w="0" w:type="auto"/>
          </w:tcPr>
          <w:p w14:paraId="304D24DC" w14:textId="77777777" w:rsidR="000B00BE" w:rsidRPr="000B00BE" w:rsidRDefault="000B00BE" w:rsidP="00F76431">
            <w:pPr>
              <w:keepNext/>
              <w:rPr>
                <w:rFonts w:asciiTheme="minorHAnsi" w:hAnsiTheme="minorHAnsi"/>
                <w:b/>
                <w:bCs/>
                <w:szCs w:val="18"/>
              </w:rPr>
            </w:pPr>
          </w:p>
        </w:tc>
        <w:tc>
          <w:tcPr>
            <w:tcW w:w="0" w:type="auto"/>
          </w:tcPr>
          <w:p w14:paraId="1A8BD966" w14:textId="77777777" w:rsidR="000B00BE" w:rsidRPr="000B00BE" w:rsidRDefault="000B00BE" w:rsidP="00F76431">
            <w:pPr>
              <w:keepNext/>
              <w:rPr>
                <w:rFonts w:asciiTheme="minorHAnsi" w:hAnsiTheme="minorHAnsi"/>
                <w:b/>
                <w:bCs/>
                <w:szCs w:val="18"/>
              </w:rPr>
            </w:pPr>
          </w:p>
        </w:tc>
      </w:tr>
      <w:tr w:rsidR="000B00BE" w:rsidRPr="000B00BE" w14:paraId="633AED56" w14:textId="77777777" w:rsidTr="000B00BE">
        <w:tc>
          <w:tcPr>
            <w:tcW w:w="0" w:type="auto"/>
          </w:tcPr>
          <w:p w14:paraId="1E67AA06" w14:textId="7415F60E" w:rsidR="000B00BE" w:rsidRPr="000B00BE" w:rsidRDefault="000B00BE" w:rsidP="00F76431">
            <w:pPr>
              <w:keepNext/>
              <w:rPr>
                <w:rFonts w:asciiTheme="minorHAnsi" w:hAnsiTheme="minorHAnsi"/>
                <w:bCs/>
                <w:szCs w:val="18"/>
              </w:rPr>
            </w:pPr>
            <w:r w:rsidRPr="000B00BE">
              <w:rPr>
                <w:rFonts w:ascii="Calibri" w:hAnsi="Calibri" w:cs="Arial"/>
                <w:bCs/>
                <w:sz w:val="20"/>
                <w:szCs w:val="20"/>
              </w:rPr>
              <w:t>2</w:t>
            </w:r>
            <w:r>
              <w:rPr>
                <w:rFonts w:ascii="Calibri" w:hAnsi="Calibri" w:cs="Arial"/>
                <w:bCs/>
                <w:sz w:val="20"/>
                <w:szCs w:val="20"/>
              </w:rPr>
              <w:t xml:space="preserve"> </w:t>
            </w:r>
            <w:r w:rsidRPr="000B00BE">
              <w:rPr>
                <w:rFonts w:ascii="Calibri" w:hAnsi="Calibri" w:cs="Arial"/>
                <w:bCs/>
                <w:sz w:val="20"/>
                <w:szCs w:val="20"/>
              </w:rPr>
              <w:t>g injection (x1) - Packs</w:t>
            </w:r>
          </w:p>
        </w:tc>
        <w:tc>
          <w:tcPr>
            <w:tcW w:w="0" w:type="auto"/>
          </w:tcPr>
          <w:p w14:paraId="09F25EF5" w14:textId="77777777" w:rsidR="000B00BE" w:rsidRPr="000B00BE" w:rsidRDefault="000B00BE" w:rsidP="00F76431">
            <w:pPr>
              <w:keepNext/>
              <w:rPr>
                <w:rFonts w:asciiTheme="minorHAnsi" w:hAnsiTheme="minorHAnsi"/>
                <w:bCs/>
                <w:szCs w:val="18"/>
              </w:rPr>
            </w:pPr>
          </w:p>
        </w:tc>
        <w:tc>
          <w:tcPr>
            <w:tcW w:w="0" w:type="auto"/>
          </w:tcPr>
          <w:p w14:paraId="32319F04" w14:textId="77777777" w:rsidR="000B00BE" w:rsidRPr="000B00BE" w:rsidRDefault="000B00BE" w:rsidP="00F76431">
            <w:pPr>
              <w:keepNext/>
              <w:rPr>
                <w:rFonts w:asciiTheme="minorHAnsi" w:hAnsiTheme="minorHAnsi"/>
                <w:bCs/>
                <w:szCs w:val="18"/>
              </w:rPr>
            </w:pPr>
            <w:r w:rsidRPr="000B00BE">
              <w:rPr>
                <w:rFonts w:ascii="Calibri" w:hAnsi="Calibri" w:cs="Arial"/>
                <w:bCs/>
                <w:sz w:val="20"/>
                <w:szCs w:val="20"/>
              </w:rPr>
              <w:t>46,488</w:t>
            </w:r>
          </w:p>
        </w:tc>
        <w:tc>
          <w:tcPr>
            <w:tcW w:w="0" w:type="auto"/>
          </w:tcPr>
          <w:p w14:paraId="34AE3744" w14:textId="77777777" w:rsidR="000B00BE" w:rsidRPr="000B00BE" w:rsidRDefault="000B00BE" w:rsidP="00F76431">
            <w:pPr>
              <w:keepNext/>
              <w:rPr>
                <w:rFonts w:asciiTheme="minorHAnsi" w:hAnsiTheme="minorHAnsi"/>
                <w:bCs/>
                <w:szCs w:val="18"/>
              </w:rPr>
            </w:pPr>
            <w:r w:rsidRPr="000B00BE">
              <w:rPr>
                <w:rFonts w:ascii="Calibri" w:hAnsi="Calibri" w:cs="Arial"/>
                <w:bCs/>
                <w:sz w:val="20"/>
                <w:szCs w:val="20"/>
              </w:rPr>
              <w:t>16,328</w:t>
            </w:r>
          </w:p>
        </w:tc>
        <w:tc>
          <w:tcPr>
            <w:tcW w:w="0" w:type="auto"/>
          </w:tcPr>
          <w:p w14:paraId="1A8B0B3D" w14:textId="77777777" w:rsidR="000B00BE" w:rsidRPr="000B00BE" w:rsidRDefault="000B00BE" w:rsidP="00F76431">
            <w:pPr>
              <w:keepNext/>
              <w:rPr>
                <w:rFonts w:asciiTheme="minorHAnsi" w:hAnsiTheme="minorHAnsi"/>
                <w:bCs/>
                <w:szCs w:val="18"/>
              </w:rPr>
            </w:pPr>
            <w:r w:rsidRPr="000B00BE">
              <w:rPr>
                <w:rFonts w:ascii="Calibri" w:hAnsi="Calibri" w:cs="Arial"/>
                <w:bCs/>
                <w:sz w:val="20"/>
                <w:szCs w:val="20"/>
              </w:rPr>
              <w:t>12,327</w:t>
            </w:r>
          </w:p>
        </w:tc>
      </w:tr>
      <w:tr w:rsidR="000B00BE" w:rsidRPr="000B00BE" w14:paraId="3F34DCF7" w14:textId="77777777" w:rsidTr="000B00BE">
        <w:tc>
          <w:tcPr>
            <w:tcW w:w="0" w:type="auto"/>
          </w:tcPr>
          <w:p w14:paraId="66AFF5B3" w14:textId="098D73C5" w:rsidR="000B00BE" w:rsidRPr="000B00BE" w:rsidRDefault="000B00BE" w:rsidP="00F76431">
            <w:pPr>
              <w:keepNext/>
              <w:rPr>
                <w:rFonts w:asciiTheme="minorHAnsi" w:hAnsiTheme="minorHAnsi"/>
                <w:bCs/>
                <w:szCs w:val="18"/>
              </w:rPr>
            </w:pPr>
            <w:r w:rsidRPr="000B00BE">
              <w:rPr>
                <w:rFonts w:ascii="Calibri" w:hAnsi="Calibri" w:cs="Arial"/>
                <w:bCs/>
                <w:sz w:val="20"/>
                <w:szCs w:val="20"/>
              </w:rPr>
              <w:t>2</w:t>
            </w:r>
            <w:r>
              <w:rPr>
                <w:rFonts w:ascii="Calibri" w:hAnsi="Calibri" w:cs="Arial"/>
                <w:bCs/>
                <w:sz w:val="20"/>
                <w:szCs w:val="20"/>
              </w:rPr>
              <w:t xml:space="preserve"> </w:t>
            </w:r>
            <w:r w:rsidRPr="000B00BE">
              <w:rPr>
                <w:rFonts w:ascii="Calibri" w:hAnsi="Calibri" w:cs="Arial"/>
                <w:bCs/>
                <w:sz w:val="20"/>
                <w:szCs w:val="20"/>
              </w:rPr>
              <w:t>g injection (x1) - Cost</w:t>
            </w:r>
          </w:p>
        </w:tc>
        <w:tc>
          <w:tcPr>
            <w:tcW w:w="0" w:type="auto"/>
          </w:tcPr>
          <w:p w14:paraId="0771BEBB" w14:textId="77777777" w:rsidR="000B00BE" w:rsidRPr="000B00BE" w:rsidRDefault="000B00BE" w:rsidP="00F76431">
            <w:pPr>
              <w:keepNext/>
              <w:rPr>
                <w:rFonts w:asciiTheme="minorHAnsi" w:hAnsiTheme="minorHAnsi"/>
                <w:bCs/>
                <w:szCs w:val="18"/>
              </w:rPr>
            </w:pPr>
          </w:p>
        </w:tc>
        <w:tc>
          <w:tcPr>
            <w:tcW w:w="0" w:type="auto"/>
          </w:tcPr>
          <w:p w14:paraId="31AEB239" w14:textId="77777777" w:rsidR="000B00BE" w:rsidRPr="000B00BE" w:rsidRDefault="000B00BE" w:rsidP="00F76431">
            <w:pPr>
              <w:keepNext/>
              <w:rPr>
                <w:rFonts w:asciiTheme="minorHAnsi" w:hAnsiTheme="minorHAnsi"/>
                <w:bCs/>
                <w:szCs w:val="18"/>
              </w:rPr>
            </w:pPr>
            <w:r w:rsidRPr="000B00BE">
              <w:rPr>
                <w:rFonts w:ascii="Calibri" w:hAnsi="Calibri" w:cs="Arial"/>
                <w:bCs/>
                <w:sz w:val="20"/>
                <w:szCs w:val="20"/>
              </w:rPr>
              <w:t>$1,649,232</w:t>
            </w:r>
          </w:p>
        </w:tc>
        <w:tc>
          <w:tcPr>
            <w:tcW w:w="0" w:type="auto"/>
          </w:tcPr>
          <w:p w14:paraId="15F80795" w14:textId="77777777" w:rsidR="000B00BE" w:rsidRPr="000B00BE" w:rsidRDefault="000B00BE" w:rsidP="00F76431">
            <w:pPr>
              <w:keepNext/>
              <w:rPr>
                <w:rFonts w:asciiTheme="minorHAnsi" w:hAnsiTheme="minorHAnsi"/>
                <w:bCs/>
                <w:szCs w:val="18"/>
              </w:rPr>
            </w:pPr>
            <w:r w:rsidRPr="000B00BE">
              <w:rPr>
                <w:rFonts w:ascii="Calibri" w:hAnsi="Calibri" w:cs="Arial"/>
                <w:bCs/>
                <w:sz w:val="20"/>
                <w:szCs w:val="20"/>
              </w:rPr>
              <w:t>$648,670</w:t>
            </w:r>
          </w:p>
        </w:tc>
        <w:tc>
          <w:tcPr>
            <w:tcW w:w="0" w:type="auto"/>
          </w:tcPr>
          <w:p w14:paraId="67478E8E" w14:textId="77777777" w:rsidR="000B00BE" w:rsidRPr="000B00BE" w:rsidRDefault="000B00BE" w:rsidP="00F76431">
            <w:pPr>
              <w:keepNext/>
              <w:rPr>
                <w:rFonts w:asciiTheme="minorHAnsi" w:hAnsiTheme="minorHAnsi"/>
                <w:bCs/>
                <w:szCs w:val="18"/>
              </w:rPr>
            </w:pPr>
            <w:r w:rsidRPr="000B00BE">
              <w:rPr>
                <w:rFonts w:ascii="Calibri" w:hAnsi="Calibri" w:cs="Arial"/>
                <w:bCs/>
                <w:sz w:val="20"/>
                <w:szCs w:val="20"/>
              </w:rPr>
              <w:t>$444,831</w:t>
            </w:r>
          </w:p>
        </w:tc>
      </w:tr>
      <w:tr w:rsidR="000B00BE" w:rsidRPr="000B00BE" w14:paraId="343E9ABD" w14:textId="77777777" w:rsidTr="000B00BE">
        <w:tc>
          <w:tcPr>
            <w:tcW w:w="0" w:type="auto"/>
          </w:tcPr>
          <w:p w14:paraId="6A0DC17A" w14:textId="129F09A3" w:rsidR="000B00BE" w:rsidRPr="000B00BE" w:rsidRDefault="000B00BE" w:rsidP="00F76431">
            <w:pPr>
              <w:keepNext/>
              <w:rPr>
                <w:rFonts w:asciiTheme="minorHAnsi" w:hAnsiTheme="minorHAnsi"/>
                <w:bCs/>
                <w:szCs w:val="18"/>
              </w:rPr>
            </w:pPr>
            <w:r w:rsidRPr="000B00BE">
              <w:rPr>
                <w:rFonts w:ascii="Calibri" w:hAnsi="Calibri" w:cs="Arial"/>
                <w:bCs/>
                <w:sz w:val="20"/>
                <w:szCs w:val="20"/>
              </w:rPr>
              <w:t>500</w:t>
            </w:r>
            <w:r>
              <w:rPr>
                <w:rFonts w:ascii="Calibri" w:hAnsi="Calibri" w:cs="Arial"/>
                <w:bCs/>
                <w:sz w:val="20"/>
                <w:szCs w:val="20"/>
              </w:rPr>
              <w:t xml:space="preserve"> </w:t>
            </w:r>
            <w:r w:rsidRPr="000B00BE">
              <w:rPr>
                <w:rFonts w:ascii="Calibri" w:hAnsi="Calibri" w:cs="Arial"/>
                <w:bCs/>
                <w:sz w:val="20"/>
                <w:szCs w:val="20"/>
              </w:rPr>
              <w:t>mg injection (x10) - Packs</w:t>
            </w:r>
          </w:p>
        </w:tc>
        <w:tc>
          <w:tcPr>
            <w:tcW w:w="0" w:type="auto"/>
          </w:tcPr>
          <w:p w14:paraId="2CC445AE" w14:textId="77777777" w:rsidR="000B00BE" w:rsidRPr="000B00BE" w:rsidRDefault="000B00BE" w:rsidP="00F76431">
            <w:pPr>
              <w:keepNext/>
              <w:rPr>
                <w:rFonts w:asciiTheme="minorHAnsi" w:hAnsiTheme="minorHAnsi"/>
                <w:bCs/>
                <w:szCs w:val="18"/>
              </w:rPr>
            </w:pPr>
          </w:p>
        </w:tc>
        <w:tc>
          <w:tcPr>
            <w:tcW w:w="0" w:type="auto"/>
          </w:tcPr>
          <w:p w14:paraId="00B1EE52" w14:textId="77777777" w:rsidR="000B00BE" w:rsidRPr="000B00BE" w:rsidRDefault="000B00BE" w:rsidP="00F76431">
            <w:pPr>
              <w:keepNext/>
              <w:rPr>
                <w:rFonts w:asciiTheme="minorHAnsi" w:hAnsiTheme="minorHAnsi"/>
                <w:bCs/>
                <w:szCs w:val="18"/>
              </w:rPr>
            </w:pPr>
            <w:r w:rsidRPr="000B00BE">
              <w:rPr>
                <w:rFonts w:ascii="Calibri" w:hAnsi="Calibri" w:cs="Arial"/>
                <w:bCs/>
                <w:sz w:val="20"/>
                <w:szCs w:val="20"/>
              </w:rPr>
              <w:t>20,591</w:t>
            </w:r>
          </w:p>
        </w:tc>
        <w:tc>
          <w:tcPr>
            <w:tcW w:w="0" w:type="auto"/>
          </w:tcPr>
          <w:p w14:paraId="4510658E" w14:textId="77777777" w:rsidR="000B00BE" w:rsidRPr="000B00BE" w:rsidRDefault="000B00BE" w:rsidP="00F76431">
            <w:pPr>
              <w:keepNext/>
              <w:rPr>
                <w:rFonts w:asciiTheme="minorHAnsi" w:hAnsiTheme="minorHAnsi"/>
                <w:bCs/>
                <w:szCs w:val="18"/>
              </w:rPr>
            </w:pPr>
            <w:r w:rsidRPr="000B00BE">
              <w:rPr>
                <w:rFonts w:ascii="Calibri" w:hAnsi="Calibri" w:cs="Arial"/>
                <w:bCs/>
                <w:sz w:val="20"/>
                <w:szCs w:val="20"/>
              </w:rPr>
              <w:t>7,610</w:t>
            </w:r>
          </w:p>
        </w:tc>
        <w:tc>
          <w:tcPr>
            <w:tcW w:w="0" w:type="auto"/>
          </w:tcPr>
          <w:p w14:paraId="2114C10C" w14:textId="77777777" w:rsidR="000B00BE" w:rsidRPr="000B00BE" w:rsidRDefault="000B00BE" w:rsidP="00F76431">
            <w:pPr>
              <w:keepNext/>
              <w:rPr>
                <w:rFonts w:asciiTheme="minorHAnsi" w:hAnsiTheme="minorHAnsi"/>
                <w:bCs/>
                <w:szCs w:val="18"/>
              </w:rPr>
            </w:pPr>
            <w:r w:rsidRPr="000B00BE">
              <w:rPr>
                <w:rFonts w:ascii="Calibri" w:hAnsi="Calibri" w:cs="Arial"/>
                <w:bCs/>
                <w:sz w:val="20"/>
                <w:szCs w:val="20"/>
              </w:rPr>
              <w:t>3,518</w:t>
            </w:r>
          </w:p>
        </w:tc>
      </w:tr>
      <w:tr w:rsidR="000B00BE" w:rsidRPr="000B00BE" w14:paraId="324734D2" w14:textId="77777777" w:rsidTr="000B00BE">
        <w:tc>
          <w:tcPr>
            <w:tcW w:w="0" w:type="auto"/>
          </w:tcPr>
          <w:p w14:paraId="60C31309" w14:textId="7A41671C" w:rsidR="000B00BE" w:rsidRPr="000B00BE" w:rsidRDefault="000B00BE" w:rsidP="00F76431">
            <w:pPr>
              <w:keepNext/>
              <w:rPr>
                <w:rFonts w:asciiTheme="minorHAnsi" w:hAnsiTheme="minorHAnsi"/>
                <w:bCs/>
                <w:szCs w:val="18"/>
              </w:rPr>
            </w:pPr>
            <w:r w:rsidRPr="000B00BE">
              <w:rPr>
                <w:rFonts w:ascii="Calibri" w:hAnsi="Calibri" w:cs="Arial"/>
                <w:bCs/>
                <w:sz w:val="20"/>
                <w:szCs w:val="20"/>
              </w:rPr>
              <w:t>500</w:t>
            </w:r>
            <w:r>
              <w:rPr>
                <w:rFonts w:ascii="Calibri" w:hAnsi="Calibri" w:cs="Arial"/>
                <w:bCs/>
                <w:sz w:val="20"/>
                <w:szCs w:val="20"/>
              </w:rPr>
              <w:t xml:space="preserve"> </w:t>
            </w:r>
            <w:r w:rsidRPr="000B00BE">
              <w:rPr>
                <w:rFonts w:ascii="Calibri" w:hAnsi="Calibri" w:cs="Arial"/>
                <w:bCs/>
                <w:sz w:val="20"/>
                <w:szCs w:val="20"/>
              </w:rPr>
              <w:t>mg injection (x10) - Cost</w:t>
            </w:r>
          </w:p>
        </w:tc>
        <w:tc>
          <w:tcPr>
            <w:tcW w:w="0" w:type="auto"/>
          </w:tcPr>
          <w:p w14:paraId="36BE19F6" w14:textId="77777777" w:rsidR="000B00BE" w:rsidRPr="000B00BE" w:rsidRDefault="000B00BE" w:rsidP="00F76431">
            <w:pPr>
              <w:keepNext/>
              <w:rPr>
                <w:rFonts w:asciiTheme="minorHAnsi" w:hAnsiTheme="minorHAnsi"/>
                <w:bCs/>
                <w:szCs w:val="18"/>
              </w:rPr>
            </w:pPr>
          </w:p>
        </w:tc>
        <w:tc>
          <w:tcPr>
            <w:tcW w:w="0" w:type="auto"/>
          </w:tcPr>
          <w:p w14:paraId="35F6B61A" w14:textId="77777777" w:rsidR="000B00BE" w:rsidRPr="000B00BE" w:rsidRDefault="000B00BE" w:rsidP="00F76431">
            <w:pPr>
              <w:keepNext/>
              <w:rPr>
                <w:rFonts w:asciiTheme="minorHAnsi" w:hAnsiTheme="minorHAnsi"/>
                <w:bCs/>
                <w:szCs w:val="18"/>
              </w:rPr>
            </w:pPr>
            <w:r w:rsidRPr="000B00BE">
              <w:rPr>
                <w:rFonts w:ascii="Calibri" w:hAnsi="Calibri" w:cs="Arial"/>
                <w:bCs/>
                <w:sz w:val="20"/>
                <w:szCs w:val="20"/>
              </w:rPr>
              <w:t>$1,896,311</w:t>
            </w:r>
          </w:p>
        </w:tc>
        <w:tc>
          <w:tcPr>
            <w:tcW w:w="0" w:type="auto"/>
          </w:tcPr>
          <w:p w14:paraId="54B4E513" w14:textId="77777777" w:rsidR="000B00BE" w:rsidRPr="000B00BE" w:rsidRDefault="000B00BE" w:rsidP="00F76431">
            <w:pPr>
              <w:keepNext/>
              <w:rPr>
                <w:rFonts w:asciiTheme="minorHAnsi" w:hAnsiTheme="minorHAnsi"/>
                <w:bCs/>
                <w:szCs w:val="18"/>
              </w:rPr>
            </w:pPr>
            <w:r w:rsidRPr="000B00BE">
              <w:rPr>
                <w:rFonts w:ascii="Calibri" w:hAnsi="Calibri" w:cs="Arial"/>
                <w:bCs/>
                <w:sz w:val="20"/>
                <w:szCs w:val="20"/>
              </w:rPr>
              <w:t>$755,209</w:t>
            </w:r>
          </w:p>
        </w:tc>
        <w:tc>
          <w:tcPr>
            <w:tcW w:w="0" w:type="auto"/>
          </w:tcPr>
          <w:p w14:paraId="3AC4FDBE" w14:textId="77777777" w:rsidR="000B00BE" w:rsidRPr="000B00BE" w:rsidRDefault="000B00BE" w:rsidP="00F76431">
            <w:pPr>
              <w:keepNext/>
              <w:rPr>
                <w:rFonts w:asciiTheme="minorHAnsi" w:hAnsiTheme="minorHAnsi"/>
                <w:bCs/>
                <w:szCs w:val="18"/>
              </w:rPr>
            </w:pPr>
            <w:r w:rsidRPr="000B00BE">
              <w:rPr>
                <w:rFonts w:ascii="Calibri" w:hAnsi="Calibri" w:cs="Arial"/>
                <w:bCs/>
                <w:sz w:val="20"/>
                <w:szCs w:val="20"/>
              </w:rPr>
              <w:t>$315,550</w:t>
            </w:r>
          </w:p>
        </w:tc>
      </w:tr>
      <w:tr w:rsidR="000B00BE" w:rsidRPr="000B00BE" w14:paraId="7CEA3282" w14:textId="77777777" w:rsidTr="000B00BE">
        <w:tc>
          <w:tcPr>
            <w:tcW w:w="0" w:type="auto"/>
          </w:tcPr>
          <w:p w14:paraId="70C22B1C" w14:textId="77777777" w:rsidR="000B00BE" w:rsidRPr="000B00BE" w:rsidRDefault="000B00BE" w:rsidP="00F76431">
            <w:pPr>
              <w:keepNext/>
              <w:rPr>
                <w:rFonts w:asciiTheme="minorHAnsi" w:hAnsiTheme="minorHAnsi"/>
                <w:b/>
                <w:bCs/>
                <w:szCs w:val="18"/>
              </w:rPr>
            </w:pPr>
            <w:r w:rsidRPr="000B00BE">
              <w:rPr>
                <w:rFonts w:ascii="Calibri" w:hAnsi="Calibri" w:cs="Arial"/>
                <w:b/>
                <w:bCs/>
                <w:sz w:val="20"/>
                <w:szCs w:val="20"/>
              </w:rPr>
              <w:t xml:space="preserve">Total </w:t>
            </w:r>
            <w:proofErr w:type="spellStart"/>
            <w:r w:rsidRPr="000B00BE">
              <w:rPr>
                <w:rFonts w:ascii="Calibri" w:hAnsi="Calibri" w:cs="Arial"/>
                <w:b/>
                <w:bCs/>
                <w:sz w:val="20"/>
                <w:szCs w:val="20"/>
              </w:rPr>
              <w:t>Desferrioxamine</w:t>
            </w:r>
            <w:proofErr w:type="spellEnd"/>
            <w:r w:rsidRPr="000B00BE">
              <w:rPr>
                <w:rFonts w:ascii="Calibri" w:hAnsi="Calibri" w:cs="Arial"/>
                <w:b/>
                <w:bCs/>
                <w:sz w:val="20"/>
                <w:szCs w:val="20"/>
              </w:rPr>
              <w:t xml:space="preserve"> - Cost</w:t>
            </w:r>
          </w:p>
        </w:tc>
        <w:tc>
          <w:tcPr>
            <w:tcW w:w="0" w:type="auto"/>
          </w:tcPr>
          <w:p w14:paraId="63FCD4AB" w14:textId="77777777" w:rsidR="000B00BE" w:rsidRPr="000B00BE" w:rsidRDefault="000B00BE" w:rsidP="00F76431">
            <w:pPr>
              <w:keepNext/>
              <w:rPr>
                <w:rFonts w:asciiTheme="minorHAnsi" w:hAnsiTheme="minorHAnsi"/>
                <w:b/>
                <w:bCs/>
                <w:szCs w:val="18"/>
              </w:rPr>
            </w:pPr>
          </w:p>
        </w:tc>
        <w:tc>
          <w:tcPr>
            <w:tcW w:w="0" w:type="auto"/>
          </w:tcPr>
          <w:p w14:paraId="75779BEE" w14:textId="77777777" w:rsidR="000B00BE" w:rsidRPr="000B00BE" w:rsidRDefault="000B00BE" w:rsidP="00F76431">
            <w:pPr>
              <w:keepNext/>
              <w:rPr>
                <w:rFonts w:asciiTheme="minorHAnsi" w:hAnsiTheme="minorHAnsi"/>
                <w:b/>
                <w:bCs/>
                <w:szCs w:val="18"/>
              </w:rPr>
            </w:pPr>
            <w:r w:rsidRPr="000B00BE">
              <w:rPr>
                <w:rFonts w:ascii="Calibri" w:hAnsi="Calibri" w:cs="Arial"/>
                <w:b/>
                <w:bCs/>
                <w:sz w:val="20"/>
                <w:szCs w:val="20"/>
              </w:rPr>
              <w:t>$3,545,543</w:t>
            </w:r>
          </w:p>
        </w:tc>
        <w:tc>
          <w:tcPr>
            <w:tcW w:w="0" w:type="auto"/>
          </w:tcPr>
          <w:p w14:paraId="08A5E450" w14:textId="77777777" w:rsidR="000B00BE" w:rsidRPr="000B00BE" w:rsidRDefault="000B00BE" w:rsidP="00F76431">
            <w:pPr>
              <w:keepNext/>
              <w:rPr>
                <w:rFonts w:asciiTheme="minorHAnsi" w:hAnsiTheme="minorHAnsi"/>
                <w:b/>
                <w:bCs/>
                <w:szCs w:val="18"/>
              </w:rPr>
            </w:pPr>
            <w:r w:rsidRPr="000B00BE">
              <w:rPr>
                <w:rFonts w:ascii="Calibri" w:hAnsi="Calibri" w:cs="Arial"/>
                <w:b/>
                <w:bCs/>
                <w:sz w:val="20"/>
                <w:szCs w:val="20"/>
              </w:rPr>
              <w:t>$1,403,879</w:t>
            </w:r>
          </w:p>
        </w:tc>
        <w:tc>
          <w:tcPr>
            <w:tcW w:w="0" w:type="auto"/>
          </w:tcPr>
          <w:p w14:paraId="5F348549" w14:textId="77777777" w:rsidR="000B00BE" w:rsidRPr="000B00BE" w:rsidRDefault="000B00BE" w:rsidP="00F76431">
            <w:pPr>
              <w:keepNext/>
              <w:rPr>
                <w:rFonts w:asciiTheme="minorHAnsi" w:hAnsiTheme="minorHAnsi"/>
                <w:b/>
                <w:bCs/>
                <w:szCs w:val="18"/>
              </w:rPr>
            </w:pPr>
            <w:r w:rsidRPr="000B00BE">
              <w:rPr>
                <w:rFonts w:ascii="Calibri" w:hAnsi="Calibri" w:cs="Arial"/>
                <w:b/>
                <w:bCs/>
                <w:sz w:val="20"/>
                <w:szCs w:val="20"/>
              </w:rPr>
              <w:t>$760,381</w:t>
            </w:r>
          </w:p>
        </w:tc>
      </w:tr>
      <w:tr w:rsidR="000B00BE" w:rsidRPr="000B00BE" w14:paraId="0E8DB8F8" w14:textId="77777777" w:rsidTr="000B00BE">
        <w:tc>
          <w:tcPr>
            <w:tcW w:w="0" w:type="auto"/>
          </w:tcPr>
          <w:p w14:paraId="041352ED" w14:textId="77777777" w:rsidR="000B00BE" w:rsidRPr="000B00BE" w:rsidRDefault="000B00BE" w:rsidP="00F76431">
            <w:pPr>
              <w:keepNext/>
              <w:rPr>
                <w:rFonts w:asciiTheme="minorHAnsi" w:hAnsiTheme="minorHAnsi"/>
                <w:b/>
                <w:bCs/>
                <w:szCs w:val="18"/>
              </w:rPr>
            </w:pPr>
            <w:proofErr w:type="spellStart"/>
            <w:r w:rsidRPr="000B00BE">
              <w:rPr>
                <w:rFonts w:ascii="Calibri" w:hAnsi="Calibri" w:cs="Arial"/>
                <w:b/>
                <w:bCs/>
                <w:sz w:val="20"/>
                <w:szCs w:val="20"/>
              </w:rPr>
              <w:t>Deferiprone</w:t>
            </w:r>
            <w:proofErr w:type="spellEnd"/>
            <w:r w:rsidRPr="000B00BE">
              <w:rPr>
                <w:rFonts w:ascii="Calibri" w:hAnsi="Calibri" w:cs="Arial"/>
                <w:b/>
                <w:bCs/>
                <w:sz w:val="20"/>
                <w:szCs w:val="20"/>
              </w:rPr>
              <w:t xml:space="preserve"> </w:t>
            </w:r>
          </w:p>
        </w:tc>
        <w:tc>
          <w:tcPr>
            <w:tcW w:w="0" w:type="auto"/>
          </w:tcPr>
          <w:p w14:paraId="746107B7" w14:textId="77777777" w:rsidR="000B00BE" w:rsidRPr="000B00BE" w:rsidRDefault="000B00BE" w:rsidP="00F76431">
            <w:pPr>
              <w:keepNext/>
              <w:rPr>
                <w:rFonts w:asciiTheme="minorHAnsi" w:hAnsiTheme="minorHAnsi"/>
                <w:b/>
                <w:bCs/>
                <w:szCs w:val="18"/>
              </w:rPr>
            </w:pPr>
          </w:p>
        </w:tc>
        <w:tc>
          <w:tcPr>
            <w:tcW w:w="0" w:type="auto"/>
          </w:tcPr>
          <w:p w14:paraId="4971EB78" w14:textId="77777777" w:rsidR="000B00BE" w:rsidRPr="000B00BE" w:rsidRDefault="000B00BE" w:rsidP="00F76431">
            <w:pPr>
              <w:keepNext/>
              <w:rPr>
                <w:rFonts w:asciiTheme="minorHAnsi" w:hAnsiTheme="minorHAnsi"/>
                <w:b/>
                <w:bCs/>
                <w:szCs w:val="18"/>
              </w:rPr>
            </w:pPr>
          </w:p>
        </w:tc>
        <w:tc>
          <w:tcPr>
            <w:tcW w:w="0" w:type="auto"/>
          </w:tcPr>
          <w:p w14:paraId="32633B54" w14:textId="77777777" w:rsidR="000B00BE" w:rsidRPr="000B00BE" w:rsidRDefault="000B00BE" w:rsidP="00F76431">
            <w:pPr>
              <w:keepNext/>
              <w:rPr>
                <w:rFonts w:asciiTheme="minorHAnsi" w:hAnsiTheme="minorHAnsi"/>
                <w:b/>
                <w:bCs/>
                <w:szCs w:val="18"/>
              </w:rPr>
            </w:pPr>
          </w:p>
        </w:tc>
        <w:tc>
          <w:tcPr>
            <w:tcW w:w="0" w:type="auto"/>
          </w:tcPr>
          <w:p w14:paraId="23E7CC1A" w14:textId="77777777" w:rsidR="000B00BE" w:rsidRPr="000B00BE" w:rsidRDefault="000B00BE" w:rsidP="00F76431">
            <w:pPr>
              <w:keepNext/>
              <w:rPr>
                <w:rFonts w:asciiTheme="minorHAnsi" w:hAnsiTheme="minorHAnsi"/>
                <w:b/>
                <w:bCs/>
                <w:szCs w:val="18"/>
              </w:rPr>
            </w:pPr>
          </w:p>
        </w:tc>
      </w:tr>
      <w:tr w:rsidR="000B00BE" w:rsidRPr="000B00BE" w14:paraId="42F24BD6" w14:textId="77777777" w:rsidTr="000B00BE">
        <w:tc>
          <w:tcPr>
            <w:tcW w:w="0" w:type="auto"/>
          </w:tcPr>
          <w:p w14:paraId="6DFDCC6C" w14:textId="61FC0063" w:rsidR="000B00BE" w:rsidRPr="000B00BE" w:rsidRDefault="000B00BE" w:rsidP="00F76431">
            <w:pPr>
              <w:keepNext/>
              <w:rPr>
                <w:rFonts w:asciiTheme="minorHAnsi" w:hAnsiTheme="minorHAnsi"/>
                <w:bCs/>
                <w:szCs w:val="18"/>
              </w:rPr>
            </w:pPr>
            <w:r w:rsidRPr="000B00BE">
              <w:rPr>
                <w:rFonts w:ascii="Calibri" w:hAnsi="Calibri" w:cs="Arial"/>
                <w:bCs/>
                <w:sz w:val="20"/>
                <w:szCs w:val="20"/>
              </w:rPr>
              <w:t>100</w:t>
            </w:r>
            <w:r>
              <w:rPr>
                <w:rFonts w:ascii="Calibri" w:hAnsi="Calibri" w:cs="Arial"/>
                <w:bCs/>
                <w:sz w:val="20"/>
                <w:szCs w:val="20"/>
              </w:rPr>
              <w:t xml:space="preserve"> </w:t>
            </w:r>
            <w:r w:rsidRPr="000B00BE">
              <w:rPr>
                <w:rFonts w:ascii="Calibri" w:hAnsi="Calibri" w:cs="Arial"/>
                <w:bCs/>
                <w:sz w:val="20"/>
                <w:szCs w:val="20"/>
              </w:rPr>
              <w:t>mg/ m</w:t>
            </w:r>
            <w:r>
              <w:rPr>
                <w:rFonts w:ascii="Calibri" w:hAnsi="Calibri" w:cs="Arial"/>
                <w:bCs/>
                <w:sz w:val="20"/>
                <w:szCs w:val="20"/>
              </w:rPr>
              <w:t>L</w:t>
            </w:r>
            <w:r w:rsidRPr="000B00BE">
              <w:rPr>
                <w:rFonts w:ascii="Calibri" w:hAnsi="Calibri" w:cs="Arial"/>
                <w:bCs/>
                <w:sz w:val="20"/>
                <w:szCs w:val="20"/>
              </w:rPr>
              <w:t xml:space="preserve"> (250</w:t>
            </w:r>
            <w:r>
              <w:rPr>
                <w:rFonts w:ascii="Calibri" w:hAnsi="Calibri" w:cs="Arial"/>
                <w:bCs/>
                <w:sz w:val="20"/>
                <w:szCs w:val="20"/>
              </w:rPr>
              <w:t xml:space="preserve"> </w:t>
            </w:r>
            <w:r w:rsidRPr="000B00BE">
              <w:rPr>
                <w:rFonts w:ascii="Calibri" w:hAnsi="Calibri" w:cs="Arial"/>
                <w:bCs/>
                <w:sz w:val="20"/>
                <w:szCs w:val="20"/>
              </w:rPr>
              <w:t>m</w:t>
            </w:r>
            <w:r>
              <w:rPr>
                <w:rFonts w:ascii="Calibri" w:hAnsi="Calibri" w:cs="Arial"/>
                <w:bCs/>
                <w:sz w:val="20"/>
                <w:szCs w:val="20"/>
              </w:rPr>
              <w:t>L</w:t>
            </w:r>
            <w:r w:rsidRPr="000B00BE">
              <w:rPr>
                <w:rFonts w:ascii="Calibri" w:hAnsi="Calibri" w:cs="Arial"/>
                <w:bCs/>
                <w:sz w:val="20"/>
                <w:szCs w:val="20"/>
              </w:rPr>
              <w:t xml:space="preserve"> x5) - Packs</w:t>
            </w:r>
          </w:p>
        </w:tc>
        <w:tc>
          <w:tcPr>
            <w:tcW w:w="0" w:type="auto"/>
          </w:tcPr>
          <w:p w14:paraId="3C982C44" w14:textId="77777777" w:rsidR="000B00BE" w:rsidRPr="000B00BE" w:rsidRDefault="000B00BE" w:rsidP="00F76431">
            <w:pPr>
              <w:keepNext/>
              <w:rPr>
                <w:rFonts w:asciiTheme="minorHAnsi" w:hAnsiTheme="minorHAnsi"/>
                <w:bCs/>
                <w:szCs w:val="18"/>
              </w:rPr>
            </w:pPr>
          </w:p>
        </w:tc>
        <w:tc>
          <w:tcPr>
            <w:tcW w:w="0" w:type="auto"/>
          </w:tcPr>
          <w:p w14:paraId="34E70F3C" w14:textId="77777777" w:rsidR="000B00BE" w:rsidRPr="000B00BE" w:rsidRDefault="000B00BE" w:rsidP="00F76431">
            <w:pPr>
              <w:keepNext/>
              <w:rPr>
                <w:rFonts w:asciiTheme="minorHAnsi" w:hAnsiTheme="minorHAnsi"/>
                <w:bCs/>
                <w:szCs w:val="18"/>
              </w:rPr>
            </w:pPr>
            <w:r w:rsidRPr="000B00BE">
              <w:rPr>
                <w:rFonts w:ascii="Calibri" w:hAnsi="Calibri" w:cs="Arial"/>
                <w:bCs/>
                <w:sz w:val="20"/>
                <w:szCs w:val="20"/>
              </w:rPr>
              <w:t>n/a</w:t>
            </w:r>
          </w:p>
        </w:tc>
        <w:tc>
          <w:tcPr>
            <w:tcW w:w="0" w:type="auto"/>
          </w:tcPr>
          <w:p w14:paraId="1F40452B" w14:textId="77777777" w:rsidR="000B00BE" w:rsidRPr="000B00BE" w:rsidRDefault="000B00BE" w:rsidP="00F76431">
            <w:pPr>
              <w:keepNext/>
              <w:rPr>
                <w:rFonts w:asciiTheme="minorHAnsi" w:hAnsiTheme="minorHAnsi"/>
                <w:bCs/>
                <w:szCs w:val="18"/>
              </w:rPr>
            </w:pPr>
            <w:r w:rsidRPr="000B00BE">
              <w:rPr>
                <w:rFonts w:ascii="Calibri" w:hAnsi="Calibri" w:cs="Arial"/>
                <w:bCs/>
                <w:sz w:val="20"/>
                <w:szCs w:val="20"/>
              </w:rPr>
              <w:t>n/a</w:t>
            </w:r>
          </w:p>
        </w:tc>
        <w:tc>
          <w:tcPr>
            <w:tcW w:w="0" w:type="auto"/>
          </w:tcPr>
          <w:p w14:paraId="7FAA4A53" w14:textId="77777777" w:rsidR="000B00BE" w:rsidRPr="000B00BE" w:rsidRDefault="000B00BE" w:rsidP="00F76431">
            <w:pPr>
              <w:keepNext/>
              <w:rPr>
                <w:rFonts w:asciiTheme="minorHAnsi" w:hAnsiTheme="minorHAnsi"/>
                <w:bCs/>
                <w:szCs w:val="18"/>
              </w:rPr>
            </w:pPr>
            <w:r w:rsidRPr="000B00BE">
              <w:rPr>
                <w:rFonts w:ascii="Calibri" w:hAnsi="Calibri" w:cs="Arial"/>
                <w:bCs/>
                <w:sz w:val="20"/>
                <w:szCs w:val="20"/>
              </w:rPr>
              <w:t>18</w:t>
            </w:r>
          </w:p>
        </w:tc>
      </w:tr>
      <w:tr w:rsidR="000B00BE" w:rsidRPr="000B00BE" w14:paraId="11A0B5B3" w14:textId="77777777" w:rsidTr="000B00BE">
        <w:tc>
          <w:tcPr>
            <w:tcW w:w="0" w:type="auto"/>
          </w:tcPr>
          <w:p w14:paraId="645429FB" w14:textId="0C74B37A" w:rsidR="000B00BE" w:rsidRPr="000B00BE" w:rsidRDefault="000B00BE" w:rsidP="00F76431">
            <w:pPr>
              <w:keepNext/>
              <w:rPr>
                <w:rFonts w:asciiTheme="minorHAnsi" w:hAnsiTheme="minorHAnsi"/>
                <w:bCs/>
                <w:szCs w:val="18"/>
              </w:rPr>
            </w:pPr>
            <w:r w:rsidRPr="000B00BE">
              <w:rPr>
                <w:rFonts w:ascii="Calibri" w:hAnsi="Calibri" w:cs="Arial"/>
                <w:bCs/>
                <w:sz w:val="20"/>
                <w:szCs w:val="20"/>
              </w:rPr>
              <w:t>100</w:t>
            </w:r>
            <w:r>
              <w:rPr>
                <w:rFonts w:ascii="Calibri" w:hAnsi="Calibri" w:cs="Arial"/>
                <w:bCs/>
                <w:sz w:val="20"/>
                <w:szCs w:val="20"/>
              </w:rPr>
              <w:t xml:space="preserve"> </w:t>
            </w:r>
            <w:r w:rsidRPr="000B00BE">
              <w:rPr>
                <w:rFonts w:ascii="Calibri" w:hAnsi="Calibri" w:cs="Arial"/>
                <w:bCs/>
                <w:sz w:val="20"/>
                <w:szCs w:val="20"/>
              </w:rPr>
              <w:t>mg/ m</w:t>
            </w:r>
            <w:r>
              <w:rPr>
                <w:rFonts w:ascii="Calibri" w:hAnsi="Calibri" w:cs="Arial"/>
                <w:bCs/>
                <w:sz w:val="20"/>
                <w:szCs w:val="20"/>
              </w:rPr>
              <w:t>L</w:t>
            </w:r>
            <w:r w:rsidRPr="000B00BE">
              <w:rPr>
                <w:rFonts w:ascii="Calibri" w:hAnsi="Calibri" w:cs="Arial"/>
                <w:bCs/>
                <w:sz w:val="20"/>
                <w:szCs w:val="20"/>
              </w:rPr>
              <w:t xml:space="preserve"> (250</w:t>
            </w:r>
            <w:r>
              <w:rPr>
                <w:rFonts w:ascii="Calibri" w:hAnsi="Calibri" w:cs="Arial"/>
                <w:bCs/>
                <w:sz w:val="20"/>
                <w:szCs w:val="20"/>
              </w:rPr>
              <w:t xml:space="preserve"> </w:t>
            </w:r>
            <w:r w:rsidRPr="000B00BE">
              <w:rPr>
                <w:rFonts w:ascii="Calibri" w:hAnsi="Calibri" w:cs="Arial"/>
                <w:bCs/>
                <w:sz w:val="20"/>
                <w:szCs w:val="20"/>
              </w:rPr>
              <w:t>m</w:t>
            </w:r>
            <w:r>
              <w:rPr>
                <w:rFonts w:ascii="Calibri" w:hAnsi="Calibri" w:cs="Arial"/>
                <w:bCs/>
                <w:sz w:val="20"/>
                <w:szCs w:val="20"/>
              </w:rPr>
              <w:t>L</w:t>
            </w:r>
            <w:r w:rsidRPr="000B00BE">
              <w:rPr>
                <w:rFonts w:ascii="Calibri" w:hAnsi="Calibri" w:cs="Arial"/>
                <w:bCs/>
                <w:sz w:val="20"/>
                <w:szCs w:val="20"/>
              </w:rPr>
              <w:t xml:space="preserve"> x5) - Cost</w:t>
            </w:r>
          </w:p>
        </w:tc>
        <w:tc>
          <w:tcPr>
            <w:tcW w:w="0" w:type="auto"/>
          </w:tcPr>
          <w:p w14:paraId="0BDB68D7" w14:textId="77777777" w:rsidR="000B00BE" w:rsidRPr="000B00BE" w:rsidRDefault="000B00BE" w:rsidP="00F76431">
            <w:pPr>
              <w:keepNext/>
              <w:rPr>
                <w:rFonts w:asciiTheme="minorHAnsi" w:hAnsiTheme="minorHAnsi"/>
                <w:bCs/>
                <w:szCs w:val="18"/>
              </w:rPr>
            </w:pPr>
          </w:p>
        </w:tc>
        <w:tc>
          <w:tcPr>
            <w:tcW w:w="0" w:type="auto"/>
          </w:tcPr>
          <w:p w14:paraId="7B51ADBC" w14:textId="77777777" w:rsidR="000B00BE" w:rsidRPr="000B00BE" w:rsidRDefault="000B00BE" w:rsidP="00F76431">
            <w:pPr>
              <w:keepNext/>
              <w:rPr>
                <w:rFonts w:asciiTheme="minorHAnsi" w:hAnsiTheme="minorHAnsi"/>
                <w:bCs/>
                <w:szCs w:val="18"/>
              </w:rPr>
            </w:pPr>
            <w:r w:rsidRPr="000B00BE">
              <w:rPr>
                <w:rFonts w:ascii="Calibri" w:hAnsi="Calibri" w:cs="Arial"/>
                <w:bCs/>
                <w:sz w:val="20"/>
                <w:szCs w:val="20"/>
              </w:rPr>
              <w:t>n/a</w:t>
            </w:r>
          </w:p>
        </w:tc>
        <w:tc>
          <w:tcPr>
            <w:tcW w:w="0" w:type="auto"/>
          </w:tcPr>
          <w:p w14:paraId="0782F6E4" w14:textId="77777777" w:rsidR="000B00BE" w:rsidRPr="000B00BE" w:rsidRDefault="000B00BE" w:rsidP="00F76431">
            <w:pPr>
              <w:keepNext/>
              <w:rPr>
                <w:rFonts w:asciiTheme="minorHAnsi" w:hAnsiTheme="minorHAnsi"/>
                <w:bCs/>
                <w:szCs w:val="18"/>
              </w:rPr>
            </w:pPr>
            <w:r w:rsidRPr="000B00BE">
              <w:rPr>
                <w:rFonts w:ascii="Calibri" w:hAnsi="Calibri" w:cs="Arial"/>
                <w:bCs/>
                <w:sz w:val="20"/>
                <w:szCs w:val="20"/>
              </w:rPr>
              <w:t>n/a</w:t>
            </w:r>
          </w:p>
        </w:tc>
        <w:tc>
          <w:tcPr>
            <w:tcW w:w="0" w:type="auto"/>
          </w:tcPr>
          <w:p w14:paraId="46464A64" w14:textId="77777777" w:rsidR="000B00BE" w:rsidRPr="000B00BE" w:rsidRDefault="000B00BE" w:rsidP="00F76431">
            <w:pPr>
              <w:keepNext/>
              <w:rPr>
                <w:rFonts w:asciiTheme="minorHAnsi" w:hAnsiTheme="minorHAnsi"/>
                <w:bCs/>
                <w:szCs w:val="18"/>
              </w:rPr>
            </w:pPr>
            <w:r w:rsidRPr="000B00BE">
              <w:rPr>
                <w:rFonts w:ascii="Calibri" w:hAnsi="Calibri" w:cs="Arial"/>
                <w:bCs/>
                <w:sz w:val="20"/>
                <w:szCs w:val="20"/>
              </w:rPr>
              <w:t>$3,940</w:t>
            </w:r>
          </w:p>
        </w:tc>
      </w:tr>
      <w:tr w:rsidR="000B00BE" w:rsidRPr="000B00BE" w14:paraId="0ED22F6D" w14:textId="77777777" w:rsidTr="000B00BE">
        <w:tc>
          <w:tcPr>
            <w:tcW w:w="0" w:type="auto"/>
          </w:tcPr>
          <w:p w14:paraId="5D673F8F" w14:textId="21A510C1" w:rsidR="000B00BE" w:rsidRPr="000B00BE" w:rsidRDefault="000B00BE" w:rsidP="00F76431">
            <w:pPr>
              <w:keepNext/>
              <w:rPr>
                <w:rFonts w:asciiTheme="minorHAnsi" w:hAnsiTheme="minorHAnsi"/>
                <w:bCs/>
                <w:szCs w:val="18"/>
              </w:rPr>
            </w:pPr>
            <w:r w:rsidRPr="000B00BE">
              <w:rPr>
                <w:rFonts w:ascii="Calibri" w:hAnsi="Calibri" w:cs="Arial"/>
                <w:bCs/>
                <w:sz w:val="20"/>
                <w:szCs w:val="20"/>
              </w:rPr>
              <w:t>500</w:t>
            </w:r>
            <w:r>
              <w:rPr>
                <w:rFonts w:ascii="Calibri" w:hAnsi="Calibri" w:cs="Arial"/>
                <w:bCs/>
                <w:sz w:val="20"/>
                <w:szCs w:val="20"/>
              </w:rPr>
              <w:t xml:space="preserve"> </w:t>
            </w:r>
            <w:r w:rsidRPr="000B00BE">
              <w:rPr>
                <w:rFonts w:ascii="Calibri" w:hAnsi="Calibri" w:cs="Arial"/>
                <w:bCs/>
                <w:sz w:val="20"/>
                <w:szCs w:val="20"/>
              </w:rPr>
              <w:t>mg tablets (x100) - Packs</w:t>
            </w:r>
          </w:p>
        </w:tc>
        <w:tc>
          <w:tcPr>
            <w:tcW w:w="0" w:type="auto"/>
          </w:tcPr>
          <w:p w14:paraId="5CFE3F3E" w14:textId="77777777" w:rsidR="000B00BE" w:rsidRPr="000B00BE" w:rsidRDefault="000B00BE" w:rsidP="00F76431">
            <w:pPr>
              <w:keepNext/>
              <w:rPr>
                <w:rFonts w:asciiTheme="minorHAnsi" w:hAnsiTheme="minorHAnsi"/>
                <w:bCs/>
                <w:szCs w:val="18"/>
              </w:rPr>
            </w:pPr>
          </w:p>
        </w:tc>
        <w:tc>
          <w:tcPr>
            <w:tcW w:w="0" w:type="auto"/>
          </w:tcPr>
          <w:p w14:paraId="20CD15C0" w14:textId="77777777" w:rsidR="000B00BE" w:rsidRPr="000B00BE" w:rsidRDefault="000B00BE" w:rsidP="00F76431">
            <w:pPr>
              <w:keepNext/>
              <w:rPr>
                <w:rFonts w:asciiTheme="minorHAnsi" w:hAnsiTheme="minorHAnsi"/>
                <w:bCs/>
                <w:szCs w:val="18"/>
              </w:rPr>
            </w:pPr>
            <w:r w:rsidRPr="000B00BE">
              <w:rPr>
                <w:rFonts w:ascii="Calibri" w:hAnsi="Calibri" w:cs="Arial"/>
                <w:bCs/>
                <w:sz w:val="20"/>
                <w:szCs w:val="20"/>
              </w:rPr>
              <w:t>1,072</w:t>
            </w:r>
          </w:p>
        </w:tc>
        <w:tc>
          <w:tcPr>
            <w:tcW w:w="0" w:type="auto"/>
          </w:tcPr>
          <w:p w14:paraId="76C833A0" w14:textId="77777777" w:rsidR="000B00BE" w:rsidRPr="000B00BE" w:rsidRDefault="000B00BE" w:rsidP="00F76431">
            <w:pPr>
              <w:keepNext/>
              <w:rPr>
                <w:rFonts w:asciiTheme="minorHAnsi" w:hAnsiTheme="minorHAnsi"/>
                <w:bCs/>
                <w:szCs w:val="18"/>
              </w:rPr>
            </w:pPr>
            <w:r w:rsidRPr="000B00BE">
              <w:rPr>
                <w:rFonts w:ascii="Calibri" w:hAnsi="Calibri" w:cs="Arial"/>
                <w:bCs/>
                <w:sz w:val="20"/>
                <w:szCs w:val="20"/>
              </w:rPr>
              <w:t>1,195</w:t>
            </w:r>
          </w:p>
        </w:tc>
        <w:tc>
          <w:tcPr>
            <w:tcW w:w="0" w:type="auto"/>
          </w:tcPr>
          <w:p w14:paraId="797168E6" w14:textId="77777777" w:rsidR="000B00BE" w:rsidRPr="000B00BE" w:rsidRDefault="000B00BE" w:rsidP="00F76431">
            <w:pPr>
              <w:keepNext/>
              <w:rPr>
                <w:rFonts w:asciiTheme="minorHAnsi" w:hAnsiTheme="minorHAnsi"/>
                <w:bCs/>
                <w:szCs w:val="18"/>
              </w:rPr>
            </w:pPr>
            <w:r w:rsidRPr="000B00BE">
              <w:rPr>
                <w:rFonts w:ascii="Calibri" w:hAnsi="Calibri" w:cs="Arial"/>
                <w:bCs/>
                <w:sz w:val="20"/>
                <w:szCs w:val="20"/>
              </w:rPr>
              <w:t>1,405</w:t>
            </w:r>
          </w:p>
        </w:tc>
      </w:tr>
      <w:tr w:rsidR="000B00BE" w:rsidRPr="000B00BE" w14:paraId="22AD836E" w14:textId="77777777" w:rsidTr="000B00BE">
        <w:tc>
          <w:tcPr>
            <w:tcW w:w="0" w:type="auto"/>
          </w:tcPr>
          <w:p w14:paraId="3072236B" w14:textId="54808458" w:rsidR="000B00BE" w:rsidRPr="000B00BE" w:rsidRDefault="000B00BE" w:rsidP="00F76431">
            <w:pPr>
              <w:keepNext/>
              <w:rPr>
                <w:rFonts w:asciiTheme="minorHAnsi" w:hAnsiTheme="minorHAnsi"/>
                <w:bCs/>
                <w:szCs w:val="18"/>
              </w:rPr>
            </w:pPr>
            <w:r w:rsidRPr="000B00BE">
              <w:rPr>
                <w:rFonts w:ascii="Calibri" w:hAnsi="Calibri" w:cs="Arial"/>
                <w:bCs/>
                <w:sz w:val="20"/>
                <w:szCs w:val="20"/>
              </w:rPr>
              <w:t>500</w:t>
            </w:r>
            <w:r>
              <w:rPr>
                <w:rFonts w:ascii="Calibri" w:hAnsi="Calibri" w:cs="Arial"/>
                <w:bCs/>
                <w:sz w:val="20"/>
                <w:szCs w:val="20"/>
              </w:rPr>
              <w:t xml:space="preserve"> </w:t>
            </w:r>
            <w:r w:rsidRPr="000B00BE">
              <w:rPr>
                <w:rFonts w:ascii="Calibri" w:hAnsi="Calibri" w:cs="Arial"/>
                <w:bCs/>
                <w:sz w:val="20"/>
                <w:szCs w:val="20"/>
              </w:rPr>
              <w:t>mg tablets (x100) - Cost</w:t>
            </w:r>
          </w:p>
        </w:tc>
        <w:tc>
          <w:tcPr>
            <w:tcW w:w="0" w:type="auto"/>
          </w:tcPr>
          <w:p w14:paraId="25C589E7" w14:textId="77777777" w:rsidR="000B00BE" w:rsidRPr="000B00BE" w:rsidRDefault="000B00BE" w:rsidP="00F76431">
            <w:pPr>
              <w:keepNext/>
              <w:rPr>
                <w:rFonts w:asciiTheme="minorHAnsi" w:hAnsiTheme="minorHAnsi"/>
                <w:bCs/>
                <w:szCs w:val="18"/>
              </w:rPr>
            </w:pPr>
          </w:p>
        </w:tc>
        <w:tc>
          <w:tcPr>
            <w:tcW w:w="0" w:type="auto"/>
          </w:tcPr>
          <w:p w14:paraId="26482814" w14:textId="77777777" w:rsidR="000B00BE" w:rsidRPr="000B00BE" w:rsidRDefault="000B00BE" w:rsidP="00F76431">
            <w:pPr>
              <w:keepNext/>
              <w:rPr>
                <w:rFonts w:asciiTheme="minorHAnsi" w:hAnsiTheme="minorHAnsi"/>
                <w:bCs/>
                <w:szCs w:val="18"/>
              </w:rPr>
            </w:pPr>
            <w:r w:rsidRPr="000B00BE">
              <w:rPr>
                <w:rFonts w:ascii="Calibri" w:hAnsi="Calibri" w:cs="Arial"/>
                <w:bCs/>
                <w:sz w:val="20"/>
                <w:szCs w:val="20"/>
              </w:rPr>
              <w:t>$438,202</w:t>
            </w:r>
          </w:p>
        </w:tc>
        <w:tc>
          <w:tcPr>
            <w:tcW w:w="0" w:type="auto"/>
          </w:tcPr>
          <w:p w14:paraId="393653D8" w14:textId="77777777" w:rsidR="000B00BE" w:rsidRPr="000B00BE" w:rsidRDefault="000B00BE" w:rsidP="00F76431">
            <w:pPr>
              <w:keepNext/>
              <w:rPr>
                <w:rFonts w:asciiTheme="minorHAnsi" w:hAnsiTheme="minorHAnsi"/>
                <w:bCs/>
                <w:szCs w:val="18"/>
              </w:rPr>
            </w:pPr>
            <w:r w:rsidRPr="000B00BE">
              <w:rPr>
                <w:rFonts w:ascii="Calibri" w:hAnsi="Calibri" w:cs="Arial"/>
                <w:bCs/>
                <w:sz w:val="20"/>
                <w:szCs w:val="20"/>
              </w:rPr>
              <w:t>$529,264</w:t>
            </w:r>
          </w:p>
        </w:tc>
        <w:tc>
          <w:tcPr>
            <w:tcW w:w="0" w:type="auto"/>
          </w:tcPr>
          <w:p w14:paraId="743B515E" w14:textId="77777777" w:rsidR="000B00BE" w:rsidRPr="000B00BE" w:rsidRDefault="000B00BE" w:rsidP="00F76431">
            <w:pPr>
              <w:keepNext/>
              <w:rPr>
                <w:rFonts w:asciiTheme="minorHAnsi" w:hAnsiTheme="minorHAnsi"/>
                <w:bCs/>
                <w:szCs w:val="18"/>
              </w:rPr>
            </w:pPr>
            <w:r w:rsidRPr="000B00BE">
              <w:rPr>
                <w:rFonts w:ascii="Calibri" w:hAnsi="Calibri" w:cs="Arial"/>
                <w:bCs/>
                <w:sz w:val="20"/>
                <w:szCs w:val="20"/>
              </w:rPr>
              <w:t>$627,946</w:t>
            </w:r>
          </w:p>
        </w:tc>
      </w:tr>
      <w:tr w:rsidR="000B00BE" w:rsidRPr="000B00BE" w14:paraId="7A54BC30" w14:textId="77777777" w:rsidTr="000B00BE">
        <w:tc>
          <w:tcPr>
            <w:tcW w:w="0" w:type="auto"/>
          </w:tcPr>
          <w:p w14:paraId="7597C53C" w14:textId="77777777" w:rsidR="000B00BE" w:rsidRPr="000B00BE" w:rsidRDefault="000B00BE" w:rsidP="00F76431">
            <w:pPr>
              <w:keepNext/>
              <w:rPr>
                <w:rFonts w:asciiTheme="minorHAnsi" w:hAnsiTheme="minorHAnsi"/>
                <w:b/>
                <w:bCs/>
                <w:szCs w:val="18"/>
              </w:rPr>
            </w:pPr>
            <w:r w:rsidRPr="000B00BE">
              <w:rPr>
                <w:rFonts w:ascii="Calibri" w:hAnsi="Calibri" w:cs="Arial"/>
                <w:b/>
                <w:bCs/>
                <w:sz w:val="20"/>
                <w:szCs w:val="20"/>
              </w:rPr>
              <w:t xml:space="preserve">Total </w:t>
            </w:r>
            <w:proofErr w:type="spellStart"/>
            <w:r w:rsidRPr="000B00BE">
              <w:rPr>
                <w:rFonts w:ascii="Calibri" w:hAnsi="Calibri" w:cs="Arial"/>
                <w:b/>
                <w:bCs/>
                <w:sz w:val="20"/>
                <w:szCs w:val="20"/>
              </w:rPr>
              <w:t>Deferiprone</w:t>
            </w:r>
            <w:proofErr w:type="spellEnd"/>
            <w:r w:rsidRPr="000B00BE">
              <w:rPr>
                <w:rFonts w:ascii="Calibri" w:hAnsi="Calibri" w:cs="Arial"/>
                <w:b/>
                <w:bCs/>
                <w:sz w:val="20"/>
                <w:szCs w:val="20"/>
              </w:rPr>
              <w:t xml:space="preserve"> - Cost</w:t>
            </w:r>
          </w:p>
        </w:tc>
        <w:tc>
          <w:tcPr>
            <w:tcW w:w="0" w:type="auto"/>
          </w:tcPr>
          <w:p w14:paraId="5A768A6D" w14:textId="77777777" w:rsidR="000B00BE" w:rsidRPr="000B00BE" w:rsidRDefault="000B00BE" w:rsidP="00F76431">
            <w:pPr>
              <w:keepNext/>
              <w:rPr>
                <w:rFonts w:asciiTheme="minorHAnsi" w:hAnsiTheme="minorHAnsi"/>
                <w:b/>
                <w:bCs/>
                <w:szCs w:val="18"/>
              </w:rPr>
            </w:pPr>
          </w:p>
        </w:tc>
        <w:tc>
          <w:tcPr>
            <w:tcW w:w="0" w:type="auto"/>
          </w:tcPr>
          <w:p w14:paraId="10A96C90" w14:textId="77777777" w:rsidR="000B00BE" w:rsidRPr="000B00BE" w:rsidRDefault="000B00BE" w:rsidP="00F76431">
            <w:pPr>
              <w:keepNext/>
              <w:rPr>
                <w:rFonts w:asciiTheme="minorHAnsi" w:hAnsiTheme="minorHAnsi"/>
                <w:b/>
                <w:bCs/>
                <w:szCs w:val="18"/>
              </w:rPr>
            </w:pPr>
            <w:r w:rsidRPr="000B00BE">
              <w:rPr>
                <w:rFonts w:ascii="Calibri" w:hAnsi="Calibri" w:cs="Arial"/>
                <w:b/>
                <w:bCs/>
                <w:sz w:val="20"/>
                <w:szCs w:val="20"/>
              </w:rPr>
              <w:t>$438,202</w:t>
            </w:r>
          </w:p>
        </w:tc>
        <w:tc>
          <w:tcPr>
            <w:tcW w:w="0" w:type="auto"/>
          </w:tcPr>
          <w:p w14:paraId="4EB6988B" w14:textId="77777777" w:rsidR="000B00BE" w:rsidRPr="000B00BE" w:rsidRDefault="000B00BE" w:rsidP="00F76431">
            <w:pPr>
              <w:keepNext/>
              <w:rPr>
                <w:rFonts w:asciiTheme="minorHAnsi" w:hAnsiTheme="minorHAnsi"/>
                <w:b/>
                <w:bCs/>
                <w:szCs w:val="18"/>
              </w:rPr>
            </w:pPr>
            <w:r w:rsidRPr="000B00BE">
              <w:rPr>
                <w:rFonts w:ascii="Calibri" w:hAnsi="Calibri" w:cs="Arial"/>
                <w:b/>
                <w:bCs/>
                <w:sz w:val="20"/>
                <w:szCs w:val="20"/>
              </w:rPr>
              <w:t>$529,264</w:t>
            </w:r>
          </w:p>
        </w:tc>
        <w:tc>
          <w:tcPr>
            <w:tcW w:w="0" w:type="auto"/>
          </w:tcPr>
          <w:p w14:paraId="4E06EA3B" w14:textId="77777777" w:rsidR="000B00BE" w:rsidRPr="000B00BE" w:rsidRDefault="000B00BE" w:rsidP="00F76431">
            <w:pPr>
              <w:keepNext/>
              <w:rPr>
                <w:rFonts w:asciiTheme="minorHAnsi" w:hAnsiTheme="minorHAnsi"/>
                <w:b/>
                <w:bCs/>
                <w:szCs w:val="18"/>
              </w:rPr>
            </w:pPr>
            <w:r w:rsidRPr="000B00BE">
              <w:rPr>
                <w:rFonts w:ascii="Calibri" w:hAnsi="Calibri" w:cs="Arial"/>
                <w:b/>
                <w:bCs/>
                <w:sz w:val="20"/>
                <w:szCs w:val="20"/>
              </w:rPr>
              <w:t>$631,886</w:t>
            </w:r>
          </w:p>
        </w:tc>
      </w:tr>
      <w:tr w:rsidR="000B00BE" w:rsidRPr="000B00BE" w14:paraId="737875BE" w14:textId="77777777" w:rsidTr="000B00BE">
        <w:tc>
          <w:tcPr>
            <w:tcW w:w="0" w:type="auto"/>
          </w:tcPr>
          <w:p w14:paraId="791193F7" w14:textId="77777777" w:rsidR="000B00BE" w:rsidRPr="000B00BE" w:rsidRDefault="000B00BE" w:rsidP="00F76431">
            <w:pPr>
              <w:keepNext/>
              <w:rPr>
                <w:rFonts w:asciiTheme="minorHAnsi" w:hAnsiTheme="minorHAnsi"/>
                <w:b/>
                <w:bCs/>
                <w:szCs w:val="18"/>
              </w:rPr>
            </w:pPr>
            <w:proofErr w:type="spellStart"/>
            <w:r w:rsidRPr="000B00BE">
              <w:rPr>
                <w:rFonts w:ascii="Calibri" w:hAnsi="Calibri" w:cs="Arial"/>
                <w:b/>
                <w:bCs/>
                <w:sz w:val="20"/>
                <w:szCs w:val="20"/>
              </w:rPr>
              <w:t>Deferasirox</w:t>
            </w:r>
            <w:proofErr w:type="spellEnd"/>
          </w:p>
        </w:tc>
        <w:tc>
          <w:tcPr>
            <w:tcW w:w="0" w:type="auto"/>
          </w:tcPr>
          <w:p w14:paraId="32665BA6" w14:textId="77777777" w:rsidR="000B00BE" w:rsidRPr="000B00BE" w:rsidRDefault="000B00BE" w:rsidP="00F76431">
            <w:pPr>
              <w:keepNext/>
              <w:rPr>
                <w:rFonts w:asciiTheme="minorHAnsi" w:hAnsiTheme="minorHAnsi"/>
                <w:b/>
                <w:bCs/>
                <w:sz w:val="20"/>
                <w:szCs w:val="20"/>
              </w:rPr>
            </w:pPr>
            <w:r w:rsidRPr="000B00BE">
              <w:rPr>
                <w:rFonts w:asciiTheme="minorHAnsi" w:hAnsiTheme="minorHAnsi"/>
                <w:b/>
                <w:bCs/>
                <w:sz w:val="20"/>
                <w:szCs w:val="20"/>
              </w:rPr>
              <w:t>Dec09-Nov10</w:t>
            </w:r>
          </w:p>
        </w:tc>
        <w:tc>
          <w:tcPr>
            <w:tcW w:w="0" w:type="auto"/>
          </w:tcPr>
          <w:p w14:paraId="1BD6BEF5" w14:textId="77777777" w:rsidR="000B00BE" w:rsidRPr="000B00BE" w:rsidRDefault="000B00BE" w:rsidP="00F76431">
            <w:pPr>
              <w:keepNext/>
              <w:rPr>
                <w:rFonts w:asciiTheme="minorHAnsi" w:hAnsiTheme="minorHAnsi"/>
                <w:b/>
                <w:bCs/>
                <w:szCs w:val="18"/>
              </w:rPr>
            </w:pPr>
          </w:p>
        </w:tc>
        <w:tc>
          <w:tcPr>
            <w:tcW w:w="0" w:type="auto"/>
          </w:tcPr>
          <w:p w14:paraId="186873B4" w14:textId="77777777" w:rsidR="000B00BE" w:rsidRPr="000B00BE" w:rsidRDefault="000B00BE" w:rsidP="00F76431">
            <w:pPr>
              <w:keepNext/>
              <w:rPr>
                <w:rFonts w:asciiTheme="minorHAnsi" w:hAnsiTheme="minorHAnsi"/>
                <w:b/>
                <w:bCs/>
                <w:szCs w:val="18"/>
              </w:rPr>
            </w:pPr>
          </w:p>
        </w:tc>
        <w:tc>
          <w:tcPr>
            <w:tcW w:w="0" w:type="auto"/>
          </w:tcPr>
          <w:p w14:paraId="7A2B8ACB" w14:textId="77777777" w:rsidR="000B00BE" w:rsidRPr="000B00BE" w:rsidRDefault="000B00BE" w:rsidP="00F76431">
            <w:pPr>
              <w:keepNext/>
              <w:rPr>
                <w:rFonts w:asciiTheme="minorHAnsi" w:hAnsiTheme="minorHAnsi"/>
                <w:b/>
                <w:bCs/>
                <w:szCs w:val="18"/>
              </w:rPr>
            </w:pPr>
          </w:p>
        </w:tc>
      </w:tr>
      <w:tr w:rsidR="000B00BE" w:rsidRPr="000B00BE" w14:paraId="07EC1620" w14:textId="77777777" w:rsidTr="000B00BE">
        <w:tc>
          <w:tcPr>
            <w:tcW w:w="0" w:type="auto"/>
          </w:tcPr>
          <w:p w14:paraId="6F49FEB8" w14:textId="35DF74FC" w:rsidR="000B00BE" w:rsidRPr="000B00BE" w:rsidRDefault="000B00BE" w:rsidP="00F76431">
            <w:pPr>
              <w:keepNext/>
              <w:rPr>
                <w:rFonts w:asciiTheme="minorHAnsi" w:hAnsiTheme="minorHAnsi"/>
                <w:bCs/>
                <w:szCs w:val="18"/>
              </w:rPr>
            </w:pPr>
            <w:bookmarkStart w:id="4" w:name="_GoBack" w:colFirst="1" w:colLast="1"/>
            <w:r w:rsidRPr="000B00BE">
              <w:rPr>
                <w:rFonts w:ascii="Calibri" w:hAnsi="Calibri" w:cs="Arial"/>
                <w:bCs/>
                <w:sz w:val="20"/>
                <w:szCs w:val="20"/>
              </w:rPr>
              <w:t>125</w:t>
            </w:r>
            <w:r>
              <w:rPr>
                <w:rFonts w:ascii="Calibri" w:hAnsi="Calibri" w:cs="Arial"/>
                <w:bCs/>
                <w:sz w:val="20"/>
                <w:szCs w:val="20"/>
              </w:rPr>
              <w:t xml:space="preserve"> </w:t>
            </w:r>
            <w:r w:rsidRPr="000B00BE">
              <w:rPr>
                <w:rFonts w:ascii="Calibri" w:hAnsi="Calibri" w:cs="Arial"/>
                <w:bCs/>
                <w:sz w:val="20"/>
                <w:szCs w:val="20"/>
              </w:rPr>
              <w:t>mg tablet (x28)- Packs</w:t>
            </w:r>
          </w:p>
        </w:tc>
        <w:tc>
          <w:tcPr>
            <w:tcW w:w="0" w:type="auto"/>
          </w:tcPr>
          <w:p w14:paraId="04BDCD10" w14:textId="7FF7B794" w:rsidR="000B00BE" w:rsidRPr="00452E08" w:rsidRDefault="00EA738A" w:rsidP="00F76431">
            <w:pPr>
              <w:keepNext/>
              <w:rPr>
                <w:rFonts w:asciiTheme="minorHAnsi" w:hAnsiTheme="minorHAnsi"/>
                <w:bCs/>
                <w:sz w:val="20"/>
                <w:szCs w:val="20"/>
                <w:highlight w:val="yellow"/>
              </w:rPr>
            </w:pPr>
            <w:r w:rsidRPr="00452E08">
              <w:rPr>
                <w:rFonts w:asciiTheme="minorHAnsi" w:hAnsiTheme="minorHAnsi"/>
                <w:bCs/>
                <w:sz w:val="20"/>
                <w:szCs w:val="20"/>
              </w:rPr>
              <w:t>(REDACTED)</w:t>
            </w:r>
          </w:p>
        </w:tc>
        <w:tc>
          <w:tcPr>
            <w:tcW w:w="0" w:type="auto"/>
          </w:tcPr>
          <w:p w14:paraId="007087CD" w14:textId="77777777" w:rsidR="000B00BE" w:rsidRPr="000B00BE" w:rsidRDefault="000B00BE" w:rsidP="00F76431">
            <w:pPr>
              <w:keepNext/>
              <w:rPr>
                <w:rFonts w:asciiTheme="minorHAnsi" w:hAnsiTheme="minorHAnsi"/>
                <w:bCs/>
                <w:szCs w:val="18"/>
              </w:rPr>
            </w:pPr>
            <w:r w:rsidRPr="000B00BE">
              <w:rPr>
                <w:rFonts w:ascii="Calibri" w:hAnsi="Calibri" w:cs="Arial"/>
                <w:bCs/>
                <w:sz w:val="20"/>
                <w:szCs w:val="20"/>
              </w:rPr>
              <w:t>n/a</w:t>
            </w:r>
          </w:p>
        </w:tc>
        <w:tc>
          <w:tcPr>
            <w:tcW w:w="0" w:type="auto"/>
          </w:tcPr>
          <w:p w14:paraId="781684A8" w14:textId="77777777" w:rsidR="000B00BE" w:rsidRPr="000B00BE" w:rsidRDefault="000B00BE" w:rsidP="00F76431">
            <w:pPr>
              <w:keepNext/>
              <w:rPr>
                <w:rFonts w:asciiTheme="minorHAnsi" w:hAnsiTheme="minorHAnsi"/>
                <w:bCs/>
                <w:szCs w:val="18"/>
              </w:rPr>
            </w:pPr>
            <w:r w:rsidRPr="000B00BE">
              <w:rPr>
                <w:rFonts w:ascii="Calibri" w:hAnsi="Calibri" w:cs="Arial"/>
                <w:bCs/>
                <w:sz w:val="20"/>
                <w:szCs w:val="20"/>
              </w:rPr>
              <w:t>833</w:t>
            </w:r>
          </w:p>
        </w:tc>
        <w:tc>
          <w:tcPr>
            <w:tcW w:w="0" w:type="auto"/>
          </w:tcPr>
          <w:p w14:paraId="12EC2249" w14:textId="77777777" w:rsidR="000B00BE" w:rsidRPr="000B00BE" w:rsidRDefault="000B00BE" w:rsidP="00F76431">
            <w:pPr>
              <w:keepNext/>
              <w:rPr>
                <w:rFonts w:asciiTheme="minorHAnsi" w:hAnsiTheme="minorHAnsi"/>
                <w:bCs/>
                <w:szCs w:val="18"/>
              </w:rPr>
            </w:pPr>
            <w:r w:rsidRPr="000B00BE">
              <w:rPr>
                <w:rFonts w:ascii="Calibri" w:hAnsi="Calibri" w:cs="Arial"/>
                <w:bCs/>
                <w:sz w:val="20"/>
                <w:szCs w:val="20"/>
              </w:rPr>
              <w:t>527</w:t>
            </w:r>
          </w:p>
        </w:tc>
      </w:tr>
      <w:tr w:rsidR="000B00BE" w:rsidRPr="000B00BE" w14:paraId="29D2B7E3" w14:textId="77777777" w:rsidTr="000B00BE">
        <w:tc>
          <w:tcPr>
            <w:tcW w:w="0" w:type="auto"/>
          </w:tcPr>
          <w:p w14:paraId="071987AB" w14:textId="5897B193" w:rsidR="000B00BE" w:rsidRPr="000B00BE" w:rsidRDefault="000B00BE" w:rsidP="00F76431">
            <w:pPr>
              <w:keepNext/>
              <w:rPr>
                <w:rFonts w:asciiTheme="minorHAnsi" w:hAnsiTheme="minorHAnsi"/>
                <w:bCs/>
                <w:szCs w:val="18"/>
              </w:rPr>
            </w:pPr>
            <w:r w:rsidRPr="000B00BE">
              <w:rPr>
                <w:rFonts w:ascii="Calibri" w:hAnsi="Calibri" w:cs="Arial"/>
                <w:bCs/>
                <w:sz w:val="20"/>
                <w:szCs w:val="20"/>
              </w:rPr>
              <w:t>125</w:t>
            </w:r>
            <w:r>
              <w:rPr>
                <w:rFonts w:ascii="Calibri" w:hAnsi="Calibri" w:cs="Arial"/>
                <w:bCs/>
                <w:sz w:val="20"/>
                <w:szCs w:val="20"/>
              </w:rPr>
              <w:t xml:space="preserve"> </w:t>
            </w:r>
            <w:r w:rsidRPr="000B00BE">
              <w:rPr>
                <w:rFonts w:ascii="Calibri" w:hAnsi="Calibri" w:cs="Arial"/>
                <w:bCs/>
                <w:sz w:val="20"/>
                <w:szCs w:val="20"/>
              </w:rPr>
              <w:t>mg tablet (x28)- Cost</w:t>
            </w:r>
          </w:p>
        </w:tc>
        <w:tc>
          <w:tcPr>
            <w:tcW w:w="0" w:type="auto"/>
          </w:tcPr>
          <w:p w14:paraId="79766DE1" w14:textId="4C48F568" w:rsidR="000B00BE" w:rsidRPr="00452E08" w:rsidRDefault="008B6462" w:rsidP="00F76431">
            <w:pPr>
              <w:keepNext/>
              <w:rPr>
                <w:rFonts w:asciiTheme="minorHAnsi" w:hAnsiTheme="minorHAnsi"/>
                <w:bCs/>
                <w:sz w:val="20"/>
                <w:szCs w:val="20"/>
                <w:highlight w:val="yellow"/>
              </w:rPr>
            </w:pPr>
            <w:r w:rsidRPr="00452E08">
              <w:rPr>
                <w:rFonts w:asciiTheme="minorHAnsi" w:hAnsiTheme="minorHAnsi"/>
                <w:bCs/>
                <w:sz w:val="20"/>
                <w:szCs w:val="20"/>
              </w:rPr>
              <w:t>(REDACTED)</w:t>
            </w:r>
          </w:p>
        </w:tc>
        <w:tc>
          <w:tcPr>
            <w:tcW w:w="0" w:type="auto"/>
          </w:tcPr>
          <w:p w14:paraId="4F624ADF" w14:textId="77777777" w:rsidR="000B00BE" w:rsidRPr="000B00BE" w:rsidRDefault="000B00BE" w:rsidP="00F76431">
            <w:pPr>
              <w:keepNext/>
              <w:rPr>
                <w:rFonts w:asciiTheme="minorHAnsi" w:hAnsiTheme="minorHAnsi"/>
                <w:bCs/>
                <w:szCs w:val="18"/>
              </w:rPr>
            </w:pPr>
            <w:r w:rsidRPr="000B00BE">
              <w:rPr>
                <w:rFonts w:ascii="Calibri" w:hAnsi="Calibri" w:cs="Arial"/>
                <w:bCs/>
                <w:sz w:val="20"/>
                <w:szCs w:val="20"/>
              </w:rPr>
              <w:t>n/a</w:t>
            </w:r>
          </w:p>
        </w:tc>
        <w:tc>
          <w:tcPr>
            <w:tcW w:w="0" w:type="auto"/>
          </w:tcPr>
          <w:p w14:paraId="08DF29B4" w14:textId="77777777" w:rsidR="000B00BE" w:rsidRPr="000B00BE" w:rsidRDefault="000B00BE" w:rsidP="00F76431">
            <w:pPr>
              <w:keepNext/>
              <w:rPr>
                <w:rFonts w:asciiTheme="minorHAnsi" w:hAnsiTheme="minorHAnsi"/>
                <w:bCs/>
                <w:szCs w:val="18"/>
              </w:rPr>
            </w:pPr>
            <w:r w:rsidRPr="000B00BE">
              <w:rPr>
                <w:rFonts w:ascii="Calibri" w:hAnsi="Calibri" w:cs="Arial"/>
                <w:bCs/>
                <w:sz w:val="20"/>
                <w:szCs w:val="20"/>
              </w:rPr>
              <w:t>$157,282</w:t>
            </w:r>
          </w:p>
        </w:tc>
        <w:tc>
          <w:tcPr>
            <w:tcW w:w="0" w:type="auto"/>
          </w:tcPr>
          <w:p w14:paraId="744F85F3" w14:textId="77777777" w:rsidR="000B00BE" w:rsidRPr="000B00BE" w:rsidRDefault="000B00BE" w:rsidP="00F76431">
            <w:pPr>
              <w:keepNext/>
              <w:rPr>
                <w:rFonts w:asciiTheme="minorHAnsi" w:hAnsiTheme="minorHAnsi"/>
                <w:bCs/>
                <w:szCs w:val="18"/>
              </w:rPr>
            </w:pPr>
            <w:r w:rsidRPr="000B00BE">
              <w:rPr>
                <w:rFonts w:ascii="Calibri" w:hAnsi="Calibri" w:cs="Arial"/>
                <w:bCs/>
                <w:sz w:val="20"/>
                <w:szCs w:val="20"/>
              </w:rPr>
              <w:t>$122,726</w:t>
            </w:r>
          </w:p>
        </w:tc>
      </w:tr>
      <w:tr w:rsidR="000B00BE" w:rsidRPr="000B00BE" w14:paraId="192482C1" w14:textId="77777777" w:rsidTr="000B00BE">
        <w:tc>
          <w:tcPr>
            <w:tcW w:w="0" w:type="auto"/>
          </w:tcPr>
          <w:p w14:paraId="13E535A4" w14:textId="4E843FED" w:rsidR="000B00BE" w:rsidRPr="000B00BE" w:rsidRDefault="000B00BE" w:rsidP="00F76431">
            <w:pPr>
              <w:keepNext/>
              <w:rPr>
                <w:rFonts w:asciiTheme="minorHAnsi" w:hAnsiTheme="minorHAnsi"/>
                <w:bCs/>
                <w:szCs w:val="18"/>
              </w:rPr>
            </w:pPr>
            <w:r w:rsidRPr="000B00BE">
              <w:rPr>
                <w:rFonts w:ascii="Calibri" w:hAnsi="Calibri" w:cs="Arial"/>
                <w:bCs/>
                <w:sz w:val="20"/>
                <w:szCs w:val="20"/>
              </w:rPr>
              <w:t>250</w:t>
            </w:r>
            <w:r>
              <w:rPr>
                <w:rFonts w:ascii="Calibri" w:hAnsi="Calibri" w:cs="Arial"/>
                <w:bCs/>
                <w:sz w:val="20"/>
                <w:szCs w:val="20"/>
              </w:rPr>
              <w:t xml:space="preserve"> </w:t>
            </w:r>
            <w:r w:rsidRPr="000B00BE">
              <w:rPr>
                <w:rFonts w:ascii="Calibri" w:hAnsi="Calibri" w:cs="Arial"/>
                <w:bCs/>
                <w:sz w:val="20"/>
                <w:szCs w:val="20"/>
              </w:rPr>
              <w:t>mg tablet (x28)- Packs</w:t>
            </w:r>
          </w:p>
        </w:tc>
        <w:tc>
          <w:tcPr>
            <w:tcW w:w="0" w:type="auto"/>
          </w:tcPr>
          <w:p w14:paraId="5B479491" w14:textId="25FB6861" w:rsidR="000B00BE" w:rsidRPr="00452E08" w:rsidRDefault="008B6462" w:rsidP="00F76431">
            <w:pPr>
              <w:keepNext/>
              <w:rPr>
                <w:rFonts w:asciiTheme="minorHAnsi" w:hAnsiTheme="minorHAnsi"/>
                <w:bCs/>
                <w:sz w:val="20"/>
                <w:szCs w:val="20"/>
                <w:highlight w:val="yellow"/>
              </w:rPr>
            </w:pPr>
            <w:r w:rsidRPr="00452E08">
              <w:rPr>
                <w:rFonts w:asciiTheme="minorHAnsi" w:hAnsiTheme="minorHAnsi"/>
                <w:bCs/>
                <w:sz w:val="20"/>
                <w:szCs w:val="20"/>
              </w:rPr>
              <w:t>(REDACTED)</w:t>
            </w:r>
          </w:p>
        </w:tc>
        <w:tc>
          <w:tcPr>
            <w:tcW w:w="0" w:type="auto"/>
          </w:tcPr>
          <w:p w14:paraId="641B5D29" w14:textId="77777777" w:rsidR="000B00BE" w:rsidRPr="000B00BE" w:rsidRDefault="000B00BE" w:rsidP="00F76431">
            <w:pPr>
              <w:keepNext/>
              <w:rPr>
                <w:rFonts w:asciiTheme="minorHAnsi" w:hAnsiTheme="minorHAnsi"/>
                <w:bCs/>
                <w:szCs w:val="18"/>
              </w:rPr>
            </w:pPr>
            <w:r w:rsidRPr="000B00BE">
              <w:rPr>
                <w:rFonts w:ascii="Calibri" w:hAnsi="Calibri" w:cs="Arial"/>
                <w:bCs/>
                <w:sz w:val="20"/>
                <w:szCs w:val="20"/>
              </w:rPr>
              <w:t>n/a</w:t>
            </w:r>
          </w:p>
        </w:tc>
        <w:tc>
          <w:tcPr>
            <w:tcW w:w="0" w:type="auto"/>
          </w:tcPr>
          <w:p w14:paraId="08D1C99C" w14:textId="77777777" w:rsidR="000B00BE" w:rsidRPr="000B00BE" w:rsidRDefault="000B00BE" w:rsidP="00F76431">
            <w:pPr>
              <w:keepNext/>
              <w:rPr>
                <w:rFonts w:asciiTheme="minorHAnsi" w:hAnsiTheme="minorHAnsi"/>
                <w:bCs/>
                <w:szCs w:val="18"/>
              </w:rPr>
            </w:pPr>
            <w:r w:rsidRPr="000B00BE">
              <w:rPr>
                <w:rFonts w:ascii="Calibri" w:hAnsi="Calibri" w:cs="Arial"/>
                <w:bCs/>
                <w:sz w:val="20"/>
                <w:szCs w:val="20"/>
              </w:rPr>
              <w:t>3,642</w:t>
            </w:r>
          </w:p>
        </w:tc>
        <w:tc>
          <w:tcPr>
            <w:tcW w:w="0" w:type="auto"/>
          </w:tcPr>
          <w:p w14:paraId="733025BC" w14:textId="77777777" w:rsidR="000B00BE" w:rsidRPr="000B00BE" w:rsidRDefault="000B00BE" w:rsidP="00F76431">
            <w:pPr>
              <w:keepNext/>
              <w:rPr>
                <w:rFonts w:asciiTheme="minorHAnsi" w:hAnsiTheme="minorHAnsi"/>
                <w:bCs/>
                <w:szCs w:val="18"/>
              </w:rPr>
            </w:pPr>
            <w:r w:rsidRPr="000B00BE">
              <w:rPr>
                <w:rFonts w:ascii="Calibri" w:hAnsi="Calibri" w:cs="Arial"/>
                <w:bCs/>
                <w:sz w:val="20"/>
                <w:szCs w:val="20"/>
              </w:rPr>
              <w:t>3,316</w:t>
            </w:r>
          </w:p>
        </w:tc>
      </w:tr>
      <w:tr w:rsidR="000B00BE" w:rsidRPr="000B00BE" w14:paraId="0FEE729C" w14:textId="77777777" w:rsidTr="000B00BE">
        <w:tc>
          <w:tcPr>
            <w:tcW w:w="0" w:type="auto"/>
          </w:tcPr>
          <w:p w14:paraId="28B8D758" w14:textId="429533AD" w:rsidR="000B00BE" w:rsidRPr="000B00BE" w:rsidRDefault="000B00BE" w:rsidP="00F76431">
            <w:pPr>
              <w:keepNext/>
              <w:rPr>
                <w:rFonts w:asciiTheme="minorHAnsi" w:hAnsiTheme="minorHAnsi"/>
                <w:bCs/>
                <w:szCs w:val="18"/>
              </w:rPr>
            </w:pPr>
            <w:r w:rsidRPr="000B00BE">
              <w:rPr>
                <w:rFonts w:ascii="Calibri" w:hAnsi="Calibri" w:cs="Arial"/>
                <w:bCs/>
                <w:sz w:val="20"/>
                <w:szCs w:val="20"/>
              </w:rPr>
              <w:t>250</w:t>
            </w:r>
            <w:r>
              <w:rPr>
                <w:rFonts w:ascii="Calibri" w:hAnsi="Calibri" w:cs="Arial"/>
                <w:bCs/>
                <w:sz w:val="20"/>
                <w:szCs w:val="20"/>
              </w:rPr>
              <w:t xml:space="preserve"> </w:t>
            </w:r>
            <w:r w:rsidRPr="000B00BE">
              <w:rPr>
                <w:rFonts w:ascii="Calibri" w:hAnsi="Calibri" w:cs="Arial"/>
                <w:bCs/>
                <w:sz w:val="20"/>
                <w:szCs w:val="20"/>
              </w:rPr>
              <w:t>mg tablet (x28)- Cost</w:t>
            </w:r>
          </w:p>
        </w:tc>
        <w:tc>
          <w:tcPr>
            <w:tcW w:w="0" w:type="auto"/>
          </w:tcPr>
          <w:p w14:paraId="562A0B68" w14:textId="38E023A9" w:rsidR="000B00BE" w:rsidRPr="00452E08" w:rsidRDefault="008B6462" w:rsidP="00F76431">
            <w:pPr>
              <w:keepNext/>
              <w:rPr>
                <w:rFonts w:asciiTheme="minorHAnsi" w:hAnsiTheme="minorHAnsi"/>
                <w:bCs/>
                <w:sz w:val="20"/>
                <w:szCs w:val="20"/>
                <w:highlight w:val="yellow"/>
              </w:rPr>
            </w:pPr>
            <w:r w:rsidRPr="00452E08">
              <w:rPr>
                <w:rFonts w:asciiTheme="minorHAnsi" w:hAnsiTheme="minorHAnsi"/>
                <w:bCs/>
                <w:sz w:val="20"/>
                <w:szCs w:val="20"/>
              </w:rPr>
              <w:t>(REDACTED)</w:t>
            </w:r>
          </w:p>
        </w:tc>
        <w:tc>
          <w:tcPr>
            <w:tcW w:w="0" w:type="auto"/>
          </w:tcPr>
          <w:p w14:paraId="260476B7" w14:textId="77777777" w:rsidR="000B00BE" w:rsidRPr="000B00BE" w:rsidRDefault="000B00BE" w:rsidP="00F76431">
            <w:pPr>
              <w:keepNext/>
              <w:rPr>
                <w:rFonts w:asciiTheme="minorHAnsi" w:hAnsiTheme="minorHAnsi"/>
                <w:bCs/>
                <w:szCs w:val="18"/>
              </w:rPr>
            </w:pPr>
            <w:r w:rsidRPr="000B00BE">
              <w:rPr>
                <w:rFonts w:ascii="Calibri" w:hAnsi="Calibri" w:cs="Arial"/>
                <w:bCs/>
                <w:sz w:val="20"/>
                <w:szCs w:val="20"/>
              </w:rPr>
              <w:t>n/a</w:t>
            </w:r>
          </w:p>
        </w:tc>
        <w:tc>
          <w:tcPr>
            <w:tcW w:w="0" w:type="auto"/>
          </w:tcPr>
          <w:p w14:paraId="144B0D78" w14:textId="77777777" w:rsidR="000B00BE" w:rsidRPr="000B00BE" w:rsidRDefault="000B00BE" w:rsidP="00F76431">
            <w:pPr>
              <w:keepNext/>
              <w:rPr>
                <w:rFonts w:asciiTheme="minorHAnsi" w:hAnsiTheme="minorHAnsi"/>
                <w:bCs/>
                <w:szCs w:val="18"/>
              </w:rPr>
            </w:pPr>
            <w:r w:rsidRPr="000B00BE">
              <w:rPr>
                <w:rFonts w:ascii="Calibri" w:hAnsi="Calibri" w:cs="Arial"/>
                <w:bCs/>
                <w:sz w:val="20"/>
                <w:szCs w:val="20"/>
              </w:rPr>
              <w:t>$1,369,673</w:t>
            </w:r>
          </w:p>
        </w:tc>
        <w:tc>
          <w:tcPr>
            <w:tcW w:w="0" w:type="auto"/>
          </w:tcPr>
          <w:p w14:paraId="1E5076E8" w14:textId="77777777" w:rsidR="000B00BE" w:rsidRPr="000B00BE" w:rsidRDefault="000B00BE" w:rsidP="00F76431">
            <w:pPr>
              <w:keepNext/>
              <w:rPr>
                <w:rFonts w:asciiTheme="minorHAnsi" w:hAnsiTheme="minorHAnsi"/>
                <w:bCs/>
                <w:szCs w:val="18"/>
              </w:rPr>
            </w:pPr>
            <w:r w:rsidRPr="000B00BE">
              <w:rPr>
                <w:rFonts w:ascii="Calibri" w:hAnsi="Calibri" w:cs="Arial"/>
                <w:bCs/>
                <w:sz w:val="20"/>
                <w:szCs w:val="20"/>
              </w:rPr>
              <w:t>$1,552,754</w:t>
            </w:r>
          </w:p>
        </w:tc>
      </w:tr>
      <w:tr w:rsidR="000B00BE" w:rsidRPr="000B00BE" w14:paraId="0E0C6D8D" w14:textId="77777777" w:rsidTr="000B00BE">
        <w:tc>
          <w:tcPr>
            <w:tcW w:w="0" w:type="auto"/>
          </w:tcPr>
          <w:p w14:paraId="49AF735C" w14:textId="70EC3FBF" w:rsidR="000B00BE" w:rsidRPr="000B00BE" w:rsidRDefault="000B00BE" w:rsidP="00F76431">
            <w:pPr>
              <w:keepNext/>
              <w:rPr>
                <w:rFonts w:asciiTheme="minorHAnsi" w:hAnsiTheme="minorHAnsi"/>
                <w:bCs/>
                <w:szCs w:val="18"/>
              </w:rPr>
            </w:pPr>
            <w:r w:rsidRPr="000B00BE">
              <w:rPr>
                <w:rFonts w:ascii="Calibri" w:hAnsi="Calibri" w:cs="Arial"/>
                <w:bCs/>
                <w:sz w:val="20"/>
                <w:szCs w:val="20"/>
              </w:rPr>
              <w:t>500</w:t>
            </w:r>
            <w:r>
              <w:rPr>
                <w:rFonts w:ascii="Calibri" w:hAnsi="Calibri" w:cs="Arial"/>
                <w:bCs/>
                <w:sz w:val="20"/>
                <w:szCs w:val="20"/>
              </w:rPr>
              <w:t xml:space="preserve"> </w:t>
            </w:r>
            <w:r w:rsidRPr="000B00BE">
              <w:rPr>
                <w:rFonts w:ascii="Calibri" w:hAnsi="Calibri" w:cs="Arial"/>
                <w:bCs/>
                <w:sz w:val="20"/>
                <w:szCs w:val="20"/>
              </w:rPr>
              <w:t>mg tablet (x28)- Packs</w:t>
            </w:r>
          </w:p>
        </w:tc>
        <w:tc>
          <w:tcPr>
            <w:tcW w:w="0" w:type="auto"/>
          </w:tcPr>
          <w:p w14:paraId="6AE95C19" w14:textId="15152DFC" w:rsidR="000B00BE" w:rsidRPr="00452E08" w:rsidRDefault="008B6462" w:rsidP="00F76431">
            <w:pPr>
              <w:keepNext/>
              <w:rPr>
                <w:rFonts w:asciiTheme="minorHAnsi" w:hAnsiTheme="minorHAnsi"/>
                <w:bCs/>
                <w:sz w:val="20"/>
                <w:szCs w:val="20"/>
                <w:highlight w:val="yellow"/>
              </w:rPr>
            </w:pPr>
            <w:r w:rsidRPr="00452E08">
              <w:rPr>
                <w:rFonts w:asciiTheme="minorHAnsi" w:hAnsiTheme="minorHAnsi"/>
                <w:bCs/>
                <w:sz w:val="20"/>
                <w:szCs w:val="20"/>
              </w:rPr>
              <w:t>(REDACTED)</w:t>
            </w:r>
          </w:p>
        </w:tc>
        <w:tc>
          <w:tcPr>
            <w:tcW w:w="0" w:type="auto"/>
          </w:tcPr>
          <w:p w14:paraId="157F1675" w14:textId="77777777" w:rsidR="000B00BE" w:rsidRPr="000B00BE" w:rsidRDefault="000B00BE" w:rsidP="00F76431">
            <w:pPr>
              <w:keepNext/>
              <w:rPr>
                <w:rFonts w:asciiTheme="minorHAnsi" w:hAnsiTheme="minorHAnsi"/>
                <w:bCs/>
                <w:szCs w:val="18"/>
              </w:rPr>
            </w:pPr>
            <w:r w:rsidRPr="000B00BE">
              <w:rPr>
                <w:rFonts w:ascii="Calibri" w:hAnsi="Calibri" w:cs="Arial"/>
                <w:bCs/>
                <w:sz w:val="20"/>
                <w:szCs w:val="20"/>
              </w:rPr>
              <w:t>n/a</w:t>
            </w:r>
          </w:p>
        </w:tc>
        <w:tc>
          <w:tcPr>
            <w:tcW w:w="0" w:type="auto"/>
          </w:tcPr>
          <w:p w14:paraId="478D4538" w14:textId="77777777" w:rsidR="000B00BE" w:rsidRPr="000B00BE" w:rsidRDefault="000B00BE" w:rsidP="00F76431">
            <w:pPr>
              <w:keepNext/>
              <w:rPr>
                <w:rFonts w:asciiTheme="minorHAnsi" w:hAnsiTheme="minorHAnsi"/>
                <w:bCs/>
                <w:szCs w:val="18"/>
              </w:rPr>
            </w:pPr>
            <w:r w:rsidRPr="000B00BE">
              <w:rPr>
                <w:rFonts w:ascii="Calibri" w:hAnsi="Calibri" w:cs="Arial"/>
                <w:bCs/>
                <w:sz w:val="20"/>
                <w:szCs w:val="20"/>
              </w:rPr>
              <w:t>10,620</w:t>
            </w:r>
          </w:p>
        </w:tc>
        <w:tc>
          <w:tcPr>
            <w:tcW w:w="0" w:type="auto"/>
          </w:tcPr>
          <w:p w14:paraId="11A55076" w14:textId="77777777" w:rsidR="000B00BE" w:rsidRPr="000B00BE" w:rsidRDefault="000B00BE" w:rsidP="00F76431">
            <w:pPr>
              <w:keepNext/>
              <w:rPr>
                <w:rFonts w:asciiTheme="minorHAnsi" w:hAnsiTheme="minorHAnsi"/>
                <w:bCs/>
                <w:szCs w:val="18"/>
              </w:rPr>
            </w:pPr>
            <w:r w:rsidRPr="000B00BE">
              <w:rPr>
                <w:rFonts w:ascii="Calibri" w:hAnsi="Calibri" w:cs="Arial"/>
                <w:bCs/>
                <w:sz w:val="20"/>
                <w:szCs w:val="20"/>
              </w:rPr>
              <w:t>20,383</w:t>
            </w:r>
          </w:p>
        </w:tc>
      </w:tr>
      <w:tr w:rsidR="000B00BE" w:rsidRPr="000B00BE" w14:paraId="6A79A8F4" w14:textId="77777777" w:rsidTr="000B00BE">
        <w:tc>
          <w:tcPr>
            <w:tcW w:w="0" w:type="auto"/>
          </w:tcPr>
          <w:p w14:paraId="0DD373EC" w14:textId="325682AA" w:rsidR="000B00BE" w:rsidRPr="000B00BE" w:rsidRDefault="000B00BE" w:rsidP="00F76431">
            <w:pPr>
              <w:keepNext/>
              <w:rPr>
                <w:rFonts w:asciiTheme="minorHAnsi" w:hAnsiTheme="minorHAnsi"/>
                <w:bCs/>
                <w:szCs w:val="18"/>
              </w:rPr>
            </w:pPr>
            <w:r w:rsidRPr="000B00BE">
              <w:rPr>
                <w:rFonts w:ascii="Calibri" w:hAnsi="Calibri" w:cs="Arial"/>
                <w:bCs/>
                <w:sz w:val="20"/>
                <w:szCs w:val="20"/>
              </w:rPr>
              <w:t>500</w:t>
            </w:r>
            <w:r>
              <w:rPr>
                <w:rFonts w:ascii="Calibri" w:hAnsi="Calibri" w:cs="Arial"/>
                <w:bCs/>
                <w:sz w:val="20"/>
                <w:szCs w:val="20"/>
              </w:rPr>
              <w:t xml:space="preserve"> </w:t>
            </w:r>
            <w:r w:rsidRPr="000B00BE">
              <w:rPr>
                <w:rFonts w:ascii="Calibri" w:hAnsi="Calibri" w:cs="Arial"/>
                <w:bCs/>
                <w:sz w:val="20"/>
                <w:szCs w:val="20"/>
              </w:rPr>
              <w:t>mg tablet (x28)- Cost</w:t>
            </w:r>
          </w:p>
        </w:tc>
        <w:tc>
          <w:tcPr>
            <w:tcW w:w="0" w:type="auto"/>
          </w:tcPr>
          <w:p w14:paraId="0412D2F8" w14:textId="6891E287" w:rsidR="000B00BE" w:rsidRPr="00452E08" w:rsidRDefault="008B6462" w:rsidP="00F76431">
            <w:pPr>
              <w:keepNext/>
              <w:rPr>
                <w:rFonts w:asciiTheme="minorHAnsi" w:hAnsiTheme="minorHAnsi"/>
                <w:bCs/>
                <w:sz w:val="20"/>
                <w:szCs w:val="20"/>
                <w:highlight w:val="yellow"/>
              </w:rPr>
            </w:pPr>
            <w:r w:rsidRPr="00452E08">
              <w:rPr>
                <w:rFonts w:asciiTheme="minorHAnsi" w:hAnsiTheme="minorHAnsi"/>
                <w:bCs/>
                <w:sz w:val="20"/>
                <w:szCs w:val="20"/>
              </w:rPr>
              <w:t>(REDACTED)</w:t>
            </w:r>
          </w:p>
        </w:tc>
        <w:tc>
          <w:tcPr>
            <w:tcW w:w="0" w:type="auto"/>
          </w:tcPr>
          <w:p w14:paraId="61342A57" w14:textId="77777777" w:rsidR="000B00BE" w:rsidRPr="000B00BE" w:rsidRDefault="000B00BE" w:rsidP="00F76431">
            <w:pPr>
              <w:keepNext/>
              <w:rPr>
                <w:rFonts w:asciiTheme="minorHAnsi" w:hAnsiTheme="minorHAnsi"/>
                <w:bCs/>
                <w:szCs w:val="18"/>
              </w:rPr>
            </w:pPr>
            <w:r w:rsidRPr="000B00BE">
              <w:rPr>
                <w:rFonts w:ascii="Calibri" w:hAnsi="Calibri" w:cs="Arial"/>
                <w:bCs/>
                <w:sz w:val="20"/>
                <w:szCs w:val="20"/>
              </w:rPr>
              <w:t>n/a</w:t>
            </w:r>
          </w:p>
        </w:tc>
        <w:tc>
          <w:tcPr>
            <w:tcW w:w="0" w:type="auto"/>
          </w:tcPr>
          <w:p w14:paraId="294938ED" w14:textId="77777777" w:rsidR="000B00BE" w:rsidRPr="000B00BE" w:rsidRDefault="000B00BE" w:rsidP="00F76431">
            <w:pPr>
              <w:keepNext/>
              <w:rPr>
                <w:rFonts w:asciiTheme="minorHAnsi" w:hAnsiTheme="minorHAnsi"/>
                <w:bCs/>
                <w:szCs w:val="18"/>
              </w:rPr>
            </w:pPr>
            <w:r w:rsidRPr="000B00BE">
              <w:rPr>
                <w:rFonts w:ascii="Calibri" w:hAnsi="Calibri" w:cs="Arial"/>
                <w:bCs/>
                <w:sz w:val="20"/>
                <w:szCs w:val="20"/>
              </w:rPr>
              <w:t>$7,997,278</w:t>
            </w:r>
          </w:p>
        </w:tc>
        <w:tc>
          <w:tcPr>
            <w:tcW w:w="0" w:type="auto"/>
          </w:tcPr>
          <w:p w14:paraId="7919B675" w14:textId="77777777" w:rsidR="000B00BE" w:rsidRPr="000B00BE" w:rsidRDefault="000B00BE" w:rsidP="00F76431">
            <w:pPr>
              <w:keepNext/>
              <w:rPr>
                <w:rFonts w:asciiTheme="minorHAnsi" w:hAnsiTheme="minorHAnsi"/>
                <w:bCs/>
                <w:szCs w:val="18"/>
              </w:rPr>
            </w:pPr>
            <w:r w:rsidRPr="000B00BE">
              <w:rPr>
                <w:rFonts w:ascii="Calibri" w:hAnsi="Calibri" w:cs="Arial"/>
                <w:bCs/>
                <w:sz w:val="20"/>
                <w:szCs w:val="20"/>
              </w:rPr>
              <w:t>$19,000,335</w:t>
            </w:r>
          </w:p>
        </w:tc>
      </w:tr>
      <w:tr w:rsidR="000B00BE" w:rsidRPr="000B00BE" w14:paraId="76052789" w14:textId="77777777" w:rsidTr="000B00BE">
        <w:trPr>
          <w:trHeight w:val="77"/>
        </w:trPr>
        <w:tc>
          <w:tcPr>
            <w:tcW w:w="0" w:type="auto"/>
          </w:tcPr>
          <w:p w14:paraId="58537B9F" w14:textId="77777777" w:rsidR="000B00BE" w:rsidRPr="000B00BE" w:rsidRDefault="000B00BE" w:rsidP="00F76431">
            <w:pPr>
              <w:keepNext/>
              <w:rPr>
                <w:rFonts w:asciiTheme="minorHAnsi" w:hAnsiTheme="minorHAnsi"/>
                <w:b/>
                <w:bCs/>
                <w:szCs w:val="18"/>
              </w:rPr>
            </w:pPr>
            <w:r w:rsidRPr="000B00BE">
              <w:rPr>
                <w:rFonts w:ascii="Calibri" w:hAnsi="Calibri" w:cs="Arial"/>
                <w:b/>
                <w:bCs/>
                <w:sz w:val="20"/>
                <w:szCs w:val="20"/>
              </w:rPr>
              <w:t xml:space="preserve">Total </w:t>
            </w:r>
            <w:proofErr w:type="spellStart"/>
            <w:r w:rsidRPr="000B00BE">
              <w:rPr>
                <w:rFonts w:ascii="Calibri" w:hAnsi="Calibri" w:cs="Arial"/>
                <w:b/>
                <w:bCs/>
                <w:sz w:val="20"/>
                <w:szCs w:val="20"/>
              </w:rPr>
              <w:t>Deferasirox</w:t>
            </w:r>
            <w:proofErr w:type="spellEnd"/>
            <w:r w:rsidRPr="000B00BE">
              <w:rPr>
                <w:rFonts w:ascii="Calibri" w:hAnsi="Calibri" w:cs="Arial"/>
                <w:b/>
                <w:bCs/>
                <w:sz w:val="20"/>
                <w:szCs w:val="20"/>
              </w:rPr>
              <w:t xml:space="preserve"> - Cost</w:t>
            </w:r>
          </w:p>
        </w:tc>
        <w:tc>
          <w:tcPr>
            <w:tcW w:w="0" w:type="auto"/>
          </w:tcPr>
          <w:p w14:paraId="15BA5A95" w14:textId="4CCA82C9" w:rsidR="000B00BE" w:rsidRPr="00452E08" w:rsidRDefault="008B6462" w:rsidP="00F76431">
            <w:pPr>
              <w:keepNext/>
              <w:rPr>
                <w:rFonts w:asciiTheme="minorHAnsi" w:hAnsiTheme="minorHAnsi"/>
                <w:b/>
                <w:bCs/>
                <w:sz w:val="20"/>
                <w:szCs w:val="20"/>
                <w:highlight w:val="yellow"/>
              </w:rPr>
            </w:pPr>
            <w:r w:rsidRPr="00452E08">
              <w:rPr>
                <w:rFonts w:asciiTheme="minorHAnsi" w:hAnsiTheme="minorHAnsi"/>
                <w:bCs/>
                <w:sz w:val="20"/>
                <w:szCs w:val="20"/>
              </w:rPr>
              <w:t>Less than $5 million</w:t>
            </w:r>
          </w:p>
        </w:tc>
        <w:tc>
          <w:tcPr>
            <w:tcW w:w="0" w:type="auto"/>
          </w:tcPr>
          <w:p w14:paraId="2931B51C" w14:textId="77777777" w:rsidR="000B00BE" w:rsidRPr="000B00BE" w:rsidRDefault="000B00BE" w:rsidP="00F76431">
            <w:pPr>
              <w:keepNext/>
              <w:rPr>
                <w:rFonts w:asciiTheme="minorHAnsi" w:hAnsiTheme="minorHAnsi"/>
                <w:b/>
                <w:bCs/>
                <w:szCs w:val="18"/>
              </w:rPr>
            </w:pPr>
            <w:r w:rsidRPr="000B00BE">
              <w:rPr>
                <w:rFonts w:ascii="Calibri" w:hAnsi="Calibri" w:cs="Arial"/>
                <w:b/>
                <w:bCs/>
                <w:sz w:val="20"/>
                <w:szCs w:val="20"/>
              </w:rPr>
              <w:t>n/a</w:t>
            </w:r>
          </w:p>
        </w:tc>
        <w:tc>
          <w:tcPr>
            <w:tcW w:w="0" w:type="auto"/>
          </w:tcPr>
          <w:p w14:paraId="72FDC8BD" w14:textId="77777777" w:rsidR="000B00BE" w:rsidRPr="000B00BE" w:rsidRDefault="000B00BE" w:rsidP="00F76431">
            <w:pPr>
              <w:keepNext/>
              <w:rPr>
                <w:rFonts w:asciiTheme="minorHAnsi" w:hAnsiTheme="minorHAnsi"/>
                <w:b/>
                <w:bCs/>
                <w:szCs w:val="18"/>
              </w:rPr>
            </w:pPr>
            <w:r w:rsidRPr="000B00BE">
              <w:rPr>
                <w:rFonts w:ascii="Calibri" w:hAnsi="Calibri" w:cs="Arial"/>
                <w:b/>
                <w:bCs/>
                <w:sz w:val="20"/>
                <w:szCs w:val="20"/>
              </w:rPr>
              <w:t>$9,524,233</w:t>
            </w:r>
          </w:p>
        </w:tc>
        <w:tc>
          <w:tcPr>
            <w:tcW w:w="0" w:type="auto"/>
          </w:tcPr>
          <w:p w14:paraId="0D0AE523" w14:textId="77777777" w:rsidR="000B00BE" w:rsidRPr="000B00BE" w:rsidRDefault="000B00BE" w:rsidP="00F76431">
            <w:pPr>
              <w:keepNext/>
              <w:rPr>
                <w:rFonts w:asciiTheme="minorHAnsi" w:hAnsiTheme="minorHAnsi"/>
                <w:b/>
                <w:bCs/>
                <w:szCs w:val="18"/>
              </w:rPr>
            </w:pPr>
            <w:r w:rsidRPr="000B00BE">
              <w:rPr>
                <w:rFonts w:ascii="Calibri" w:hAnsi="Calibri" w:cs="Arial"/>
                <w:b/>
                <w:bCs/>
                <w:sz w:val="20"/>
                <w:szCs w:val="20"/>
              </w:rPr>
              <w:t>$20,675,814</w:t>
            </w:r>
          </w:p>
        </w:tc>
      </w:tr>
      <w:bookmarkEnd w:id="4"/>
      <w:tr w:rsidR="000B00BE" w:rsidRPr="000B00BE" w14:paraId="1613D0FE" w14:textId="77777777" w:rsidTr="000B00BE">
        <w:tc>
          <w:tcPr>
            <w:tcW w:w="0" w:type="auto"/>
          </w:tcPr>
          <w:p w14:paraId="3ECA98F9" w14:textId="77777777" w:rsidR="000B00BE" w:rsidRPr="000B00BE" w:rsidRDefault="000B00BE" w:rsidP="00F76431">
            <w:pPr>
              <w:keepNext/>
              <w:rPr>
                <w:rFonts w:asciiTheme="minorHAnsi" w:hAnsiTheme="minorHAnsi"/>
                <w:b/>
                <w:bCs/>
                <w:szCs w:val="18"/>
              </w:rPr>
            </w:pPr>
            <w:r w:rsidRPr="000B00BE">
              <w:rPr>
                <w:rFonts w:ascii="Calibri" w:hAnsi="Calibri" w:cs="Arial"/>
                <w:b/>
                <w:bCs/>
                <w:sz w:val="20"/>
                <w:szCs w:val="20"/>
              </w:rPr>
              <w:t>Total Cost (</w:t>
            </w:r>
            <w:proofErr w:type="spellStart"/>
            <w:r w:rsidRPr="000B00BE">
              <w:rPr>
                <w:rFonts w:ascii="Calibri" w:hAnsi="Calibri" w:cs="Times New Roman"/>
                <w:b/>
                <w:bCs/>
                <w:color w:val="000000"/>
                <w:sz w:val="20"/>
                <w:szCs w:val="20"/>
              </w:rPr>
              <w:t>Deferasirox</w:t>
            </w:r>
            <w:proofErr w:type="spellEnd"/>
            <w:r w:rsidRPr="000B00BE">
              <w:rPr>
                <w:rFonts w:ascii="Calibri" w:hAnsi="Calibri" w:cs="Times New Roman"/>
                <w:b/>
                <w:bCs/>
                <w:color w:val="000000"/>
                <w:sz w:val="20"/>
                <w:szCs w:val="20"/>
              </w:rPr>
              <w:t xml:space="preserve"> </w:t>
            </w:r>
            <w:r w:rsidRPr="000B00BE">
              <w:rPr>
                <w:rFonts w:ascii="Calibri" w:hAnsi="Calibri" w:cs="Arial"/>
                <w:b/>
                <w:bCs/>
                <w:sz w:val="20"/>
                <w:szCs w:val="20"/>
              </w:rPr>
              <w:t xml:space="preserve">+ </w:t>
            </w:r>
            <w:proofErr w:type="spellStart"/>
            <w:r w:rsidRPr="000B00BE">
              <w:rPr>
                <w:rFonts w:ascii="Calibri" w:hAnsi="Calibri" w:cs="Arial"/>
                <w:b/>
                <w:bCs/>
                <w:sz w:val="20"/>
                <w:szCs w:val="20"/>
              </w:rPr>
              <w:t>Deferiprone</w:t>
            </w:r>
            <w:proofErr w:type="spellEnd"/>
            <w:r w:rsidRPr="000B00BE">
              <w:rPr>
                <w:rFonts w:ascii="Calibri" w:hAnsi="Calibri" w:cs="Arial"/>
                <w:b/>
                <w:bCs/>
                <w:sz w:val="20"/>
                <w:szCs w:val="20"/>
              </w:rPr>
              <w:t xml:space="preserve"> + </w:t>
            </w:r>
            <w:proofErr w:type="spellStart"/>
            <w:r w:rsidRPr="000B00BE">
              <w:rPr>
                <w:rFonts w:ascii="Calibri" w:hAnsi="Calibri" w:cs="Arial"/>
                <w:b/>
                <w:bCs/>
                <w:sz w:val="20"/>
                <w:szCs w:val="20"/>
              </w:rPr>
              <w:t>Desferrioxamine</w:t>
            </w:r>
            <w:proofErr w:type="spellEnd"/>
            <w:r w:rsidRPr="000B00BE">
              <w:rPr>
                <w:rFonts w:ascii="Calibri" w:hAnsi="Calibri" w:cs="Arial"/>
                <w:b/>
                <w:bCs/>
                <w:sz w:val="20"/>
                <w:szCs w:val="20"/>
              </w:rPr>
              <w:t>)</w:t>
            </w:r>
          </w:p>
        </w:tc>
        <w:tc>
          <w:tcPr>
            <w:tcW w:w="0" w:type="auto"/>
          </w:tcPr>
          <w:p w14:paraId="7D5B5900" w14:textId="77777777" w:rsidR="000B00BE" w:rsidRPr="000B00BE" w:rsidRDefault="000B00BE" w:rsidP="00F76431">
            <w:pPr>
              <w:keepNext/>
              <w:rPr>
                <w:rFonts w:asciiTheme="minorHAnsi" w:hAnsiTheme="minorHAnsi"/>
                <w:b/>
                <w:bCs/>
                <w:szCs w:val="18"/>
              </w:rPr>
            </w:pPr>
          </w:p>
        </w:tc>
        <w:tc>
          <w:tcPr>
            <w:tcW w:w="0" w:type="auto"/>
          </w:tcPr>
          <w:p w14:paraId="34725F52" w14:textId="77777777" w:rsidR="000B00BE" w:rsidRPr="000B00BE" w:rsidRDefault="000B00BE" w:rsidP="00F76431">
            <w:pPr>
              <w:keepNext/>
              <w:rPr>
                <w:rFonts w:asciiTheme="minorHAnsi" w:hAnsiTheme="minorHAnsi"/>
                <w:b/>
                <w:bCs/>
                <w:szCs w:val="18"/>
              </w:rPr>
            </w:pPr>
            <w:r w:rsidRPr="000B00BE">
              <w:rPr>
                <w:rFonts w:ascii="Calibri" w:hAnsi="Calibri" w:cs="Arial"/>
                <w:b/>
                <w:bCs/>
                <w:sz w:val="20"/>
                <w:szCs w:val="20"/>
              </w:rPr>
              <w:t>$3,983,745</w:t>
            </w:r>
          </w:p>
        </w:tc>
        <w:tc>
          <w:tcPr>
            <w:tcW w:w="0" w:type="auto"/>
          </w:tcPr>
          <w:p w14:paraId="22BF8C1B" w14:textId="77777777" w:rsidR="000B00BE" w:rsidRPr="000B00BE" w:rsidRDefault="000B00BE" w:rsidP="00F76431">
            <w:pPr>
              <w:keepNext/>
              <w:rPr>
                <w:rFonts w:asciiTheme="minorHAnsi" w:hAnsiTheme="minorHAnsi"/>
                <w:b/>
                <w:bCs/>
                <w:szCs w:val="18"/>
              </w:rPr>
            </w:pPr>
            <w:r w:rsidRPr="000B00BE">
              <w:rPr>
                <w:rFonts w:ascii="Calibri" w:hAnsi="Calibri" w:cs="Arial"/>
                <w:b/>
                <w:bCs/>
                <w:sz w:val="20"/>
                <w:szCs w:val="20"/>
              </w:rPr>
              <w:t>$11,457,376</w:t>
            </w:r>
          </w:p>
        </w:tc>
        <w:tc>
          <w:tcPr>
            <w:tcW w:w="0" w:type="auto"/>
          </w:tcPr>
          <w:p w14:paraId="296EADF1" w14:textId="77777777" w:rsidR="000B00BE" w:rsidRPr="000B00BE" w:rsidRDefault="000B00BE" w:rsidP="00F76431">
            <w:pPr>
              <w:keepNext/>
              <w:rPr>
                <w:rFonts w:asciiTheme="minorHAnsi" w:hAnsiTheme="minorHAnsi"/>
                <w:b/>
                <w:bCs/>
                <w:szCs w:val="18"/>
              </w:rPr>
            </w:pPr>
            <w:r w:rsidRPr="000B00BE">
              <w:rPr>
                <w:rFonts w:ascii="Calibri" w:hAnsi="Calibri" w:cs="Arial"/>
                <w:b/>
                <w:bCs/>
                <w:sz w:val="20"/>
                <w:szCs w:val="20"/>
              </w:rPr>
              <w:t>$22,068,081</w:t>
            </w:r>
          </w:p>
        </w:tc>
      </w:tr>
    </w:tbl>
    <w:p w14:paraId="11455CF8" w14:textId="34E14951" w:rsidR="000B00BE" w:rsidRPr="000B00BE" w:rsidRDefault="000B00BE" w:rsidP="00F76431">
      <w:pPr>
        <w:keepNext/>
        <w:spacing w:after="0" w:line="240" w:lineRule="auto"/>
        <w:rPr>
          <w:rFonts w:asciiTheme="minorHAnsi" w:hAnsiTheme="minorHAnsi"/>
          <w:bCs/>
          <w:sz w:val="20"/>
          <w:szCs w:val="20"/>
        </w:rPr>
      </w:pPr>
      <w:r w:rsidRPr="000B00BE">
        <w:rPr>
          <w:rFonts w:asciiTheme="minorHAnsi" w:hAnsiTheme="minorHAnsi"/>
          <w:bCs/>
          <w:sz w:val="20"/>
          <w:szCs w:val="20"/>
        </w:rPr>
        <w:t xml:space="preserve">Source: </w:t>
      </w:r>
      <w:proofErr w:type="spellStart"/>
      <w:r w:rsidRPr="000B00BE">
        <w:rPr>
          <w:rFonts w:asciiTheme="minorHAnsi" w:hAnsiTheme="minorHAnsi"/>
          <w:bCs/>
          <w:sz w:val="20"/>
          <w:szCs w:val="20"/>
        </w:rPr>
        <w:t>Deferasirox</w:t>
      </w:r>
      <w:proofErr w:type="spellEnd"/>
      <w:r w:rsidRPr="000B00BE">
        <w:rPr>
          <w:rFonts w:asciiTheme="minorHAnsi" w:hAnsiTheme="minorHAnsi"/>
          <w:bCs/>
          <w:sz w:val="20"/>
          <w:szCs w:val="20"/>
        </w:rPr>
        <w:t xml:space="preserve"> July 2006 commentary (submission estimates, June 2008 </w:t>
      </w:r>
      <w:proofErr w:type="spellStart"/>
      <w:r w:rsidRPr="000B00BE">
        <w:rPr>
          <w:rFonts w:asciiTheme="minorHAnsi" w:hAnsiTheme="minorHAnsi"/>
          <w:bCs/>
          <w:sz w:val="20"/>
          <w:szCs w:val="20"/>
        </w:rPr>
        <w:t>Deferasirox</w:t>
      </w:r>
      <w:proofErr w:type="spellEnd"/>
      <w:r w:rsidRPr="000B00BE">
        <w:rPr>
          <w:rFonts w:asciiTheme="minorHAnsi" w:hAnsiTheme="minorHAnsi"/>
          <w:bCs/>
          <w:sz w:val="20"/>
          <w:szCs w:val="20"/>
        </w:rPr>
        <w:t xml:space="preserve"> Predicted versus Actual (actual utilisation Oct05</w:t>
      </w:r>
      <w:r w:rsidR="00F0532C" w:rsidRPr="00F0532C">
        <w:rPr>
          <w:rFonts w:asciiTheme="minorHAnsi" w:hAnsiTheme="minorHAnsi"/>
          <w:bCs/>
          <w:sz w:val="20"/>
          <w:szCs w:val="20"/>
        </w:rPr>
        <w:t>–</w:t>
      </w:r>
      <w:r w:rsidRPr="000B00BE">
        <w:rPr>
          <w:rFonts w:asciiTheme="minorHAnsi" w:hAnsiTheme="minorHAnsi"/>
          <w:bCs/>
          <w:sz w:val="20"/>
          <w:szCs w:val="20"/>
        </w:rPr>
        <w:t>Sept06, Jan07</w:t>
      </w:r>
      <w:r w:rsidR="00F0532C" w:rsidRPr="00F0532C">
        <w:rPr>
          <w:rFonts w:asciiTheme="minorHAnsi" w:hAnsiTheme="minorHAnsi"/>
          <w:bCs/>
          <w:sz w:val="20"/>
          <w:szCs w:val="20"/>
        </w:rPr>
        <w:t>–</w:t>
      </w:r>
      <w:r w:rsidRPr="000B00BE">
        <w:rPr>
          <w:rFonts w:asciiTheme="minorHAnsi" w:hAnsiTheme="minorHAnsi"/>
          <w:bCs/>
          <w:sz w:val="20"/>
          <w:szCs w:val="20"/>
        </w:rPr>
        <w:t>Dec07), Highly Specialised Drugs database (actual use Jun12</w:t>
      </w:r>
      <w:r w:rsidR="00F3412B">
        <w:rPr>
          <w:rFonts w:asciiTheme="minorHAnsi" w:hAnsiTheme="minorHAnsi"/>
          <w:bCs/>
          <w:sz w:val="20"/>
          <w:szCs w:val="20"/>
        </w:rPr>
        <w:t xml:space="preserve">– </w:t>
      </w:r>
      <w:r w:rsidRPr="000B00BE">
        <w:rPr>
          <w:rFonts w:asciiTheme="minorHAnsi" w:hAnsiTheme="minorHAnsi"/>
          <w:bCs/>
          <w:sz w:val="20"/>
          <w:szCs w:val="20"/>
        </w:rPr>
        <w:t xml:space="preserve">May13, extracted November 2013) </w:t>
      </w:r>
    </w:p>
    <w:p w14:paraId="7F7CBBD3" w14:textId="77777777" w:rsidR="00113B76" w:rsidRDefault="00113B76" w:rsidP="00F76431">
      <w:pPr>
        <w:spacing w:line="240" w:lineRule="auto"/>
        <w:rPr>
          <w:rFonts w:asciiTheme="minorHAnsi" w:hAnsiTheme="minorHAnsi"/>
        </w:rPr>
      </w:pPr>
    </w:p>
    <w:p w14:paraId="4C2CEF2D" w14:textId="22A8ED0F" w:rsidR="000B00BE" w:rsidRPr="000B00BE" w:rsidRDefault="000B00BE" w:rsidP="00F76431">
      <w:pPr>
        <w:spacing w:line="240" w:lineRule="auto"/>
        <w:rPr>
          <w:rFonts w:asciiTheme="minorHAnsi" w:hAnsiTheme="minorHAnsi"/>
        </w:rPr>
      </w:pPr>
      <w:r w:rsidRPr="000B00BE">
        <w:rPr>
          <w:rFonts w:asciiTheme="minorHAnsi" w:hAnsiTheme="minorHAnsi"/>
        </w:rPr>
        <w:t xml:space="preserve">The results show </w:t>
      </w:r>
      <w:r w:rsidR="00BA4C7A">
        <w:rPr>
          <w:rFonts w:asciiTheme="minorHAnsi" w:hAnsiTheme="minorHAnsi"/>
        </w:rPr>
        <w:t xml:space="preserve">that </w:t>
      </w:r>
      <w:proofErr w:type="spellStart"/>
      <w:r w:rsidRPr="000B00BE">
        <w:rPr>
          <w:rFonts w:asciiTheme="minorHAnsi" w:hAnsiTheme="minorHAnsi"/>
        </w:rPr>
        <w:t>deferasirox</w:t>
      </w:r>
      <w:proofErr w:type="spellEnd"/>
      <w:r w:rsidRPr="000B00BE">
        <w:rPr>
          <w:rFonts w:asciiTheme="minorHAnsi" w:hAnsiTheme="minorHAnsi"/>
        </w:rPr>
        <w:t xml:space="preserve"> expenditure </w:t>
      </w:r>
      <w:r w:rsidR="00113B76">
        <w:rPr>
          <w:rFonts w:asciiTheme="minorHAnsi" w:hAnsiTheme="minorHAnsi"/>
        </w:rPr>
        <w:t>wa</w:t>
      </w:r>
      <w:r w:rsidRPr="000B00BE">
        <w:rPr>
          <w:rFonts w:asciiTheme="minorHAnsi" w:hAnsiTheme="minorHAnsi"/>
        </w:rPr>
        <w:t xml:space="preserve">s much higher </w:t>
      </w:r>
      <w:r w:rsidR="003439C4">
        <w:rPr>
          <w:rFonts w:asciiTheme="minorHAnsi" w:hAnsiTheme="minorHAnsi"/>
        </w:rPr>
        <w:t xml:space="preserve">than the Year 4 prediction.  </w:t>
      </w:r>
      <w:r w:rsidRPr="000B00BE">
        <w:rPr>
          <w:rFonts w:asciiTheme="minorHAnsi" w:hAnsiTheme="minorHAnsi"/>
        </w:rPr>
        <w:t>This is due to the substantially higher utilisation of the 500</w:t>
      </w:r>
      <w:r w:rsidR="002F358C">
        <w:rPr>
          <w:rFonts w:asciiTheme="minorHAnsi" w:hAnsiTheme="minorHAnsi"/>
        </w:rPr>
        <w:t xml:space="preserve"> </w:t>
      </w:r>
      <w:r w:rsidRPr="000B00BE">
        <w:rPr>
          <w:rFonts w:asciiTheme="minorHAnsi" w:hAnsiTheme="minorHAnsi"/>
        </w:rPr>
        <w:t xml:space="preserve">mg strength, the use of which </w:t>
      </w:r>
      <w:r w:rsidR="00113B76">
        <w:rPr>
          <w:rFonts w:asciiTheme="minorHAnsi" w:hAnsiTheme="minorHAnsi"/>
        </w:rPr>
        <w:t>wa</w:t>
      </w:r>
      <w:r w:rsidRPr="000B00BE">
        <w:rPr>
          <w:rFonts w:asciiTheme="minorHAnsi" w:hAnsiTheme="minorHAnsi"/>
        </w:rPr>
        <w:t>s more than three times hi</w:t>
      </w:r>
      <w:r w:rsidR="003439C4">
        <w:rPr>
          <w:rFonts w:asciiTheme="minorHAnsi" w:hAnsiTheme="minorHAnsi"/>
        </w:rPr>
        <w:t xml:space="preserve">gher than predicted for Year 4.  </w:t>
      </w:r>
      <w:r w:rsidRPr="000B00BE">
        <w:rPr>
          <w:rFonts w:asciiTheme="minorHAnsi" w:hAnsiTheme="minorHAnsi"/>
        </w:rPr>
        <w:t>The utilisation of the 125</w:t>
      </w:r>
      <w:r>
        <w:rPr>
          <w:rFonts w:asciiTheme="minorHAnsi" w:hAnsiTheme="minorHAnsi"/>
        </w:rPr>
        <w:t xml:space="preserve"> </w:t>
      </w:r>
      <w:r w:rsidRPr="000B00BE">
        <w:rPr>
          <w:rFonts w:asciiTheme="minorHAnsi" w:hAnsiTheme="minorHAnsi"/>
        </w:rPr>
        <w:t>mg strength and the 250</w:t>
      </w:r>
      <w:r>
        <w:rPr>
          <w:rFonts w:asciiTheme="minorHAnsi" w:hAnsiTheme="minorHAnsi"/>
        </w:rPr>
        <w:t xml:space="preserve"> </w:t>
      </w:r>
      <w:r w:rsidRPr="000B00BE">
        <w:rPr>
          <w:rFonts w:asciiTheme="minorHAnsi" w:hAnsiTheme="minorHAnsi"/>
        </w:rPr>
        <w:t xml:space="preserve">mg strength </w:t>
      </w:r>
      <w:r w:rsidR="00113B76">
        <w:rPr>
          <w:rFonts w:asciiTheme="minorHAnsi" w:hAnsiTheme="minorHAnsi"/>
        </w:rPr>
        <w:t>wa</w:t>
      </w:r>
      <w:r w:rsidRPr="000B00BE">
        <w:rPr>
          <w:rFonts w:asciiTheme="minorHAnsi" w:hAnsiTheme="minorHAnsi"/>
        </w:rPr>
        <w:t xml:space="preserve">s lower than the Year 4 prediction. </w:t>
      </w:r>
    </w:p>
    <w:p w14:paraId="72E0674A" w14:textId="77777777" w:rsidR="000B00BE" w:rsidRPr="000B00BE" w:rsidRDefault="000B00BE" w:rsidP="00F76431">
      <w:pPr>
        <w:spacing w:line="240" w:lineRule="auto"/>
        <w:rPr>
          <w:rFonts w:asciiTheme="minorHAnsi" w:hAnsiTheme="minorHAnsi"/>
        </w:rPr>
      </w:pPr>
      <w:r w:rsidRPr="000B00BE">
        <w:rPr>
          <w:rFonts w:asciiTheme="minorHAnsi" w:hAnsiTheme="minorHAnsi"/>
        </w:rPr>
        <w:t xml:space="preserve">This higher than predicted use is likely to be due to </w:t>
      </w:r>
      <w:proofErr w:type="spellStart"/>
      <w:r w:rsidRPr="000B00BE">
        <w:rPr>
          <w:rFonts w:asciiTheme="minorHAnsi" w:hAnsiTheme="minorHAnsi"/>
        </w:rPr>
        <w:t>deferasirox</w:t>
      </w:r>
      <w:proofErr w:type="spellEnd"/>
      <w:r w:rsidRPr="000B00BE">
        <w:rPr>
          <w:rFonts w:asciiTheme="minorHAnsi" w:hAnsiTheme="minorHAnsi"/>
        </w:rPr>
        <w:t xml:space="preserve"> being used largely in an adult patient population, which is supported by the patient age analysis presented in Figure 5. </w:t>
      </w:r>
    </w:p>
    <w:p w14:paraId="25E768D6" w14:textId="77777777" w:rsidR="000B00BE" w:rsidRPr="000B00BE" w:rsidRDefault="000B00BE" w:rsidP="00816ACA">
      <w:pPr>
        <w:pStyle w:val="Heading4"/>
      </w:pPr>
      <w:r w:rsidRPr="000B00BE">
        <w:t>Discussion</w:t>
      </w:r>
    </w:p>
    <w:p w14:paraId="39ADA33F" w14:textId="1D94ED5C" w:rsidR="000B00BE" w:rsidRPr="000B00BE" w:rsidRDefault="000B00BE" w:rsidP="00F76431">
      <w:pPr>
        <w:spacing w:line="240" w:lineRule="auto"/>
        <w:rPr>
          <w:rFonts w:asciiTheme="minorHAnsi" w:hAnsiTheme="minorHAnsi"/>
        </w:rPr>
      </w:pPr>
      <w:r w:rsidRPr="000B00BE">
        <w:rPr>
          <w:rFonts w:asciiTheme="minorHAnsi" w:hAnsiTheme="minorHAnsi"/>
        </w:rPr>
        <w:t>Utilisation and expenditure for iron chelating agents almost</w:t>
      </w:r>
      <w:r w:rsidR="003439C4">
        <w:rPr>
          <w:rFonts w:asciiTheme="minorHAnsi" w:hAnsiTheme="minorHAnsi"/>
        </w:rPr>
        <w:t xml:space="preserve"> doubled between 2007 and 2013.  </w:t>
      </w:r>
      <w:r w:rsidRPr="000B00BE">
        <w:rPr>
          <w:rFonts w:asciiTheme="minorHAnsi" w:hAnsiTheme="minorHAnsi"/>
        </w:rPr>
        <w:t>The increasing utilisation and cost is predominantly driven by the 500</w:t>
      </w:r>
      <w:r w:rsidR="002F358C">
        <w:rPr>
          <w:rFonts w:asciiTheme="minorHAnsi" w:hAnsiTheme="minorHAnsi"/>
        </w:rPr>
        <w:t xml:space="preserve"> </w:t>
      </w:r>
      <w:r w:rsidR="003439C4">
        <w:rPr>
          <w:rFonts w:asciiTheme="minorHAnsi" w:hAnsiTheme="minorHAnsi"/>
        </w:rPr>
        <w:t xml:space="preserve">mg strength of </w:t>
      </w:r>
      <w:proofErr w:type="spellStart"/>
      <w:r w:rsidR="003439C4">
        <w:rPr>
          <w:rFonts w:asciiTheme="minorHAnsi" w:hAnsiTheme="minorHAnsi"/>
        </w:rPr>
        <w:lastRenderedPageBreak/>
        <w:t>deferasirox</w:t>
      </w:r>
      <w:proofErr w:type="spellEnd"/>
      <w:r w:rsidR="003439C4">
        <w:rPr>
          <w:rFonts w:asciiTheme="minorHAnsi" w:hAnsiTheme="minorHAnsi"/>
        </w:rPr>
        <w:t xml:space="preserve">.  </w:t>
      </w:r>
      <w:r w:rsidRPr="000B00BE">
        <w:rPr>
          <w:rFonts w:asciiTheme="minorHAnsi" w:hAnsiTheme="minorHAnsi"/>
        </w:rPr>
        <w:t xml:space="preserve">Overall, there is higher than expected utilisation of </w:t>
      </w:r>
      <w:proofErr w:type="spellStart"/>
      <w:r w:rsidRPr="000B00BE">
        <w:rPr>
          <w:rFonts w:asciiTheme="minorHAnsi" w:hAnsiTheme="minorHAnsi"/>
        </w:rPr>
        <w:t>deferasirox</w:t>
      </w:r>
      <w:proofErr w:type="spellEnd"/>
      <w:r w:rsidRPr="000B00BE">
        <w:rPr>
          <w:rFonts w:asciiTheme="minorHAnsi" w:hAnsiTheme="minorHAnsi"/>
        </w:rPr>
        <w:t xml:space="preserve"> than anticipated at the time </w:t>
      </w:r>
      <w:r w:rsidR="003439C4">
        <w:rPr>
          <w:rFonts w:asciiTheme="minorHAnsi" w:hAnsiTheme="minorHAnsi"/>
        </w:rPr>
        <w:t xml:space="preserve">of listing.  </w:t>
      </w:r>
      <w:r w:rsidRPr="000B00BE">
        <w:rPr>
          <w:rFonts w:asciiTheme="minorHAnsi" w:hAnsiTheme="minorHAnsi"/>
        </w:rPr>
        <w:t>Th</w:t>
      </w:r>
      <w:r w:rsidR="001B5B8B">
        <w:rPr>
          <w:rFonts w:asciiTheme="minorHAnsi" w:hAnsiTheme="minorHAnsi"/>
        </w:rPr>
        <w:t xml:space="preserve">e DUSC considered this </w:t>
      </w:r>
      <w:r w:rsidRPr="000B00BE">
        <w:rPr>
          <w:rFonts w:asciiTheme="minorHAnsi" w:hAnsiTheme="minorHAnsi"/>
        </w:rPr>
        <w:t xml:space="preserve">higher than </w:t>
      </w:r>
      <w:r w:rsidR="001B5B8B">
        <w:rPr>
          <w:rFonts w:asciiTheme="minorHAnsi" w:hAnsiTheme="minorHAnsi"/>
        </w:rPr>
        <w:t xml:space="preserve">expected utilisation </w:t>
      </w:r>
      <w:r w:rsidRPr="000B00BE">
        <w:rPr>
          <w:rFonts w:asciiTheme="minorHAnsi" w:hAnsiTheme="minorHAnsi"/>
        </w:rPr>
        <w:t>is likely to be due to the extent of use of iron chelatio</w:t>
      </w:r>
      <w:r w:rsidR="003439C4">
        <w:rPr>
          <w:rFonts w:asciiTheme="minorHAnsi" w:hAnsiTheme="minorHAnsi"/>
        </w:rPr>
        <w:t xml:space="preserve">n therapy in patients with MDS.  The results presented in  </w:t>
      </w:r>
      <w:r w:rsidRPr="000B00BE">
        <w:rPr>
          <w:rFonts w:asciiTheme="minorHAnsi" w:hAnsiTheme="minorHAnsi"/>
        </w:rPr>
        <w:t xml:space="preserve">Figure 5 show 59% of patients who received an iron chelating agent in the second quarter of </w:t>
      </w:r>
      <w:r w:rsidR="003439C4">
        <w:rPr>
          <w:rFonts w:asciiTheme="minorHAnsi" w:hAnsiTheme="minorHAnsi"/>
        </w:rPr>
        <w:t xml:space="preserve">2013 were 55 years or older.  </w:t>
      </w:r>
      <w:r w:rsidRPr="000B00BE">
        <w:rPr>
          <w:rFonts w:asciiTheme="minorHAnsi" w:hAnsiTheme="minorHAnsi"/>
        </w:rPr>
        <w:t xml:space="preserve">These patients are unlikely to be </w:t>
      </w:r>
      <w:proofErr w:type="spellStart"/>
      <w:r w:rsidRPr="000B00BE">
        <w:rPr>
          <w:rFonts w:asciiTheme="minorHAnsi" w:hAnsiTheme="minorHAnsi"/>
        </w:rPr>
        <w:t>thalassaemia</w:t>
      </w:r>
      <w:proofErr w:type="spellEnd"/>
      <w:r w:rsidRPr="000B00BE">
        <w:rPr>
          <w:rFonts w:asciiTheme="minorHAnsi" w:hAnsiTheme="minorHAnsi"/>
        </w:rPr>
        <w:t xml:space="preserve"> patients because prior to the mid-1960s and the development of transfusion treatment, death before age 12 was common in patients with </w:t>
      </w:r>
      <w:r w:rsidRPr="000B00BE">
        <w:rPr>
          <w:rFonts w:asciiTheme="minorHAnsi" w:hAnsiTheme="minorHAnsi"/>
        </w:rPr>
        <w:sym w:font="Symbol" w:char="F062"/>
      </w:r>
      <w:r w:rsidRPr="000B00BE">
        <w:rPr>
          <w:rFonts w:asciiTheme="minorHAnsi" w:hAnsiTheme="minorHAnsi"/>
        </w:rPr>
        <w:t>-</w:t>
      </w:r>
      <w:proofErr w:type="spellStart"/>
      <w:r w:rsidRPr="000B00BE">
        <w:rPr>
          <w:rFonts w:asciiTheme="minorHAnsi" w:hAnsiTheme="minorHAnsi"/>
        </w:rPr>
        <w:t>thalassaemia</w:t>
      </w:r>
      <w:proofErr w:type="spellEnd"/>
      <w:r w:rsidRPr="000B00BE">
        <w:rPr>
          <w:rFonts w:asciiTheme="minorHAnsi" w:hAnsiTheme="minorHAnsi"/>
        </w:rPr>
        <w:t>.</w:t>
      </w:r>
      <w:r w:rsidRPr="000B00BE">
        <w:rPr>
          <w:rFonts w:asciiTheme="minorHAnsi" w:hAnsiTheme="minorHAnsi"/>
          <w:vertAlign w:val="superscript"/>
        </w:rPr>
        <w:footnoteReference w:id="6"/>
      </w:r>
      <w:r w:rsidR="003439C4">
        <w:rPr>
          <w:rFonts w:asciiTheme="minorHAnsi" w:hAnsiTheme="minorHAnsi"/>
        </w:rPr>
        <w:t xml:space="preserve">  </w:t>
      </w:r>
      <w:r w:rsidRPr="000B00BE">
        <w:rPr>
          <w:rFonts w:asciiTheme="minorHAnsi" w:hAnsiTheme="minorHAnsi"/>
        </w:rPr>
        <w:t xml:space="preserve">As a result, there is unlikely to be many patients who suffer from </w:t>
      </w:r>
      <w:r w:rsidRPr="000B00BE">
        <w:rPr>
          <w:rFonts w:asciiTheme="minorHAnsi" w:hAnsiTheme="minorHAnsi"/>
        </w:rPr>
        <w:sym w:font="Symbol" w:char="F062"/>
      </w:r>
      <w:r w:rsidRPr="000B00BE">
        <w:rPr>
          <w:rFonts w:asciiTheme="minorHAnsi" w:hAnsiTheme="minorHAnsi"/>
        </w:rPr>
        <w:t>-</w:t>
      </w:r>
      <w:proofErr w:type="spellStart"/>
      <w:r w:rsidRPr="000B00BE">
        <w:rPr>
          <w:rFonts w:asciiTheme="minorHAnsi" w:hAnsiTheme="minorHAnsi"/>
        </w:rPr>
        <w:t>thalassaemi</w:t>
      </w:r>
      <w:r w:rsidR="003439C4">
        <w:rPr>
          <w:rFonts w:asciiTheme="minorHAnsi" w:hAnsiTheme="minorHAnsi"/>
        </w:rPr>
        <w:t>a</w:t>
      </w:r>
      <w:proofErr w:type="spellEnd"/>
      <w:r w:rsidR="003439C4">
        <w:rPr>
          <w:rFonts w:asciiTheme="minorHAnsi" w:hAnsiTheme="minorHAnsi"/>
        </w:rPr>
        <w:t xml:space="preserve"> who are over 55 years of age.  </w:t>
      </w:r>
      <w:r w:rsidRPr="000B00BE">
        <w:rPr>
          <w:rFonts w:asciiTheme="minorHAnsi" w:hAnsiTheme="minorHAnsi"/>
        </w:rPr>
        <w:t>Furthermore, Figure 5 shows a larger proportion of males receiving iron chel</w:t>
      </w:r>
      <w:r w:rsidR="003439C4">
        <w:rPr>
          <w:rFonts w:asciiTheme="minorHAnsi" w:hAnsiTheme="minorHAnsi"/>
        </w:rPr>
        <w:t xml:space="preserve">ating drugs aged over 55 years.  </w:t>
      </w:r>
      <w:r w:rsidRPr="000B00BE">
        <w:rPr>
          <w:rFonts w:asciiTheme="minorHAnsi" w:hAnsiTheme="minorHAnsi"/>
        </w:rPr>
        <w:t>Such a pattern would not be observed in a genetic condition but would be expected in MDS which is more common in males than females.</w:t>
      </w:r>
      <w:r w:rsidRPr="000B00BE">
        <w:rPr>
          <w:rFonts w:asciiTheme="minorHAnsi" w:hAnsiTheme="minorHAnsi"/>
          <w:vertAlign w:val="superscript"/>
        </w:rPr>
        <w:footnoteReference w:id="7"/>
      </w:r>
      <w:r w:rsidRPr="000B00BE">
        <w:rPr>
          <w:rFonts w:asciiTheme="minorHAnsi" w:hAnsiTheme="minorHAnsi"/>
        </w:rPr>
        <w:t xml:space="preserve"> </w:t>
      </w:r>
    </w:p>
    <w:p w14:paraId="555C88FE" w14:textId="2DE1ACAD" w:rsidR="000B00BE" w:rsidRDefault="000B00BE" w:rsidP="00F76431">
      <w:pPr>
        <w:spacing w:line="240" w:lineRule="auto"/>
        <w:rPr>
          <w:rFonts w:asciiTheme="minorHAnsi" w:hAnsiTheme="minorHAnsi"/>
        </w:rPr>
      </w:pPr>
      <w:r w:rsidRPr="000B00BE">
        <w:rPr>
          <w:rFonts w:asciiTheme="minorHAnsi" w:hAnsiTheme="minorHAnsi"/>
        </w:rPr>
        <w:t xml:space="preserve">The </w:t>
      </w:r>
      <w:proofErr w:type="spellStart"/>
      <w:r w:rsidRPr="000B00BE">
        <w:rPr>
          <w:rFonts w:asciiTheme="minorHAnsi" w:hAnsiTheme="minorHAnsi"/>
        </w:rPr>
        <w:t>deferasirox</w:t>
      </w:r>
      <w:proofErr w:type="spellEnd"/>
      <w:r w:rsidRPr="000B00BE">
        <w:rPr>
          <w:rFonts w:asciiTheme="minorHAnsi" w:hAnsiTheme="minorHAnsi"/>
        </w:rPr>
        <w:t xml:space="preserve"> submission estimates were calculated on the basis of </w:t>
      </w:r>
      <w:proofErr w:type="spellStart"/>
      <w:r w:rsidRPr="000B00BE">
        <w:rPr>
          <w:rFonts w:asciiTheme="minorHAnsi" w:hAnsiTheme="minorHAnsi"/>
        </w:rPr>
        <w:t>deferasirox</w:t>
      </w:r>
      <w:proofErr w:type="spellEnd"/>
      <w:r w:rsidRPr="000B00BE">
        <w:rPr>
          <w:rFonts w:asciiTheme="minorHAnsi" w:hAnsiTheme="minorHAnsi"/>
        </w:rPr>
        <w:t xml:space="preserve"> use being predomin</w:t>
      </w:r>
      <w:r w:rsidR="00EE4E2E">
        <w:rPr>
          <w:rFonts w:asciiTheme="minorHAnsi" w:hAnsiTheme="minorHAnsi"/>
        </w:rPr>
        <w:t xml:space="preserve">antly in </w:t>
      </w:r>
      <w:proofErr w:type="spellStart"/>
      <w:r w:rsidR="00EE4E2E">
        <w:rPr>
          <w:rFonts w:asciiTheme="minorHAnsi" w:hAnsiTheme="minorHAnsi"/>
        </w:rPr>
        <w:t>thalassaemia</w:t>
      </w:r>
      <w:proofErr w:type="spellEnd"/>
      <w:r w:rsidR="00EE4E2E">
        <w:rPr>
          <w:rFonts w:asciiTheme="minorHAnsi" w:hAnsiTheme="minorHAnsi"/>
        </w:rPr>
        <w:t xml:space="preserve"> patients.  </w:t>
      </w:r>
      <w:r w:rsidRPr="000B00BE">
        <w:rPr>
          <w:rFonts w:asciiTheme="minorHAnsi" w:hAnsiTheme="minorHAnsi"/>
        </w:rPr>
        <w:t xml:space="preserve">The submission did note there would be additional use of </w:t>
      </w:r>
      <w:proofErr w:type="spellStart"/>
      <w:r w:rsidRPr="000B00BE">
        <w:rPr>
          <w:rFonts w:asciiTheme="minorHAnsi" w:hAnsiTheme="minorHAnsi"/>
        </w:rPr>
        <w:t>deferasirox</w:t>
      </w:r>
      <w:proofErr w:type="spellEnd"/>
      <w:r w:rsidRPr="000B00BE">
        <w:rPr>
          <w:rFonts w:asciiTheme="minorHAnsi" w:hAnsiTheme="minorHAnsi"/>
        </w:rPr>
        <w:t xml:space="preserve"> by patients with </w:t>
      </w:r>
      <w:r w:rsidR="00432E97" w:rsidRPr="000B00BE">
        <w:rPr>
          <w:rFonts w:asciiTheme="minorHAnsi" w:hAnsiTheme="minorHAnsi"/>
        </w:rPr>
        <w:t>MDS</w:t>
      </w:r>
      <w:r w:rsidR="00432E97">
        <w:rPr>
          <w:rFonts w:asciiTheme="minorHAnsi" w:hAnsiTheme="minorHAnsi"/>
        </w:rPr>
        <w:t>;</w:t>
      </w:r>
      <w:r w:rsidR="008164FB">
        <w:rPr>
          <w:rFonts w:asciiTheme="minorHAnsi" w:hAnsiTheme="minorHAnsi"/>
        </w:rPr>
        <w:t xml:space="preserve"> however t</w:t>
      </w:r>
      <w:r w:rsidRPr="000B00BE">
        <w:rPr>
          <w:rFonts w:asciiTheme="minorHAnsi" w:hAnsiTheme="minorHAnsi"/>
        </w:rPr>
        <w:t>h</w:t>
      </w:r>
      <w:r w:rsidR="008164FB">
        <w:rPr>
          <w:rFonts w:asciiTheme="minorHAnsi" w:hAnsiTheme="minorHAnsi"/>
        </w:rPr>
        <w:t>e</w:t>
      </w:r>
      <w:r w:rsidRPr="000B00BE">
        <w:rPr>
          <w:rFonts w:asciiTheme="minorHAnsi" w:hAnsiTheme="minorHAnsi"/>
        </w:rPr>
        <w:t xml:space="preserve"> </w:t>
      </w:r>
      <w:r w:rsidR="008164FB">
        <w:rPr>
          <w:rFonts w:asciiTheme="minorHAnsi" w:hAnsiTheme="minorHAnsi"/>
        </w:rPr>
        <w:t xml:space="preserve">use </w:t>
      </w:r>
      <w:r w:rsidRPr="000B00BE">
        <w:rPr>
          <w:rFonts w:asciiTheme="minorHAnsi" w:hAnsiTheme="minorHAnsi"/>
        </w:rPr>
        <w:t>appears to have been underestimate</w:t>
      </w:r>
      <w:r w:rsidR="008164FB">
        <w:rPr>
          <w:rFonts w:asciiTheme="minorHAnsi" w:hAnsiTheme="minorHAnsi"/>
        </w:rPr>
        <w:t>d</w:t>
      </w:r>
      <w:r w:rsidR="00BB0C22">
        <w:rPr>
          <w:rFonts w:asciiTheme="minorHAnsi" w:hAnsiTheme="minorHAnsi"/>
        </w:rPr>
        <w:t xml:space="preserve">.  </w:t>
      </w:r>
      <w:r w:rsidRPr="000B00BE">
        <w:rPr>
          <w:rFonts w:asciiTheme="minorHAnsi" w:hAnsiTheme="minorHAnsi"/>
        </w:rPr>
        <w:t xml:space="preserve">The submission predicted substantial reduction in the use of </w:t>
      </w:r>
      <w:proofErr w:type="spellStart"/>
      <w:r w:rsidRPr="000B00BE">
        <w:rPr>
          <w:rFonts w:asciiTheme="minorHAnsi" w:hAnsiTheme="minorHAnsi"/>
        </w:rPr>
        <w:t>desferrioxamine</w:t>
      </w:r>
      <w:proofErr w:type="spellEnd"/>
      <w:r w:rsidR="00BA4C7A">
        <w:rPr>
          <w:rFonts w:asciiTheme="minorHAnsi" w:hAnsiTheme="minorHAnsi"/>
        </w:rPr>
        <w:t>,</w:t>
      </w:r>
      <w:r w:rsidRPr="000B00BE">
        <w:rPr>
          <w:rFonts w:asciiTheme="minorHAnsi" w:hAnsiTheme="minorHAnsi"/>
        </w:rPr>
        <w:t xml:space="preserve"> which appears to have occurred to some extent. </w:t>
      </w:r>
    </w:p>
    <w:p w14:paraId="5BB0D94E" w14:textId="5EBB68A1" w:rsidR="000B00BE" w:rsidRPr="000B00BE" w:rsidRDefault="000B00BE" w:rsidP="00F76431">
      <w:pPr>
        <w:spacing w:line="240" w:lineRule="auto"/>
        <w:rPr>
          <w:rFonts w:asciiTheme="minorHAnsi" w:hAnsiTheme="minorHAnsi"/>
        </w:rPr>
      </w:pPr>
      <w:r w:rsidRPr="000B00BE">
        <w:rPr>
          <w:rFonts w:asciiTheme="minorHAnsi" w:hAnsiTheme="minorHAnsi"/>
        </w:rPr>
        <w:t xml:space="preserve">The use of iron chelating drugs, particularly </w:t>
      </w:r>
      <w:proofErr w:type="spellStart"/>
      <w:r w:rsidRPr="000B00BE">
        <w:rPr>
          <w:rFonts w:asciiTheme="minorHAnsi" w:hAnsiTheme="minorHAnsi"/>
        </w:rPr>
        <w:t>deferasirox</w:t>
      </w:r>
      <w:proofErr w:type="spellEnd"/>
      <w:r w:rsidRPr="000B00BE">
        <w:rPr>
          <w:rFonts w:asciiTheme="minorHAnsi" w:hAnsiTheme="minorHAnsi"/>
        </w:rPr>
        <w:t xml:space="preserve">, in older patients with MDS </w:t>
      </w:r>
      <w:r w:rsidR="0017143F">
        <w:rPr>
          <w:rFonts w:asciiTheme="minorHAnsi" w:hAnsiTheme="minorHAnsi"/>
        </w:rPr>
        <w:t xml:space="preserve">may </w:t>
      </w:r>
      <w:r w:rsidRPr="000B00BE">
        <w:rPr>
          <w:rFonts w:asciiTheme="minorHAnsi" w:hAnsiTheme="minorHAnsi"/>
        </w:rPr>
        <w:t>ha</w:t>
      </w:r>
      <w:r w:rsidR="0017143F">
        <w:rPr>
          <w:rFonts w:asciiTheme="minorHAnsi" w:hAnsiTheme="minorHAnsi"/>
        </w:rPr>
        <w:t>ve</w:t>
      </w:r>
      <w:r w:rsidRPr="000B00BE">
        <w:rPr>
          <w:rFonts w:asciiTheme="minorHAnsi" w:hAnsiTheme="minorHAnsi"/>
        </w:rPr>
        <w:t xml:space="preserve"> cost-effectiveness implications.</w:t>
      </w:r>
      <w:r w:rsidR="00BB0C22">
        <w:rPr>
          <w:rFonts w:asciiTheme="minorHAnsi" w:hAnsiTheme="minorHAnsi"/>
        </w:rPr>
        <w:t xml:space="preserve">  </w:t>
      </w:r>
      <w:r w:rsidR="00BD7106">
        <w:rPr>
          <w:rFonts w:asciiTheme="minorHAnsi" w:hAnsiTheme="minorHAnsi"/>
        </w:rPr>
        <w:t xml:space="preserve">In the submission to </w:t>
      </w:r>
      <w:r w:rsidR="00B16F57">
        <w:rPr>
          <w:rFonts w:asciiTheme="minorHAnsi" w:hAnsiTheme="minorHAnsi"/>
        </w:rPr>
        <w:t xml:space="preserve">the </w:t>
      </w:r>
      <w:r w:rsidR="00BD7106">
        <w:rPr>
          <w:rFonts w:asciiTheme="minorHAnsi" w:hAnsiTheme="minorHAnsi"/>
        </w:rPr>
        <w:t>PBAC, t</w:t>
      </w:r>
      <w:r w:rsidR="00FE351A" w:rsidRPr="000B00BE">
        <w:rPr>
          <w:rFonts w:asciiTheme="minorHAnsi" w:hAnsiTheme="minorHAnsi"/>
        </w:rPr>
        <w:t xml:space="preserve">he cost-effectiveness of </w:t>
      </w:r>
      <w:proofErr w:type="spellStart"/>
      <w:r w:rsidR="00FE351A" w:rsidRPr="000B00BE">
        <w:rPr>
          <w:rFonts w:asciiTheme="minorHAnsi" w:hAnsiTheme="minorHAnsi"/>
        </w:rPr>
        <w:t>deferasirox</w:t>
      </w:r>
      <w:proofErr w:type="spellEnd"/>
      <w:r w:rsidR="00FE351A" w:rsidRPr="000B00BE">
        <w:rPr>
          <w:rFonts w:asciiTheme="minorHAnsi" w:hAnsiTheme="minorHAnsi"/>
        </w:rPr>
        <w:t xml:space="preserve"> over the</w:t>
      </w:r>
      <w:r w:rsidR="001B5B8B">
        <w:rPr>
          <w:rFonts w:asciiTheme="minorHAnsi" w:hAnsiTheme="minorHAnsi"/>
        </w:rPr>
        <w:t xml:space="preserve"> </w:t>
      </w:r>
      <w:r w:rsidR="00FE351A" w:rsidRPr="006E797C">
        <w:rPr>
          <w:rFonts w:asciiTheme="minorHAnsi" w:hAnsiTheme="minorHAnsi"/>
        </w:rPr>
        <w:t xml:space="preserve">comparator </w:t>
      </w:r>
      <w:proofErr w:type="spellStart"/>
      <w:r w:rsidR="00FE351A" w:rsidRPr="006E797C">
        <w:rPr>
          <w:rFonts w:asciiTheme="minorHAnsi" w:hAnsiTheme="minorHAnsi"/>
        </w:rPr>
        <w:t>desferrioxamine</w:t>
      </w:r>
      <w:proofErr w:type="spellEnd"/>
      <w:r w:rsidR="00FE351A" w:rsidRPr="006E797C">
        <w:rPr>
          <w:rFonts w:asciiTheme="minorHAnsi" w:hAnsiTheme="minorHAnsi"/>
        </w:rPr>
        <w:t xml:space="preserve"> was based on a lifetime utility gain of a modelled cohort of patients with an average starting age of 5 years</w:t>
      </w:r>
      <w:r w:rsidR="00E141C6" w:rsidRPr="006E797C">
        <w:rPr>
          <w:rFonts w:asciiTheme="minorHAnsi" w:hAnsiTheme="minorHAnsi"/>
        </w:rPr>
        <w:t xml:space="preserve">.  </w:t>
      </w:r>
      <w:r w:rsidR="00FE351A" w:rsidRPr="006E797C">
        <w:rPr>
          <w:rFonts w:asciiTheme="minorHAnsi" w:hAnsiTheme="minorHAnsi"/>
        </w:rPr>
        <w:t>The</w:t>
      </w:r>
      <w:r w:rsidR="00FE351A" w:rsidRPr="000B00BE">
        <w:rPr>
          <w:rFonts w:asciiTheme="minorHAnsi" w:hAnsiTheme="minorHAnsi"/>
        </w:rPr>
        <w:t xml:space="preserve"> likely utility gain due to </w:t>
      </w:r>
      <w:proofErr w:type="spellStart"/>
      <w:r w:rsidR="00FE351A" w:rsidRPr="000B00BE">
        <w:rPr>
          <w:rFonts w:asciiTheme="minorHAnsi" w:hAnsiTheme="minorHAnsi"/>
        </w:rPr>
        <w:t>deferasirox</w:t>
      </w:r>
      <w:proofErr w:type="spellEnd"/>
      <w:r w:rsidR="00FE351A" w:rsidRPr="000B00BE">
        <w:rPr>
          <w:rFonts w:asciiTheme="minorHAnsi" w:hAnsiTheme="minorHAnsi"/>
        </w:rPr>
        <w:t xml:space="preserve"> treatment in patients with MDS is li</w:t>
      </w:r>
      <w:r w:rsidR="00E141C6">
        <w:rPr>
          <w:rFonts w:asciiTheme="minorHAnsi" w:hAnsiTheme="minorHAnsi"/>
        </w:rPr>
        <w:t xml:space="preserve">kely to be substantially lower.  </w:t>
      </w:r>
      <w:r w:rsidR="00FE351A">
        <w:rPr>
          <w:rFonts w:asciiTheme="minorHAnsi" w:hAnsiTheme="minorHAnsi"/>
        </w:rPr>
        <w:t>F</w:t>
      </w:r>
      <w:r w:rsidR="00FE351A" w:rsidRPr="000B00BE">
        <w:rPr>
          <w:rFonts w:asciiTheme="minorHAnsi" w:hAnsiTheme="minorHAnsi"/>
        </w:rPr>
        <w:t xml:space="preserve">or MDS patients, death and morbidity </w:t>
      </w:r>
      <w:r w:rsidR="00FE351A">
        <w:rPr>
          <w:rFonts w:asciiTheme="minorHAnsi" w:hAnsiTheme="minorHAnsi"/>
        </w:rPr>
        <w:t>occur less often</w:t>
      </w:r>
      <w:r w:rsidR="00FE351A" w:rsidRPr="000B00BE">
        <w:rPr>
          <w:rFonts w:asciiTheme="minorHAnsi" w:hAnsiTheme="minorHAnsi"/>
        </w:rPr>
        <w:t xml:space="preserve"> as a direct result of iron overload </w:t>
      </w:r>
      <w:r w:rsidR="00FE351A">
        <w:rPr>
          <w:rFonts w:asciiTheme="minorHAnsi" w:hAnsiTheme="minorHAnsi"/>
        </w:rPr>
        <w:t>because of</w:t>
      </w:r>
      <w:r w:rsidR="00FE351A" w:rsidRPr="000B00BE">
        <w:rPr>
          <w:rFonts w:asciiTheme="minorHAnsi" w:hAnsiTheme="minorHAnsi"/>
        </w:rPr>
        <w:t xml:space="preserve"> the short life expect</w:t>
      </w:r>
      <w:r w:rsidR="00E141C6">
        <w:rPr>
          <w:rFonts w:asciiTheme="minorHAnsi" w:hAnsiTheme="minorHAnsi"/>
        </w:rPr>
        <w:t xml:space="preserve">ancy of the underlying disease.  </w:t>
      </w:r>
      <w:r w:rsidR="0028080C">
        <w:rPr>
          <w:rFonts w:asciiTheme="minorHAnsi" w:hAnsiTheme="minorHAnsi"/>
        </w:rPr>
        <w:t xml:space="preserve">The </w:t>
      </w:r>
      <w:r w:rsidR="0028080C" w:rsidRPr="0014490A">
        <w:rPr>
          <w:rFonts w:asciiTheme="minorHAnsi" w:hAnsiTheme="minorHAnsi"/>
        </w:rPr>
        <w:t xml:space="preserve">DUSC noted that the incremental cost-effectiveness ratio (ICER) in the original </w:t>
      </w:r>
      <w:proofErr w:type="spellStart"/>
      <w:r w:rsidR="0028080C" w:rsidRPr="0014490A">
        <w:rPr>
          <w:rFonts w:asciiTheme="minorHAnsi" w:hAnsiTheme="minorHAnsi"/>
        </w:rPr>
        <w:t>deferasirox</w:t>
      </w:r>
      <w:proofErr w:type="spellEnd"/>
      <w:r w:rsidR="0028080C" w:rsidRPr="0014490A">
        <w:rPr>
          <w:rFonts w:asciiTheme="minorHAnsi" w:hAnsiTheme="minorHAnsi"/>
        </w:rPr>
        <w:t xml:space="preserve"> submission was highly sensitive to the age at wh</w:t>
      </w:r>
      <w:r w:rsidR="00E141C6">
        <w:rPr>
          <w:rFonts w:asciiTheme="minorHAnsi" w:hAnsiTheme="minorHAnsi"/>
        </w:rPr>
        <w:t xml:space="preserve">ich patients commenced therapy.  </w:t>
      </w:r>
      <w:r w:rsidR="00903BC4">
        <w:rPr>
          <w:rFonts w:asciiTheme="minorHAnsi" w:hAnsiTheme="minorHAnsi"/>
        </w:rPr>
        <w:t xml:space="preserve">The </w:t>
      </w:r>
      <w:r w:rsidR="00E141C6">
        <w:rPr>
          <w:rFonts w:asciiTheme="minorHAnsi" w:hAnsiTheme="minorHAnsi"/>
        </w:rPr>
        <w:t xml:space="preserve">DUSC considered the ICER </w:t>
      </w:r>
      <w:r w:rsidR="0028080C" w:rsidRPr="0014490A">
        <w:rPr>
          <w:rFonts w:asciiTheme="minorHAnsi" w:hAnsiTheme="minorHAnsi"/>
        </w:rPr>
        <w:t xml:space="preserve">accepted </w:t>
      </w:r>
      <w:r w:rsidR="00695D4E">
        <w:rPr>
          <w:rFonts w:asciiTheme="minorHAnsi" w:hAnsiTheme="minorHAnsi"/>
        </w:rPr>
        <w:t xml:space="preserve">in the </w:t>
      </w:r>
      <w:r w:rsidR="0028080C" w:rsidRPr="0014490A">
        <w:rPr>
          <w:rFonts w:asciiTheme="minorHAnsi" w:hAnsiTheme="minorHAnsi"/>
        </w:rPr>
        <w:t>PBAC submission is unlikely to apply to the current pattern of utilisation because the majority of patients are over 55 years of age.</w:t>
      </w:r>
      <w:r w:rsidR="000A20ED">
        <w:rPr>
          <w:rFonts w:asciiTheme="minorHAnsi" w:hAnsiTheme="minorHAnsi"/>
        </w:rPr>
        <w:t xml:space="preserve">  </w:t>
      </w:r>
      <w:proofErr w:type="spellStart"/>
      <w:r w:rsidRPr="000B00BE">
        <w:rPr>
          <w:rFonts w:asciiTheme="minorHAnsi" w:hAnsiTheme="minorHAnsi"/>
        </w:rPr>
        <w:t>Deferasirox</w:t>
      </w:r>
      <w:proofErr w:type="spellEnd"/>
      <w:r w:rsidRPr="000B00BE">
        <w:rPr>
          <w:rFonts w:asciiTheme="minorHAnsi" w:hAnsiTheme="minorHAnsi"/>
        </w:rPr>
        <w:t xml:space="preserve"> expenditure is substantially higher than </w:t>
      </w:r>
      <w:r w:rsidR="008253C6">
        <w:rPr>
          <w:rFonts w:asciiTheme="minorHAnsi" w:hAnsiTheme="minorHAnsi"/>
        </w:rPr>
        <w:t xml:space="preserve">that estimated in the PBAC submission </w:t>
      </w:r>
      <w:r w:rsidRPr="000B00BE">
        <w:rPr>
          <w:rFonts w:asciiTheme="minorHAnsi" w:hAnsiTheme="minorHAnsi"/>
        </w:rPr>
        <w:t>due to higher than expected use of the 500</w:t>
      </w:r>
      <w:r w:rsidR="0015039E">
        <w:rPr>
          <w:rFonts w:asciiTheme="minorHAnsi" w:hAnsiTheme="minorHAnsi"/>
        </w:rPr>
        <w:t xml:space="preserve"> </w:t>
      </w:r>
      <w:r w:rsidR="00497C2C">
        <w:rPr>
          <w:rFonts w:asciiTheme="minorHAnsi" w:hAnsiTheme="minorHAnsi"/>
        </w:rPr>
        <w:t xml:space="preserve">mg strength.  </w:t>
      </w:r>
      <w:r w:rsidRPr="000B00BE">
        <w:rPr>
          <w:rFonts w:asciiTheme="minorHAnsi" w:hAnsiTheme="minorHAnsi"/>
        </w:rPr>
        <w:t>Th</w:t>
      </w:r>
      <w:r w:rsidR="0015039E">
        <w:rPr>
          <w:rFonts w:asciiTheme="minorHAnsi" w:hAnsiTheme="minorHAnsi"/>
        </w:rPr>
        <w:t xml:space="preserve">is may have been due to the </w:t>
      </w:r>
      <w:r w:rsidR="00A01C95">
        <w:rPr>
          <w:rFonts w:asciiTheme="minorHAnsi" w:hAnsiTheme="minorHAnsi"/>
        </w:rPr>
        <w:t xml:space="preserve">way the </w:t>
      </w:r>
      <w:r w:rsidR="0015039E">
        <w:rPr>
          <w:rFonts w:asciiTheme="minorHAnsi" w:hAnsiTheme="minorHAnsi"/>
        </w:rPr>
        <w:t xml:space="preserve">estimates </w:t>
      </w:r>
      <w:r w:rsidR="00A01C95">
        <w:rPr>
          <w:rFonts w:asciiTheme="minorHAnsi" w:hAnsiTheme="minorHAnsi"/>
        </w:rPr>
        <w:t xml:space="preserve">were calculated </w:t>
      </w:r>
      <w:r w:rsidR="0015039E">
        <w:rPr>
          <w:rFonts w:asciiTheme="minorHAnsi" w:hAnsiTheme="minorHAnsi"/>
        </w:rPr>
        <w:t>in the</w:t>
      </w:r>
      <w:r w:rsidRPr="000B00BE">
        <w:rPr>
          <w:rFonts w:asciiTheme="minorHAnsi" w:hAnsiTheme="minorHAnsi"/>
        </w:rPr>
        <w:t xml:space="preserve"> submission</w:t>
      </w:r>
      <w:r w:rsidR="0015039E">
        <w:rPr>
          <w:rFonts w:asciiTheme="minorHAnsi" w:hAnsiTheme="minorHAnsi"/>
        </w:rPr>
        <w:t xml:space="preserve">, which </w:t>
      </w:r>
      <w:r w:rsidRPr="000B00BE">
        <w:rPr>
          <w:rFonts w:asciiTheme="minorHAnsi" w:hAnsiTheme="minorHAnsi"/>
        </w:rPr>
        <w:t xml:space="preserve">assumed </w:t>
      </w:r>
      <w:r w:rsidR="00AD49F7">
        <w:rPr>
          <w:rFonts w:asciiTheme="minorHAnsi" w:hAnsiTheme="minorHAnsi"/>
        </w:rPr>
        <w:t xml:space="preserve">a low median patient weight.  </w:t>
      </w:r>
      <w:r w:rsidRPr="000B00BE">
        <w:rPr>
          <w:rFonts w:asciiTheme="minorHAnsi" w:hAnsiTheme="minorHAnsi"/>
        </w:rPr>
        <w:t xml:space="preserve">It is likely the current treated population have an average weight </w:t>
      </w:r>
      <w:r w:rsidR="001833ED">
        <w:rPr>
          <w:rFonts w:asciiTheme="minorHAnsi" w:hAnsiTheme="minorHAnsi"/>
        </w:rPr>
        <w:t xml:space="preserve">and age </w:t>
      </w:r>
      <w:r w:rsidR="0015039E">
        <w:rPr>
          <w:rFonts w:asciiTheme="minorHAnsi" w:hAnsiTheme="minorHAnsi"/>
        </w:rPr>
        <w:t>higher than that used to determine expenditure in the submission</w:t>
      </w:r>
      <w:r w:rsidRPr="000B00BE">
        <w:rPr>
          <w:rFonts w:asciiTheme="minorHAnsi" w:hAnsiTheme="minorHAnsi"/>
        </w:rPr>
        <w:t xml:space="preserve">. </w:t>
      </w:r>
    </w:p>
    <w:p w14:paraId="2A8D77E7" w14:textId="59B3AFEC" w:rsidR="000B00BE" w:rsidRPr="000B00BE" w:rsidRDefault="00470D44" w:rsidP="00816ACA">
      <w:pPr>
        <w:pStyle w:val="Heading4"/>
      </w:pPr>
      <w:r>
        <w:t>DUSC actions</w:t>
      </w:r>
    </w:p>
    <w:p w14:paraId="5186DA81" w14:textId="77777777" w:rsidR="00B97505" w:rsidRPr="00B97505" w:rsidRDefault="00E35F53" w:rsidP="000B1146">
      <w:pPr>
        <w:pStyle w:val="ListParagraph"/>
        <w:numPr>
          <w:ilvl w:val="0"/>
          <w:numId w:val="28"/>
        </w:numPr>
        <w:spacing w:after="0" w:line="240" w:lineRule="auto"/>
        <w:ind w:left="426" w:hanging="426"/>
      </w:pPr>
      <w:r w:rsidRPr="00B97505">
        <w:rPr>
          <w:rFonts w:asciiTheme="minorHAnsi" w:eastAsiaTheme="majorEastAsia" w:hAnsiTheme="minorHAnsi" w:cstheme="majorBidi"/>
          <w:bCs/>
          <w:szCs w:val="32"/>
        </w:rPr>
        <w:t xml:space="preserve">The </w:t>
      </w:r>
      <w:r w:rsidR="004D417C" w:rsidRPr="00B97505">
        <w:rPr>
          <w:rFonts w:asciiTheme="minorHAnsi" w:eastAsiaTheme="majorEastAsia" w:hAnsiTheme="minorHAnsi" w:cstheme="majorBidi"/>
          <w:bCs/>
          <w:szCs w:val="32"/>
        </w:rPr>
        <w:t xml:space="preserve">DUSC referred the report to </w:t>
      </w:r>
      <w:r w:rsidR="000F6D4D" w:rsidRPr="00B97505">
        <w:rPr>
          <w:rFonts w:asciiTheme="minorHAnsi" w:eastAsiaTheme="majorEastAsia" w:hAnsiTheme="minorHAnsi" w:cstheme="majorBidi"/>
          <w:bCs/>
          <w:szCs w:val="32"/>
        </w:rPr>
        <w:t xml:space="preserve">the </w:t>
      </w:r>
      <w:r w:rsidR="004D417C" w:rsidRPr="00B97505">
        <w:rPr>
          <w:rFonts w:asciiTheme="minorHAnsi" w:eastAsiaTheme="majorEastAsia" w:hAnsiTheme="minorHAnsi" w:cstheme="majorBidi"/>
          <w:bCs/>
          <w:szCs w:val="32"/>
        </w:rPr>
        <w:t xml:space="preserve">PBAC to consider the findings that </w:t>
      </w:r>
      <w:proofErr w:type="spellStart"/>
      <w:r w:rsidR="004D417C" w:rsidRPr="00B97505">
        <w:rPr>
          <w:rFonts w:asciiTheme="minorHAnsi" w:eastAsiaTheme="majorEastAsia" w:hAnsiTheme="minorHAnsi" w:cstheme="majorBidi"/>
          <w:bCs/>
          <w:szCs w:val="32"/>
        </w:rPr>
        <w:t>deferasirox</w:t>
      </w:r>
      <w:proofErr w:type="spellEnd"/>
      <w:r w:rsidR="004D417C" w:rsidRPr="00B97505">
        <w:rPr>
          <w:rFonts w:asciiTheme="minorHAnsi" w:eastAsiaTheme="majorEastAsia" w:hAnsiTheme="minorHAnsi" w:cstheme="majorBidi"/>
          <w:bCs/>
          <w:szCs w:val="32"/>
        </w:rPr>
        <w:t xml:space="preserve"> is predominantly being used in a patient group not anticipated at the time of listing.</w:t>
      </w:r>
    </w:p>
    <w:p w14:paraId="2688FF3E" w14:textId="3D7971F0" w:rsidR="00857061" w:rsidRPr="00857061" w:rsidRDefault="00E35F53" w:rsidP="000B1146">
      <w:pPr>
        <w:pStyle w:val="ListParagraph"/>
        <w:numPr>
          <w:ilvl w:val="0"/>
          <w:numId w:val="28"/>
        </w:numPr>
        <w:spacing w:after="0" w:line="240" w:lineRule="auto"/>
        <w:ind w:left="426" w:hanging="426"/>
      </w:pPr>
      <w:r w:rsidRPr="00B97505">
        <w:rPr>
          <w:rFonts w:asciiTheme="minorHAnsi" w:eastAsiaTheme="majorEastAsia" w:hAnsiTheme="minorHAnsi" w:cstheme="majorBidi"/>
          <w:bCs/>
          <w:szCs w:val="32"/>
        </w:rPr>
        <w:t xml:space="preserve">The </w:t>
      </w:r>
      <w:r w:rsidR="004D417C" w:rsidRPr="00B97505">
        <w:rPr>
          <w:rFonts w:asciiTheme="minorHAnsi" w:eastAsiaTheme="majorEastAsia" w:hAnsiTheme="minorHAnsi" w:cstheme="majorBidi"/>
          <w:bCs/>
          <w:szCs w:val="32"/>
        </w:rPr>
        <w:t>DUSC requested the Secretariat contact the Haematological Society for advice on the use of iron chelating medicines for MDS and other haematological conditions.</w:t>
      </w:r>
    </w:p>
    <w:p w14:paraId="31B83731" w14:textId="70B4AF88" w:rsidR="00CB0550" w:rsidRPr="000368C9" w:rsidRDefault="00CB0550" w:rsidP="000368C9">
      <w:pPr>
        <w:pStyle w:val="Heading4"/>
      </w:pPr>
      <w:r w:rsidRPr="000368C9">
        <w:lastRenderedPageBreak/>
        <w:t>Context for analysis</w:t>
      </w:r>
    </w:p>
    <w:p w14:paraId="5E859FBE" w14:textId="29A2264F" w:rsidR="005B6270" w:rsidRDefault="00B56D0A" w:rsidP="00F76431">
      <w:pPr>
        <w:spacing w:after="0" w:line="240" w:lineRule="auto"/>
        <w:rPr>
          <w:rFonts w:asciiTheme="minorHAnsi" w:eastAsiaTheme="majorEastAsia" w:hAnsiTheme="minorHAnsi" w:cstheme="majorBidi"/>
          <w:bCs/>
        </w:rPr>
      </w:pPr>
      <w:r>
        <w:rPr>
          <w:rFonts w:asciiTheme="minorHAnsi" w:eastAsiaTheme="majorEastAsia" w:hAnsiTheme="minorHAnsi" w:cstheme="majorBidi"/>
          <w:bCs/>
        </w:rPr>
        <w:t xml:space="preserve">The </w:t>
      </w:r>
      <w:r w:rsidR="00CB0550" w:rsidRPr="0092516A">
        <w:rPr>
          <w:rFonts w:asciiTheme="minorHAnsi" w:eastAsiaTheme="majorEastAsia" w:hAnsiTheme="minorHAnsi" w:cstheme="majorBidi"/>
          <w:bCs/>
        </w:rPr>
        <w:t xml:space="preserve">DUSC is a </w:t>
      </w:r>
      <w:r w:rsidR="00F92180">
        <w:rPr>
          <w:rFonts w:asciiTheme="minorHAnsi" w:eastAsiaTheme="majorEastAsia" w:hAnsiTheme="minorHAnsi" w:cstheme="majorBidi"/>
          <w:bCs/>
        </w:rPr>
        <w:t>S</w:t>
      </w:r>
      <w:r w:rsidR="00CB0550" w:rsidRPr="0092516A">
        <w:rPr>
          <w:rFonts w:asciiTheme="minorHAnsi" w:eastAsiaTheme="majorEastAsia" w:hAnsiTheme="minorHAnsi" w:cstheme="majorBidi"/>
          <w:bCs/>
        </w:rPr>
        <w:t>ub</w:t>
      </w:r>
      <w:r w:rsidR="00F92180">
        <w:rPr>
          <w:rFonts w:asciiTheme="minorHAnsi" w:eastAsiaTheme="majorEastAsia" w:hAnsiTheme="minorHAnsi" w:cstheme="majorBidi"/>
          <w:bCs/>
        </w:rPr>
        <w:t xml:space="preserve"> C</w:t>
      </w:r>
      <w:r w:rsidR="00CB0550" w:rsidRPr="0092516A">
        <w:rPr>
          <w:rFonts w:asciiTheme="minorHAnsi" w:eastAsiaTheme="majorEastAsia" w:hAnsiTheme="minorHAnsi" w:cstheme="majorBidi"/>
          <w:bCs/>
        </w:rPr>
        <w:t xml:space="preserve">ommittee of the Pharmaceutical Benefits Advisory Committee (PBAC). </w:t>
      </w:r>
      <w:r w:rsidR="00813055">
        <w:rPr>
          <w:rFonts w:asciiTheme="minorHAnsi" w:eastAsiaTheme="majorEastAsia" w:hAnsiTheme="minorHAnsi" w:cstheme="majorBidi"/>
          <w:bCs/>
        </w:rPr>
        <w:t xml:space="preserve">The </w:t>
      </w:r>
      <w:r w:rsidR="005B6270">
        <w:rPr>
          <w:rFonts w:asciiTheme="minorHAnsi" w:eastAsiaTheme="majorEastAsia" w:hAnsiTheme="minorHAnsi" w:cstheme="majorBidi"/>
          <w:bCs/>
        </w:rPr>
        <w:t>DUSC</w:t>
      </w:r>
      <w:r w:rsidR="005B6270" w:rsidRPr="005B6270">
        <w:rPr>
          <w:rFonts w:asciiTheme="minorHAnsi" w:eastAsiaTheme="majorEastAsia" w:hAnsiTheme="minorHAnsi" w:cstheme="majorBidi"/>
          <w:bCs/>
        </w:rPr>
        <w:t xml:space="preserve"> assesses estimates on projected usage and financial cost </w:t>
      </w:r>
      <w:r w:rsidR="00345162">
        <w:rPr>
          <w:rFonts w:asciiTheme="minorHAnsi" w:eastAsiaTheme="majorEastAsia" w:hAnsiTheme="minorHAnsi" w:cstheme="majorBidi"/>
          <w:bCs/>
        </w:rPr>
        <w:t xml:space="preserve">of </w:t>
      </w:r>
      <w:r w:rsidR="005B6270" w:rsidRPr="005B6270">
        <w:rPr>
          <w:rFonts w:asciiTheme="minorHAnsi" w:eastAsiaTheme="majorEastAsia" w:hAnsiTheme="minorHAnsi" w:cstheme="majorBidi"/>
          <w:bCs/>
        </w:rPr>
        <w:t>medicines.</w:t>
      </w:r>
    </w:p>
    <w:p w14:paraId="4CA4794B" w14:textId="77777777" w:rsidR="001C7E91" w:rsidRPr="005B6270" w:rsidRDefault="001C7E91" w:rsidP="00F76431">
      <w:pPr>
        <w:spacing w:after="0" w:line="240" w:lineRule="auto"/>
        <w:rPr>
          <w:rFonts w:asciiTheme="minorHAnsi" w:eastAsiaTheme="majorEastAsia" w:hAnsiTheme="minorHAnsi" w:cstheme="majorBidi"/>
          <w:bCs/>
        </w:rPr>
      </w:pPr>
    </w:p>
    <w:p w14:paraId="25D65B04" w14:textId="3EE15208" w:rsidR="00591512" w:rsidRDefault="00345162" w:rsidP="00F76431">
      <w:pPr>
        <w:spacing w:after="0" w:line="240" w:lineRule="auto"/>
        <w:rPr>
          <w:rFonts w:asciiTheme="minorHAnsi" w:eastAsiaTheme="majorEastAsia" w:hAnsiTheme="minorHAnsi" w:cstheme="majorBidi"/>
          <w:bCs/>
        </w:rPr>
      </w:pPr>
      <w:r>
        <w:rPr>
          <w:rFonts w:asciiTheme="minorHAnsi" w:eastAsiaTheme="majorEastAsia" w:hAnsiTheme="minorHAnsi" w:cstheme="majorBidi"/>
          <w:bCs/>
        </w:rPr>
        <w:t xml:space="preserve">The </w:t>
      </w:r>
      <w:r w:rsidR="00CB0550" w:rsidRPr="0092516A">
        <w:rPr>
          <w:rFonts w:asciiTheme="minorHAnsi" w:eastAsiaTheme="majorEastAsia" w:hAnsiTheme="minorHAnsi" w:cstheme="majorBidi"/>
          <w:bCs/>
        </w:rPr>
        <w:t xml:space="preserve">DUSC </w:t>
      </w:r>
      <w:r>
        <w:rPr>
          <w:rFonts w:asciiTheme="minorHAnsi" w:eastAsiaTheme="majorEastAsia" w:hAnsiTheme="minorHAnsi" w:cstheme="majorBidi"/>
          <w:bCs/>
        </w:rPr>
        <w:t xml:space="preserve">also analyses data on actual use of medicines, including the </w:t>
      </w:r>
      <w:r w:rsidR="00CB0550" w:rsidRPr="0092516A">
        <w:rPr>
          <w:rFonts w:asciiTheme="minorHAnsi" w:eastAsiaTheme="majorEastAsia" w:hAnsiTheme="minorHAnsi" w:cstheme="majorBidi"/>
          <w:bCs/>
        </w:rPr>
        <w:t>utilisation of PBS listed medicines</w:t>
      </w:r>
      <w:r w:rsidR="00773FF9">
        <w:rPr>
          <w:rFonts w:asciiTheme="minorHAnsi" w:eastAsiaTheme="majorEastAsia" w:hAnsiTheme="minorHAnsi" w:cstheme="majorBidi"/>
          <w:bCs/>
        </w:rPr>
        <w:t>,</w:t>
      </w:r>
      <w:r w:rsidR="00CB0550" w:rsidRPr="0092516A">
        <w:rPr>
          <w:rFonts w:asciiTheme="minorHAnsi" w:eastAsiaTheme="majorEastAsia" w:hAnsiTheme="minorHAnsi" w:cstheme="majorBidi"/>
          <w:bCs/>
        </w:rPr>
        <w:t xml:space="preserve"> and provides advice to </w:t>
      </w:r>
      <w:r w:rsidR="00592E46">
        <w:rPr>
          <w:rFonts w:asciiTheme="minorHAnsi" w:eastAsiaTheme="majorEastAsia" w:hAnsiTheme="minorHAnsi" w:cstheme="majorBidi"/>
          <w:bCs/>
        </w:rPr>
        <w:t xml:space="preserve">the </w:t>
      </w:r>
      <w:r w:rsidR="00857FBA">
        <w:rPr>
          <w:rFonts w:asciiTheme="minorHAnsi" w:eastAsiaTheme="majorEastAsia" w:hAnsiTheme="minorHAnsi" w:cstheme="majorBidi"/>
          <w:bCs/>
        </w:rPr>
        <w:t xml:space="preserve">PBAC on these matters.  </w:t>
      </w:r>
      <w:r w:rsidR="00CB0550" w:rsidRPr="0092516A">
        <w:rPr>
          <w:rFonts w:asciiTheme="minorHAnsi" w:eastAsiaTheme="majorEastAsia" w:hAnsiTheme="minorHAnsi" w:cstheme="majorBidi"/>
          <w:bCs/>
        </w:rPr>
        <w:t xml:space="preserve">This </w:t>
      </w:r>
      <w:r w:rsidR="00572745">
        <w:rPr>
          <w:rFonts w:asciiTheme="minorHAnsi" w:eastAsiaTheme="majorEastAsia" w:hAnsiTheme="minorHAnsi" w:cstheme="majorBidi"/>
          <w:bCs/>
        </w:rPr>
        <w:t xml:space="preserve">may </w:t>
      </w:r>
      <w:r w:rsidR="00CB0550" w:rsidRPr="0092516A">
        <w:rPr>
          <w:rFonts w:asciiTheme="minorHAnsi" w:eastAsiaTheme="majorEastAsia" w:hAnsiTheme="minorHAnsi" w:cstheme="majorBidi"/>
          <w:bCs/>
        </w:rPr>
        <w:t xml:space="preserve">include </w:t>
      </w:r>
      <w:r w:rsidR="00572745">
        <w:rPr>
          <w:rFonts w:asciiTheme="minorHAnsi" w:eastAsiaTheme="majorEastAsia" w:hAnsiTheme="minorHAnsi" w:cstheme="majorBidi"/>
          <w:bCs/>
        </w:rPr>
        <w:t>outlining</w:t>
      </w:r>
      <w:r w:rsidR="00572745" w:rsidRPr="00572745">
        <w:rPr>
          <w:rFonts w:asciiTheme="minorHAnsi" w:eastAsiaTheme="majorEastAsia" w:hAnsiTheme="minorHAnsi" w:cstheme="majorBidi"/>
          <w:bCs/>
        </w:rPr>
        <w:t xml:space="preserve"> how the current utilisation of PBS medicines compares with the use as recommended by the PBAC. </w:t>
      </w:r>
    </w:p>
    <w:p w14:paraId="79FBE958" w14:textId="77777777" w:rsidR="00773FF9" w:rsidRDefault="00773FF9" w:rsidP="00F76431">
      <w:pPr>
        <w:spacing w:after="0" w:line="240" w:lineRule="auto"/>
        <w:rPr>
          <w:rFonts w:asciiTheme="minorHAnsi" w:eastAsiaTheme="majorEastAsia" w:hAnsiTheme="minorHAnsi" w:cstheme="majorBidi"/>
          <w:bCs/>
        </w:rPr>
      </w:pPr>
    </w:p>
    <w:p w14:paraId="5033C13D" w14:textId="5B8C2FA8" w:rsidR="00773FF9" w:rsidRDefault="00773FF9" w:rsidP="00F76431">
      <w:pPr>
        <w:spacing w:after="0" w:line="240" w:lineRule="auto"/>
        <w:rPr>
          <w:rFonts w:asciiTheme="minorHAnsi" w:eastAsiaTheme="majorEastAsia" w:hAnsiTheme="minorHAnsi" w:cstheme="majorBidi"/>
          <w:bCs/>
        </w:rPr>
      </w:pPr>
      <w:r>
        <w:rPr>
          <w:rFonts w:asciiTheme="minorHAnsi" w:eastAsiaTheme="majorEastAsia" w:hAnsiTheme="minorHAnsi" w:cstheme="majorBidi"/>
          <w:bCs/>
        </w:rPr>
        <w:t>The DUSC operates in accordance with the quality use of medicines objective of the National Medicines Policy</w:t>
      </w:r>
      <w:r w:rsidR="006B6A94">
        <w:rPr>
          <w:rFonts w:asciiTheme="minorHAnsi" w:eastAsiaTheme="majorEastAsia" w:hAnsiTheme="minorHAnsi" w:cstheme="majorBidi"/>
          <w:bCs/>
        </w:rPr>
        <w:t xml:space="preserve"> and considers that the DUSC utilisation analyses will assist consumers and health professionals to better understand the costs, benefits and risks of medicines.</w:t>
      </w:r>
    </w:p>
    <w:p w14:paraId="07FBE273" w14:textId="77777777" w:rsidR="0055643E" w:rsidRDefault="0055643E" w:rsidP="00F76431">
      <w:pPr>
        <w:spacing w:after="0" w:line="240" w:lineRule="auto"/>
        <w:rPr>
          <w:rFonts w:asciiTheme="minorHAnsi" w:eastAsiaTheme="majorEastAsia" w:hAnsiTheme="minorHAnsi" w:cstheme="majorBidi"/>
          <w:bCs/>
        </w:rPr>
      </w:pPr>
    </w:p>
    <w:p w14:paraId="4A680FA3" w14:textId="6C54B049" w:rsidR="00C826B9" w:rsidRPr="0092516A" w:rsidRDefault="0055643E" w:rsidP="0005417D">
      <w:pPr>
        <w:spacing w:line="240" w:lineRule="auto"/>
        <w:rPr>
          <w:rFonts w:asciiTheme="minorHAnsi" w:eastAsiaTheme="majorEastAsia" w:hAnsiTheme="minorHAnsi" w:cstheme="majorBidi"/>
          <w:bCs/>
        </w:rPr>
      </w:pPr>
      <w:r w:rsidRPr="0055643E">
        <w:rPr>
          <w:rFonts w:asciiTheme="minorHAnsi" w:eastAsiaTheme="majorEastAsia" w:hAnsiTheme="minorHAnsi" w:cstheme="majorBidi"/>
          <w:bCs/>
        </w:rPr>
        <w:t>The utilisation analysis report was provided to the pharmaceutical sponsors of each drug and comments on the report were provided to DUSC prior to its consideration of the analysis.</w:t>
      </w:r>
    </w:p>
    <w:p w14:paraId="68A97FBA" w14:textId="3621A4B4" w:rsidR="002B0949" w:rsidRPr="0005417D" w:rsidRDefault="00C53B0A" w:rsidP="0005417D">
      <w:pPr>
        <w:pStyle w:val="Heading4"/>
      </w:pPr>
      <w:r w:rsidRPr="0005417D">
        <w:t>Sponsors</w:t>
      </w:r>
      <w:r w:rsidR="002B0949" w:rsidRPr="0005417D">
        <w:t xml:space="preserve"> comments</w:t>
      </w:r>
    </w:p>
    <w:p w14:paraId="63BEF0BA" w14:textId="68831177" w:rsidR="00233BAC" w:rsidRDefault="00233BAC" w:rsidP="00854F44">
      <w:pPr>
        <w:spacing w:after="0"/>
        <w:rPr>
          <w:rFonts w:asciiTheme="minorHAnsi" w:hAnsiTheme="minorHAnsi"/>
        </w:rPr>
      </w:pPr>
      <w:proofErr w:type="spellStart"/>
      <w:r w:rsidRPr="00F52721">
        <w:rPr>
          <w:rFonts w:asciiTheme="minorHAnsi" w:hAnsiTheme="minorHAnsi"/>
        </w:rPr>
        <w:t>Hospira</w:t>
      </w:r>
      <w:proofErr w:type="spellEnd"/>
      <w:r w:rsidR="00D73C0F" w:rsidRPr="00F52721">
        <w:rPr>
          <w:rFonts w:asciiTheme="minorHAnsi" w:hAnsiTheme="minorHAnsi"/>
        </w:rPr>
        <w:t xml:space="preserve"> Pty Limited</w:t>
      </w:r>
      <w:r w:rsidR="00854F44">
        <w:rPr>
          <w:rFonts w:asciiTheme="minorHAnsi" w:hAnsiTheme="minorHAnsi"/>
        </w:rPr>
        <w:t>:</w:t>
      </w:r>
    </w:p>
    <w:p w14:paraId="39BED1CA" w14:textId="0B0041FF" w:rsidR="00854F44" w:rsidRDefault="00854F44" w:rsidP="00233BAC">
      <w:pPr>
        <w:rPr>
          <w:rFonts w:asciiTheme="minorHAnsi" w:hAnsiTheme="minorHAnsi"/>
        </w:rPr>
      </w:pPr>
      <w:r>
        <w:rPr>
          <w:rFonts w:asciiTheme="minorHAnsi" w:hAnsiTheme="minorHAnsi"/>
        </w:rPr>
        <w:t>The sponsor has no comment.</w:t>
      </w:r>
    </w:p>
    <w:p w14:paraId="0CB1144D" w14:textId="4F0FC592" w:rsidR="00C367EC" w:rsidRDefault="00C367EC" w:rsidP="0075533F">
      <w:pPr>
        <w:spacing w:after="0"/>
        <w:rPr>
          <w:rFonts w:asciiTheme="minorHAnsi" w:hAnsiTheme="minorHAnsi"/>
        </w:rPr>
      </w:pPr>
      <w:r>
        <w:rPr>
          <w:rFonts w:asciiTheme="minorHAnsi" w:hAnsiTheme="minorHAnsi"/>
        </w:rPr>
        <w:t>Novartis Pharmaceuticals</w:t>
      </w:r>
      <w:r w:rsidR="008903A6">
        <w:rPr>
          <w:rFonts w:asciiTheme="minorHAnsi" w:hAnsiTheme="minorHAnsi"/>
        </w:rPr>
        <w:t xml:space="preserve"> Australia</w:t>
      </w:r>
      <w:r>
        <w:rPr>
          <w:rFonts w:asciiTheme="minorHAnsi" w:hAnsiTheme="minorHAnsi"/>
        </w:rPr>
        <w:t xml:space="preserve"> Pty Ltd:</w:t>
      </w:r>
    </w:p>
    <w:p w14:paraId="00647A69" w14:textId="420C5EF2" w:rsidR="00C367EC" w:rsidRDefault="001E69C2" w:rsidP="0075533F">
      <w:pPr>
        <w:spacing w:after="0"/>
        <w:rPr>
          <w:rFonts w:asciiTheme="minorHAnsi" w:hAnsiTheme="minorHAnsi"/>
        </w:rPr>
      </w:pPr>
      <w:r w:rsidRPr="001E69C2">
        <w:rPr>
          <w:rFonts w:asciiTheme="minorHAnsi" w:hAnsiTheme="minorHAnsi"/>
        </w:rPr>
        <w:t>We appreciate the PBAC's interest in understanding the utilisation of iron chelating agents but consider that these agents are being prescribed appropriately, in accordance with Australian treatment guidelines.  The sponsor considers that clinician review of the methodology, findings and conclusions of the review to be essential prior to determining next steps.</w:t>
      </w:r>
    </w:p>
    <w:p w14:paraId="2E423573" w14:textId="77777777" w:rsidR="00C367EC" w:rsidRDefault="00C367EC" w:rsidP="0075533F">
      <w:pPr>
        <w:spacing w:after="0"/>
        <w:rPr>
          <w:rFonts w:asciiTheme="minorHAnsi" w:hAnsiTheme="minorHAnsi"/>
        </w:rPr>
      </w:pPr>
    </w:p>
    <w:p w14:paraId="213F0DC7" w14:textId="7BBB8033" w:rsidR="00854F44" w:rsidRDefault="00074F9E" w:rsidP="0075533F">
      <w:pPr>
        <w:spacing w:after="0"/>
        <w:rPr>
          <w:rFonts w:asciiTheme="minorHAnsi" w:hAnsiTheme="minorHAnsi"/>
        </w:rPr>
      </w:pPr>
      <w:r>
        <w:rPr>
          <w:rFonts w:asciiTheme="minorHAnsi" w:hAnsiTheme="minorHAnsi"/>
        </w:rPr>
        <w:t>Orphan</w:t>
      </w:r>
      <w:r w:rsidR="0075533F">
        <w:rPr>
          <w:rFonts w:asciiTheme="minorHAnsi" w:hAnsiTheme="minorHAnsi"/>
        </w:rPr>
        <w:t xml:space="preserve"> Australia Pty Ltd:</w:t>
      </w:r>
    </w:p>
    <w:p w14:paraId="3BDA1773" w14:textId="1752E478" w:rsidR="0075533F" w:rsidRPr="00F52721" w:rsidRDefault="0075533F" w:rsidP="0075533F">
      <w:pPr>
        <w:spacing w:after="0"/>
        <w:rPr>
          <w:rFonts w:asciiTheme="minorHAnsi" w:hAnsiTheme="minorHAnsi"/>
        </w:rPr>
      </w:pPr>
      <w:r>
        <w:rPr>
          <w:rFonts w:asciiTheme="minorHAnsi" w:hAnsiTheme="minorHAnsi"/>
        </w:rPr>
        <w:t>The sponsor has no comment.</w:t>
      </w:r>
    </w:p>
    <w:p w14:paraId="042C5419" w14:textId="7D373441" w:rsidR="004D47AE" w:rsidRDefault="004D47AE">
      <w:pPr>
        <w:rPr>
          <w:rFonts w:asciiTheme="minorHAnsi" w:eastAsiaTheme="majorEastAsia" w:hAnsiTheme="minorHAnsi" w:cstheme="majorBidi"/>
          <w:bCs/>
        </w:rPr>
      </w:pPr>
      <w:r>
        <w:rPr>
          <w:rFonts w:asciiTheme="minorHAnsi" w:eastAsiaTheme="majorEastAsia" w:hAnsiTheme="minorHAnsi" w:cstheme="majorBidi"/>
          <w:bCs/>
        </w:rPr>
        <w:br w:type="page"/>
      </w:r>
    </w:p>
    <w:p w14:paraId="7D23C5F9" w14:textId="77777777" w:rsidR="004D47AE" w:rsidRPr="002179F2" w:rsidRDefault="004D47AE" w:rsidP="00FE5FF1">
      <w:pPr>
        <w:pStyle w:val="Heading4"/>
      </w:pPr>
      <w:r w:rsidRPr="002179F2">
        <w:lastRenderedPageBreak/>
        <w:t>Disclaimer</w:t>
      </w:r>
    </w:p>
    <w:p w14:paraId="606EE0C2" w14:textId="77777777" w:rsidR="004D47AE" w:rsidRPr="004D47AE" w:rsidRDefault="004D47AE" w:rsidP="004D47AE">
      <w:pPr>
        <w:rPr>
          <w:rFonts w:asciiTheme="minorHAnsi" w:eastAsiaTheme="majorEastAsia" w:hAnsiTheme="minorHAnsi" w:cstheme="majorBidi"/>
          <w:bCs/>
        </w:rPr>
      </w:pPr>
      <w:r w:rsidRPr="004D47AE">
        <w:rPr>
          <w:rFonts w:asciiTheme="minorHAnsi" w:eastAsiaTheme="majorEastAsia" w:hAnsiTheme="minorHAnsi" w:cstheme="majorBidi"/>
          <w:bCs/>
        </w:rP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18B163B2" w14:textId="77777777" w:rsidR="004D47AE" w:rsidRPr="004D47AE" w:rsidRDefault="004D47AE" w:rsidP="004D47AE">
      <w:pPr>
        <w:rPr>
          <w:rFonts w:asciiTheme="minorHAnsi" w:eastAsiaTheme="majorEastAsia" w:hAnsiTheme="minorHAnsi" w:cstheme="majorBidi"/>
          <w:bCs/>
        </w:rPr>
      </w:pPr>
      <w:r w:rsidRPr="004D47AE">
        <w:rPr>
          <w:rFonts w:asciiTheme="minorHAnsi" w:eastAsiaTheme="majorEastAsia" w:hAnsiTheme="minorHAnsi" w:cstheme="majorBidi"/>
          <w:bCs/>
        </w:rPr>
        <w:t>The Department of Health (</w:t>
      </w:r>
      <w:proofErr w:type="spellStart"/>
      <w:r w:rsidRPr="004D47AE">
        <w:rPr>
          <w:rFonts w:asciiTheme="minorHAnsi" w:eastAsiaTheme="majorEastAsia" w:hAnsiTheme="minorHAnsi" w:cstheme="majorBidi"/>
          <w:bCs/>
        </w:rPr>
        <w:t>DoH</w:t>
      </w:r>
      <w:proofErr w:type="spellEnd"/>
      <w:r w:rsidRPr="004D47AE">
        <w:rPr>
          <w:rFonts w:asciiTheme="minorHAnsi" w:eastAsiaTheme="majorEastAsia" w:hAnsiTheme="minorHAnsi" w:cstheme="majorBidi"/>
          <w:bCs/>
        </w:rPr>
        <w:t>)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684A68BF" w14:textId="77777777" w:rsidR="004D47AE" w:rsidRPr="004D47AE" w:rsidRDefault="004D47AE" w:rsidP="004D47AE">
      <w:pPr>
        <w:rPr>
          <w:rFonts w:asciiTheme="minorHAnsi" w:eastAsiaTheme="majorEastAsia" w:hAnsiTheme="minorHAnsi" w:cstheme="majorBidi"/>
          <w:bCs/>
        </w:rPr>
      </w:pPr>
      <w:r w:rsidRPr="004D47AE">
        <w:rPr>
          <w:rFonts w:asciiTheme="minorHAnsi" w:eastAsiaTheme="majorEastAsia" w:hAnsiTheme="minorHAnsi" w:cstheme="majorBidi"/>
          <w:bCs/>
        </w:rPr>
        <w:t xml:space="preserve">To the extent provided by law, </w:t>
      </w:r>
      <w:proofErr w:type="spellStart"/>
      <w:r w:rsidRPr="004D47AE">
        <w:rPr>
          <w:rFonts w:asciiTheme="minorHAnsi" w:eastAsiaTheme="majorEastAsia" w:hAnsiTheme="minorHAnsi" w:cstheme="majorBidi"/>
          <w:bCs/>
        </w:rPr>
        <w:t>DoH</w:t>
      </w:r>
      <w:proofErr w:type="spellEnd"/>
      <w:r w:rsidRPr="004D47AE">
        <w:rPr>
          <w:rFonts w:asciiTheme="minorHAnsi" w:eastAsiaTheme="majorEastAsia" w:hAnsiTheme="minorHAnsi" w:cstheme="majorBidi"/>
          <w:bCs/>
        </w:rPr>
        <w:t xml:space="preserve"> makes no warranties or representations as to accuracy or completeness of information contained in this report. </w:t>
      </w:r>
    </w:p>
    <w:p w14:paraId="49DC9EBF" w14:textId="09A1535D" w:rsidR="00040719" w:rsidRPr="00DA30B8" w:rsidRDefault="004D47AE" w:rsidP="004D47AE">
      <w:pPr>
        <w:rPr>
          <w:rFonts w:asciiTheme="minorHAnsi" w:eastAsiaTheme="majorEastAsia" w:hAnsiTheme="minorHAnsi" w:cstheme="majorBidi"/>
          <w:bCs/>
        </w:rPr>
      </w:pPr>
      <w:r w:rsidRPr="004D47AE">
        <w:rPr>
          <w:rFonts w:asciiTheme="minorHAnsi" w:eastAsiaTheme="majorEastAsia" w:hAnsiTheme="minorHAnsi" w:cstheme="majorBidi"/>
          <w:bCs/>
        </w:rPr>
        <w:t xml:space="preserve">To the fullest extent permitted by law, neither the </w:t>
      </w:r>
      <w:proofErr w:type="spellStart"/>
      <w:r w:rsidRPr="004D47AE">
        <w:rPr>
          <w:rFonts w:asciiTheme="minorHAnsi" w:eastAsiaTheme="majorEastAsia" w:hAnsiTheme="minorHAnsi" w:cstheme="majorBidi"/>
          <w:bCs/>
        </w:rPr>
        <w:t>DoH</w:t>
      </w:r>
      <w:proofErr w:type="spellEnd"/>
      <w:r w:rsidRPr="004D47AE">
        <w:rPr>
          <w:rFonts w:asciiTheme="minorHAnsi" w:eastAsiaTheme="majorEastAsia" w:hAnsiTheme="minorHAnsi" w:cstheme="majorBidi"/>
          <w:bCs/>
        </w:rPr>
        <w:t xml:space="preserve"> nor any </w:t>
      </w:r>
      <w:proofErr w:type="spellStart"/>
      <w:r w:rsidRPr="004D47AE">
        <w:rPr>
          <w:rFonts w:asciiTheme="minorHAnsi" w:eastAsiaTheme="majorEastAsia" w:hAnsiTheme="minorHAnsi" w:cstheme="majorBidi"/>
          <w:bCs/>
        </w:rPr>
        <w:t>DoH</w:t>
      </w:r>
      <w:proofErr w:type="spellEnd"/>
      <w:r w:rsidRPr="004D47AE">
        <w:rPr>
          <w:rFonts w:asciiTheme="minorHAnsi" w:eastAsiaTheme="majorEastAsia" w:hAnsiTheme="minorHAnsi" w:cstheme="majorBidi"/>
          <w:bCs/>
        </w:rPr>
        <w:t xml:space="preserv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sectPr w:rsidR="00040719" w:rsidRPr="00DA30B8" w:rsidSect="007E1A2B">
      <w:headerReference w:type="even" r:id="rId52"/>
      <w:headerReference w:type="default" r:id="rId53"/>
      <w:footerReference w:type="even" r:id="rId54"/>
      <w:footerReference w:type="default" r:id="rId55"/>
      <w:headerReference w:type="first" r:id="rId56"/>
      <w:footerReference w:type="first" r:id="rId57"/>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50FC2" w14:textId="77777777" w:rsidR="006E4A35" w:rsidRDefault="006E4A35" w:rsidP="00705DAD">
      <w:pPr>
        <w:spacing w:after="0" w:line="240" w:lineRule="auto"/>
      </w:pPr>
      <w:r>
        <w:separator/>
      </w:r>
    </w:p>
  </w:endnote>
  <w:endnote w:type="continuationSeparator" w:id="0">
    <w:p w14:paraId="45A4A8C8" w14:textId="77777777" w:rsidR="006E4A35" w:rsidRDefault="006E4A35" w:rsidP="00705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9D5E5" w14:textId="77777777" w:rsidR="006E4A35" w:rsidRDefault="006E4A35" w:rsidP="00705D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6E4A35" w:rsidRDefault="006E4A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8962789"/>
      <w:docPartObj>
        <w:docPartGallery w:val="Page Numbers (Bottom of Page)"/>
        <w:docPartUnique/>
      </w:docPartObj>
    </w:sdtPr>
    <w:sdtEndPr>
      <w:rPr>
        <w:rFonts w:asciiTheme="minorHAnsi" w:hAnsiTheme="minorHAnsi"/>
        <w:noProof/>
      </w:rPr>
    </w:sdtEndPr>
    <w:sdtContent>
      <w:p w14:paraId="38438502" w14:textId="22A53427" w:rsidR="0093600A" w:rsidRPr="0093600A" w:rsidRDefault="0093600A">
        <w:pPr>
          <w:pStyle w:val="Footer"/>
          <w:jc w:val="right"/>
          <w:rPr>
            <w:rFonts w:asciiTheme="minorHAnsi" w:hAnsiTheme="minorHAnsi"/>
          </w:rPr>
        </w:pPr>
        <w:r w:rsidRPr="0093600A">
          <w:rPr>
            <w:rFonts w:asciiTheme="minorHAnsi" w:hAnsiTheme="minorHAnsi"/>
          </w:rPr>
          <w:fldChar w:fldCharType="begin"/>
        </w:r>
        <w:r w:rsidRPr="0093600A">
          <w:rPr>
            <w:rFonts w:asciiTheme="minorHAnsi" w:hAnsiTheme="minorHAnsi"/>
          </w:rPr>
          <w:instrText xml:space="preserve"> PAGE   \* MERGEFORMAT </w:instrText>
        </w:r>
        <w:r w:rsidRPr="0093600A">
          <w:rPr>
            <w:rFonts w:asciiTheme="minorHAnsi" w:hAnsiTheme="minorHAnsi"/>
          </w:rPr>
          <w:fldChar w:fldCharType="separate"/>
        </w:r>
        <w:r w:rsidR="00452E08">
          <w:rPr>
            <w:rFonts w:asciiTheme="minorHAnsi" w:hAnsiTheme="minorHAnsi"/>
            <w:noProof/>
          </w:rPr>
          <w:t>14</w:t>
        </w:r>
        <w:r w:rsidRPr="0093600A">
          <w:rPr>
            <w:rFonts w:asciiTheme="minorHAnsi" w:hAnsiTheme="minorHAnsi"/>
            <w:noProof/>
          </w:rPr>
          <w:fldChar w:fldCharType="end"/>
        </w:r>
      </w:p>
    </w:sdtContent>
  </w:sdt>
  <w:p w14:paraId="16541DE1" w14:textId="549C2C3C" w:rsidR="006E4A35" w:rsidRDefault="006E4A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6001090"/>
      <w:docPartObj>
        <w:docPartGallery w:val="Page Numbers (Bottom of Page)"/>
        <w:docPartUnique/>
      </w:docPartObj>
    </w:sdtPr>
    <w:sdtEndPr>
      <w:rPr>
        <w:rFonts w:asciiTheme="minorHAnsi" w:hAnsiTheme="minorHAnsi"/>
        <w:noProof/>
      </w:rPr>
    </w:sdtEndPr>
    <w:sdtContent>
      <w:p w14:paraId="75D84A97" w14:textId="2C99E55A" w:rsidR="006E4A35" w:rsidRPr="00D36878" w:rsidRDefault="006E4A35">
        <w:pPr>
          <w:pStyle w:val="Footer"/>
          <w:jc w:val="center"/>
          <w:rPr>
            <w:rFonts w:asciiTheme="minorHAnsi" w:hAnsiTheme="minorHAnsi"/>
          </w:rPr>
        </w:pPr>
        <w:r w:rsidRPr="00D36878">
          <w:rPr>
            <w:rFonts w:asciiTheme="minorHAnsi" w:hAnsiTheme="minorHAnsi"/>
          </w:rPr>
          <w:fldChar w:fldCharType="begin"/>
        </w:r>
        <w:r w:rsidRPr="00D36878">
          <w:rPr>
            <w:rFonts w:asciiTheme="minorHAnsi" w:hAnsiTheme="minorHAnsi"/>
          </w:rPr>
          <w:instrText xml:space="preserve"> PAGE   \* MERGEFORMAT </w:instrText>
        </w:r>
        <w:r w:rsidRPr="00D36878">
          <w:rPr>
            <w:rFonts w:asciiTheme="minorHAnsi" w:hAnsiTheme="minorHAnsi"/>
          </w:rPr>
          <w:fldChar w:fldCharType="separate"/>
        </w:r>
        <w:r w:rsidR="0098763C">
          <w:rPr>
            <w:rFonts w:asciiTheme="minorHAnsi" w:hAnsiTheme="minorHAnsi"/>
            <w:noProof/>
          </w:rPr>
          <w:t>1</w:t>
        </w:r>
        <w:r w:rsidRPr="00D36878">
          <w:rPr>
            <w:rFonts w:asciiTheme="minorHAnsi" w:hAnsiTheme="minorHAnsi"/>
            <w:noProof/>
          </w:rPr>
          <w:fldChar w:fldCharType="end"/>
        </w:r>
      </w:p>
    </w:sdtContent>
  </w:sdt>
  <w:p w14:paraId="3020D000" w14:textId="77777777" w:rsidR="006E4A35" w:rsidRDefault="006E4A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5EEDE" w14:textId="77777777" w:rsidR="006E4A35" w:rsidRDefault="006E4A35" w:rsidP="00705DAD">
      <w:pPr>
        <w:spacing w:after="0" w:line="240" w:lineRule="auto"/>
      </w:pPr>
      <w:r>
        <w:separator/>
      </w:r>
    </w:p>
  </w:footnote>
  <w:footnote w:type="continuationSeparator" w:id="0">
    <w:p w14:paraId="7E2CA1E4" w14:textId="77777777" w:rsidR="006E4A35" w:rsidRDefault="006E4A35" w:rsidP="00705DAD">
      <w:pPr>
        <w:spacing w:after="0" w:line="240" w:lineRule="auto"/>
      </w:pPr>
      <w:r>
        <w:continuationSeparator/>
      </w:r>
    </w:p>
  </w:footnote>
  <w:footnote w:id="1">
    <w:p w14:paraId="24E4EA8B" w14:textId="00877738" w:rsidR="00BB45D7" w:rsidRPr="00BB45D7" w:rsidRDefault="00BB45D7">
      <w:pPr>
        <w:pStyle w:val="FootnoteText"/>
        <w:rPr>
          <w:rFonts w:asciiTheme="minorHAnsi" w:hAnsiTheme="minorHAnsi"/>
        </w:rPr>
      </w:pPr>
      <w:r w:rsidRPr="00BB45D7">
        <w:rPr>
          <w:rStyle w:val="FootnoteReference"/>
          <w:rFonts w:asciiTheme="minorHAnsi" w:hAnsiTheme="minorHAnsi"/>
        </w:rPr>
        <w:footnoteRef/>
      </w:r>
      <w:r w:rsidRPr="00BB45D7">
        <w:rPr>
          <w:rFonts w:asciiTheme="minorHAnsi" w:hAnsiTheme="minorHAnsi"/>
        </w:rPr>
        <w:t xml:space="preserve"> </w:t>
      </w:r>
      <w:proofErr w:type="gramStart"/>
      <w:r w:rsidRPr="00BB45D7">
        <w:rPr>
          <w:rFonts w:asciiTheme="minorHAnsi" w:hAnsiTheme="minorHAnsi"/>
        </w:rPr>
        <w:t>Pharmaceutical Benefits Advisory Committee.</w:t>
      </w:r>
      <w:proofErr w:type="gramEnd"/>
      <w:r w:rsidRPr="00BB45D7">
        <w:rPr>
          <w:rFonts w:asciiTheme="minorHAnsi" w:hAnsiTheme="minorHAnsi"/>
        </w:rPr>
        <w:t xml:space="preserve"> </w:t>
      </w:r>
      <w:proofErr w:type="spellStart"/>
      <w:proofErr w:type="gramStart"/>
      <w:r w:rsidRPr="00BB45D7">
        <w:rPr>
          <w:rFonts w:asciiTheme="minorHAnsi" w:hAnsiTheme="minorHAnsi"/>
        </w:rPr>
        <w:t>Lenalidomide</w:t>
      </w:r>
      <w:proofErr w:type="spellEnd"/>
      <w:r w:rsidRPr="00BB45D7">
        <w:rPr>
          <w:rFonts w:asciiTheme="minorHAnsi" w:hAnsiTheme="minorHAnsi"/>
        </w:rPr>
        <w:t xml:space="preserve"> Public Summary Document.</w:t>
      </w:r>
      <w:proofErr w:type="gramEnd"/>
      <w:r w:rsidRPr="00BB45D7">
        <w:rPr>
          <w:rFonts w:asciiTheme="minorHAnsi" w:hAnsiTheme="minorHAnsi"/>
        </w:rPr>
        <w:t xml:space="preserve"> Pharmaceutical Benefits Advisory Committee; March 2013. </w:t>
      </w:r>
      <w:proofErr w:type="gramStart"/>
      <w:r w:rsidRPr="00BB45D7">
        <w:rPr>
          <w:rFonts w:asciiTheme="minorHAnsi" w:hAnsiTheme="minorHAnsi"/>
        </w:rPr>
        <w:t xml:space="preserve">Available from </w:t>
      </w:r>
      <w:r w:rsidRPr="00070F9C">
        <w:rPr>
          <w:rFonts w:asciiTheme="minorHAnsi" w:hAnsiTheme="minorHAnsi"/>
        </w:rPr>
        <w:t>http://www.pbs.gov.au/info/industry/listing/elements/pbac-meetings/psd/2013-03/lenalidomide</w:t>
      </w:r>
      <w:r w:rsidRPr="00BB45D7">
        <w:rPr>
          <w:rFonts w:asciiTheme="minorHAnsi" w:hAnsiTheme="minorHAnsi"/>
        </w:rPr>
        <w:t>.</w:t>
      </w:r>
      <w:proofErr w:type="gramEnd"/>
      <w:r w:rsidRPr="00BB45D7">
        <w:rPr>
          <w:rFonts w:asciiTheme="minorHAnsi" w:hAnsiTheme="minorHAnsi"/>
        </w:rPr>
        <w:t xml:space="preserve"> </w:t>
      </w:r>
      <w:proofErr w:type="gramStart"/>
      <w:r w:rsidRPr="00BB45D7">
        <w:rPr>
          <w:rFonts w:asciiTheme="minorHAnsi" w:hAnsiTheme="minorHAnsi"/>
        </w:rPr>
        <w:t>Accessed 16 July 2014.</w:t>
      </w:r>
      <w:proofErr w:type="gramEnd"/>
    </w:p>
  </w:footnote>
  <w:footnote w:id="2">
    <w:p w14:paraId="24965A11" w14:textId="77777777" w:rsidR="006E4A35" w:rsidRPr="00D97474" w:rsidRDefault="006E4A35" w:rsidP="00D97474">
      <w:pPr>
        <w:pStyle w:val="FootnoteText"/>
        <w:rPr>
          <w:rFonts w:asciiTheme="minorHAnsi" w:hAnsiTheme="minorHAnsi"/>
        </w:rPr>
      </w:pPr>
      <w:r w:rsidRPr="00D97474">
        <w:rPr>
          <w:rStyle w:val="FootnoteReference"/>
          <w:rFonts w:asciiTheme="minorHAnsi" w:hAnsiTheme="minorHAnsi"/>
        </w:rPr>
        <w:footnoteRef/>
      </w:r>
      <w:r w:rsidRPr="00D97474">
        <w:rPr>
          <w:rFonts w:asciiTheme="minorHAnsi" w:hAnsiTheme="minorHAnsi"/>
        </w:rPr>
        <w:t xml:space="preserve"> Modell B, Khan M, </w:t>
      </w:r>
      <w:proofErr w:type="spellStart"/>
      <w:r w:rsidRPr="00D97474">
        <w:rPr>
          <w:rFonts w:asciiTheme="minorHAnsi" w:hAnsiTheme="minorHAnsi"/>
        </w:rPr>
        <w:t>Darlison</w:t>
      </w:r>
      <w:proofErr w:type="spellEnd"/>
      <w:r w:rsidRPr="00D97474">
        <w:rPr>
          <w:rFonts w:asciiTheme="minorHAnsi" w:hAnsiTheme="minorHAnsi"/>
        </w:rPr>
        <w:t xml:space="preserve"> M. Survival in beta-</w:t>
      </w:r>
      <w:proofErr w:type="spellStart"/>
      <w:r w:rsidRPr="00D97474">
        <w:rPr>
          <w:rFonts w:asciiTheme="minorHAnsi" w:hAnsiTheme="minorHAnsi"/>
        </w:rPr>
        <w:t>thalassaemia</w:t>
      </w:r>
      <w:proofErr w:type="spellEnd"/>
      <w:r w:rsidRPr="00D97474">
        <w:rPr>
          <w:rFonts w:asciiTheme="minorHAnsi" w:hAnsiTheme="minorHAnsi"/>
        </w:rPr>
        <w:t xml:space="preserve"> major in the </w:t>
      </w:r>
      <w:proofErr w:type="spellStart"/>
      <w:r w:rsidRPr="00D97474">
        <w:rPr>
          <w:rFonts w:asciiTheme="minorHAnsi" w:hAnsiTheme="minorHAnsi"/>
        </w:rPr>
        <w:t>UK</w:t>
      </w:r>
      <w:proofErr w:type="gramStart"/>
      <w:r w:rsidRPr="00D97474">
        <w:rPr>
          <w:rFonts w:asciiTheme="minorHAnsi" w:hAnsiTheme="minorHAnsi"/>
        </w:rPr>
        <w:t>:data</w:t>
      </w:r>
      <w:proofErr w:type="spellEnd"/>
      <w:proofErr w:type="gramEnd"/>
      <w:r w:rsidRPr="00D97474">
        <w:rPr>
          <w:rFonts w:asciiTheme="minorHAnsi" w:hAnsiTheme="minorHAnsi"/>
        </w:rPr>
        <w:t xml:space="preserve"> from the UK </w:t>
      </w:r>
      <w:proofErr w:type="spellStart"/>
      <w:r w:rsidRPr="00D97474">
        <w:rPr>
          <w:rFonts w:asciiTheme="minorHAnsi" w:hAnsiTheme="minorHAnsi"/>
        </w:rPr>
        <w:t>Thalassaemia</w:t>
      </w:r>
      <w:proofErr w:type="spellEnd"/>
      <w:r w:rsidRPr="00D97474">
        <w:rPr>
          <w:rFonts w:asciiTheme="minorHAnsi" w:hAnsiTheme="minorHAnsi"/>
        </w:rPr>
        <w:t xml:space="preserve"> Register. </w:t>
      </w:r>
      <w:proofErr w:type="gramStart"/>
      <w:r w:rsidRPr="00D97474">
        <w:rPr>
          <w:rFonts w:asciiTheme="minorHAnsi" w:hAnsiTheme="minorHAnsi"/>
        </w:rPr>
        <w:t>Lancet.</w:t>
      </w:r>
      <w:proofErr w:type="gramEnd"/>
      <w:r w:rsidRPr="00D97474">
        <w:rPr>
          <w:rFonts w:asciiTheme="minorHAnsi" w:hAnsiTheme="minorHAnsi"/>
        </w:rPr>
        <w:t xml:space="preserve"> 2000 Jun 10</w:t>
      </w:r>
      <w:proofErr w:type="gramStart"/>
      <w:r w:rsidRPr="00D97474">
        <w:rPr>
          <w:rFonts w:asciiTheme="minorHAnsi" w:hAnsiTheme="minorHAnsi"/>
        </w:rPr>
        <w:t>;355</w:t>
      </w:r>
      <w:proofErr w:type="gramEnd"/>
      <w:r w:rsidRPr="00D97474">
        <w:rPr>
          <w:rFonts w:asciiTheme="minorHAnsi" w:hAnsiTheme="minorHAnsi"/>
        </w:rPr>
        <w:t>(9220):2051-2.</w:t>
      </w:r>
    </w:p>
  </w:footnote>
  <w:footnote w:id="3">
    <w:p w14:paraId="49B090AD" w14:textId="2E672F4D" w:rsidR="006E4A35" w:rsidRPr="00D97474" w:rsidRDefault="006E4A35" w:rsidP="00D97474">
      <w:pPr>
        <w:pStyle w:val="FootnoteText"/>
        <w:rPr>
          <w:rFonts w:asciiTheme="minorHAnsi" w:hAnsiTheme="minorHAnsi"/>
        </w:rPr>
      </w:pPr>
      <w:r w:rsidRPr="00D97474">
        <w:rPr>
          <w:rStyle w:val="FootnoteReference"/>
          <w:rFonts w:asciiTheme="minorHAnsi" w:hAnsiTheme="minorHAnsi"/>
        </w:rPr>
        <w:footnoteRef/>
      </w:r>
      <w:r w:rsidRPr="00D97474">
        <w:rPr>
          <w:rFonts w:asciiTheme="minorHAnsi" w:hAnsiTheme="minorHAnsi"/>
        </w:rPr>
        <w:t xml:space="preserve"> </w:t>
      </w:r>
      <w:proofErr w:type="spellStart"/>
      <w:proofErr w:type="gramStart"/>
      <w:r w:rsidRPr="00D97474">
        <w:rPr>
          <w:rFonts w:asciiTheme="minorHAnsi" w:hAnsiTheme="minorHAnsi"/>
        </w:rPr>
        <w:t>Desferal</w:t>
      </w:r>
      <w:proofErr w:type="spellEnd"/>
      <w:r w:rsidRPr="00D97474">
        <w:rPr>
          <w:rFonts w:asciiTheme="minorHAnsi" w:hAnsiTheme="minorHAnsi"/>
        </w:rPr>
        <w:t xml:space="preserve"> (</w:t>
      </w:r>
      <w:proofErr w:type="spellStart"/>
      <w:r w:rsidRPr="00D97474">
        <w:rPr>
          <w:rFonts w:asciiTheme="minorHAnsi" w:hAnsiTheme="minorHAnsi"/>
        </w:rPr>
        <w:t>desferrioxamine</w:t>
      </w:r>
      <w:proofErr w:type="spellEnd"/>
      <w:r w:rsidRPr="00D97474">
        <w:rPr>
          <w:rFonts w:asciiTheme="minorHAnsi" w:hAnsiTheme="minorHAnsi"/>
        </w:rPr>
        <w:t>) Product Information.</w:t>
      </w:r>
      <w:proofErr w:type="gramEnd"/>
      <w:r w:rsidRPr="00D97474">
        <w:rPr>
          <w:rFonts w:asciiTheme="minorHAnsi" w:hAnsiTheme="minorHAnsi"/>
        </w:rPr>
        <w:t xml:space="preserve"> </w:t>
      </w:r>
      <w:proofErr w:type="gramStart"/>
      <w:r w:rsidRPr="00D97474">
        <w:rPr>
          <w:rFonts w:asciiTheme="minorHAnsi" w:hAnsiTheme="minorHAnsi"/>
        </w:rPr>
        <w:t>Accessed 16 December 2013.</w:t>
      </w:r>
      <w:proofErr w:type="gramEnd"/>
      <w:r w:rsidRPr="00D97474">
        <w:rPr>
          <w:rFonts w:asciiTheme="minorHAnsi" w:hAnsiTheme="minorHAnsi"/>
        </w:rPr>
        <w:t xml:space="preserve"> Available from </w:t>
      </w:r>
      <w:r w:rsidRPr="00070F9C">
        <w:rPr>
          <w:rFonts w:asciiTheme="minorHAnsi" w:hAnsiTheme="minorHAnsi"/>
        </w:rPr>
        <w:t>https://www.ebs.tga.gov.au</w:t>
      </w:r>
      <w:r w:rsidRPr="00D97474">
        <w:rPr>
          <w:rFonts w:asciiTheme="minorHAnsi" w:hAnsiTheme="minorHAnsi"/>
        </w:rPr>
        <w:t>/</w:t>
      </w:r>
    </w:p>
  </w:footnote>
  <w:footnote w:id="4">
    <w:p w14:paraId="15AB1005" w14:textId="3F9ED92A" w:rsidR="006E4A35" w:rsidRPr="00D97474" w:rsidRDefault="006E4A35" w:rsidP="00D97474">
      <w:pPr>
        <w:pStyle w:val="FootnoteText"/>
        <w:rPr>
          <w:rFonts w:asciiTheme="minorHAnsi" w:hAnsiTheme="minorHAnsi"/>
        </w:rPr>
      </w:pPr>
      <w:r w:rsidRPr="00D97474">
        <w:rPr>
          <w:rStyle w:val="FootnoteReference"/>
          <w:rFonts w:asciiTheme="minorHAnsi" w:hAnsiTheme="minorHAnsi"/>
        </w:rPr>
        <w:footnoteRef/>
      </w:r>
      <w:r w:rsidRPr="00D97474">
        <w:rPr>
          <w:rFonts w:asciiTheme="minorHAnsi" w:hAnsiTheme="minorHAnsi"/>
        </w:rPr>
        <w:t xml:space="preserve"> </w:t>
      </w:r>
      <w:proofErr w:type="spellStart"/>
      <w:proofErr w:type="gramStart"/>
      <w:r w:rsidRPr="00D97474">
        <w:rPr>
          <w:rFonts w:asciiTheme="minorHAnsi" w:hAnsiTheme="minorHAnsi"/>
        </w:rPr>
        <w:t>Ferriprox</w:t>
      </w:r>
      <w:proofErr w:type="spellEnd"/>
      <w:r w:rsidRPr="00D97474">
        <w:rPr>
          <w:rFonts w:asciiTheme="minorHAnsi" w:hAnsiTheme="minorHAnsi"/>
        </w:rPr>
        <w:t xml:space="preserve"> (</w:t>
      </w:r>
      <w:proofErr w:type="spellStart"/>
      <w:r w:rsidRPr="00D97474">
        <w:rPr>
          <w:rFonts w:asciiTheme="minorHAnsi" w:hAnsiTheme="minorHAnsi"/>
        </w:rPr>
        <w:t>deferiprone</w:t>
      </w:r>
      <w:proofErr w:type="spellEnd"/>
      <w:r w:rsidRPr="00D97474">
        <w:rPr>
          <w:rFonts w:asciiTheme="minorHAnsi" w:hAnsiTheme="minorHAnsi"/>
        </w:rPr>
        <w:t>) Product Information.</w:t>
      </w:r>
      <w:proofErr w:type="gramEnd"/>
      <w:r w:rsidRPr="00D97474">
        <w:rPr>
          <w:rFonts w:asciiTheme="minorHAnsi" w:hAnsiTheme="minorHAnsi"/>
        </w:rPr>
        <w:t xml:space="preserve"> </w:t>
      </w:r>
      <w:proofErr w:type="gramStart"/>
      <w:r w:rsidRPr="00D97474">
        <w:rPr>
          <w:rFonts w:asciiTheme="minorHAnsi" w:hAnsiTheme="minorHAnsi"/>
        </w:rPr>
        <w:t>Accessed 24 October 2013.</w:t>
      </w:r>
      <w:proofErr w:type="gramEnd"/>
      <w:r w:rsidRPr="00D97474">
        <w:rPr>
          <w:rFonts w:asciiTheme="minorHAnsi" w:hAnsiTheme="minorHAnsi"/>
        </w:rPr>
        <w:t xml:space="preserve"> Available from </w:t>
      </w:r>
      <w:r w:rsidRPr="00070F9C">
        <w:rPr>
          <w:rFonts w:asciiTheme="minorHAnsi" w:hAnsiTheme="minorHAnsi"/>
        </w:rPr>
        <w:t>https://www.ebs.tga.gov.au</w:t>
      </w:r>
      <w:r w:rsidRPr="00D97474">
        <w:rPr>
          <w:rFonts w:asciiTheme="minorHAnsi" w:hAnsiTheme="minorHAnsi"/>
        </w:rPr>
        <w:t>/</w:t>
      </w:r>
    </w:p>
  </w:footnote>
  <w:footnote w:id="5">
    <w:p w14:paraId="5E925B1E" w14:textId="6AFD10E8" w:rsidR="006E4A35" w:rsidRPr="00D97474" w:rsidRDefault="006E4A35" w:rsidP="00D97474">
      <w:pPr>
        <w:pStyle w:val="FootnoteText"/>
        <w:rPr>
          <w:rFonts w:asciiTheme="minorHAnsi" w:hAnsiTheme="minorHAnsi"/>
        </w:rPr>
      </w:pPr>
      <w:r w:rsidRPr="00D97474">
        <w:rPr>
          <w:rStyle w:val="FootnoteReference"/>
          <w:rFonts w:asciiTheme="minorHAnsi" w:hAnsiTheme="minorHAnsi"/>
        </w:rPr>
        <w:footnoteRef/>
      </w:r>
      <w:r w:rsidRPr="00D97474">
        <w:rPr>
          <w:rFonts w:asciiTheme="minorHAnsi" w:hAnsiTheme="minorHAnsi"/>
        </w:rPr>
        <w:t xml:space="preserve"> </w:t>
      </w:r>
      <w:proofErr w:type="spellStart"/>
      <w:proofErr w:type="gramStart"/>
      <w:r w:rsidRPr="00D97474">
        <w:rPr>
          <w:rFonts w:asciiTheme="minorHAnsi" w:hAnsiTheme="minorHAnsi"/>
        </w:rPr>
        <w:t>Exjade</w:t>
      </w:r>
      <w:proofErr w:type="spellEnd"/>
      <w:r w:rsidRPr="00D97474">
        <w:rPr>
          <w:rFonts w:asciiTheme="minorHAnsi" w:hAnsiTheme="minorHAnsi"/>
        </w:rPr>
        <w:t xml:space="preserve"> (</w:t>
      </w:r>
      <w:proofErr w:type="spellStart"/>
      <w:r w:rsidRPr="00D97474">
        <w:rPr>
          <w:rFonts w:asciiTheme="minorHAnsi" w:hAnsiTheme="minorHAnsi"/>
        </w:rPr>
        <w:t>deferasirox</w:t>
      </w:r>
      <w:proofErr w:type="spellEnd"/>
      <w:r w:rsidRPr="00D97474">
        <w:rPr>
          <w:rFonts w:asciiTheme="minorHAnsi" w:hAnsiTheme="minorHAnsi"/>
        </w:rPr>
        <w:t>) Product Information.</w:t>
      </w:r>
      <w:proofErr w:type="gramEnd"/>
      <w:r w:rsidRPr="00D97474">
        <w:rPr>
          <w:rFonts w:asciiTheme="minorHAnsi" w:hAnsiTheme="minorHAnsi"/>
        </w:rPr>
        <w:t xml:space="preserve"> </w:t>
      </w:r>
      <w:proofErr w:type="gramStart"/>
      <w:r w:rsidRPr="00D97474">
        <w:rPr>
          <w:rFonts w:asciiTheme="minorHAnsi" w:hAnsiTheme="minorHAnsi"/>
        </w:rPr>
        <w:t>Accessed 24 October 2013.</w:t>
      </w:r>
      <w:proofErr w:type="gramEnd"/>
      <w:r w:rsidRPr="00D97474">
        <w:rPr>
          <w:rFonts w:asciiTheme="minorHAnsi" w:hAnsiTheme="minorHAnsi"/>
        </w:rPr>
        <w:t xml:space="preserve"> Available from </w:t>
      </w:r>
      <w:r w:rsidRPr="00070F9C">
        <w:rPr>
          <w:rFonts w:asciiTheme="minorHAnsi" w:hAnsiTheme="minorHAnsi"/>
        </w:rPr>
        <w:t>https://www.ebs.tga.gov.au</w:t>
      </w:r>
      <w:r w:rsidRPr="00D97474">
        <w:rPr>
          <w:rFonts w:asciiTheme="minorHAnsi" w:hAnsiTheme="minorHAnsi"/>
        </w:rPr>
        <w:t>/</w:t>
      </w:r>
    </w:p>
  </w:footnote>
  <w:footnote w:id="6">
    <w:p w14:paraId="519C467C" w14:textId="77777777" w:rsidR="006E4A35" w:rsidRPr="000B00BE" w:rsidRDefault="006E4A35" w:rsidP="000B00BE">
      <w:pPr>
        <w:pStyle w:val="FootnoteText"/>
        <w:rPr>
          <w:rFonts w:asciiTheme="minorHAnsi" w:hAnsiTheme="minorHAnsi"/>
        </w:rPr>
      </w:pPr>
      <w:r w:rsidRPr="000B00BE">
        <w:rPr>
          <w:rStyle w:val="FootnoteReference"/>
          <w:rFonts w:asciiTheme="minorHAnsi" w:hAnsiTheme="minorHAnsi"/>
        </w:rPr>
        <w:footnoteRef/>
      </w:r>
      <w:r w:rsidRPr="000B00BE">
        <w:rPr>
          <w:rFonts w:asciiTheme="minorHAnsi" w:hAnsiTheme="minorHAnsi"/>
        </w:rPr>
        <w:t xml:space="preserve"> </w:t>
      </w:r>
      <w:proofErr w:type="spellStart"/>
      <w:proofErr w:type="gramStart"/>
      <w:r w:rsidRPr="000B00BE">
        <w:rPr>
          <w:rFonts w:asciiTheme="minorHAnsi" w:hAnsiTheme="minorHAnsi"/>
        </w:rPr>
        <w:t>Olivieri</w:t>
      </w:r>
      <w:proofErr w:type="spellEnd"/>
      <w:r w:rsidRPr="000B00BE">
        <w:rPr>
          <w:rFonts w:asciiTheme="minorHAnsi" w:hAnsiTheme="minorHAnsi"/>
        </w:rPr>
        <w:t xml:space="preserve"> NF, </w:t>
      </w:r>
      <w:proofErr w:type="spellStart"/>
      <w:r w:rsidRPr="000B00BE">
        <w:rPr>
          <w:rFonts w:asciiTheme="minorHAnsi" w:hAnsiTheme="minorHAnsi"/>
        </w:rPr>
        <w:t>Brittenham</w:t>
      </w:r>
      <w:proofErr w:type="spellEnd"/>
      <w:r w:rsidRPr="000B00BE">
        <w:rPr>
          <w:rFonts w:asciiTheme="minorHAnsi" w:hAnsiTheme="minorHAnsi"/>
        </w:rPr>
        <w:t xml:space="preserve"> GM. Iron-chelating therapy and the treatment of thalassemia.</w:t>
      </w:r>
      <w:proofErr w:type="gramEnd"/>
      <w:r w:rsidRPr="000B00BE">
        <w:rPr>
          <w:rFonts w:asciiTheme="minorHAnsi" w:hAnsiTheme="minorHAnsi"/>
        </w:rPr>
        <w:t xml:space="preserve"> </w:t>
      </w:r>
      <w:proofErr w:type="gramStart"/>
      <w:r w:rsidRPr="000B00BE">
        <w:rPr>
          <w:rFonts w:asciiTheme="minorHAnsi" w:hAnsiTheme="minorHAnsi"/>
        </w:rPr>
        <w:t>Blood.</w:t>
      </w:r>
      <w:proofErr w:type="gramEnd"/>
      <w:r w:rsidRPr="000B00BE">
        <w:rPr>
          <w:rFonts w:asciiTheme="minorHAnsi" w:hAnsiTheme="minorHAnsi"/>
        </w:rPr>
        <w:t xml:space="preserve"> 1997</w:t>
      </w:r>
      <w:proofErr w:type="gramStart"/>
      <w:r w:rsidRPr="000B00BE">
        <w:rPr>
          <w:rFonts w:asciiTheme="minorHAnsi" w:hAnsiTheme="minorHAnsi"/>
        </w:rPr>
        <w:t>;89</w:t>
      </w:r>
      <w:proofErr w:type="gramEnd"/>
      <w:r w:rsidRPr="000B00BE">
        <w:rPr>
          <w:rFonts w:asciiTheme="minorHAnsi" w:hAnsiTheme="minorHAnsi"/>
        </w:rPr>
        <w:t>(3):739.</w:t>
      </w:r>
    </w:p>
  </w:footnote>
  <w:footnote w:id="7">
    <w:p w14:paraId="7348D1B8" w14:textId="77777777" w:rsidR="006E4A35" w:rsidRPr="000B00BE" w:rsidRDefault="006E4A35" w:rsidP="000B00BE">
      <w:pPr>
        <w:pStyle w:val="FootnoteText"/>
        <w:rPr>
          <w:rFonts w:asciiTheme="minorHAnsi" w:hAnsiTheme="minorHAnsi"/>
        </w:rPr>
      </w:pPr>
      <w:r w:rsidRPr="000B00BE">
        <w:rPr>
          <w:rStyle w:val="FootnoteReference"/>
          <w:rFonts w:asciiTheme="minorHAnsi" w:hAnsiTheme="minorHAnsi"/>
        </w:rPr>
        <w:footnoteRef/>
      </w:r>
      <w:r w:rsidRPr="000B00BE">
        <w:rPr>
          <w:rFonts w:asciiTheme="minorHAnsi" w:hAnsiTheme="minorHAnsi"/>
        </w:rPr>
        <w:t xml:space="preserve"> </w:t>
      </w:r>
      <w:proofErr w:type="gramStart"/>
      <w:r w:rsidRPr="000B00BE">
        <w:rPr>
          <w:rFonts w:asciiTheme="minorHAnsi" w:hAnsiTheme="minorHAnsi"/>
        </w:rPr>
        <w:t>Australian Institute of Health and Welfare &amp; Australasian Association of Cancer Registries 2012.</w:t>
      </w:r>
      <w:proofErr w:type="gramEnd"/>
    </w:p>
    <w:p w14:paraId="4BA27568" w14:textId="77777777" w:rsidR="006E4A35" w:rsidRDefault="006E4A35" w:rsidP="000B00BE">
      <w:pPr>
        <w:pStyle w:val="FootnoteText"/>
      </w:pPr>
      <w:r w:rsidRPr="000B00BE">
        <w:rPr>
          <w:rFonts w:asciiTheme="minorHAnsi" w:hAnsiTheme="minorHAnsi"/>
        </w:rPr>
        <w:t xml:space="preserve">Cancer in Australia: an overview, 2012. </w:t>
      </w:r>
      <w:proofErr w:type="gramStart"/>
      <w:r w:rsidRPr="000B00BE">
        <w:rPr>
          <w:rFonts w:asciiTheme="minorHAnsi" w:hAnsiTheme="minorHAnsi"/>
        </w:rPr>
        <w:t>Cancer series no. 74.</w:t>
      </w:r>
      <w:proofErr w:type="gramEnd"/>
      <w:r w:rsidRPr="000B00BE">
        <w:rPr>
          <w:rFonts w:asciiTheme="minorHAnsi" w:hAnsiTheme="minorHAnsi"/>
        </w:rPr>
        <w:t xml:space="preserve"> Cat. </w:t>
      </w:r>
      <w:proofErr w:type="gramStart"/>
      <w:r w:rsidRPr="000B00BE">
        <w:rPr>
          <w:rFonts w:asciiTheme="minorHAnsi" w:hAnsiTheme="minorHAnsi"/>
        </w:rPr>
        <w:t>no</w:t>
      </w:r>
      <w:proofErr w:type="gramEnd"/>
      <w:r w:rsidRPr="000B00BE">
        <w:rPr>
          <w:rFonts w:asciiTheme="minorHAnsi" w:hAnsiTheme="minorHAnsi"/>
        </w:rPr>
        <w:t>. CAN 70. Canberra: AIHW.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EC60F" w14:textId="77777777" w:rsidR="0093600A" w:rsidRDefault="009360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DD6FD" w14:textId="77777777" w:rsidR="0093600A" w:rsidRDefault="009360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4587C" w14:textId="77777777" w:rsidR="0093600A" w:rsidRDefault="009360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CA5"/>
    <w:multiLevelType w:val="hybridMultilevel"/>
    <w:tmpl w:val="537C46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1B955B1"/>
    <w:multiLevelType w:val="hybridMultilevel"/>
    <w:tmpl w:val="7DA8F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3ED3B88"/>
    <w:multiLevelType w:val="hybridMultilevel"/>
    <w:tmpl w:val="56882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5204D03"/>
    <w:multiLevelType w:val="hybridMultilevel"/>
    <w:tmpl w:val="499EB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1483709"/>
    <w:multiLevelType w:val="hybridMultilevel"/>
    <w:tmpl w:val="180CF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4E30F4D"/>
    <w:multiLevelType w:val="hybridMultilevel"/>
    <w:tmpl w:val="72D60F38"/>
    <w:lvl w:ilvl="0" w:tplc="C01CAC2A">
      <w:numFmt w:val="bullet"/>
      <w:lvlText w:val="•"/>
      <w:lvlJc w:val="left"/>
      <w:pPr>
        <w:ind w:left="1080" w:hanging="720"/>
      </w:pPr>
      <w:rPr>
        <w:rFonts w:ascii="Lucida Bright" w:eastAsiaTheme="minorEastAsia" w:hAnsi="Lucida Br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3BF0CAF"/>
    <w:multiLevelType w:val="hybridMultilevel"/>
    <w:tmpl w:val="A2202F0C"/>
    <w:lvl w:ilvl="0" w:tplc="7D24364A">
      <w:numFmt w:val="bullet"/>
      <w:lvlText w:val="•"/>
      <w:lvlJc w:val="left"/>
      <w:pPr>
        <w:ind w:left="1080" w:hanging="720"/>
      </w:pPr>
      <w:rPr>
        <w:rFonts w:ascii="Lucida Bright" w:eastAsiaTheme="minorEastAsia" w:hAnsi="Lucida Br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6566FE0"/>
    <w:multiLevelType w:val="hybridMultilevel"/>
    <w:tmpl w:val="CE96EC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26AD076C"/>
    <w:multiLevelType w:val="hybridMultilevel"/>
    <w:tmpl w:val="B32C3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B7C7B16"/>
    <w:multiLevelType w:val="hybridMultilevel"/>
    <w:tmpl w:val="2F9E3C84"/>
    <w:lvl w:ilvl="0" w:tplc="7D24364A">
      <w:numFmt w:val="bullet"/>
      <w:lvlText w:val="•"/>
      <w:lvlJc w:val="left"/>
      <w:pPr>
        <w:ind w:left="1080" w:hanging="720"/>
      </w:pPr>
      <w:rPr>
        <w:rFonts w:ascii="Lucida Bright" w:eastAsiaTheme="minorEastAsia" w:hAnsi="Lucida Br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BA10BE7"/>
    <w:multiLevelType w:val="hybridMultilevel"/>
    <w:tmpl w:val="D7EC0D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2BA80BF2"/>
    <w:multiLevelType w:val="hybridMultilevel"/>
    <w:tmpl w:val="3F8E8166"/>
    <w:lvl w:ilvl="0" w:tplc="7D24364A">
      <w:numFmt w:val="bullet"/>
      <w:lvlText w:val="•"/>
      <w:lvlJc w:val="left"/>
      <w:pPr>
        <w:ind w:left="1080" w:hanging="720"/>
      </w:pPr>
      <w:rPr>
        <w:rFonts w:ascii="Lucida Bright" w:eastAsiaTheme="minorEastAsia" w:hAnsi="Lucida Br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74C1D5F"/>
    <w:multiLevelType w:val="hybridMultilevel"/>
    <w:tmpl w:val="172EB9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F0B5669"/>
    <w:multiLevelType w:val="hybridMultilevel"/>
    <w:tmpl w:val="14348FF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46C83B04"/>
    <w:multiLevelType w:val="hybridMultilevel"/>
    <w:tmpl w:val="BF4A3302"/>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1E179E8"/>
    <w:multiLevelType w:val="hybridMultilevel"/>
    <w:tmpl w:val="F364D77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546C77FE"/>
    <w:multiLevelType w:val="hybridMultilevel"/>
    <w:tmpl w:val="AC9416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5A053DE8"/>
    <w:multiLevelType w:val="hybridMultilevel"/>
    <w:tmpl w:val="4B346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EBC0A8A"/>
    <w:multiLevelType w:val="hybridMultilevel"/>
    <w:tmpl w:val="0B366E2C"/>
    <w:lvl w:ilvl="0" w:tplc="619E64C4">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069748C"/>
    <w:multiLevelType w:val="hybridMultilevel"/>
    <w:tmpl w:val="D338B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18858F2"/>
    <w:multiLevelType w:val="hybridMultilevel"/>
    <w:tmpl w:val="1E983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1FE07D4"/>
    <w:multiLevelType w:val="hybridMultilevel"/>
    <w:tmpl w:val="19289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5A10BB4"/>
    <w:multiLevelType w:val="hybridMultilevel"/>
    <w:tmpl w:val="4874EF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BAA1DCD"/>
    <w:multiLevelType w:val="hybridMultilevel"/>
    <w:tmpl w:val="FD2C0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13605F4"/>
    <w:multiLevelType w:val="hybridMultilevel"/>
    <w:tmpl w:val="0F22D7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741359D2"/>
    <w:multiLevelType w:val="hybridMultilevel"/>
    <w:tmpl w:val="14DEF60C"/>
    <w:lvl w:ilvl="0" w:tplc="71540A34">
      <w:start w:val="1"/>
      <w:numFmt w:val="bullet"/>
      <w:lvlText w:val=""/>
      <w:lvlJc w:val="left"/>
      <w:pPr>
        <w:ind w:left="720" w:hanging="360"/>
      </w:pPr>
      <w:rPr>
        <w:rFonts w:ascii="Symbol" w:hAnsi="Symbol" w:hint="default"/>
        <w:b w:val="0"/>
        <w:i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FDA2E80"/>
    <w:multiLevelType w:val="hybridMultilevel"/>
    <w:tmpl w:val="4F34E51A"/>
    <w:lvl w:ilvl="0" w:tplc="7D24364A">
      <w:numFmt w:val="bullet"/>
      <w:lvlText w:val="•"/>
      <w:lvlJc w:val="left"/>
      <w:pPr>
        <w:ind w:left="1080" w:hanging="720"/>
      </w:pPr>
      <w:rPr>
        <w:rFonts w:ascii="Lucida Bright" w:eastAsiaTheme="minorEastAsia" w:hAnsi="Lucida Br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6"/>
  </w:num>
  <w:num w:numId="4">
    <w:abstractNumId w:val="9"/>
  </w:num>
  <w:num w:numId="5">
    <w:abstractNumId w:val="27"/>
  </w:num>
  <w:num w:numId="6">
    <w:abstractNumId w:val="14"/>
  </w:num>
  <w:num w:numId="7">
    <w:abstractNumId w:val="20"/>
  </w:num>
  <w:num w:numId="8">
    <w:abstractNumId w:val="8"/>
  </w:num>
  <w:num w:numId="9">
    <w:abstractNumId w:val="5"/>
  </w:num>
  <w:num w:numId="10">
    <w:abstractNumId w:val="10"/>
  </w:num>
  <w:num w:numId="11">
    <w:abstractNumId w:val="24"/>
  </w:num>
  <w:num w:numId="12">
    <w:abstractNumId w:val="0"/>
  </w:num>
  <w:num w:numId="13">
    <w:abstractNumId w:val="15"/>
  </w:num>
  <w:num w:numId="14">
    <w:abstractNumId w:val="13"/>
  </w:num>
  <w:num w:numId="15">
    <w:abstractNumId w:val="16"/>
  </w:num>
  <w:num w:numId="16">
    <w:abstractNumId w:val="17"/>
  </w:num>
  <w:num w:numId="17">
    <w:abstractNumId w:val="18"/>
  </w:num>
  <w:num w:numId="18">
    <w:abstractNumId w:val="3"/>
  </w:num>
  <w:num w:numId="19">
    <w:abstractNumId w:val="23"/>
  </w:num>
  <w:num w:numId="20">
    <w:abstractNumId w:val="25"/>
  </w:num>
  <w:num w:numId="21">
    <w:abstractNumId w:val="7"/>
  </w:num>
  <w:num w:numId="22">
    <w:abstractNumId w:val="2"/>
  </w:num>
  <w:num w:numId="23">
    <w:abstractNumId w:val="21"/>
  </w:num>
  <w:num w:numId="24">
    <w:abstractNumId w:val="22"/>
  </w:num>
  <w:num w:numId="25">
    <w:abstractNumId w:val="19"/>
  </w:num>
  <w:num w:numId="26">
    <w:abstractNumId w:val="4"/>
  </w:num>
  <w:num w:numId="27">
    <w:abstractNumId w:val="12"/>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1"/>
    <w:rsid w:val="0000081E"/>
    <w:rsid w:val="000051F3"/>
    <w:rsid w:val="0000560F"/>
    <w:rsid w:val="00007091"/>
    <w:rsid w:val="00011CB3"/>
    <w:rsid w:val="00016AC8"/>
    <w:rsid w:val="0002516A"/>
    <w:rsid w:val="00035F8A"/>
    <w:rsid w:val="000368C9"/>
    <w:rsid w:val="00040719"/>
    <w:rsid w:val="00045399"/>
    <w:rsid w:val="00052152"/>
    <w:rsid w:val="0005417D"/>
    <w:rsid w:val="000640A6"/>
    <w:rsid w:val="00065639"/>
    <w:rsid w:val="00066CC0"/>
    <w:rsid w:val="00070F9C"/>
    <w:rsid w:val="00074DA2"/>
    <w:rsid w:val="00074F9E"/>
    <w:rsid w:val="00084511"/>
    <w:rsid w:val="00094DCF"/>
    <w:rsid w:val="0009625C"/>
    <w:rsid w:val="00096993"/>
    <w:rsid w:val="000A201E"/>
    <w:rsid w:val="000A20ED"/>
    <w:rsid w:val="000B00BE"/>
    <w:rsid w:val="000B1146"/>
    <w:rsid w:val="000B796C"/>
    <w:rsid w:val="000C2EF7"/>
    <w:rsid w:val="000C487B"/>
    <w:rsid w:val="000C4C48"/>
    <w:rsid w:val="000C64B7"/>
    <w:rsid w:val="000C7D8B"/>
    <w:rsid w:val="000E1F26"/>
    <w:rsid w:val="000E485D"/>
    <w:rsid w:val="000E7A39"/>
    <w:rsid w:val="000E7B25"/>
    <w:rsid w:val="000F2F51"/>
    <w:rsid w:val="000F4467"/>
    <w:rsid w:val="000F6D4D"/>
    <w:rsid w:val="00102EE0"/>
    <w:rsid w:val="00113356"/>
    <w:rsid w:val="0011367D"/>
    <w:rsid w:val="00113B76"/>
    <w:rsid w:val="00113D74"/>
    <w:rsid w:val="00115C1A"/>
    <w:rsid w:val="00117C5C"/>
    <w:rsid w:val="00120399"/>
    <w:rsid w:val="00124AF4"/>
    <w:rsid w:val="001306BC"/>
    <w:rsid w:val="00131CB3"/>
    <w:rsid w:val="0014039B"/>
    <w:rsid w:val="001420B3"/>
    <w:rsid w:val="0014490A"/>
    <w:rsid w:val="00144E79"/>
    <w:rsid w:val="0015039E"/>
    <w:rsid w:val="00154060"/>
    <w:rsid w:val="0015691C"/>
    <w:rsid w:val="00163AA9"/>
    <w:rsid w:val="0017143F"/>
    <w:rsid w:val="00172A9A"/>
    <w:rsid w:val="001833ED"/>
    <w:rsid w:val="0018432F"/>
    <w:rsid w:val="001864ED"/>
    <w:rsid w:val="001A5A63"/>
    <w:rsid w:val="001A5B97"/>
    <w:rsid w:val="001B07DC"/>
    <w:rsid w:val="001B5170"/>
    <w:rsid w:val="001B5B8B"/>
    <w:rsid w:val="001B5D37"/>
    <w:rsid w:val="001C22A8"/>
    <w:rsid w:val="001C4016"/>
    <w:rsid w:val="001C4678"/>
    <w:rsid w:val="001C5B40"/>
    <w:rsid w:val="001C6661"/>
    <w:rsid w:val="001C7E91"/>
    <w:rsid w:val="001D6572"/>
    <w:rsid w:val="001D720E"/>
    <w:rsid w:val="001E04B4"/>
    <w:rsid w:val="001E31A6"/>
    <w:rsid w:val="001E5952"/>
    <w:rsid w:val="001E69C2"/>
    <w:rsid w:val="001E6BBC"/>
    <w:rsid w:val="001F189F"/>
    <w:rsid w:val="001F2F3E"/>
    <w:rsid w:val="001F6C16"/>
    <w:rsid w:val="0020140A"/>
    <w:rsid w:val="00210928"/>
    <w:rsid w:val="0021104B"/>
    <w:rsid w:val="00211D63"/>
    <w:rsid w:val="00215D15"/>
    <w:rsid w:val="002179F2"/>
    <w:rsid w:val="00226D36"/>
    <w:rsid w:val="002327EB"/>
    <w:rsid w:val="00232F2A"/>
    <w:rsid w:val="00233BAC"/>
    <w:rsid w:val="00236EC0"/>
    <w:rsid w:val="00237CE3"/>
    <w:rsid w:val="00240901"/>
    <w:rsid w:val="00240E81"/>
    <w:rsid w:val="00250284"/>
    <w:rsid w:val="00262233"/>
    <w:rsid w:val="0026360A"/>
    <w:rsid w:val="00263EE9"/>
    <w:rsid w:val="00264C5A"/>
    <w:rsid w:val="0027616F"/>
    <w:rsid w:val="0028080C"/>
    <w:rsid w:val="00281460"/>
    <w:rsid w:val="00283372"/>
    <w:rsid w:val="002833CC"/>
    <w:rsid w:val="00287460"/>
    <w:rsid w:val="0029234F"/>
    <w:rsid w:val="002A41D6"/>
    <w:rsid w:val="002A7BEA"/>
    <w:rsid w:val="002B0949"/>
    <w:rsid w:val="002C322C"/>
    <w:rsid w:val="002C4A8B"/>
    <w:rsid w:val="002C6E0C"/>
    <w:rsid w:val="002D0BAE"/>
    <w:rsid w:val="002D1FA0"/>
    <w:rsid w:val="002D3EFD"/>
    <w:rsid w:val="002D488D"/>
    <w:rsid w:val="002E132F"/>
    <w:rsid w:val="002E3337"/>
    <w:rsid w:val="002F358C"/>
    <w:rsid w:val="002F49A8"/>
    <w:rsid w:val="002F61CA"/>
    <w:rsid w:val="002F6F62"/>
    <w:rsid w:val="00313689"/>
    <w:rsid w:val="003208B0"/>
    <w:rsid w:val="00322A48"/>
    <w:rsid w:val="003345BC"/>
    <w:rsid w:val="00336AEA"/>
    <w:rsid w:val="00337078"/>
    <w:rsid w:val="003370D0"/>
    <w:rsid w:val="00337CE7"/>
    <w:rsid w:val="00340FEA"/>
    <w:rsid w:val="003439C4"/>
    <w:rsid w:val="00345162"/>
    <w:rsid w:val="003471A4"/>
    <w:rsid w:val="00347BA7"/>
    <w:rsid w:val="00350770"/>
    <w:rsid w:val="003531ED"/>
    <w:rsid w:val="003533B0"/>
    <w:rsid w:val="00357839"/>
    <w:rsid w:val="00370B87"/>
    <w:rsid w:val="003822EA"/>
    <w:rsid w:val="00385200"/>
    <w:rsid w:val="0039017F"/>
    <w:rsid w:val="003B3627"/>
    <w:rsid w:val="003B5F2E"/>
    <w:rsid w:val="003B7642"/>
    <w:rsid w:val="003C1C04"/>
    <w:rsid w:val="003C1C48"/>
    <w:rsid w:val="003C5CAB"/>
    <w:rsid w:val="003C6754"/>
    <w:rsid w:val="003D0D22"/>
    <w:rsid w:val="003E1383"/>
    <w:rsid w:val="003E3D5D"/>
    <w:rsid w:val="0041099E"/>
    <w:rsid w:val="00411544"/>
    <w:rsid w:val="00411987"/>
    <w:rsid w:val="004125A4"/>
    <w:rsid w:val="0043258B"/>
    <w:rsid w:val="00432E97"/>
    <w:rsid w:val="0044239C"/>
    <w:rsid w:val="0044300A"/>
    <w:rsid w:val="00446A9F"/>
    <w:rsid w:val="004477DF"/>
    <w:rsid w:val="00452E08"/>
    <w:rsid w:val="00465CA7"/>
    <w:rsid w:val="00470D44"/>
    <w:rsid w:val="00471E7A"/>
    <w:rsid w:val="004740E2"/>
    <w:rsid w:val="004744D0"/>
    <w:rsid w:val="00481108"/>
    <w:rsid w:val="00484180"/>
    <w:rsid w:val="004901BE"/>
    <w:rsid w:val="0049042B"/>
    <w:rsid w:val="004939AB"/>
    <w:rsid w:val="00497C2C"/>
    <w:rsid w:val="004A458E"/>
    <w:rsid w:val="004A7F2C"/>
    <w:rsid w:val="004B23E7"/>
    <w:rsid w:val="004B306F"/>
    <w:rsid w:val="004C3186"/>
    <w:rsid w:val="004C5042"/>
    <w:rsid w:val="004C5483"/>
    <w:rsid w:val="004D1937"/>
    <w:rsid w:val="004D417C"/>
    <w:rsid w:val="004D47AE"/>
    <w:rsid w:val="004E445D"/>
    <w:rsid w:val="004F0649"/>
    <w:rsid w:val="004F7A1F"/>
    <w:rsid w:val="0050623B"/>
    <w:rsid w:val="0050697B"/>
    <w:rsid w:val="0051768B"/>
    <w:rsid w:val="005339F6"/>
    <w:rsid w:val="00535BA9"/>
    <w:rsid w:val="00537A71"/>
    <w:rsid w:val="00545804"/>
    <w:rsid w:val="00553A0F"/>
    <w:rsid w:val="0055643E"/>
    <w:rsid w:val="00572745"/>
    <w:rsid w:val="00591512"/>
    <w:rsid w:val="00592E46"/>
    <w:rsid w:val="0059339B"/>
    <w:rsid w:val="005A2ED2"/>
    <w:rsid w:val="005B6270"/>
    <w:rsid w:val="005B65F5"/>
    <w:rsid w:val="005B7AAB"/>
    <w:rsid w:val="005B7C66"/>
    <w:rsid w:val="005C1B0E"/>
    <w:rsid w:val="005D3E21"/>
    <w:rsid w:val="005E1C3E"/>
    <w:rsid w:val="005E22C2"/>
    <w:rsid w:val="005E53CA"/>
    <w:rsid w:val="005E576D"/>
    <w:rsid w:val="005E7BD9"/>
    <w:rsid w:val="005F626A"/>
    <w:rsid w:val="00611635"/>
    <w:rsid w:val="00631A50"/>
    <w:rsid w:val="00632E92"/>
    <w:rsid w:val="0063631C"/>
    <w:rsid w:val="006537D9"/>
    <w:rsid w:val="00654764"/>
    <w:rsid w:val="00655E89"/>
    <w:rsid w:val="00662D70"/>
    <w:rsid w:val="006643DE"/>
    <w:rsid w:val="00665DEF"/>
    <w:rsid w:val="00672913"/>
    <w:rsid w:val="00675BB1"/>
    <w:rsid w:val="006760C4"/>
    <w:rsid w:val="0067773B"/>
    <w:rsid w:val="00683842"/>
    <w:rsid w:val="00695D4E"/>
    <w:rsid w:val="006A44F5"/>
    <w:rsid w:val="006B2515"/>
    <w:rsid w:val="006B40EB"/>
    <w:rsid w:val="006B4537"/>
    <w:rsid w:val="006B6A94"/>
    <w:rsid w:val="006B709B"/>
    <w:rsid w:val="006E0181"/>
    <w:rsid w:val="006E4A35"/>
    <w:rsid w:val="006E797C"/>
    <w:rsid w:val="00705DAD"/>
    <w:rsid w:val="00707CC9"/>
    <w:rsid w:val="00707EC1"/>
    <w:rsid w:val="00712432"/>
    <w:rsid w:val="007247B9"/>
    <w:rsid w:val="00730E92"/>
    <w:rsid w:val="007346C7"/>
    <w:rsid w:val="00736041"/>
    <w:rsid w:val="007408C7"/>
    <w:rsid w:val="00742F1E"/>
    <w:rsid w:val="00743B97"/>
    <w:rsid w:val="00745A14"/>
    <w:rsid w:val="0075296B"/>
    <w:rsid w:val="00752C7F"/>
    <w:rsid w:val="0075533F"/>
    <w:rsid w:val="007578D2"/>
    <w:rsid w:val="007608CA"/>
    <w:rsid w:val="00763EE1"/>
    <w:rsid w:val="00773FF9"/>
    <w:rsid w:val="00774BD1"/>
    <w:rsid w:val="00776598"/>
    <w:rsid w:val="00796E84"/>
    <w:rsid w:val="007B2523"/>
    <w:rsid w:val="007B7B46"/>
    <w:rsid w:val="007C1F21"/>
    <w:rsid w:val="007D2281"/>
    <w:rsid w:val="007D7237"/>
    <w:rsid w:val="007D7CA8"/>
    <w:rsid w:val="007E188C"/>
    <w:rsid w:val="007E1A2B"/>
    <w:rsid w:val="007E6001"/>
    <w:rsid w:val="007E795B"/>
    <w:rsid w:val="007F19F0"/>
    <w:rsid w:val="008010EA"/>
    <w:rsid w:val="00806CC3"/>
    <w:rsid w:val="00807D0F"/>
    <w:rsid w:val="00813055"/>
    <w:rsid w:val="00815F68"/>
    <w:rsid w:val="008164FB"/>
    <w:rsid w:val="00816ACA"/>
    <w:rsid w:val="008219C7"/>
    <w:rsid w:val="008253C6"/>
    <w:rsid w:val="00832324"/>
    <w:rsid w:val="00835097"/>
    <w:rsid w:val="008448FF"/>
    <w:rsid w:val="0084501E"/>
    <w:rsid w:val="00845067"/>
    <w:rsid w:val="00846A93"/>
    <w:rsid w:val="00846E11"/>
    <w:rsid w:val="00852FCD"/>
    <w:rsid w:val="00854F44"/>
    <w:rsid w:val="00855D74"/>
    <w:rsid w:val="00857061"/>
    <w:rsid w:val="00857FBA"/>
    <w:rsid w:val="0086067F"/>
    <w:rsid w:val="00881D8A"/>
    <w:rsid w:val="00882685"/>
    <w:rsid w:val="00885BDA"/>
    <w:rsid w:val="00886E22"/>
    <w:rsid w:val="008903A6"/>
    <w:rsid w:val="008A0633"/>
    <w:rsid w:val="008A1A1A"/>
    <w:rsid w:val="008A3D43"/>
    <w:rsid w:val="008A44DE"/>
    <w:rsid w:val="008A4D1E"/>
    <w:rsid w:val="008B6462"/>
    <w:rsid w:val="008D2036"/>
    <w:rsid w:val="008D7B64"/>
    <w:rsid w:val="008E456B"/>
    <w:rsid w:val="008E7420"/>
    <w:rsid w:val="008F088E"/>
    <w:rsid w:val="00902FD0"/>
    <w:rsid w:val="00903BC4"/>
    <w:rsid w:val="009053D3"/>
    <w:rsid w:val="00911590"/>
    <w:rsid w:val="00912195"/>
    <w:rsid w:val="00914123"/>
    <w:rsid w:val="009141DE"/>
    <w:rsid w:val="00922599"/>
    <w:rsid w:val="0092516A"/>
    <w:rsid w:val="009254AD"/>
    <w:rsid w:val="0093111F"/>
    <w:rsid w:val="00932839"/>
    <w:rsid w:val="00932FD9"/>
    <w:rsid w:val="00935689"/>
    <w:rsid w:val="0093600A"/>
    <w:rsid w:val="00936781"/>
    <w:rsid w:val="00955168"/>
    <w:rsid w:val="00956380"/>
    <w:rsid w:val="00957A04"/>
    <w:rsid w:val="009663B6"/>
    <w:rsid w:val="00966D8C"/>
    <w:rsid w:val="00980286"/>
    <w:rsid w:val="009812E0"/>
    <w:rsid w:val="00982844"/>
    <w:rsid w:val="0098763C"/>
    <w:rsid w:val="00994A7A"/>
    <w:rsid w:val="0099617F"/>
    <w:rsid w:val="009A2919"/>
    <w:rsid w:val="009A5579"/>
    <w:rsid w:val="009C0886"/>
    <w:rsid w:val="009C2547"/>
    <w:rsid w:val="009C35F2"/>
    <w:rsid w:val="009C3F67"/>
    <w:rsid w:val="009E21A7"/>
    <w:rsid w:val="00A01AE4"/>
    <w:rsid w:val="00A01C95"/>
    <w:rsid w:val="00A103ED"/>
    <w:rsid w:val="00A13C60"/>
    <w:rsid w:val="00A13F6E"/>
    <w:rsid w:val="00A257CA"/>
    <w:rsid w:val="00A25BC2"/>
    <w:rsid w:val="00A404CF"/>
    <w:rsid w:val="00A41748"/>
    <w:rsid w:val="00A45F42"/>
    <w:rsid w:val="00A50154"/>
    <w:rsid w:val="00A506F9"/>
    <w:rsid w:val="00A52308"/>
    <w:rsid w:val="00A701BC"/>
    <w:rsid w:val="00A72C5B"/>
    <w:rsid w:val="00A74EF5"/>
    <w:rsid w:val="00A83DA2"/>
    <w:rsid w:val="00A84CAD"/>
    <w:rsid w:val="00A84D56"/>
    <w:rsid w:val="00A85207"/>
    <w:rsid w:val="00A910BB"/>
    <w:rsid w:val="00AA60D3"/>
    <w:rsid w:val="00AA6623"/>
    <w:rsid w:val="00AB3733"/>
    <w:rsid w:val="00AB5B49"/>
    <w:rsid w:val="00AC198C"/>
    <w:rsid w:val="00AC1D35"/>
    <w:rsid w:val="00AD3D2C"/>
    <w:rsid w:val="00AD42FD"/>
    <w:rsid w:val="00AD49F7"/>
    <w:rsid w:val="00AD5EC6"/>
    <w:rsid w:val="00AD744F"/>
    <w:rsid w:val="00AE102B"/>
    <w:rsid w:val="00AE2645"/>
    <w:rsid w:val="00AE31C0"/>
    <w:rsid w:val="00AE7115"/>
    <w:rsid w:val="00B02C15"/>
    <w:rsid w:val="00B05310"/>
    <w:rsid w:val="00B0748A"/>
    <w:rsid w:val="00B16F57"/>
    <w:rsid w:val="00B2691C"/>
    <w:rsid w:val="00B32149"/>
    <w:rsid w:val="00B32505"/>
    <w:rsid w:val="00B3433C"/>
    <w:rsid w:val="00B35923"/>
    <w:rsid w:val="00B4151A"/>
    <w:rsid w:val="00B41631"/>
    <w:rsid w:val="00B42DC8"/>
    <w:rsid w:val="00B454AE"/>
    <w:rsid w:val="00B56D0A"/>
    <w:rsid w:val="00B574B9"/>
    <w:rsid w:val="00B6010A"/>
    <w:rsid w:val="00B61B17"/>
    <w:rsid w:val="00B75F36"/>
    <w:rsid w:val="00B80738"/>
    <w:rsid w:val="00B8674A"/>
    <w:rsid w:val="00B93964"/>
    <w:rsid w:val="00B97505"/>
    <w:rsid w:val="00BA0E1F"/>
    <w:rsid w:val="00BA0E61"/>
    <w:rsid w:val="00BA2BC1"/>
    <w:rsid w:val="00BA4C7A"/>
    <w:rsid w:val="00BB0C22"/>
    <w:rsid w:val="00BB456E"/>
    <w:rsid w:val="00BB45D7"/>
    <w:rsid w:val="00BB5033"/>
    <w:rsid w:val="00BB5C6B"/>
    <w:rsid w:val="00BB6737"/>
    <w:rsid w:val="00BC2812"/>
    <w:rsid w:val="00BD16A7"/>
    <w:rsid w:val="00BD7106"/>
    <w:rsid w:val="00BE0A35"/>
    <w:rsid w:val="00BE4490"/>
    <w:rsid w:val="00BF20C9"/>
    <w:rsid w:val="00BF238E"/>
    <w:rsid w:val="00BF3939"/>
    <w:rsid w:val="00C0076F"/>
    <w:rsid w:val="00C1625C"/>
    <w:rsid w:val="00C20376"/>
    <w:rsid w:val="00C21CA8"/>
    <w:rsid w:val="00C367EC"/>
    <w:rsid w:val="00C373F3"/>
    <w:rsid w:val="00C41246"/>
    <w:rsid w:val="00C45E5F"/>
    <w:rsid w:val="00C53B0A"/>
    <w:rsid w:val="00C605C5"/>
    <w:rsid w:val="00C60932"/>
    <w:rsid w:val="00C64A5F"/>
    <w:rsid w:val="00C661FC"/>
    <w:rsid w:val="00C665ED"/>
    <w:rsid w:val="00C6746C"/>
    <w:rsid w:val="00C714D0"/>
    <w:rsid w:val="00C826B9"/>
    <w:rsid w:val="00CA2700"/>
    <w:rsid w:val="00CA29CB"/>
    <w:rsid w:val="00CA644E"/>
    <w:rsid w:val="00CB0550"/>
    <w:rsid w:val="00CB6221"/>
    <w:rsid w:val="00CE4D79"/>
    <w:rsid w:val="00D151EB"/>
    <w:rsid w:val="00D227BB"/>
    <w:rsid w:val="00D36878"/>
    <w:rsid w:val="00D428F9"/>
    <w:rsid w:val="00D5073D"/>
    <w:rsid w:val="00D62733"/>
    <w:rsid w:val="00D650CE"/>
    <w:rsid w:val="00D719BD"/>
    <w:rsid w:val="00D73C0F"/>
    <w:rsid w:val="00D74399"/>
    <w:rsid w:val="00D74C64"/>
    <w:rsid w:val="00D76B4E"/>
    <w:rsid w:val="00D81DF5"/>
    <w:rsid w:val="00D9035D"/>
    <w:rsid w:val="00D93C92"/>
    <w:rsid w:val="00D97474"/>
    <w:rsid w:val="00DA011D"/>
    <w:rsid w:val="00DA30B8"/>
    <w:rsid w:val="00DA7D09"/>
    <w:rsid w:val="00DC49E9"/>
    <w:rsid w:val="00DD2EF0"/>
    <w:rsid w:val="00DE0B96"/>
    <w:rsid w:val="00DE5C87"/>
    <w:rsid w:val="00DF08AC"/>
    <w:rsid w:val="00DF0B13"/>
    <w:rsid w:val="00DF4A94"/>
    <w:rsid w:val="00E066C3"/>
    <w:rsid w:val="00E141C6"/>
    <w:rsid w:val="00E1564B"/>
    <w:rsid w:val="00E15A09"/>
    <w:rsid w:val="00E208A0"/>
    <w:rsid w:val="00E33AD5"/>
    <w:rsid w:val="00E35F53"/>
    <w:rsid w:val="00E363CB"/>
    <w:rsid w:val="00E4477F"/>
    <w:rsid w:val="00E45C8A"/>
    <w:rsid w:val="00E47172"/>
    <w:rsid w:val="00E50A1D"/>
    <w:rsid w:val="00E5370B"/>
    <w:rsid w:val="00E54A60"/>
    <w:rsid w:val="00E55D84"/>
    <w:rsid w:val="00E56B4D"/>
    <w:rsid w:val="00E572E0"/>
    <w:rsid w:val="00E677DD"/>
    <w:rsid w:val="00E723BA"/>
    <w:rsid w:val="00E83CE9"/>
    <w:rsid w:val="00E92663"/>
    <w:rsid w:val="00EA6B46"/>
    <w:rsid w:val="00EA738A"/>
    <w:rsid w:val="00EB6C07"/>
    <w:rsid w:val="00EC028D"/>
    <w:rsid w:val="00EC0E6F"/>
    <w:rsid w:val="00ED38E3"/>
    <w:rsid w:val="00ED633B"/>
    <w:rsid w:val="00ED790C"/>
    <w:rsid w:val="00EE478C"/>
    <w:rsid w:val="00EE4E2E"/>
    <w:rsid w:val="00EF651E"/>
    <w:rsid w:val="00EF7F90"/>
    <w:rsid w:val="00F04A4F"/>
    <w:rsid w:val="00F0532C"/>
    <w:rsid w:val="00F05D43"/>
    <w:rsid w:val="00F16EB0"/>
    <w:rsid w:val="00F17A47"/>
    <w:rsid w:val="00F273DF"/>
    <w:rsid w:val="00F3412B"/>
    <w:rsid w:val="00F42C22"/>
    <w:rsid w:val="00F4764B"/>
    <w:rsid w:val="00F479D1"/>
    <w:rsid w:val="00F52721"/>
    <w:rsid w:val="00F65520"/>
    <w:rsid w:val="00F65A70"/>
    <w:rsid w:val="00F70493"/>
    <w:rsid w:val="00F76431"/>
    <w:rsid w:val="00F81A28"/>
    <w:rsid w:val="00F8225D"/>
    <w:rsid w:val="00F834C6"/>
    <w:rsid w:val="00F8706C"/>
    <w:rsid w:val="00F9121F"/>
    <w:rsid w:val="00F92180"/>
    <w:rsid w:val="00F95CBF"/>
    <w:rsid w:val="00F95D42"/>
    <w:rsid w:val="00FA2F4F"/>
    <w:rsid w:val="00FC0C55"/>
    <w:rsid w:val="00FC4A73"/>
    <w:rsid w:val="00FD07C9"/>
    <w:rsid w:val="00FD41B7"/>
    <w:rsid w:val="00FE0142"/>
    <w:rsid w:val="00FE186B"/>
    <w:rsid w:val="00FE351A"/>
    <w:rsid w:val="00FE5FF1"/>
    <w:rsid w:val="00FF1643"/>
    <w:rsid w:val="00FF2360"/>
    <w:rsid w:val="00FF6FD0"/>
    <w:rsid w:val="00FF7F0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5537"/>
    <o:shapelayout v:ext="edit">
      <o:idmap v:ext="edit" data="1"/>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3D effects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9AB"/>
    <w:rPr>
      <w:rFonts w:ascii="Lucida Bright" w:hAnsi="Lucida Bright"/>
      <w:sz w:val="24"/>
      <w:szCs w:val="24"/>
    </w:rPr>
  </w:style>
  <w:style w:type="paragraph" w:styleId="Heading1">
    <w:name w:val="heading 1"/>
    <w:basedOn w:val="Title"/>
    <w:next w:val="Normal"/>
    <w:link w:val="Heading1Char"/>
    <w:uiPriority w:val="9"/>
    <w:qFormat/>
    <w:rsid w:val="00263EE9"/>
    <w:pPr>
      <w:spacing w:line="240" w:lineRule="auto"/>
      <w:outlineLvl w:val="0"/>
    </w:pPr>
    <w:rPr>
      <w:rFonts w:asciiTheme="minorHAnsi" w:hAnsiTheme="minorHAnsi"/>
      <w:sz w:val="52"/>
    </w:rPr>
  </w:style>
  <w:style w:type="paragraph" w:styleId="Heading2">
    <w:name w:val="heading 2"/>
    <w:basedOn w:val="Title"/>
    <w:next w:val="Normal"/>
    <w:link w:val="Heading2Char"/>
    <w:uiPriority w:val="9"/>
    <w:unhideWhenUsed/>
    <w:qFormat/>
    <w:rsid w:val="00D5073D"/>
    <w:pPr>
      <w:spacing w:before="480" w:line="240" w:lineRule="auto"/>
      <w:outlineLvl w:val="1"/>
    </w:pPr>
    <w:rPr>
      <w:rFonts w:asciiTheme="minorHAnsi" w:hAnsiTheme="minorHAnsi"/>
      <w:sz w:val="40"/>
      <w:szCs w:val="40"/>
    </w:rPr>
  </w:style>
  <w:style w:type="paragraph" w:styleId="Heading3">
    <w:name w:val="heading 3"/>
    <w:basedOn w:val="Normal"/>
    <w:next w:val="Normal"/>
    <w:link w:val="Heading3Char"/>
    <w:uiPriority w:val="9"/>
    <w:unhideWhenUsed/>
    <w:qFormat/>
    <w:rsid w:val="00B61B17"/>
    <w:pPr>
      <w:keepNext/>
      <w:keepLines/>
      <w:spacing w:before="240"/>
      <w:outlineLvl w:val="2"/>
    </w:pPr>
    <w:rPr>
      <w:rFonts w:asciiTheme="minorHAnsi" w:eastAsiaTheme="majorEastAsia" w:hAnsiTheme="minorHAnsi" w:cstheme="majorBidi"/>
      <w:b/>
      <w:bCs/>
      <w:sz w:val="28"/>
      <w:szCs w:val="28"/>
    </w:rPr>
  </w:style>
  <w:style w:type="paragraph" w:styleId="Heading4">
    <w:name w:val="heading 4"/>
    <w:basedOn w:val="Heading2"/>
    <w:next w:val="Normal"/>
    <w:link w:val="Heading4Char"/>
    <w:uiPriority w:val="9"/>
    <w:unhideWhenUsed/>
    <w:qFormat/>
    <w:rsid w:val="00AD744F"/>
    <w:pPr>
      <w:outlineLvl w:val="3"/>
    </w:pPr>
    <w:rPr>
      <w:sz w:val="32"/>
    </w:rPr>
  </w:style>
  <w:style w:type="paragraph" w:styleId="Heading5">
    <w:name w:val="heading 5"/>
    <w:basedOn w:val="Title"/>
    <w:next w:val="Normal"/>
    <w:link w:val="Heading5Char"/>
    <w:uiPriority w:val="9"/>
    <w:unhideWhenUsed/>
    <w:qFormat/>
    <w:rsid w:val="001C5B40"/>
    <w:pPr>
      <w:spacing w:before="240" w:after="200" w:line="240" w:lineRule="auto"/>
      <w:outlineLvl w:val="4"/>
    </w:pPr>
    <w:rPr>
      <w:rFonts w:asciiTheme="minorHAnsi" w:hAnsiTheme="minorHAnsi"/>
      <w:bCs/>
      <w:i/>
      <w:sz w:val="24"/>
      <w:szCs w:val="24"/>
    </w:rPr>
  </w:style>
  <w:style w:type="paragraph" w:styleId="Heading6">
    <w:name w:val="heading 6"/>
    <w:basedOn w:val="Heading2"/>
    <w:next w:val="Normal"/>
    <w:link w:val="Heading6Char"/>
    <w:uiPriority w:val="9"/>
    <w:unhideWhenUsed/>
    <w:qFormat/>
    <w:rsid w:val="00B61B17"/>
    <w:pPr>
      <w:spacing w:before="240"/>
      <w:outlineLvl w:val="5"/>
    </w:pPr>
    <w:rPr>
      <w:sz w:val="36"/>
    </w:rPr>
  </w:style>
  <w:style w:type="paragraph" w:styleId="Heading7">
    <w:name w:val="heading 7"/>
    <w:basedOn w:val="Normal"/>
    <w:next w:val="Normal"/>
    <w:link w:val="Heading7Char"/>
    <w:uiPriority w:val="9"/>
    <w:unhideWhenUsed/>
    <w:qFormat/>
    <w:rsid w:val="00236EC0"/>
    <w:pPr>
      <w:keepNext/>
      <w:keepLines/>
      <w:spacing w:before="240" w:line="240" w:lineRule="auto"/>
      <w:outlineLvl w:val="6"/>
    </w:pPr>
    <w:rPr>
      <w:rFonts w:asciiTheme="minorHAnsi" w:eastAsiaTheme="majorEastAsia" w:hAnsiTheme="min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EE9"/>
    <w:rPr>
      <w:rFonts w:eastAsiaTheme="majorEastAsia" w:cstheme="majorBidi"/>
      <w:b/>
      <w:spacing w:val="5"/>
      <w:kern w:val="28"/>
      <w:sz w:val="52"/>
      <w:szCs w:val="56"/>
    </w:rPr>
  </w:style>
  <w:style w:type="character" w:customStyle="1" w:styleId="Heading2Char">
    <w:name w:val="Heading 2 Char"/>
    <w:basedOn w:val="DefaultParagraphFont"/>
    <w:link w:val="Heading2"/>
    <w:uiPriority w:val="9"/>
    <w:rsid w:val="00D5073D"/>
    <w:rPr>
      <w:rFonts w:eastAsiaTheme="majorEastAsia" w:cstheme="majorBidi"/>
      <w:b/>
      <w:spacing w:val="5"/>
      <w:kern w:val="28"/>
      <w:sz w:val="40"/>
      <w:szCs w:val="40"/>
    </w:rPr>
  </w:style>
  <w:style w:type="character" w:customStyle="1" w:styleId="Heading3Char">
    <w:name w:val="Heading 3 Char"/>
    <w:basedOn w:val="DefaultParagraphFont"/>
    <w:link w:val="Heading3"/>
    <w:uiPriority w:val="9"/>
    <w:rsid w:val="00B61B17"/>
    <w:rPr>
      <w:rFonts w:eastAsiaTheme="majorEastAsia" w:cstheme="majorBidi"/>
      <w:b/>
      <w:bCs/>
      <w:sz w:val="28"/>
      <w:szCs w:val="28"/>
    </w:rPr>
  </w:style>
  <w:style w:type="paragraph" w:styleId="BalloonText">
    <w:name w:val="Balloon Text"/>
    <w:basedOn w:val="Normal"/>
    <w:link w:val="BalloonTextChar"/>
    <w:uiPriority w:val="99"/>
    <w:semiHidden/>
    <w:unhideWhenUsed/>
    <w:rsid w:val="00591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pPr>
      <w:spacing w:line="240" w:lineRule="auto"/>
    </w:pPr>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AD744F"/>
    <w:rPr>
      <w:rFonts w:eastAsiaTheme="majorEastAsia" w:cstheme="majorBidi"/>
      <w:b/>
      <w:spacing w:val="5"/>
      <w:kern w:val="28"/>
      <w:sz w:val="32"/>
      <w:szCs w:val="40"/>
    </w:rPr>
  </w:style>
  <w:style w:type="character" w:customStyle="1" w:styleId="Heading5Char">
    <w:name w:val="Heading 5 Char"/>
    <w:basedOn w:val="DefaultParagraphFont"/>
    <w:link w:val="Heading5"/>
    <w:uiPriority w:val="9"/>
    <w:rsid w:val="001C5B40"/>
    <w:rPr>
      <w:rFonts w:eastAsiaTheme="majorEastAsia" w:cstheme="majorBidi"/>
      <w:b/>
      <w:bCs/>
      <w:i/>
      <w:spacing w:val="5"/>
      <w:kern w:val="28"/>
      <w:sz w:val="24"/>
      <w:szCs w:val="24"/>
    </w:rPr>
  </w:style>
  <w:style w:type="paragraph" w:styleId="Title">
    <w:name w:val="Title"/>
    <w:basedOn w:val="Normal"/>
    <w:next w:val="Normal"/>
    <w:link w:val="TitleChar"/>
    <w:uiPriority w:val="10"/>
    <w:qFormat/>
    <w:rsid w:val="001420B3"/>
    <w:pPr>
      <w:spacing w:after="240"/>
      <w:contextualSpacing/>
    </w:pPr>
    <w:rPr>
      <w:rFonts w:eastAsiaTheme="majorEastAsia" w:cstheme="majorBidi"/>
      <w:b/>
      <w:spacing w:val="5"/>
      <w:kern w:val="28"/>
      <w:sz w:val="56"/>
      <w:szCs w:val="56"/>
    </w:rPr>
  </w:style>
  <w:style w:type="character" w:customStyle="1" w:styleId="TitleChar">
    <w:name w:val="Title Char"/>
    <w:basedOn w:val="DefaultParagraphFont"/>
    <w:link w:val="Title"/>
    <w:uiPriority w:val="10"/>
    <w:rsid w:val="001420B3"/>
    <w:rPr>
      <w:rFonts w:ascii="Lucida Bright" w:eastAsiaTheme="majorEastAsia" w:hAnsi="Lucida Bright" w:cstheme="majorBidi"/>
      <w:b/>
      <w:spacing w:val="5"/>
      <w:kern w:val="28"/>
      <w:sz w:val="56"/>
      <w:szCs w:val="56"/>
    </w:rPr>
  </w:style>
  <w:style w:type="paragraph" w:styleId="Footer">
    <w:name w:val="footer"/>
    <w:basedOn w:val="Normal"/>
    <w:link w:val="FooterChar"/>
    <w:uiPriority w:val="99"/>
    <w:unhideWhenUsed/>
    <w:rsid w:val="00705DAD"/>
    <w:pPr>
      <w:tabs>
        <w:tab w:val="center" w:pos="4320"/>
        <w:tab w:val="right" w:pos="8640"/>
      </w:tabs>
      <w:spacing w:after="0" w:line="240" w:lineRule="auto"/>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line="240" w:lineRule="auto"/>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rsid w:val="001420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writing">
    <w:name w:val="Table writing"/>
    <w:basedOn w:val="Normal"/>
    <w:qFormat/>
    <w:rsid w:val="001420B3"/>
    <w:pPr>
      <w:autoSpaceDE w:val="0"/>
      <w:autoSpaceDN w:val="0"/>
      <w:adjustRightInd w:val="0"/>
      <w:spacing w:before="60" w:after="60" w:line="240" w:lineRule="auto"/>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line="240" w:lineRule="auto"/>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qFormat/>
    <w:rsid w:val="003370D0"/>
    <w:rPr>
      <w:i/>
    </w:rPr>
  </w:style>
  <w:style w:type="paragraph" w:customStyle="1" w:styleId="DepartmentalHeading2">
    <w:name w:val="Departmental Heading 2"/>
    <w:basedOn w:val="Heading2"/>
    <w:rsid w:val="00B32149"/>
    <w:pPr>
      <w:spacing w:before="240" w:after="60"/>
    </w:pPr>
    <w:rPr>
      <w:rFonts w:ascii="Arial" w:eastAsia="Times New Roman" w:hAnsi="Arial" w:cs="Times New Roman"/>
      <w:bCs/>
      <w:sz w:val="24"/>
      <w:szCs w:val="20"/>
    </w:rPr>
  </w:style>
  <w:style w:type="character" w:styleId="Hyperlink">
    <w:name w:val="Hyperlink"/>
    <w:rsid w:val="00BD16A7"/>
    <w:rPr>
      <w:color w:val="0000FF"/>
      <w:u w:val="single"/>
    </w:rPr>
  </w:style>
  <w:style w:type="character" w:styleId="FollowedHyperlink">
    <w:name w:val="FollowedHyperlink"/>
    <w:basedOn w:val="DefaultParagraphFont"/>
    <w:uiPriority w:val="99"/>
    <w:semiHidden/>
    <w:unhideWhenUsed/>
    <w:rsid w:val="00BD16A7"/>
    <w:rPr>
      <w:color w:val="800080" w:themeColor="followedHyperlink"/>
      <w:u w:val="single"/>
    </w:rPr>
  </w:style>
  <w:style w:type="paragraph" w:customStyle="1" w:styleId="Default">
    <w:name w:val="Default"/>
    <w:rsid w:val="00336AEA"/>
    <w:pPr>
      <w:autoSpaceDE w:val="0"/>
      <w:autoSpaceDN w:val="0"/>
      <w:adjustRightInd w:val="0"/>
      <w:spacing w:after="0" w:line="240" w:lineRule="auto"/>
    </w:pPr>
    <w:rPr>
      <w:rFonts w:ascii="Arial" w:hAnsi="Arial" w:cs="Arial"/>
      <w:color w:val="000000"/>
      <w:sz w:val="24"/>
      <w:szCs w:val="24"/>
    </w:rPr>
  </w:style>
  <w:style w:type="table" w:styleId="Table3Deffects3">
    <w:name w:val="Table 3D effects 3"/>
    <w:basedOn w:val="TableNormal"/>
    <w:rsid w:val="00D62733"/>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partmentalHeading3">
    <w:name w:val="Departmental Heading 3"/>
    <w:basedOn w:val="Heading3"/>
    <w:rsid w:val="00662D70"/>
    <w:pPr>
      <w:keepLines w:val="0"/>
      <w:spacing w:after="60" w:line="240" w:lineRule="auto"/>
    </w:pPr>
    <w:rPr>
      <w:rFonts w:ascii="Arial" w:eastAsia="Times New Roman" w:hAnsi="Arial" w:cs="Times New Roman"/>
      <w:b w:val="0"/>
      <w:bCs w:val="0"/>
      <w:i/>
      <w:sz w:val="24"/>
      <w:szCs w:val="20"/>
    </w:rPr>
  </w:style>
  <w:style w:type="paragraph" w:styleId="ListParagraph">
    <w:name w:val="List Paragraph"/>
    <w:basedOn w:val="Normal"/>
    <w:uiPriority w:val="34"/>
    <w:qFormat/>
    <w:rsid w:val="008F088E"/>
    <w:pPr>
      <w:ind w:left="720"/>
      <w:contextualSpacing/>
    </w:pPr>
  </w:style>
  <w:style w:type="paragraph" w:styleId="FootnoteText">
    <w:name w:val="footnote text"/>
    <w:basedOn w:val="Normal"/>
    <w:link w:val="FootnoteTextChar"/>
    <w:uiPriority w:val="99"/>
    <w:semiHidden/>
    <w:unhideWhenUsed/>
    <w:rsid w:val="00163A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3AA9"/>
    <w:rPr>
      <w:rFonts w:ascii="Lucida Bright" w:hAnsi="Lucida Bright"/>
      <w:sz w:val="20"/>
      <w:szCs w:val="20"/>
    </w:rPr>
  </w:style>
  <w:style w:type="character" w:styleId="FootnoteReference">
    <w:name w:val="footnote reference"/>
    <w:basedOn w:val="DefaultParagraphFont"/>
    <w:uiPriority w:val="99"/>
    <w:semiHidden/>
    <w:unhideWhenUsed/>
    <w:rsid w:val="00163AA9"/>
    <w:rPr>
      <w:vertAlign w:val="superscript"/>
    </w:rPr>
  </w:style>
  <w:style w:type="paragraph" w:styleId="NormalWeb">
    <w:name w:val="Normal (Web)"/>
    <w:basedOn w:val="Normal"/>
    <w:uiPriority w:val="99"/>
    <w:unhideWhenUsed/>
    <w:rsid w:val="00D97474"/>
    <w:pPr>
      <w:spacing w:before="100" w:beforeAutospacing="1" w:after="100" w:afterAutospacing="1" w:line="240" w:lineRule="auto"/>
    </w:pPr>
    <w:rPr>
      <w:rFonts w:ascii="Times New Roman" w:eastAsia="Times New Roman" w:hAnsi="Times New Roman" w:cs="Times New Roman"/>
    </w:rPr>
  </w:style>
  <w:style w:type="paragraph" w:styleId="Caption">
    <w:name w:val="caption"/>
    <w:basedOn w:val="Normal"/>
    <w:next w:val="Normal"/>
    <w:uiPriority w:val="35"/>
    <w:semiHidden/>
    <w:unhideWhenUsed/>
    <w:qFormat/>
    <w:rsid w:val="000B00BE"/>
    <w:pPr>
      <w:spacing w:line="240" w:lineRule="auto"/>
    </w:pPr>
    <w:rPr>
      <w:b/>
      <w:bCs/>
      <w:color w:val="4F81BD" w:themeColor="accent1"/>
      <w:sz w:val="18"/>
      <w:szCs w:val="18"/>
    </w:rPr>
  </w:style>
  <w:style w:type="paragraph" w:styleId="NoSpacing">
    <w:name w:val="No Spacing"/>
    <w:uiPriority w:val="1"/>
    <w:qFormat/>
    <w:rsid w:val="001306BC"/>
    <w:pPr>
      <w:spacing w:after="0" w:line="240" w:lineRule="auto"/>
    </w:pPr>
    <w:rPr>
      <w:sz w:val="24"/>
      <w:szCs w:val="24"/>
    </w:rPr>
  </w:style>
  <w:style w:type="character" w:customStyle="1" w:styleId="Heading6Char">
    <w:name w:val="Heading 6 Char"/>
    <w:basedOn w:val="DefaultParagraphFont"/>
    <w:link w:val="Heading6"/>
    <w:uiPriority w:val="9"/>
    <w:rsid w:val="00B61B17"/>
    <w:rPr>
      <w:rFonts w:eastAsiaTheme="majorEastAsia" w:cstheme="majorBidi"/>
      <w:b/>
      <w:spacing w:val="5"/>
      <w:kern w:val="28"/>
      <w:sz w:val="36"/>
      <w:szCs w:val="40"/>
    </w:rPr>
  </w:style>
  <w:style w:type="character" w:customStyle="1" w:styleId="Heading7Char">
    <w:name w:val="Heading 7 Char"/>
    <w:basedOn w:val="DefaultParagraphFont"/>
    <w:link w:val="Heading7"/>
    <w:uiPriority w:val="9"/>
    <w:rsid w:val="00236EC0"/>
    <w:rPr>
      <w:rFonts w:eastAsiaTheme="majorEastAsia" w:cstheme="majorBidi"/>
      <w:b/>
      <w:bCs/>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3D effects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9AB"/>
    <w:rPr>
      <w:rFonts w:ascii="Lucida Bright" w:hAnsi="Lucida Bright"/>
      <w:sz w:val="24"/>
      <w:szCs w:val="24"/>
    </w:rPr>
  </w:style>
  <w:style w:type="paragraph" w:styleId="Heading1">
    <w:name w:val="heading 1"/>
    <w:basedOn w:val="Title"/>
    <w:next w:val="Normal"/>
    <w:link w:val="Heading1Char"/>
    <w:uiPriority w:val="9"/>
    <w:qFormat/>
    <w:rsid w:val="00263EE9"/>
    <w:pPr>
      <w:spacing w:line="240" w:lineRule="auto"/>
      <w:outlineLvl w:val="0"/>
    </w:pPr>
    <w:rPr>
      <w:rFonts w:asciiTheme="minorHAnsi" w:hAnsiTheme="minorHAnsi"/>
      <w:sz w:val="52"/>
    </w:rPr>
  </w:style>
  <w:style w:type="paragraph" w:styleId="Heading2">
    <w:name w:val="heading 2"/>
    <w:basedOn w:val="Title"/>
    <w:next w:val="Normal"/>
    <w:link w:val="Heading2Char"/>
    <w:uiPriority w:val="9"/>
    <w:unhideWhenUsed/>
    <w:qFormat/>
    <w:rsid w:val="00D5073D"/>
    <w:pPr>
      <w:spacing w:before="480" w:line="240" w:lineRule="auto"/>
      <w:outlineLvl w:val="1"/>
    </w:pPr>
    <w:rPr>
      <w:rFonts w:asciiTheme="minorHAnsi" w:hAnsiTheme="minorHAnsi"/>
      <w:sz w:val="40"/>
      <w:szCs w:val="40"/>
    </w:rPr>
  </w:style>
  <w:style w:type="paragraph" w:styleId="Heading3">
    <w:name w:val="heading 3"/>
    <w:basedOn w:val="Normal"/>
    <w:next w:val="Normal"/>
    <w:link w:val="Heading3Char"/>
    <w:uiPriority w:val="9"/>
    <w:unhideWhenUsed/>
    <w:qFormat/>
    <w:rsid w:val="00B61B17"/>
    <w:pPr>
      <w:keepNext/>
      <w:keepLines/>
      <w:spacing w:before="240"/>
      <w:outlineLvl w:val="2"/>
    </w:pPr>
    <w:rPr>
      <w:rFonts w:asciiTheme="minorHAnsi" w:eastAsiaTheme="majorEastAsia" w:hAnsiTheme="minorHAnsi" w:cstheme="majorBidi"/>
      <w:b/>
      <w:bCs/>
      <w:sz w:val="28"/>
      <w:szCs w:val="28"/>
    </w:rPr>
  </w:style>
  <w:style w:type="paragraph" w:styleId="Heading4">
    <w:name w:val="heading 4"/>
    <w:basedOn w:val="Heading2"/>
    <w:next w:val="Normal"/>
    <w:link w:val="Heading4Char"/>
    <w:uiPriority w:val="9"/>
    <w:unhideWhenUsed/>
    <w:qFormat/>
    <w:rsid w:val="00AD744F"/>
    <w:pPr>
      <w:outlineLvl w:val="3"/>
    </w:pPr>
    <w:rPr>
      <w:sz w:val="32"/>
    </w:rPr>
  </w:style>
  <w:style w:type="paragraph" w:styleId="Heading5">
    <w:name w:val="heading 5"/>
    <w:basedOn w:val="Title"/>
    <w:next w:val="Normal"/>
    <w:link w:val="Heading5Char"/>
    <w:uiPriority w:val="9"/>
    <w:unhideWhenUsed/>
    <w:qFormat/>
    <w:rsid w:val="001C5B40"/>
    <w:pPr>
      <w:spacing w:before="240" w:after="200" w:line="240" w:lineRule="auto"/>
      <w:outlineLvl w:val="4"/>
    </w:pPr>
    <w:rPr>
      <w:rFonts w:asciiTheme="minorHAnsi" w:hAnsiTheme="minorHAnsi"/>
      <w:bCs/>
      <w:i/>
      <w:sz w:val="24"/>
      <w:szCs w:val="24"/>
    </w:rPr>
  </w:style>
  <w:style w:type="paragraph" w:styleId="Heading6">
    <w:name w:val="heading 6"/>
    <w:basedOn w:val="Heading2"/>
    <w:next w:val="Normal"/>
    <w:link w:val="Heading6Char"/>
    <w:uiPriority w:val="9"/>
    <w:unhideWhenUsed/>
    <w:qFormat/>
    <w:rsid w:val="00B61B17"/>
    <w:pPr>
      <w:spacing w:before="240"/>
      <w:outlineLvl w:val="5"/>
    </w:pPr>
    <w:rPr>
      <w:sz w:val="36"/>
    </w:rPr>
  </w:style>
  <w:style w:type="paragraph" w:styleId="Heading7">
    <w:name w:val="heading 7"/>
    <w:basedOn w:val="Normal"/>
    <w:next w:val="Normal"/>
    <w:link w:val="Heading7Char"/>
    <w:uiPriority w:val="9"/>
    <w:unhideWhenUsed/>
    <w:qFormat/>
    <w:rsid w:val="00236EC0"/>
    <w:pPr>
      <w:keepNext/>
      <w:keepLines/>
      <w:spacing w:before="240" w:line="240" w:lineRule="auto"/>
      <w:outlineLvl w:val="6"/>
    </w:pPr>
    <w:rPr>
      <w:rFonts w:asciiTheme="minorHAnsi" w:eastAsiaTheme="majorEastAsia" w:hAnsiTheme="min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EE9"/>
    <w:rPr>
      <w:rFonts w:eastAsiaTheme="majorEastAsia" w:cstheme="majorBidi"/>
      <w:b/>
      <w:spacing w:val="5"/>
      <w:kern w:val="28"/>
      <w:sz w:val="52"/>
      <w:szCs w:val="56"/>
    </w:rPr>
  </w:style>
  <w:style w:type="character" w:customStyle="1" w:styleId="Heading2Char">
    <w:name w:val="Heading 2 Char"/>
    <w:basedOn w:val="DefaultParagraphFont"/>
    <w:link w:val="Heading2"/>
    <w:uiPriority w:val="9"/>
    <w:rsid w:val="00D5073D"/>
    <w:rPr>
      <w:rFonts w:eastAsiaTheme="majorEastAsia" w:cstheme="majorBidi"/>
      <w:b/>
      <w:spacing w:val="5"/>
      <w:kern w:val="28"/>
      <w:sz w:val="40"/>
      <w:szCs w:val="40"/>
    </w:rPr>
  </w:style>
  <w:style w:type="character" w:customStyle="1" w:styleId="Heading3Char">
    <w:name w:val="Heading 3 Char"/>
    <w:basedOn w:val="DefaultParagraphFont"/>
    <w:link w:val="Heading3"/>
    <w:uiPriority w:val="9"/>
    <w:rsid w:val="00B61B17"/>
    <w:rPr>
      <w:rFonts w:eastAsiaTheme="majorEastAsia" w:cstheme="majorBidi"/>
      <w:b/>
      <w:bCs/>
      <w:sz w:val="28"/>
      <w:szCs w:val="28"/>
    </w:rPr>
  </w:style>
  <w:style w:type="paragraph" w:styleId="BalloonText">
    <w:name w:val="Balloon Text"/>
    <w:basedOn w:val="Normal"/>
    <w:link w:val="BalloonTextChar"/>
    <w:uiPriority w:val="99"/>
    <w:semiHidden/>
    <w:unhideWhenUsed/>
    <w:rsid w:val="00591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pPr>
      <w:spacing w:line="240" w:lineRule="auto"/>
    </w:pPr>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AD744F"/>
    <w:rPr>
      <w:rFonts w:eastAsiaTheme="majorEastAsia" w:cstheme="majorBidi"/>
      <w:b/>
      <w:spacing w:val="5"/>
      <w:kern w:val="28"/>
      <w:sz w:val="32"/>
      <w:szCs w:val="40"/>
    </w:rPr>
  </w:style>
  <w:style w:type="character" w:customStyle="1" w:styleId="Heading5Char">
    <w:name w:val="Heading 5 Char"/>
    <w:basedOn w:val="DefaultParagraphFont"/>
    <w:link w:val="Heading5"/>
    <w:uiPriority w:val="9"/>
    <w:rsid w:val="001C5B40"/>
    <w:rPr>
      <w:rFonts w:eastAsiaTheme="majorEastAsia" w:cstheme="majorBidi"/>
      <w:b/>
      <w:bCs/>
      <w:i/>
      <w:spacing w:val="5"/>
      <w:kern w:val="28"/>
      <w:sz w:val="24"/>
      <w:szCs w:val="24"/>
    </w:rPr>
  </w:style>
  <w:style w:type="paragraph" w:styleId="Title">
    <w:name w:val="Title"/>
    <w:basedOn w:val="Normal"/>
    <w:next w:val="Normal"/>
    <w:link w:val="TitleChar"/>
    <w:uiPriority w:val="10"/>
    <w:qFormat/>
    <w:rsid w:val="001420B3"/>
    <w:pPr>
      <w:spacing w:after="240"/>
      <w:contextualSpacing/>
    </w:pPr>
    <w:rPr>
      <w:rFonts w:eastAsiaTheme="majorEastAsia" w:cstheme="majorBidi"/>
      <w:b/>
      <w:spacing w:val="5"/>
      <w:kern w:val="28"/>
      <w:sz w:val="56"/>
      <w:szCs w:val="56"/>
    </w:rPr>
  </w:style>
  <w:style w:type="character" w:customStyle="1" w:styleId="TitleChar">
    <w:name w:val="Title Char"/>
    <w:basedOn w:val="DefaultParagraphFont"/>
    <w:link w:val="Title"/>
    <w:uiPriority w:val="10"/>
    <w:rsid w:val="001420B3"/>
    <w:rPr>
      <w:rFonts w:ascii="Lucida Bright" w:eastAsiaTheme="majorEastAsia" w:hAnsi="Lucida Bright" w:cstheme="majorBidi"/>
      <w:b/>
      <w:spacing w:val="5"/>
      <w:kern w:val="28"/>
      <w:sz w:val="56"/>
      <w:szCs w:val="56"/>
    </w:rPr>
  </w:style>
  <w:style w:type="paragraph" w:styleId="Footer">
    <w:name w:val="footer"/>
    <w:basedOn w:val="Normal"/>
    <w:link w:val="FooterChar"/>
    <w:uiPriority w:val="99"/>
    <w:unhideWhenUsed/>
    <w:rsid w:val="00705DAD"/>
    <w:pPr>
      <w:tabs>
        <w:tab w:val="center" w:pos="4320"/>
        <w:tab w:val="right" w:pos="8640"/>
      </w:tabs>
      <w:spacing w:after="0" w:line="240" w:lineRule="auto"/>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line="240" w:lineRule="auto"/>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rsid w:val="001420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writing">
    <w:name w:val="Table writing"/>
    <w:basedOn w:val="Normal"/>
    <w:qFormat/>
    <w:rsid w:val="001420B3"/>
    <w:pPr>
      <w:autoSpaceDE w:val="0"/>
      <w:autoSpaceDN w:val="0"/>
      <w:adjustRightInd w:val="0"/>
      <w:spacing w:before="60" w:after="60" w:line="240" w:lineRule="auto"/>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line="240" w:lineRule="auto"/>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qFormat/>
    <w:rsid w:val="003370D0"/>
    <w:rPr>
      <w:i/>
    </w:rPr>
  </w:style>
  <w:style w:type="paragraph" w:customStyle="1" w:styleId="DepartmentalHeading2">
    <w:name w:val="Departmental Heading 2"/>
    <w:basedOn w:val="Heading2"/>
    <w:rsid w:val="00B32149"/>
    <w:pPr>
      <w:spacing w:before="240" w:after="60"/>
    </w:pPr>
    <w:rPr>
      <w:rFonts w:ascii="Arial" w:eastAsia="Times New Roman" w:hAnsi="Arial" w:cs="Times New Roman"/>
      <w:bCs/>
      <w:sz w:val="24"/>
      <w:szCs w:val="20"/>
    </w:rPr>
  </w:style>
  <w:style w:type="character" w:styleId="Hyperlink">
    <w:name w:val="Hyperlink"/>
    <w:rsid w:val="00BD16A7"/>
    <w:rPr>
      <w:color w:val="0000FF"/>
      <w:u w:val="single"/>
    </w:rPr>
  </w:style>
  <w:style w:type="character" w:styleId="FollowedHyperlink">
    <w:name w:val="FollowedHyperlink"/>
    <w:basedOn w:val="DefaultParagraphFont"/>
    <w:uiPriority w:val="99"/>
    <w:semiHidden/>
    <w:unhideWhenUsed/>
    <w:rsid w:val="00BD16A7"/>
    <w:rPr>
      <w:color w:val="800080" w:themeColor="followedHyperlink"/>
      <w:u w:val="single"/>
    </w:rPr>
  </w:style>
  <w:style w:type="paragraph" w:customStyle="1" w:styleId="Default">
    <w:name w:val="Default"/>
    <w:rsid w:val="00336AEA"/>
    <w:pPr>
      <w:autoSpaceDE w:val="0"/>
      <w:autoSpaceDN w:val="0"/>
      <w:adjustRightInd w:val="0"/>
      <w:spacing w:after="0" w:line="240" w:lineRule="auto"/>
    </w:pPr>
    <w:rPr>
      <w:rFonts w:ascii="Arial" w:hAnsi="Arial" w:cs="Arial"/>
      <w:color w:val="000000"/>
      <w:sz w:val="24"/>
      <w:szCs w:val="24"/>
    </w:rPr>
  </w:style>
  <w:style w:type="table" w:styleId="Table3Deffects3">
    <w:name w:val="Table 3D effects 3"/>
    <w:basedOn w:val="TableNormal"/>
    <w:rsid w:val="00D62733"/>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partmentalHeading3">
    <w:name w:val="Departmental Heading 3"/>
    <w:basedOn w:val="Heading3"/>
    <w:rsid w:val="00662D70"/>
    <w:pPr>
      <w:keepLines w:val="0"/>
      <w:spacing w:after="60" w:line="240" w:lineRule="auto"/>
    </w:pPr>
    <w:rPr>
      <w:rFonts w:ascii="Arial" w:eastAsia="Times New Roman" w:hAnsi="Arial" w:cs="Times New Roman"/>
      <w:b w:val="0"/>
      <w:bCs w:val="0"/>
      <w:i/>
      <w:sz w:val="24"/>
      <w:szCs w:val="20"/>
    </w:rPr>
  </w:style>
  <w:style w:type="paragraph" w:styleId="ListParagraph">
    <w:name w:val="List Paragraph"/>
    <w:basedOn w:val="Normal"/>
    <w:uiPriority w:val="34"/>
    <w:qFormat/>
    <w:rsid w:val="008F088E"/>
    <w:pPr>
      <w:ind w:left="720"/>
      <w:contextualSpacing/>
    </w:pPr>
  </w:style>
  <w:style w:type="paragraph" w:styleId="FootnoteText">
    <w:name w:val="footnote text"/>
    <w:basedOn w:val="Normal"/>
    <w:link w:val="FootnoteTextChar"/>
    <w:uiPriority w:val="99"/>
    <w:semiHidden/>
    <w:unhideWhenUsed/>
    <w:rsid w:val="00163A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3AA9"/>
    <w:rPr>
      <w:rFonts w:ascii="Lucida Bright" w:hAnsi="Lucida Bright"/>
      <w:sz w:val="20"/>
      <w:szCs w:val="20"/>
    </w:rPr>
  </w:style>
  <w:style w:type="character" w:styleId="FootnoteReference">
    <w:name w:val="footnote reference"/>
    <w:basedOn w:val="DefaultParagraphFont"/>
    <w:uiPriority w:val="99"/>
    <w:semiHidden/>
    <w:unhideWhenUsed/>
    <w:rsid w:val="00163AA9"/>
    <w:rPr>
      <w:vertAlign w:val="superscript"/>
    </w:rPr>
  </w:style>
  <w:style w:type="paragraph" w:styleId="NormalWeb">
    <w:name w:val="Normal (Web)"/>
    <w:basedOn w:val="Normal"/>
    <w:uiPriority w:val="99"/>
    <w:unhideWhenUsed/>
    <w:rsid w:val="00D97474"/>
    <w:pPr>
      <w:spacing w:before="100" w:beforeAutospacing="1" w:after="100" w:afterAutospacing="1" w:line="240" w:lineRule="auto"/>
    </w:pPr>
    <w:rPr>
      <w:rFonts w:ascii="Times New Roman" w:eastAsia="Times New Roman" w:hAnsi="Times New Roman" w:cs="Times New Roman"/>
    </w:rPr>
  </w:style>
  <w:style w:type="paragraph" w:styleId="Caption">
    <w:name w:val="caption"/>
    <w:basedOn w:val="Normal"/>
    <w:next w:val="Normal"/>
    <w:uiPriority w:val="35"/>
    <w:semiHidden/>
    <w:unhideWhenUsed/>
    <w:qFormat/>
    <w:rsid w:val="000B00BE"/>
    <w:pPr>
      <w:spacing w:line="240" w:lineRule="auto"/>
    </w:pPr>
    <w:rPr>
      <w:b/>
      <w:bCs/>
      <w:color w:val="4F81BD" w:themeColor="accent1"/>
      <w:sz w:val="18"/>
      <w:szCs w:val="18"/>
    </w:rPr>
  </w:style>
  <w:style w:type="paragraph" w:styleId="NoSpacing">
    <w:name w:val="No Spacing"/>
    <w:uiPriority w:val="1"/>
    <w:qFormat/>
    <w:rsid w:val="001306BC"/>
    <w:pPr>
      <w:spacing w:after="0" w:line="240" w:lineRule="auto"/>
    </w:pPr>
    <w:rPr>
      <w:sz w:val="24"/>
      <w:szCs w:val="24"/>
    </w:rPr>
  </w:style>
  <w:style w:type="character" w:customStyle="1" w:styleId="Heading6Char">
    <w:name w:val="Heading 6 Char"/>
    <w:basedOn w:val="DefaultParagraphFont"/>
    <w:link w:val="Heading6"/>
    <w:uiPriority w:val="9"/>
    <w:rsid w:val="00B61B17"/>
    <w:rPr>
      <w:rFonts w:eastAsiaTheme="majorEastAsia" w:cstheme="majorBidi"/>
      <w:b/>
      <w:spacing w:val="5"/>
      <w:kern w:val="28"/>
      <w:sz w:val="36"/>
      <w:szCs w:val="40"/>
    </w:rPr>
  </w:style>
  <w:style w:type="character" w:customStyle="1" w:styleId="Heading7Char">
    <w:name w:val="Heading 7 Char"/>
    <w:basedOn w:val="DefaultParagraphFont"/>
    <w:link w:val="Heading7"/>
    <w:uiPriority w:val="9"/>
    <w:rsid w:val="00236EC0"/>
    <w:rPr>
      <w:rFonts w:eastAsiaTheme="majorEastAsia" w:cstheme="majorBidi"/>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66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bs.gov.au/medicine/item/5662b" TargetMode="External"/><Relationship Id="rId18" Type="http://schemas.openxmlformats.org/officeDocument/2006/relationships/hyperlink" Target="http://www.pbs.gov.au/browse/manufacturer/hh" TargetMode="External"/><Relationship Id="rId26" Type="http://schemas.openxmlformats.org/officeDocument/2006/relationships/hyperlink" Target="http://www.pbs.gov.au/browse/manufacturer/hh" TargetMode="External"/><Relationship Id="rId39" Type="http://schemas.openxmlformats.org/officeDocument/2006/relationships/hyperlink" Target="http://www.pbs.gov.au/medicine/item/5656q" TargetMode="External"/><Relationship Id="rId21" Type="http://schemas.openxmlformats.org/officeDocument/2006/relationships/hyperlink" Target="http://www.pbs.gov.au/medicine/item/6113r" TargetMode="External"/><Relationship Id="rId34" Type="http://schemas.openxmlformats.org/officeDocument/2006/relationships/hyperlink" Target="http://www.pbs.gov.au/browse/manufacturer/hh" TargetMode="External"/><Relationship Id="rId42" Type="http://schemas.openxmlformats.org/officeDocument/2006/relationships/hyperlink" Target="http://www.pbs.gov.au/browse/manufacturer/hh" TargetMode="External"/><Relationship Id="rId47" Type="http://schemas.openxmlformats.org/officeDocument/2006/relationships/image" Target="media/image1.png"/><Relationship Id="rId50" Type="http://schemas.openxmlformats.org/officeDocument/2006/relationships/image" Target="media/image4.png"/><Relationship Id="rId55"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pbs.gov.au/browse/manufacturer/nv" TargetMode="External"/><Relationship Id="rId17" Type="http://schemas.openxmlformats.org/officeDocument/2006/relationships/hyperlink" Target="http://www.pbs.gov.au/medicine/item/6270b" TargetMode="External"/><Relationship Id="rId25" Type="http://schemas.openxmlformats.org/officeDocument/2006/relationships/hyperlink" Target="http://www.pbs.gov.au/medicine/item/5657r" TargetMode="External"/><Relationship Id="rId33" Type="http://schemas.openxmlformats.org/officeDocument/2006/relationships/hyperlink" Target="http://www.pbs.gov.au/browse/manufacturer/hh" TargetMode="External"/><Relationship Id="rId38" Type="http://schemas.openxmlformats.org/officeDocument/2006/relationships/hyperlink" Target="http://www.pbs.gov.au/browse/manufacturer/hh" TargetMode="External"/><Relationship Id="rId46" Type="http://schemas.openxmlformats.org/officeDocument/2006/relationships/hyperlink" Target="http://www.pbs.gov.au/browse/manufacturer/hh"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bs.gov.au/browse/manufacturer/nv" TargetMode="External"/><Relationship Id="rId20" Type="http://schemas.openxmlformats.org/officeDocument/2006/relationships/hyperlink" Target="http://www.pbs.gov.au/browse/manufacturer/nv" TargetMode="External"/><Relationship Id="rId29" Type="http://schemas.openxmlformats.org/officeDocument/2006/relationships/hyperlink" Target="http://www.pbs.gov.au/medicine/item/6416q" TargetMode="External"/><Relationship Id="rId41" Type="http://schemas.openxmlformats.org/officeDocument/2006/relationships/hyperlink" Target="http://www.pbs.gov.au/medicine/item/6499c"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bs.gov.au/pbs/search?term=DESFERRIOXAMINE&amp;analyse=false&amp;search-type=medicines" TargetMode="External"/><Relationship Id="rId24" Type="http://schemas.openxmlformats.org/officeDocument/2006/relationships/hyperlink" Target="http://www.pbs.gov.au/browse/manufacturer/nv" TargetMode="External"/><Relationship Id="rId32" Type="http://schemas.openxmlformats.org/officeDocument/2006/relationships/hyperlink" Target="http://www.pbs.gov.au/medicine/item/9638g" TargetMode="External"/><Relationship Id="rId37" Type="http://schemas.openxmlformats.org/officeDocument/2006/relationships/hyperlink" Target="http://www.pbs.gov.au/medicine/item/5655p" TargetMode="External"/><Relationship Id="rId40" Type="http://schemas.openxmlformats.org/officeDocument/2006/relationships/hyperlink" Target="http://www.pbs.gov.au/browse/manufacturer/hh" TargetMode="External"/><Relationship Id="rId45" Type="http://schemas.openxmlformats.org/officeDocument/2006/relationships/hyperlink" Target="http://www.pbs.gov.au/medicine/item/9600g"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pbs.gov.au/pbs/search?term=DESFERRIOXAMINE&amp;analyse=false&amp;search-type=medicines" TargetMode="External"/><Relationship Id="rId23" Type="http://schemas.openxmlformats.org/officeDocument/2006/relationships/hyperlink" Target="http://www.pbs.gov.au/pbs/search?term=DESFERRIOXAMINE&amp;analyse=false&amp;search-type=medicines" TargetMode="External"/><Relationship Id="rId28" Type="http://schemas.openxmlformats.org/officeDocument/2006/relationships/hyperlink" Target="http://www.pbs.gov.au/browse/manufacturer/hh" TargetMode="External"/><Relationship Id="rId36" Type="http://schemas.openxmlformats.org/officeDocument/2006/relationships/hyperlink" Target="http://www.pbs.gov.au/browse/manufacturer/hh" TargetMode="External"/><Relationship Id="rId49" Type="http://schemas.openxmlformats.org/officeDocument/2006/relationships/image" Target="media/image3.png"/><Relationship Id="rId57" Type="http://schemas.openxmlformats.org/officeDocument/2006/relationships/footer" Target="footer3.xml"/><Relationship Id="rId10" Type="http://schemas.openxmlformats.org/officeDocument/2006/relationships/hyperlink" Target="http://www.pbs.gov.au/browse/manufacturer/hh" TargetMode="External"/><Relationship Id="rId19" Type="http://schemas.openxmlformats.org/officeDocument/2006/relationships/hyperlink" Target="http://www.pbs.gov.au/pbs/search?term=DESFERRIOXAMINE&amp;analyse=false&amp;search-type=medicines" TargetMode="External"/><Relationship Id="rId31" Type="http://schemas.openxmlformats.org/officeDocument/2006/relationships/hyperlink" Target="http://www.pbs.gov.au/browse/manufacturer/hh" TargetMode="External"/><Relationship Id="rId44" Type="http://schemas.openxmlformats.org/officeDocument/2006/relationships/hyperlink" Target="http://www.pbs.gov.au/browse/manufacturer/hh" TargetMode="External"/><Relationship Id="rId52"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bs.gov.au/medicine/item/5661y" TargetMode="External"/><Relationship Id="rId14" Type="http://schemas.openxmlformats.org/officeDocument/2006/relationships/hyperlink" Target="http://www.pbs.gov.au/browse/manufacturer/hh" TargetMode="External"/><Relationship Id="rId22" Type="http://schemas.openxmlformats.org/officeDocument/2006/relationships/hyperlink" Target="http://www.pbs.gov.au/browse/manufacturer/hh" TargetMode="External"/><Relationship Id="rId27" Type="http://schemas.openxmlformats.org/officeDocument/2006/relationships/hyperlink" Target="http://www.pbs.gov.au/medicine/item/5658t" TargetMode="External"/><Relationship Id="rId30" Type="http://schemas.openxmlformats.org/officeDocument/2006/relationships/hyperlink" Target="http://www.pbs.gov.au/browse/manufacturer/hh" TargetMode="External"/><Relationship Id="rId35" Type="http://schemas.openxmlformats.org/officeDocument/2006/relationships/hyperlink" Target="http://www.pbs.gov.au/medicine/item/5654n" TargetMode="External"/><Relationship Id="rId43" Type="http://schemas.openxmlformats.org/officeDocument/2006/relationships/hyperlink" Target="http://www.pbs.gov.au/medicine/item/6500d" TargetMode="External"/><Relationship Id="rId48" Type="http://schemas.openxmlformats.org/officeDocument/2006/relationships/image" Target="media/image2.png"/><Relationship Id="rId56"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image" Target="media/image5.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46437-80C0-4AC4-9DE9-414B9E525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4797</Words>
  <Characters>27349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2014-07-30T01:46:00Z</dcterms:created>
  <dcterms:modified xsi:type="dcterms:W3CDTF">2014-07-30T04:19:00Z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