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95D0D" w14:textId="4ECB28AE" w:rsidR="001F41D4" w:rsidRPr="005D6F2E" w:rsidRDefault="008A5BAD" w:rsidP="001F41D4">
      <w:pPr>
        <w:pStyle w:val="Title"/>
      </w:pPr>
      <w:bookmarkStart w:id="0" w:name="_GoBack"/>
      <w:bookmarkEnd w:id="0"/>
      <w:r>
        <w:t>Hepatitis B: utilisation analysis</w:t>
      </w:r>
    </w:p>
    <w:p w14:paraId="68F00614" w14:textId="799F8740" w:rsidR="00736041" w:rsidRPr="001D390D" w:rsidRDefault="009053D3" w:rsidP="001D390D">
      <w:pPr>
        <w:pStyle w:val="Heading1"/>
      </w:pPr>
      <w:r w:rsidRPr="001D390D">
        <w:t>D</w:t>
      </w:r>
      <w:r w:rsidR="00832324" w:rsidRPr="001D390D">
        <w:t>rug utilisation sub-committee (DUSC)</w:t>
      </w:r>
    </w:p>
    <w:p w14:paraId="78148839" w14:textId="75A432A9" w:rsidR="009053D3" w:rsidRPr="001D390D" w:rsidRDefault="001F41D4" w:rsidP="001D390D">
      <w:pPr>
        <w:pStyle w:val="Heading2"/>
      </w:pPr>
      <w:r w:rsidRPr="005D6F2E">
        <w:t>February 2015</w:t>
      </w:r>
    </w:p>
    <w:p w14:paraId="7EFD635C" w14:textId="77777777" w:rsidR="000F760B" w:rsidRPr="001D390D" w:rsidRDefault="000F760B" w:rsidP="001D390D">
      <w:pPr>
        <w:pStyle w:val="Heading3"/>
      </w:pPr>
      <w:r w:rsidRPr="001D390D">
        <w:t>Abstract</w:t>
      </w:r>
    </w:p>
    <w:p w14:paraId="59D9C006" w14:textId="77777777" w:rsidR="000F760B" w:rsidRDefault="000F760B" w:rsidP="00A55579">
      <w:pPr>
        <w:pStyle w:val="Heading4"/>
      </w:pPr>
      <w:r>
        <w:t>Purpose</w:t>
      </w:r>
    </w:p>
    <w:p w14:paraId="34DB1DC7" w14:textId="77777777" w:rsidR="00BD0F9A" w:rsidRPr="005D6F2E" w:rsidRDefault="00BD0F9A" w:rsidP="00BD0F9A">
      <w:proofErr w:type="gramStart"/>
      <w:r w:rsidRPr="005D6F2E">
        <w:t>To examine the utilisation of medicines for the treatment of hepatitis B.</w:t>
      </w:r>
      <w:proofErr w:type="gramEnd"/>
      <w:r w:rsidRPr="005D6F2E">
        <w:t xml:space="preserve"> </w:t>
      </w:r>
    </w:p>
    <w:p w14:paraId="55122E16" w14:textId="77777777" w:rsidR="00BD0F9A" w:rsidRPr="005D6F2E" w:rsidRDefault="00BD0F9A" w:rsidP="00BD0F9A">
      <w:r w:rsidRPr="005D6F2E">
        <w:t>As the most recent new listing for hepatitis B occurred five years ago (December 2009) a predicted versus actual comparison is out of scope for this analysis.</w:t>
      </w:r>
    </w:p>
    <w:p w14:paraId="11A88CE9" w14:textId="357EF72E" w:rsidR="000F760B" w:rsidRDefault="00BD0F9A" w:rsidP="00BD0F9A">
      <w:pPr>
        <w:pStyle w:val="NoSpacing"/>
      </w:pPr>
      <w:r w:rsidRPr="005D6F2E">
        <w:t>This analysis focused on treatment of chronic hepatitis B. The vaccination program is out of scope for this analysis.</w:t>
      </w:r>
    </w:p>
    <w:p w14:paraId="598780B3" w14:textId="3E614A77" w:rsidR="00856BB4" w:rsidRDefault="00856BB4" w:rsidP="00A55579">
      <w:pPr>
        <w:pStyle w:val="Heading4"/>
      </w:pPr>
      <w:r w:rsidRPr="00856BB4">
        <w:t>Background</w:t>
      </w:r>
    </w:p>
    <w:p w14:paraId="163E955A" w14:textId="77777777" w:rsidR="00BD0F9A" w:rsidRPr="005D6F2E" w:rsidRDefault="00BD0F9A" w:rsidP="00BD0F9A">
      <w:r w:rsidRPr="005D6F2E">
        <w:t>The primary goal of treating hepatitis B patients is to improve patient survival by preventing or delaying the development of cirrhosis and liver cancer.</w:t>
      </w:r>
      <w:bookmarkStart w:id="1" w:name="_Ref404587129"/>
      <w:r w:rsidRPr="005D6F2E">
        <w:rPr>
          <w:rStyle w:val="FootnoteReference"/>
        </w:rPr>
        <w:footnoteReference w:id="1"/>
      </w:r>
      <w:bookmarkEnd w:id="1"/>
    </w:p>
    <w:p w14:paraId="0A327B3F" w14:textId="77777777" w:rsidR="000F760B" w:rsidRDefault="000F760B" w:rsidP="00A55579">
      <w:pPr>
        <w:pStyle w:val="Heading4"/>
      </w:pPr>
      <w:r>
        <w:t>Data Source / methodology</w:t>
      </w:r>
    </w:p>
    <w:p w14:paraId="5D4252AD" w14:textId="77777777" w:rsidR="00DD259F" w:rsidRPr="005D6F2E" w:rsidRDefault="00DD259F" w:rsidP="00DD259F">
      <w:pPr>
        <w:rPr>
          <w:rFonts w:eastAsia="Calibri" w:cs="Times New Roman"/>
        </w:rPr>
      </w:pPr>
      <w:r w:rsidRPr="005D6F2E">
        <w:rPr>
          <w:rFonts w:eastAsia="Calibri" w:cs="Times New Roman"/>
        </w:rPr>
        <w:t>Data for the number of prescriptions for medicines used to treat hepatitis B were extracted from the Highly Specialised Drugs (HSD) database for the period January 2003 to June 2014 inclusive, based on the date that the prescription was supplied. These data were used to count the overall number of packs dispensed for medicines used to treat hepatitis B, and the annual cost to Government.</w:t>
      </w:r>
    </w:p>
    <w:p w14:paraId="4DAEE6FE" w14:textId="546A9B67" w:rsidR="000F760B" w:rsidRDefault="00DD259F" w:rsidP="00DD259F">
      <w:pPr>
        <w:pStyle w:val="NoSpacing"/>
      </w:pPr>
      <w:r w:rsidRPr="005D6F2E">
        <w:t>The number of patients was calculated by matching prescriptions from the Department of Human Services (DHS) Authority Approvals database with data from the DHS Medicare Pharmacy Claims database for the period July 2013 to June 2014, inclusive.</w:t>
      </w:r>
    </w:p>
    <w:p w14:paraId="49E08693" w14:textId="77777777" w:rsidR="000F760B" w:rsidRDefault="000F760B" w:rsidP="00A55579">
      <w:pPr>
        <w:pStyle w:val="Heading4"/>
      </w:pPr>
      <w:r>
        <w:t>Key Findings</w:t>
      </w:r>
    </w:p>
    <w:p w14:paraId="73994BDF" w14:textId="77777777" w:rsidR="001F41D4" w:rsidRPr="006F5854" w:rsidRDefault="001F41D4" w:rsidP="001F41D4">
      <w:pPr>
        <w:pStyle w:val="NoSpacing"/>
      </w:pPr>
      <w:r>
        <w:t xml:space="preserve">During the period </w:t>
      </w:r>
      <w:r w:rsidRPr="006F5854">
        <w:t>July 2013 to June 2014:</w:t>
      </w:r>
    </w:p>
    <w:p w14:paraId="5B0090D0" w14:textId="77777777" w:rsidR="001F41D4" w:rsidRPr="006F5854" w:rsidRDefault="001F41D4" w:rsidP="001F41D4">
      <w:pPr>
        <w:pStyle w:val="NoSpacing"/>
        <w:numPr>
          <w:ilvl w:val="0"/>
          <w:numId w:val="1"/>
        </w:numPr>
      </w:pPr>
      <w:r>
        <w:t xml:space="preserve">12,953 </w:t>
      </w:r>
      <w:r w:rsidRPr="006F5854">
        <w:t>patients received treatment for hepatitis B through the PBS</w:t>
      </w:r>
      <w:r>
        <w:t>.</w:t>
      </w:r>
      <w:r w:rsidRPr="006F5854">
        <w:t xml:space="preserve"> </w:t>
      </w:r>
    </w:p>
    <w:p w14:paraId="3FC05D7E" w14:textId="77777777" w:rsidR="001F41D4" w:rsidRPr="006F5854" w:rsidRDefault="001F41D4" w:rsidP="001F41D4">
      <w:pPr>
        <w:pStyle w:val="NoSpacing"/>
        <w:numPr>
          <w:ilvl w:val="0"/>
          <w:numId w:val="1"/>
        </w:numPr>
      </w:pPr>
      <w:r>
        <w:lastRenderedPageBreak/>
        <w:t>74,493</w:t>
      </w:r>
      <w:r w:rsidRPr="006F5854">
        <w:t xml:space="preserve"> </w:t>
      </w:r>
      <w:r>
        <w:t>prescriptions</w:t>
      </w:r>
      <w:r w:rsidRPr="006F5854">
        <w:t xml:space="preserve"> were dispensed at a cost of</w:t>
      </w:r>
      <w:r>
        <w:t xml:space="preserve"> $59,172,690.</w:t>
      </w:r>
    </w:p>
    <w:p w14:paraId="51CF941F" w14:textId="77777777" w:rsidR="001F41D4" w:rsidRPr="006F5854" w:rsidRDefault="001F41D4" w:rsidP="00EA17B6">
      <w:pPr>
        <w:pStyle w:val="NoSpacing"/>
        <w:rPr>
          <w:highlight w:val="yellow"/>
        </w:rPr>
      </w:pPr>
    </w:p>
    <w:p w14:paraId="1969AC3D" w14:textId="3011B2C9" w:rsidR="000403DB" w:rsidRPr="000403DB" w:rsidRDefault="001F41D4" w:rsidP="00EA17B6">
      <w:r>
        <w:t xml:space="preserve">Overall the market of hepatitis B medicines is growing. </w:t>
      </w:r>
      <w:r w:rsidR="000403DB" w:rsidRPr="000403DB">
        <w:t xml:space="preserve"> </w:t>
      </w:r>
      <w:r w:rsidR="00F1736D">
        <w:t xml:space="preserve">The </w:t>
      </w:r>
      <w:r w:rsidR="000403DB" w:rsidRPr="000403DB">
        <w:t xml:space="preserve">DUSC noted this growth is largely attributable to </w:t>
      </w:r>
      <w:proofErr w:type="spellStart"/>
      <w:r w:rsidR="000403DB" w:rsidRPr="000403DB">
        <w:t>entecavir</w:t>
      </w:r>
      <w:proofErr w:type="spellEnd"/>
      <w:r w:rsidR="000403DB" w:rsidRPr="000403DB">
        <w:t xml:space="preserve"> and </w:t>
      </w:r>
      <w:proofErr w:type="spellStart"/>
      <w:r w:rsidR="000403DB" w:rsidRPr="000403DB">
        <w:t>tenofovir</w:t>
      </w:r>
      <w:proofErr w:type="spellEnd"/>
      <w:r w:rsidR="000403DB" w:rsidRPr="000403DB">
        <w:t xml:space="preserve"> use, which is consistent with the recommendation in clinical guidelines that most patients commence on these medicines. </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5E22C2" w:rsidRDefault="00E677DD" w:rsidP="001D390D">
      <w:pPr>
        <w:pStyle w:val="Heading3"/>
      </w:pPr>
      <w:r w:rsidRPr="005E22C2">
        <w:lastRenderedPageBreak/>
        <w:t xml:space="preserve">Purpose of </w:t>
      </w:r>
      <w:r w:rsidR="00D151EB">
        <w:t>analysis</w:t>
      </w:r>
    </w:p>
    <w:p w14:paraId="3F048790" w14:textId="77777777" w:rsidR="00DD259F" w:rsidRPr="005D6F2E" w:rsidRDefault="00DD259F" w:rsidP="00DD259F">
      <w:proofErr w:type="gramStart"/>
      <w:r w:rsidRPr="005D6F2E">
        <w:t>To examine the utilisation of medicines for the treatment of hepatitis B.</w:t>
      </w:r>
      <w:proofErr w:type="gramEnd"/>
      <w:r w:rsidRPr="005D6F2E">
        <w:t xml:space="preserve"> </w:t>
      </w:r>
    </w:p>
    <w:p w14:paraId="2BD17F86" w14:textId="77777777" w:rsidR="00DD259F" w:rsidRPr="005D6F2E" w:rsidRDefault="00DD259F" w:rsidP="00DD259F">
      <w:r w:rsidRPr="005D6F2E">
        <w:t>As the most recent new listing for hepatitis B occurred five years ago (December 2009) a predicted versus actual comparison is out of scope for this analysis.</w:t>
      </w:r>
    </w:p>
    <w:p w14:paraId="1F15F3D9" w14:textId="77777777" w:rsidR="00DD259F" w:rsidRPr="005D6F2E" w:rsidRDefault="00DD259F" w:rsidP="00DD259F">
      <w:r w:rsidRPr="005D6F2E">
        <w:t>This analysis focused on treatment of chronic hepatitis B. The vaccination program is out of scope for this analysis.</w:t>
      </w:r>
    </w:p>
    <w:p w14:paraId="0A7F0B57" w14:textId="034D22D5" w:rsidR="006537D9" w:rsidRDefault="00736041" w:rsidP="001D390D">
      <w:pPr>
        <w:pStyle w:val="Heading3"/>
      </w:pPr>
      <w:r w:rsidRPr="005E22C2">
        <w:t>Background</w:t>
      </w:r>
    </w:p>
    <w:p w14:paraId="5A78C0BC" w14:textId="7736EDC7" w:rsidR="00B935C3" w:rsidRPr="00B935C3" w:rsidRDefault="00857E6D" w:rsidP="00B935C3">
      <w:r w:rsidRPr="005D6F2E">
        <w:t>Chronic He</w:t>
      </w:r>
      <w:r>
        <w:t>patitis B (CHB) Recommendations from the</w:t>
      </w:r>
      <w:r w:rsidRPr="005D6F2E">
        <w:t xml:space="preserve"> Gastroenterological Society of Australia</w:t>
      </w:r>
      <w:r>
        <w:t xml:space="preserve"> (</w:t>
      </w:r>
      <w:r w:rsidRPr="005D6F2E">
        <w:t>September 2009</w:t>
      </w:r>
      <w:r>
        <w:t>) was used as a main source of background information for this report. T</w:t>
      </w:r>
      <w:r w:rsidR="00CF6DBB">
        <w:t xml:space="preserve">o view the guidelines </w:t>
      </w:r>
      <w:r w:rsidR="00EA17B6">
        <w:t>visit</w:t>
      </w:r>
      <w:r>
        <w:t xml:space="preserve"> </w:t>
      </w:r>
      <w:r w:rsidR="00D24DFD">
        <w:t xml:space="preserve">the </w:t>
      </w:r>
      <w:hyperlink r:id="rId9" w:history="1">
        <w:r w:rsidR="00D24DFD" w:rsidRPr="00CF6DBB">
          <w:rPr>
            <w:rStyle w:val="Hyperlink"/>
          </w:rPr>
          <w:t>Gastroenterological Society of Australia</w:t>
        </w:r>
      </w:hyperlink>
      <w:r w:rsidR="00D24DFD">
        <w:t xml:space="preserve">. </w:t>
      </w:r>
    </w:p>
    <w:p w14:paraId="0183A567" w14:textId="413DF87B" w:rsidR="007247B9" w:rsidRPr="00E376AA" w:rsidRDefault="007247B9" w:rsidP="00E376AA">
      <w:pPr>
        <w:pStyle w:val="Heading4"/>
      </w:pPr>
      <w:r w:rsidRPr="00E376AA">
        <w:t>Pharmacology</w:t>
      </w:r>
    </w:p>
    <w:p w14:paraId="0625FBAE" w14:textId="1BB11435" w:rsidR="00DD259F" w:rsidRPr="005D6F2E" w:rsidRDefault="00DD259F" w:rsidP="00DD259F">
      <w:r w:rsidRPr="005D6F2E">
        <w:t>The primary goal of treating hepatitis B patients is to improve patient survival by preventing or delaying the development of cirrhosis and liver cancer.</w:t>
      </w:r>
      <w:r w:rsidR="004524FE">
        <w:rPr>
          <w:vertAlign w:val="superscript"/>
        </w:rPr>
        <w:t>1</w:t>
      </w:r>
    </w:p>
    <w:p w14:paraId="7A34E799" w14:textId="77777777" w:rsidR="00DD259F" w:rsidRPr="005D6F2E" w:rsidRDefault="00DD259F" w:rsidP="00DD259F">
      <w:r w:rsidRPr="005D6F2E">
        <w:t xml:space="preserve">There are two groups of drugs used to treat hepatitis B; direct antiviral drugs (nucleoside/nucleotide analogues) and </w:t>
      </w:r>
      <w:proofErr w:type="spellStart"/>
      <w:r w:rsidRPr="005D6F2E">
        <w:t>immunomodulatory</w:t>
      </w:r>
      <w:proofErr w:type="spellEnd"/>
      <w:r w:rsidRPr="005D6F2E">
        <w:t xml:space="preserve"> drugs (interferons). </w:t>
      </w:r>
      <w:r w:rsidRPr="005D6F2E">
        <w:fldChar w:fldCharType="begin"/>
      </w:r>
      <w:r w:rsidRPr="005D6F2E">
        <w:instrText xml:space="preserve"> REF _Ref406578034 \h </w:instrText>
      </w:r>
      <w:r>
        <w:instrText xml:space="preserve"> \* MERGEFORMAT </w:instrText>
      </w:r>
      <w:r w:rsidRPr="005D6F2E">
        <w:fldChar w:fldCharType="separate"/>
      </w:r>
      <w:r w:rsidR="0015162B" w:rsidRPr="00E0451C">
        <w:t xml:space="preserve">Table </w:t>
      </w:r>
      <w:r w:rsidR="0015162B">
        <w:rPr>
          <w:noProof/>
        </w:rPr>
        <w:t>1</w:t>
      </w:r>
      <w:r w:rsidRPr="005D6F2E">
        <w:fldChar w:fldCharType="end"/>
      </w:r>
      <w:r w:rsidRPr="005D6F2E">
        <w:t xml:space="preserve"> identifies the class of each PBS listed medicine. Nucleoside/nucleotide analogues reduce the amount of hepatitis B virus in the body by lowering the ability of the virus to multiply.</w:t>
      </w:r>
      <w:r w:rsidRPr="005D6F2E">
        <w:rPr>
          <w:rStyle w:val="FootnoteReference"/>
        </w:rPr>
        <w:footnoteReference w:id="2"/>
      </w:r>
      <w:r w:rsidRPr="005D6F2E">
        <w:t xml:space="preserve"> </w:t>
      </w:r>
    </w:p>
    <w:p w14:paraId="5AA5CAEC" w14:textId="77777777" w:rsidR="00DD259F" w:rsidRPr="005D6F2E" w:rsidRDefault="00DD259F" w:rsidP="00DD259F">
      <w:r w:rsidRPr="005D6F2E">
        <w:t>Interferons are proteins that modify the response of the body's immune system to help fight infections and severe diseases.</w:t>
      </w:r>
      <w:bookmarkStart w:id="2" w:name="_Ref420594151"/>
      <w:r w:rsidRPr="005D6F2E">
        <w:rPr>
          <w:rStyle w:val="FootnoteReference"/>
        </w:rPr>
        <w:footnoteReference w:id="3"/>
      </w:r>
      <w:bookmarkEnd w:id="2"/>
      <w:r w:rsidRPr="005D6F2E">
        <w:t xml:space="preserve"> In Australia, </w:t>
      </w:r>
      <w:proofErr w:type="spellStart"/>
      <w:r w:rsidRPr="005D6F2E">
        <w:t>pegylated</w:t>
      </w:r>
      <w:proofErr w:type="spellEnd"/>
      <w:r w:rsidRPr="005D6F2E">
        <w:t xml:space="preserve"> interferon has replaced standard interferon in chronic hepatitis B therapy.</w:t>
      </w:r>
      <w:r w:rsidRPr="005D6F2E">
        <w:rPr>
          <w:vertAlign w:val="superscript"/>
        </w:rPr>
        <w:fldChar w:fldCharType="begin"/>
      </w:r>
      <w:r w:rsidRPr="005D6F2E">
        <w:rPr>
          <w:vertAlign w:val="superscript"/>
        </w:rPr>
        <w:instrText xml:space="preserve"> NOTEREF _Ref404587129 \h  \* MERGEFORMAT </w:instrText>
      </w:r>
      <w:r w:rsidRPr="005D6F2E">
        <w:rPr>
          <w:vertAlign w:val="superscript"/>
        </w:rPr>
      </w:r>
      <w:r w:rsidRPr="005D6F2E">
        <w:rPr>
          <w:vertAlign w:val="superscript"/>
        </w:rPr>
        <w:fldChar w:fldCharType="separate"/>
      </w:r>
      <w:r w:rsidR="0015162B">
        <w:rPr>
          <w:vertAlign w:val="superscript"/>
        </w:rPr>
        <w:t>1</w:t>
      </w:r>
      <w:r w:rsidRPr="005D6F2E">
        <w:rPr>
          <w:vertAlign w:val="superscript"/>
        </w:rPr>
        <w:fldChar w:fldCharType="end"/>
      </w:r>
    </w:p>
    <w:p w14:paraId="6AC18C88" w14:textId="2877AC70" w:rsidR="001420B3" w:rsidRPr="00DE260E" w:rsidRDefault="001420B3" w:rsidP="00DD70ED">
      <w:pPr>
        <w:pStyle w:val="Heading4"/>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Pr="00DE260E">
        <w:t xml:space="preserve"> approved indications</w:t>
      </w:r>
    </w:p>
    <w:p w14:paraId="0D095BF7" w14:textId="3A0E0BC9" w:rsidR="00EB3DBB" w:rsidRPr="005D6F2E" w:rsidRDefault="004D2FF4" w:rsidP="00DD259F">
      <w:r>
        <w:t>For d</w:t>
      </w:r>
      <w:r w:rsidR="00C3580B">
        <w:t xml:space="preserve">etails of the </w:t>
      </w:r>
      <w:r w:rsidR="00EB3DBB" w:rsidRPr="00EB3DBB">
        <w:t xml:space="preserve">current </w:t>
      </w:r>
      <w:r w:rsidR="00EB3DBB">
        <w:t xml:space="preserve">TGA approved indications for medicines used in the treatment of hepatitis B </w:t>
      </w:r>
      <w:r w:rsidR="00C3580B">
        <w:t xml:space="preserve">refer to the </w:t>
      </w:r>
      <w:r w:rsidR="00EB3DBB" w:rsidRPr="00EB3DBB">
        <w:t>P</w:t>
      </w:r>
      <w:r w:rsidR="00EB3DBB">
        <w:t>roduct Information (PI)</w:t>
      </w:r>
      <w:r w:rsidR="00D4433A">
        <w:t>.  The PIs for each product</w:t>
      </w:r>
      <w:r w:rsidR="00EB3DBB">
        <w:t xml:space="preserve"> </w:t>
      </w:r>
      <w:r w:rsidR="00EB3DBB" w:rsidRPr="00EB3DBB">
        <w:t xml:space="preserve">are available from the </w:t>
      </w:r>
      <w:hyperlink r:id="rId10" w:history="1">
        <w:r w:rsidR="00EB3DBB" w:rsidRPr="00D4433A">
          <w:rPr>
            <w:rStyle w:val="Hyperlink"/>
          </w:rPr>
          <w:t>TGA (Product Information)</w:t>
        </w:r>
      </w:hyperlink>
      <w:r w:rsidR="00D4433A">
        <w:t xml:space="preserve"> page.</w:t>
      </w:r>
    </w:p>
    <w:p w14:paraId="15E919C1" w14:textId="63753970" w:rsidR="006B709B" w:rsidRDefault="006B709B" w:rsidP="00400B39">
      <w:pPr>
        <w:pStyle w:val="Heading4"/>
      </w:pPr>
      <w:r w:rsidRPr="00400B39">
        <w:lastRenderedPageBreak/>
        <w:t>Dosage and administration</w:t>
      </w:r>
      <w:r w:rsidR="001D1A35">
        <w:t xml:space="preserve"> </w:t>
      </w:r>
    </w:p>
    <w:p w14:paraId="5A7609D8" w14:textId="3462F345" w:rsidR="008A61D6" w:rsidRPr="008A61D6" w:rsidRDefault="008A61D6" w:rsidP="008A61D6">
      <w:r>
        <w:t xml:space="preserve">The table below summarises the dosage and frequency of administration for </w:t>
      </w:r>
      <w:r w:rsidRPr="008A61D6">
        <w:t>medicines used to treat hepatitis B</w:t>
      </w:r>
      <w:r>
        <w:t>.</w:t>
      </w:r>
    </w:p>
    <w:p w14:paraId="34D5C06F" w14:textId="77777777" w:rsidR="00DD259F" w:rsidRPr="00EA17B6" w:rsidRDefault="00DD259F" w:rsidP="00EA17B6">
      <w:pPr>
        <w:pStyle w:val="Tableheading"/>
      </w:pPr>
      <w:bookmarkStart w:id="3" w:name="_Ref406578034"/>
      <w:r w:rsidRPr="00E0451C">
        <w:t xml:space="preserve">Table </w:t>
      </w:r>
      <w:r w:rsidR="0015162B">
        <w:fldChar w:fldCharType="begin"/>
      </w:r>
      <w:r w:rsidR="0015162B">
        <w:instrText xml:space="preserve"> SEQ Table \* ARABIC </w:instrText>
      </w:r>
      <w:r w:rsidR="0015162B">
        <w:fldChar w:fldCharType="separate"/>
      </w:r>
      <w:r w:rsidR="0015162B">
        <w:rPr>
          <w:noProof/>
        </w:rPr>
        <w:t>1</w:t>
      </w:r>
      <w:r w:rsidR="0015162B">
        <w:rPr>
          <w:noProof/>
        </w:rPr>
        <w:fldChar w:fldCharType="end"/>
      </w:r>
      <w:bookmarkEnd w:id="3"/>
      <w:r w:rsidRPr="00EA17B6">
        <w:t>: Dosage and administration of medicines used to treat hepatitis B</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418"/>
        <w:gridCol w:w="1417"/>
        <w:gridCol w:w="4111"/>
      </w:tblGrid>
      <w:tr w:rsidR="00DD259F" w:rsidRPr="005D6F2E" w14:paraId="0F6A61F6" w14:textId="77777777" w:rsidTr="001F41D4">
        <w:trPr>
          <w:trHeight w:val="505"/>
        </w:trPr>
        <w:tc>
          <w:tcPr>
            <w:tcW w:w="2425" w:type="dxa"/>
            <w:shd w:val="clear" w:color="auto" w:fill="BFBFBF" w:themeFill="background1" w:themeFillShade="BF"/>
            <w:vAlign w:val="center"/>
          </w:tcPr>
          <w:p w14:paraId="07442397" w14:textId="77777777" w:rsidR="00DD259F" w:rsidRPr="005D6F2E" w:rsidRDefault="00DD259F" w:rsidP="001F41D4">
            <w:pPr>
              <w:keepNext/>
              <w:spacing w:after="0"/>
              <w:rPr>
                <w:rFonts w:ascii="Calibri" w:eastAsia="Times New Roman" w:hAnsi="Calibri" w:cs="Times New Roman"/>
                <w:b/>
                <w:color w:val="000000"/>
                <w:sz w:val="20"/>
                <w:szCs w:val="20"/>
              </w:rPr>
            </w:pPr>
            <w:r w:rsidRPr="005D6F2E">
              <w:rPr>
                <w:rFonts w:ascii="Calibri" w:eastAsia="Times New Roman" w:hAnsi="Calibri" w:cs="Times New Roman"/>
                <w:b/>
                <w:color w:val="000000"/>
                <w:sz w:val="20"/>
                <w:szCs w:val="20"/>
              </w:rPr>
              <w:t>Brand name and sponsor</w:t>
            </w:r>
          </w:p>
        </w:tc>
        <w:tc>
          <w:tcPr>
            <w:tcW w:w="1418" w:type="dxa"/>
            <w:shd w:val="clear" w:color="auto" w:fill="BFBFBF" w:themeFill="background1" w:themeFillShade="BF"/>
            <w:vAlign w:val="center"/>
          </w:tcPr>
          <w:p w14:paraId="5C161359" w14:textId="0923761A" w:rsidR="00DD259F" w:rsidRPr="005D6F2E" w:rsidRDefault="00D460A0" w:rsidP="001F41D4">
            <w:pPr>
              <w:keepNext/>
              <w:spacing w:after="0"/>
              <w:jc w:val="center"/>
              <w:rPr>
                <w:rFonts w:ascii="Calibri" w:eastAsia="Times New Roman" w:hAnsi="Calibri" w:cs="Times New Roman"/>
                <w:b/>
                <w:color w:val="000000"/>
                <w:sz w:val="20"/>
                <w:szCs w:val="20"/>
              </w:rPr>
            </w:pPr>
            <w:r>
              <w:rPr>
                <w:rFonts w:ascii="Calibri" w:eastAsia="Times New Roman" w:hAnsi="Calibri" w:cs="Times New Roman"/>
                <w:b/>
                <w:bCs/>
                <w:color w:val="000000"/>
                <w:sz w:val="20"/>
                <w:szCs w:val="20"/>
              </w:rPr>
              <w:t>Drug</w:t>
            </w:r>
          </w:p>
        </w:tc>
        <w:tc>
          <w:tcPr>
            <w:tcW w:w="1417" w:type="dxa"/>
            <w:shd w:val="clear" w:color="auto" w:fill="BFBFBF" w:themeFill="background1" w:themeFillShade="BF"/>
            <w:vAlign w:val="center"/>
          </w:tcPr>
          <w:p w14:paraId="55F11FB6" w14:textId="77777777" w:rsidR="00DD259F" w:rsidRPr="005D6F2E" w:rsidRDefault="00DD259F" w:rsidP="001F41D4">
            <w:pPr>
              <w:keepNext/>
              <w:spacing w:after="0"/>
              <w:jc w:val="center"/>
              <w:rPr>
                <w:rFonts w:ascii="Calibri" w:eastAsia="Times New Roman" w:hAnsi="Calibri" w:cs="Times New Roman"/>
                <w:b/>
                <w:color w:val="000000"/>
                <w:sz w:val="20"/>
                <w:szCs w:val="20"/>
              </w:rPr>
            </w:pPr>
            <w:r w:rsidRPr="005D6F2E">
              <w:rPr>
                <w:rFonts w:ascii="Calibri" w:eastAsia="Times New Roman" w:hAnsi="Calibri" w:cs="Times New Roman"/>
                <w:b/>
                <w:bCs/>
                <w:color w:val="000000"/>
                <w:sz w:val="20"/>
                <w:szCs w:val="20"/>
              </w:rPr>
              <w:t>Type of drug</w:t>
            </w:r>
          </w:p>
        </w:tc>
        <w:tc>
          <w:tcPr>
            <w:tcW w:w="4111" w:type="dxa"/>
            <w:shd w:val="clear" w:color="auto" w:fill="BFBFBF" w:themeFill="background1" w:themeFillShade="BF"/>
            <w:vAlign w:val="center"/>
          </w:tcPr>
          <w:p w14:paraId="1E5A75EA" w14:textId="77777777" w:rsidR="00DD259F" w:rsidRPr="005D6F2E" w:rsidRDefault="00DD259F" w:rsidP="001F41D4">
            <w:pPr>
              <w:keepNext/>
              <w:spacing w:after="0"/>
              <w:jc w:val="center"/>
              <w:rPr>
                <w:rFonts w:ascii="Calibri" w:eastAsia="Times New Roman" w:hAnsi="Calibri" w:cs="Times New Roman"/>
                <w:b/>
                <w:color w:val="000000"/>
                <w:sz w:val="20"/>
                <w:szCs w:val="20"/>
              </w:rPr>
            </w:pPr>
            <w:r w:rsidRPr="005D6F2E">
              <w:rPr>
                <w:rFonts w:ascii="Calibri" w:eastAsia="Times New Roman" w:hAnsi="Calibri" w:cs="Times New Roman"/>
                <w:b/>
                <w:bCs/>
                <w:color w:val="000000"/>
                <w:sz w:val="20"/>
                <w:szCs w:val="20"/>
              </w:rPr>
              <w:t>Dose and frequency of administration</w:t>
            </w:r>
          </w:p>
        </w:tc>
      </w:tr>
      <w:tr w:rsidR="00DD259F" w:rsidRPr="005D6F2E" w14:paraId="4A1F1324" w14:textId="77777777" w:rsidTr="001F41D4">
        <w:trPr>
          <w:trHeight w:val="1785"/>
        </w:trPr>
        <w:tc>
          <w:tcPr>
            <w:tcW w:w="2425" w:type="dxa"/>
            <w:shd w:val="clear" w:color="auto" w:fill="auto"/>
            <w:vAlign w:val="center"/>
            <w:hideMark/>
          </w:tcPr>
          <w:p w14:paraId="7F3CC692" w14:textId="77777777" w:rsidR="00DD259F" w:rsidRPr="005D6F2E" w:rsidRDefault="00DD259F"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Zeffix</w:t>
            </w:r>
            <w:proofErr w:type="spellEnd"/>
            <w:r w:rsidRPr="005D6F2E">
              <w:rPr>
                <w:rFonts w:ascii="Calibri" w:eastAsia="Times New Roman" w:hAnsi="Calibri" w:cs="Times New Roman"/>
                <w:color w:val="000000"/>
                <w:sz w:val="20"/>
                <w:szCs w:val="20"/>
              </w:rPr>
              <w:t xml:space="preserve"> </w:t>
            </w:r>
            <w:r w:rsidRPr="005D6F2E">
              <w:rPr>
                <w:rFonts w:ascii="Calibri" w:eastAsia="Times New Roman" w:hAnsi="Calibri" w:cs="Times New Roman"/>
                <w:color w:val="000000"/>
                <w:sz w:val="20"/>
                <w:szCs w:val="20"/>
              </w:rPr>
              <w:br/>
              <w:t xml:space="preserve">(Aspen </w:t>
            </w:r>
            <w:proofErr w:type="spellStart"/>
            <w:r w:rsidRPr="005D6F2E">
              <w:rPr>
                <w:rFonts w:ascii="Calibri" w:eastAsia="Times New Roman" w:hAnsi="Calibri" w:cs="Times New Roman"/>
                <w:color w:val="000000"/>
                <w:sz w:val="20"/>
                <w:szCs w:val="20"/>
              </w:rPr>
              <w:t>Pharmacare</w:t>
            </w:r>
            <w:proofErr w:type="spellEnd"/>
            <w:r w:rsidRPr="005D6F2E">
              <w:rPr>
                <w:rFonts w:ascii="Calibri" w:eastAsia="Times New Roman" w:hAnsi="Calibri" w:cs="Times New Roman"/>
                <w:color w:val="000000"/>
                <w:sz w:val="20"/>
                <w:szCs w:val="20"/>
              </w:rPr>
              <w:t xml:space="preserve"> Australia Pty Limited)</w:t>
            </w:r>
            <w:r w:rsidRPr="005D6F2E">
              <w:rPr>
                <w:rFonts w:ascii="Calibri" w:eastAsia="Times New Roman" w:hAnsi="Calibri" w:cs="Times New Roman"/>
                <w:color w:val="000000"/>
                <w:sz w:val="20"/>
                <w:szCs w:val="20"/>
              </w:rPr>
              <w:br/>
            </w:r>
            <w:r w:rsidRPr="005D6F2E">
              <w:rPr>
                <w:rFonts w:ascii="Calibri" w:eastAsia="Times New Roman" w:hAnsi="Calibri" w:cs="Times New Roman"/>
                <w:color w:val="000000"/>
                <w:sz w:val="20"/>
                <w:szCs w:val="20"/>
              </w:rPr>
              <w:br/>
            </w:r>
            <w:proofErr w:type="spellStart"/>
            <w:r w:rsidRPr="005D6F2E">
              <w:rPr>
                <w:rFonts w:ascii="Calibri" w:eastAsia="Times New Roman" w:hAnsi="Calibri" w:cs="Times New Roman"/>
                <w:color w:val="000000"/>
                <w:sz w:val="20"/>
                <w:szCs w:val="20"/>
              </w:rPr>
              <w:t>Zetlam</w:t>
            </w:r>
            <w:proofErr w:type="spellEnd"/>
            <w:r w:rsidRPr="005D6F2E">
              <w:rPr>
                <w:rFonts w:ascii="Calibri" w:eastAsia="Times New Roman" w:hAnsi="Calibri" w:cs="Times New Roman"/>
                <w:color w:val="000000"/>
                <w:sz w:val="20"/>
                <w:szCs w:val="20"/>
              </w:rPr>
              <w:br/>
              <w:t>(</w:t>
            </w:r>
            <w:proofErr w:type="spellStart"/>
            <w:r w:rsidRPr="005D6F2E">
              <w:rPr>
                <w:rFonts w:ascii="Calibri" w:eastAsia="Times New Roman" w:hAnsi="Calibri" w:cs="Times New Roman"/>
                <w:color w:val="000000"/>
                <w:sz w:val="20"/>
                <w:szCs w:val="20"/>
              </w:rPr>
              <w:t>Alphapharm</w:t>
            </w:r>
            <w:proofErr w:type="spellEnd"/>
            <w:r w:rsidRPr="005D6F2E">
              <w:rPr>
                <w:rFonts w:ascii="Calibri" w:eastAsia="Times New Roman" w:hAnsi="Calibri" w:cs="Times New Roman"/>
                <w:color w:val="000000"/>
                <w:sz w:val="20"/>
                <w:szCs w:val="20"/>
              </w:rPr>
              <w:t xml:space="preserve"> Pty Ltd)</w:t>
            </w:r>
          </w:p>
        </w:tc>
        <w:tc>
          <w:tcPr>
            <w:tcW w:w="1418" w:type="dxa"/>
            <w:shd w:val="clear" w:color="auto" w:fill="auto"/>
            <w:vAlign w:val="center"/>
            <w:hideMark/>
          </w:tcPr>
          <w:p w14:paraId="599AD5AF" w14:textId="029CB711" w:rsidR="00DD259F" w:rsidRPr="005D6F2E" w:rsidRDefault="00E40D7C"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lamivudine</w:t>
            </w:r>
          </w:p>
        </w:tc>
        <w:tc>
          <w:tcPr>
            <w:tcW w:w="1417" w:type="dxa"/>
            <w:vAlign w:val="center"/>
          </w:tcPr>
          <w:p w14:paraId="24048426"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Nucleoside analogue</w:t>
            </w:r>
          </w:p>
        </w:tc>
        <w:tc>
          <w:tcPr>
            <w:tcW w:w="4111" w:type="dxa"/>
            <w:shd w:val="clear" w:color="auto" w:fill="auto"/>
            <w:vAlign w:val="center"/>
            <w:hideMark/>
          </w:tcPr>
          <w:p w14:paraId="5C4E7D05"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100 mg once daily in adults and children &gt;12 years</w:t>
            </w:r>
            <w:r w:rsidRPr="005D6F2E">
              <w:rPr>
                <w:rFonts w:ascii="Calibri" w:eastAsia="Times New Roman" w:hAnsi="Calibri" w:cs="Times New Roman"/>
                <w:color w:val="000000"/>
                <w:sz w:val="20"/>
                <w:szCs w:val="20"/>
              </w:rPr>
              <w:br/>
              <w:t>3 mg/kg once daily to a maximum of 100 mg daily in children aged 2-11 years old</w:t>
            </w:r>
            <w:r w:rsidRPr="005D6F2E">
              <w:rPr>
                <w:rFonts w:ascii="Calibri" w:eastAsia="Times New Roman" w:hAnsi="Calibri" w:cs="Times New Roman"/>
                <w:color w:val="000000"/>
                <w:sz w:val="20"/>
                <w:szCs w:val="20"/>
              </w:rPr>
              <w:br/>
              <w:t xml:space="preserve">Higher doses are recommended in patients with HIV </w:t>
            </w:r>
            <w:proofErr w:type="spellStart"/>
            <w:r w:rsidRPr="005D6F2E">
              <w:rPr>
                <w:rFonts w:ascii="Calibri" w:eastAsia="Times New Roman" w:hAnsi="Calibri" w:cs="Times New Roman"/>
                <w:color w:val="000000"/>
                <w:sz w:val="20"/>
                <w:szCs w:val="20"/>
              </w:rPr>
              <w:t>coinfection</w:t>
            </w:r>
            <w:proofErr w:type="spellEnd"/>
          </w:p>
        </w:tc>
      </w:tr>
      <w:tr w:rsidR="00DD259F" w:rsidRPr="005D6F2E" w14:paraId="701649F3" w14:textId="77777777" w:rsidTr="001F41D4">
        <w:trPr>
          <w:trHeight w:val="510"/>
        </w:trPr>
        <w:tc>
          <w:tcPr>
            <w:tcW w:w="2425" w:type="dxa"/>
            <w:shd w:val="clear" w:color="auto" w:fill="auto"/>
            <w:vAlign w:val="center"/>
            <w:hideMark/>
          </w:tcPr>
          <w:p w14:paraId="252E1C41" w14:textId="77777777" w:rsidR="00DD259F" w:rsidRPr="005D6F2E" w:rsidRDefault="00DD259F"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Hepsera</w:t>
            </w:r>
            <w:proofErr w:type="spellEnd"/>
            <w:r w:rsidRPr="005D6F2E">
              <w:rPr>
                <w:rFonts w:ascii="Calibri" w:eastAsia="Times New Roman" w:hAnsi="Calibri" w:cs="Times New Roman"/>
                <w:color w:val="000000"/>
                <w:sz w:val="20"/>
                <w:szCs w:val="20"/>
              </w:rPr>
              <w:t xml:space="preserve"> </w:t>
            </w:r>
            <w:r w:rsidRPr="005D6F2E">
              <w:rPr>
                <w:rFonts w:ascii="Calibri" w:eastAsia="Times New Roman" w:hAnsi="Calibri" w:cs="Times New Roman"/>
                <w:color w:val="000000"/>
                <w:sz w:val="20"/>
                <w:szCs w:val="20"/>
              </w:rPr>
              <w:br/>
              <w:t>(Gilead Sciences Pty Limited)</w:t>
            </w:r>
          </w:p>
        </w:tc>
        <w:tc>
          <w:tcPr>
            <w:tcW w:w="1418" w:type="dxa"/>
            <w:shd w:val="clear" w:color="auto" w:fill="auto"/>
            <w:vAlign w:val="center"/>
            <w:hideMark/>
          </w:tcPr>
          <w:p w14:paraId="74FEAAB9" w14:textId="7A89E8D9" w:rsidR="00DD259F" w:rsidRPr="005D6F2E" w:rsidRDefault="00E40D7C"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adefovir</w:t>
            </w:r>
            <w:proofErr w:type="spellEnd"/>
            <w:r w:rsidRPr="005D6F2E">
              <w:rPr>
                <w:rFonts w:ascii="Calibri" w:eastAsia="Times New Roman" w:hAnsi="Calibri" w:cs="Times New Roman"/>
                <w:color w:val="000000"/>
                <w:sz w:val="20"/>
                <w:szCs w:val="20"/>
              </w:rPr>
              <w:t xml:space="preserve"> </w:t>
            </w:r>
            <w:proofErr w:type="spellStart"/>
            <w:r w:rsidRPr="005D6F2E">
              <w:rPr>
                <w:rFonts w:ascii="Calibri" w:eastAsia="Times New Roman" w:hAnsi="Calibri" w:cs="Times New Roman"/>
                <w:color w:val="000000"/>
                <w:sz w:val="20"/>
                <w:szCs w:val="20"/>
              </w:rPr>
              <w:t>dipivoxil</w:t>
            </w:r>
            <w:proofErr w:type="spellEnd"/>
          </w:p>
        </w:tc>
        <w:tc>
          <w:tcPr>
            <w:tcW w:w="1417" w:type="dxa"/>
            <w:vAlign w:val="center"/>
          </w:tcPr>
          <w:p w14:paraId="68E8757D"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Nucleotide analogue</w:t>
            </w:r>
          </w:p>
        </w:tc>
        <w:tc>
          <w:tcPr>
            <w:tcW w:w="4111" w:type="dxa"/>
            <w:shd w:val="clear" w:color="auto" w:fill="auto"/>
            <w:vAlign w:val="center"/>
            <w:hideMark/>
          </w:tcPr>
          <w:p w14:paraId="38F02709"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 xml:space="preserve">10 mg once daily (adjusted in </w:t>
            </w:r>
            <w:proofErr w:type="spellStart"/>
            <w:r w:rsidRPr="005D6F2E">
              <w:rPr>
                <w:rFonts w:ascii="Calibri" w:eastAsia="Times New Roman" w:hAnsi="Calibri" w:cs="Times New Roman"/>
                <w:color w:val="000000"/>
                <w:sz w:val="20"/>
                <w:szCs w:val="20"/>
              </w:rPr>
              <w:t>renally</w:t>
            </w:r>
            <w:proofErr w:type="spellEnd"/>
            <w:r w:rsidRPr="005D6F2E">
              <w:rPr>
                <w:rFonts w:ascii="Calibri" w:eastAsia="Times New Roman" w:hAnsi="Calibri" w:cs="Times New Roman"/>
                <w:color w:val="000000"/>
                <w:sz w:val="20"/>
                <w:szCs w:val="20"/>
              </w:rPr>
              <w:t xml:space="preserve"> impaired patients)</w:t>
            </w:r>
          </w:p>
        </w:tc>
      </w:tr>
      <w:tr w:rsidR="00DD259F" w:rsidRPr="005D6F2E" w14:paraId="120DA74D" w14:textId="77777777" w:rsidTr="001F41D4">
        <w:trPr>
          <w:trHeight w:val="1530"/>
        </w:trPr>
        <w:tc>
          <w:tcPr>
            <w:tcW w:w="2425" w:type="dxa"/>
            <w:shd w:val="clear" w:color="auto" w:fill="auto"/>
            <w:vAlign w:val="center"/>
            <w:hideMark/>
          </w:tcPr>
          <w:p w14:paraId="221FECA2" w14:textId="77777777" w:rsidR="00DD259F" w:rsidRPr="005D6F2E" w:rsidRDefault="00DD259F"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Baraclude</w:t>
            </w:r>
            <w:proofErr w:type="spellEnd"/>
            <w:r w:rsidRPr="005D6F2E">
              <w:rPr>
                <w:rFonts w:ascii="Calibri" w:eastAsia="Times New Roman" w:hAnsi="Calibri" w:cs="Times New Roman"/>
                <w:color w:val="000000"/>
                <w:sz w:val="20"/>
                <w:szCs w:val="20"/>
              </w:rPr>
              <w:t xml:space="preserve"> </w:t>
            </w:r>
            <w:r w:rsidRPr="005D6F2E">
              <w:rPr>
                <w:rFonts w:ascii="Calibri" w:eastAsia="Times New Roman" w:hAnsi="Calibri" w:cs="Times New Roman"/>
                <w:color w:val="000000"/>
                <w:sz w:val="20"/>
                <w:szCs w:val="20"/>
              </w:rPr>
              <w:br/>
              <w:t>(Bristol-Myers Squibb Australia Pty Ltd)</w:t>
            </w:r>
          </w:p>
        </w:tc>
        <w:tc>
          <w:tcPr>
            <w:tcW w:w="1418" w:type="dxa"/>
            <w:shd w:val="clear" w:color="auto" w:fill="auto"/>
            <w:vAlign w:val="center"/>
            <w:hideMark/>
          </w:tcPr>
          <w:p w14:paraId="3DC5D858" w14:textId="5860C0FC" w:rsidR="00DD259F" w:rsidRPr="005D6F2E" w:rsidRDefault="00E40D7C"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entecavir</w:t>
            </w:r>
            <w:proofErr w:type="spellEnd"/>
          </w:p>
        </w:tc>
        <w:tc>
          <w:tcPr>
            <w:tcW w:w="1417" w:type="dxa"/>
            <w:vAlign w:val="center"/>
          </w:tcPr>
          <w:p w14:paraId="6A098B79"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Nucleoside analogue</w:t>
            </w:r>
          </w:p>
        </w:tc>
        <w:tc>
          <w:tcPr>
            <w:tcW w:w="4111" w:type="dxa"/>
            <w:shd w:val="clear" w:color="auto" w:fill="auto"/>
            <w:vAlign w:val="center"/>
            <w:hideMark/>
          </w:tcPr>
          <w:p w14:paraId="0B388331"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 xml:space="preserve">0.5 mg once daily in nucleoside naïve patients (adjusted in </w:t>
            </w:r>
            <w:proofErr w:type="spellStart"/>
            <w:r w:rsidRPr="005D6F2E">
              <w:rPr>
                <w:rFonts w:ascii="Calibri" w:eastAsia="Times New Roman" w:hAnsi="Calibri" w:cs="Times New Roman"/>
                <w:color w:val="000000"/>
                <w:sz w:val="20"/>
                <w:szCs w:val="20"/>
              </w:rPr>
              <w:t>renally</w:t>
            </w:r>
            <w:proofErr w:type="spellEnd"/>
            <w:r w:rsidRPr="005D6F2E">
              <w:rPr>
                <w:rFonts w:ascii="Calibri" w:eastAsia="Times New Roman" w:hAnsi="Calibri" w:cs="Times New Roman"/>
                <w:color w:val="000000"/>
                <w:sz w:val="20"/>
                <w:szCs w:val="20"/>
              </w:rPr>
              <w:t xml:space="preserve"> impaired patients)</w:t>
            </w:r>
            <w:r w:rsidRPr="005D6F2E">
              <w:rPr>
                <w:rFonts w:ascii="Calibri" w:eastAsia="Times New Roman" w:hAnsi="Calibri" w:cs="Times New Roman"/>
                <w:color w:val="000000"/>
                <w:sz w:val="20"/>
                <w:szCs w:val="20"/>
              </w:rPr>
              <w:br/>
              <w:t xml:space="preserve">1 mg once daily in patients with lamivudine resistance (adjusted in </w:t>
            </w:r>
            <w:proofErr w:type="spellStart"/>
            <w:r w:rsidRPr="005D6F2E">
              <w:rPr>
                <w:rFonts w:ascii="Calibri" w:eastAsia="Times New Roman" w:hAnsi="Calibri" w:cs="Times New Roman"/>
                <w:color w:val="000000"/>
                <w:sz w:val="20"/>
                <w:szCs w:val="20"/>
              </w:rPr>
              <w:t>renally</w:t>
            </w:r>
            <w:proofErr w:type="spellEnd"/>
            <w:r w:rsidRPr="005D6F2E">
              <w:rPr>
                <w:rFonts w:ascii="Calibri" w:eastAsia="Times New Roman" w:hAnsi="Calibri" w:cs="Times New Roman"/>
                <w:color w:val="000000"/>
                <w:sz w:val="20"/>
                <w:szCs w:val="20"/>
              </w:rPr>
              <w:t xml:space="preserve"> impaired patients)</w:t>
            </w:r>
          </w:p>
        </w:tc>
      </w:tr>
      <w:tr w:rsidR="00DD259F" w:rsidRPr="005D6F2E" w14:paraId="5D2CD777" w14:textId="77777777" w:rsidTr="001F41D4">
        <w:trPr>
          <w:trHeight w:val="1275"/>
        </w:trPr>
        <w:tc>
          <w:tcPr>
            <w:tcW w:w="2425" w:type="dxa"/>
            <w:shd w:val="clear" w:color="auto" w:fill="auto"/>
            <w:vAlign w:val="center"/>
            <w:hideMark/>
          </w:tcPr>
          <w:p w14:paraId="30D7E6CD" w14:textId="77777777" w:rsidR="00DD259F" w:rsidRPr="005D6F2E" w:rsidRDefault="00DD259F"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Viread</w:t>
            </w:r>
            <w:proofErr w:type="spellEnd"/>
            <w:r w:rsidRPr="005D6F2E">
              <w:rPr>
                <w:rFonts w:ascii="Calibri" w:eastAsia="Times New Roman" w:hAnsi="Calibri" w:cs="Times New Roman"/>
                <w:color w:val="000000"/>
                <w:sz w:val="20"/>
                <w:szCs w:val="20"/>
              </w:rPr>
              <w:t xml:space="preserve"> </w:t>
            </w:r>
            <w:r w:rsidRPr="005D6F2E">
              <w:rPr>
                <w:rFonts w:ascii="Calibri" w:eastAsia="Times New Roman" w:hAnsi="Calibri" w:cs="Times New Roman"/>
                <w:color w:val="000000"/>
                <w:sz w:val="20"/>
                <w:szCs w:val="20"/>
              </w:rPr>
              <w:br/>
              <w:t>(Gilead Sciences Pty Limited)</w:t>
            </w:r>
          </w:p>
        </w:tc>
        <w:tc>
          <w:tcPr>
            <w:tcW w:w="1418" w:type="dxa"/>
            <w:shd w:val="clear" w:color="auto" w:fill="auto"/>
            <w:vAlign w:val="center"/>
            <w:hideMark/>
          </w:tcPr>
          <w:p w14:paraId="65BE184B" w14:textId="12D98140" w:rsidR="00DD259F" w:rsidRPr="005D6F2E" w:rsidRDefault="00E40D7C"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tenofovir</w:t>
            </w:r>
            <w:proofErr w:type="spellEnd"/>
          </w:p>
        </w:tc>
        <w:tc>
          <w:tcPr>
            <w:tcW w:w="1417" w:type="dxa"/>
            <w:vAlign w:val="center"/>
          </w:tcPr>
          <w:p w14:paraId="48B6DC92"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Nucleotide analogue</w:t>
            </w:r>
          </w:p>
        </w:tc>
        <w:tc>
          <w:tcPr>
            <w:tcW w:w="4111" w:type="dxa"/>
            <w:shd w:val="clear" w:color="auto" w:fill="auto"/>
            <w:vAlign w:val="center"/>
            <w:hideMark/>
          </w:tcPr>
          <w:p w14:paraId="2A38B963"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 xml:space="preserve">300 mg once daily (adjusted in </w:t>
            </w:r>
            <w:proofErr w:type="spellStart"/>
            <w:r w:rsidRPr="005D6F2E">
              <w:rPr>
                <w:rFonts w:ascii="Calibri" w:eastAsia="Times New Roman" w:hAnsi="Calibri" w:cs="Times New Roman"/>
                <w:color w:val="000000"/>
                <w:sz w:val="20"/>
                <w:szCs w:val="20"/>
              </w:rPr>
              <w:t>renally</w:t>
            </w:r>
            <w:proofErr w:type="spellEnd"/>
            <w:r w:rsidRPr="005D6F2E">
              <w:rPr>
                <w:rFonts w:ascii="Calibri" w:eastAsia="Times New Roman" w:hAnsi="Calibri" w:cs="Times New Roman"/>
                <w:color w:val="000000"/>
                <w:sz w:val="20"/>
                <w:szCs w:val="20"/>
              </w:rPr>
              <w:t xml:space="preserve"> impaired patients)</w:t>
            </w:r>
            <w:r w:rsidRPr="005D6F2E">
              <w:rPr>
                <w:rFonts w:ascii="Calibri" w:eastAsia="Times New Roman" w:hAnsi="Calibri" w:cs="Times New Roman"/>
                <w:color w:val="000000"/>
                <w:sz w:val="20"/>
                <w:szCs w:val="20"/>
              </w:rPr>
              <w:br/>
              <w:t xml:space="preserve">Dose is given as </w:t>
            </w:r>
            <w:proofErr w:type="spellStart"/>
            <w:r w:rsidRPr="005D6F2E">
              <w:rPr>
                <w:rFonts w:ascii="Calibri" w:eastAsia="Times New Roman" w:hAnsi="Calibri" w:cs="Times New Roman"/>
                <w:color w:val="000000"/>
                <w:sz w:val="20"/>
                <w:szCs w:val="20"/>
              </w:rPr>
              <w:t>tenofovir</w:t>
            </w:r>
            <w:proofErr w:type="spellEnd"/>
            <w:r w:rsidRPr="005D6F2E">
              <w:rPr>
                <w:rFonts w:ascii="Calibri" w:eastAsia="Times New Roman" w:hAnsi="Calibri" w:cs="Times New Roman"/>
                <w:color w:val="000000"/>
                <w:sz w:val="20"/>
                <w:szCs w:val="20"/>
              </w:rPr>
              <w:t xml:space="preserve"> </w:t>
            </w:r>
            <w:proofErr w:type="spellStart"/>
            <w:r w:rsidRPr="005D6F2E">
              <w:rPr>
                <w:rFonts w:ascii="Calibri" w:eastAsia="Times New Roman" w:hAnsi="Calibri" w:cs="Times New Roman"/>
                <w:color w:val="000000"/>
                <w:sz w:val="20"/>
                <w:szCs w:val="20"/>
              </w:rPr>
              <w:t>disoproxil</w:t>
            </w:r>
            <w:proofErr w:type="spellEnd"/>
            <w:r w:rsidRPr="005D6F2E">
              <w:rPr>
                <w:rFonts w:ascii="Calibri" w:eastAsia="Times New Roman" w:hAnsi="Calibri" w:cs="Times New Roman"/>
                <w:color w:val="000000"/>
                <w:sz w:val="20"/>
                <w:szCs w:val="20"/>
              </w:rPr>
              <w:t xml:space="preserve"> </w:t>
            </w:r>
            <w:proofErr w:type="spellStart"/>
            <w:r w:rsidRPr="005D6F2E">
              <w:rPr>
                <w:rFonts w:ascii="Calibri" w:eastAsia="Times New Roman" w:hAnsi="Calibri" w:cs="Times New Roman"/>
                <w:color w:val="000000"/>
                <w:sz w:val="20"/>
                <w:szCs w:val="20"/>
              </w:rPr>
              <w:t>fumarate</w:t>
            </w:r>
            <w:proofErr w:type="spellEnd"/>
            <w:r w:rsidRPr="005D6F2E">
              <w:rPr>
                <w:rFonts w:ascii="Calibri" w:eastAsia="Times New Roman" w:hAnsi="Calibri" w:cs="Times New Roman"/>
                <w:color w:val="000000"/>
                <w:sz w:val="20"/>
                <w:szCs w:val="20"/>
              </w:rPr>
              <w:t xml:space="preserve"> (300 mg tablet equivalent to 136 mg </w:t>
            </w:r>
            <w:proofErr w:type="spellStart"/>
            <w:r w:rsidRPr="005D6F2E">
              <w:rPr>
                <w:rFonts w:ascii="Calibri" w:eastAsia="Times New Roman" w:hAnsi="Calibri" w:cs="Times New Roman"/>
                <w:color w:val="000000"/>
                <w:sz w:val="20"/>
                <w:szCs w:val="20"/>
              </w:rPr>
              <w:t>tenofovir</w:t>
            </w:r>
            <w:proofErr w:type="spellEnd"/>
            <w:r w:rsidRPr="005D6F2E">
              <w:rPr>
                <w:rFonts w:ascii="Calibri" w:eastAsia="Times New Roman" w:hAnsi="Calibri" w:cs="Times New Roman"/>
                <w:color w:val="000000"/>
                <w:sz w:val="20"/>
                <w:szCs w:val="20"/>
              </w:rPr>
              <w:t>)</w:t>
            </w:r>
          </w:p>
        </w:tc>
      </w:tr>
      <w:tr w:rsidR="00DD259F" w:rsidRPr="005D6F2E" w14:paraId="12DC8A5F" w14:textId="77777777" w:rsidTr="001F41D4">
        <w:trPr>
          <w:trHeight w:val="765"/>
        </w:trPr>
        <w:tc>
          <w:tcPr>
            <w:tcW w:w="2425" w:type="dxa"/>
            <w:shd w:val="clear" w:color="auto" w:fill="auto"/>
            <w:vAlign w:val="center"/>
            <w:hideMark/>
          </w:tcPr>
          <w:p w14:paraId="1C52DB88" w14:textId="77777777" w:rsidR="00DD259F" w:rsidRPr="005D6F2E" w:rsidRDefault="00DD259F"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Sebivo</w:t>
            </w:r>
            <w:proofErr w:type="spellEnd"/>
            <w:r w:rsidRPr="005D6F2E">
              <w:rPr>
                <w:rFonts w:ascii="Calibri" w:eastAsia="Times New Roman" w:hAnsi="Calibri" w:cs="Times New Roman"/>
                <w:color w:val="000000"/>
                <w:sz w:val="20"/>
                <w:szCs w:val="20"/>
              </w:rPr>
              <w:t xml:space="preserve"> </w:t>
            </w:r>
            <w:r w:rsidRPr="005D6F2E">
              <w:rPr>
                <w:rFonts w:ascii="Calibri" w:eastAsia="Times New Roman" w:hAnsi="Calibri" w:cs="Times New Roman"/>
                <w:color w:val="000000"/>
                <w:sz w:val="20"/>
                <w:szCs w:val="20"/>
              </w:rPr>
              <w:br/>
              <w:t>(Novartis Pharmaceuticals Australia Pty Limited)</w:t>
            </w:r>
          </w:p>
        </w:tc>
        <w:tc>
          <w:tcPr>
            <w:tcW w:w="1418" w:type="dxa"/>
            <w:shd w:val="clear" w:color="auto" w:fill="auto"/>
            <w:vAlign w:val="center"/>
            <w:hideMark/>
          </w:tcPr>
          <w:p w14:paraId="31BCA814" w14:textId="626EAEA9" w:rsidR="00DD259F" w:rsidRPr="005D6F2E" w:rsidRDefault="00E40D7C"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telbivudine</w:t>
            </w:r>
            <w:proofErr w:type="spellEnd"/>
          </w:p>
        </w:tc>
        <w:tc>
          <w:tcPr>
            <w:tcW w:w="1417" w:type="dxa"/>
            <w:vAlign w:val="center"/>
          </w:tcPr>
          <w:p w14:paraId="2D88DF88"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Nucleoside analogue</w:t>
            </w:r>
          </w:p>
        </w:tc>
        <w:tc>
          <w:tcPr>
            <w:tcW w:w="4111" w:type="dxa"/>
            <w:shd w:val="clear" w:color="auto" w:fill="auto"/>
            <w:vAlign w:val="center"/>
            <w:hideMark/>
          </w:tcPr>
          <w:p w14:paraId="76F43D31"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 xml:space="preserve">600 mg once daily (adjusted in </w:t>
            </w:r>
            <w:proofErr w:type="spellStart"/>
            <w:r w:rsidRPr="005D6F2E">
              <w:rPr>
                <w:rFonts w:ascii="Calibri" w:eastAsia="Times New Roman" w:hAnsi="Calibri" w:cs="Times New Roman"/>
                <w:color w:val="000000"/>
                <w:sz w:val="20"/>
                <w:szCs w:val="20"/>
              </w:rPr>
              <w:t>renally</w:t>
            </w:r>
            <w:proofErr w:type="spellEnd"/>
            <w:r w:rsidRPr="005D6F2E">
              <w:rPr>
                <w:rFonts w:ascii="Calibri" w:eastAsia="Times New Roman" w:hAnsi="Calibri" w:cs="Times New Roman"/>
                <w:color w:val="000000"/>
                <w:sz w:val="20"/>
                <w:szCs w:val="20"/>
              </w:rPr>
              <w:t xml:space="preserve"> impaired patients)</w:t>
            </w:r>
          </w:p>
        </w:tc>
      </w:tr>
      <w:tr w:rsidR="00DD259F" w:rsidRPr="005D6F2E" w14:paraId="0BD8CA3D" w14:textId="77777777" w:rsidTr="001F41D4">
        <w:trPr>
          <w:trHeight w:val="510"/>
        </w:trPr>
        <w:tc>
          <w:tcPr>
            <w:tcW w:w="2425" w:type="dxa"/>
            <w:shd w:val="clear" w:color="auto" w:fill="auto"/>
            <w:vAlign w:val="center"/>
            <w:hideMark/>
          </w:tcPr>
          <w:p w14:paraId="31B524DF" w14:textId="77777777" w:rsidR="00DD259F" w:rsidRPr="005D6F2E" w:rsidRDefault="00DD259F"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Pegasys</w:t>
            </w:r>
            <w:proofErr w:type="spellEnd"/>
            <w:r w:rsidRPr="005D6F2E">
              <w:rPr>
                <w:rFonts w:ascii="Calibri" w:eastAsia="Times New Roman" w:hAnsi="Calibri" w:cs="Times New Roman"/>
                <w:color w:val="000000"/>
                <w:sz w:val="20"/>
                <w:szCs w:val="20"/>
              </w:rPr>
              <w:t xml:space="preserve"> </w:t>
            </w:r>
            <w:r w:rsidRPr="005D6F2E">
              <w:rPr>
                <w:rFonts w:ascii="Calibri" w:eastAsia="Times New Roman" w:hAnsi="Calibri" w:cs="Times New Roman"/>
                <w:color w:val="000000"/>
                <w:sz w:val="20"/>
                <w:szCs w:val="20"/>
              </w:rPr>
              <w:br/>
              <w:t>(Roche Products Pty Ltd)</w:t>
            </w:r>
          </w:p>
        </w:tc>
        <w:tc>
          <w:tcPr>
            <w:tcW w:w="1418" w:type="dxa"/>
            <w:shd w:val="clear" w:color="auto" w:fill="auto"/>
            <w:vAlign w:val="center"/>
            <w:hideMark/>
          </w:tcPr>
          <w:p w14:paraId="0D5447FF" w14:textId="78123785" w:rsidR="00DD259F" w:rsidRPr="005D6F2E" w:rsidRDefault="00E40D7C"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peginterferon</w:t>
            </w:r>
            <w:proofErr w:type="spellEnd"/>
            <w:r w:rsidRPr="005D6F2E">
              <w:rPr>
                <w:rFonts w:ascii="Calibri" w:eastAsia="Times New Roman" w:hAnsi="Calibri" w:cs="Times New Roman"/>
                <w:color w:val="000000"/>
                <w:sz w:val="20"/>
                <w:szCs w:val="20"/>
              </w:rPr>
              <w:t xml:space="preserve"> alfa-2a</w:t>
            </w:r>
          </w:p>
        </w:tc>
        <w:tc>
          <w:tcPr>
            <w:tcW w:w="1417" w:type="dxa"/>
            <w:vAlign w:val="center"/>
          </w:tcPr>
          <w:p w14:paraId="755AB1F6"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w:t>
            </w:r>
          </w:p>
        </w:tc>
        <w:tc>
          <w:tcPr>
            <w:tcW w:w="4111" w:type="dxa"/>
            <w:shd w:val="clear" w:color="auto" w:fill="auto"/>
            <w:vAlign w:val="center"/>
            <w:hideMark/>
          </w:tcPr>
          <w:p w14:paraId="336A30A4"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 xml:space="preserve">Subcutaneous injection 180 µg once a week for 48 weeks (adjusted in </w:t>
            </w:r>
            <w:proofErr w:type="spellStart"/>
            <w:r w:rsidRPr="005D6F2E">
              <w:rPr>
                <w:rFonts w:ascii="Calibri" w:eastAsia="Times New Roman" w:hAnsi="Calibri" w:cs="Times New Roman"/>
                <w:color w:val="000000"/>
                <w:sz w:val="20"/>
                <w:szCs w:val="20"/>
              </w:rPr>
              <w:t>renally</w:t>
            </w:r>
            <w:proofErr w:type="spellEnd"/>
            <w:r w:rsidRPr="005D6F2E">
              <w:rPr>
                <w:rFonts w:ascii="Calibri" w:eastAsia="Times New Roman" w:hAnsi="Calibri" w:cs="Times New Roman"/>
                <w:color w:val="000000"/>
                <w:sz w:val="20"/>
                <w:szCs w:val="20"/>
              </w:rPr>
              <w:t xml:space="preserve"> impaired patients)</w:t>
            </w:r>
          </w:p>
        </w:tc>
      </w:tr>
      <w:tr w:rsidR="00DD259F" w:rsidRPr="005D6F2E" w14:paraId="5B329D03" w14:textId="77777777" w:rsidTr="001F41D4">
        <w:trPr>
          <w:trHeight w:val="1365"/>
        </w:trPr>
        <w:tc>
          <w:tcPr>
            <w:tcW w:w="2425" w:type="dxa"/>
            <w:shd w:val="clear" w:color="auto" w:fill="auto"/>
            <w:vAlign w:val="center"/>
            <w:hideMark/>
          </w:tcPr>
          <w:p w14:paraId="16D344A7" w14:textId="77777777" w:rsidR="00DD259F" w:rsidRPr="005D6F2E" w:rsidRDefault="00DD259F"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Roferon</w:t>
            </w:r>
            <w:proofErr w:type="spellEnd"/>
            <w:r w:rsidRPr="005D6F2E">
              <w:rPr>
                <w:rFonts w:ascii="Calibri" w:eastAsia="Times New Roman" w:hAnsi="Calibri" w:cs="Times New Roman"/>
                <w:color w:val="000000"/>
                <w:sz w:val="20"/>
                <w:szCs w:val="20"/>
              </w:rPr>
              <w:t xml:space="preserve">-A </w:t>
            </w:r>
            <w:r w:rsidRPr="005D6F2E">
              <w:rPr>
                <w:rFonts w:ascii="Calibri" w:eastAsia="Times New Roman" w:hAnsi="Calibri" w:cs="Times New Roman"/>
                <w:color w:val="000000"/>
                <w:sz w:val="20"/>
                <w:szCs w:val="20"/>
              </w:rPr>
              <w:br/>
              <w:t>(Roche Products Pty Ltd)</w:t>
            </w:r>
          </w:p>
        </w:tc>
        <w:tc>
          <w:tcPr>
            <w:tcW w:w="1418" w:type="dxa"/>
            <w:shd w:val="clear" w:color="auto" w:fill="auto"/>
            <w:vAlign w:val="center"/>
            <w:hideMark/>
          </w:tcPr>
          <w:p w14:paraId="41FD80E0" w14:textId="1B4AC561" w:rsidR="00DD259F" w:rsidRPr="005D6F2E" w:rsidRDefault="00E40D7C"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alfa-2a</w:t>
            </w:r>
          </w:p>
        </w:tc>
        <w:tc>
          <w:tcPr>
            <w:tcW w:w="1417" w:type="dxa"/>
            <w:vAlign w:val="center"/>
          </w:tcPr>
          <w:p w14:paraId="3545F2C8"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w:t>
            </w:r>
          </w:p>
        </w:tc>
        <w:tc>
          <w:tcPr>
            <w:tcW w:w="4111" w:type="dxa"/>
            <w:shd w:val="clear" w:color="auto" w:fill="auto"/>
            <w:vAlign w:val="center"/>
            <w:hideMark/>
          </w:tcPr>
          <w:p w14:paraId="577FC197"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Subcutaneous injection 4.5×10</w:t>
            </w:r>
            <w:r w:rsidRPr="005D6F2E">
              <w:rPr>
                <w:rFonts w:ascii="Calibri" w:eastAsia="Times New Roman" w:hAnsi="Calibri" w:cs="Times New Roman"/>
                <w:color w:val="000000"/>
                <w:sz w:val="20"/>
                <w:szCs w:val="20"/>
                <w:vertAlign w:val="superscript"/>
              </w:rPr>
              <w:t>6</w:t>
            </w:r>
            <w:r w:rsidRPr="005D6F2E">
              <w:rPr>
                <w:rFonts w:ascii="Calibri" w:eastAsia="Times New Roman" w:hAnsi="Calibri" w:cs="Times New Roman"/>
                <w:color w:val="000000"/>
                <w:sz w:val="20"/>
                <w:szCs w:val="20"/>
              </w:rPr>
              <w:t xml:space="preserve"> units 3 times per week, increasing to a maximum of 18×10</w:t>
            </w:r>
            <w:r w:rsidRPr="005D6F2E">
              <w:rPr>
                <w:rFonts w:ascii="Calibri" w:eastAsia="Times New Roman" w:hAnsi="Calibri" w:cs="Times New Roman"/>
                <w:color w:val="000000"/>
                <w:sz w:val="20"/>
                <w:szCs w:val="20"/>
                <w:vertAlign w:val="superscript"/>
              </w:rPr>
              <w:t>6</w:t>
            </w:r>
            <w:r w:rsidRPr="005D6F2E">
              <w:rPr>
                <w:rFonts w:ascii="Calibri" w:eastAsia="Times New Roman" w:hAnsi="Calibri" w:cs="Times New Roman"/>
                <w:color w:val="000000"/>
                <w:sz w:val="20"/>
                <w:szCs w:val="20"/>
              </w:rPr>
              <w:t xml:space="preserve"> units 3 times per week after one month if the lower dose is tolerated and there is no response</w:t>
            </w:r>
          </w:p>
        </w:tc>
      </w:tr>
      <w:tr w:rsidR="00DD259F" w:rsidRPr="005D6F2E" w14:paraId="53F1AB26" w14:textId="77777777" w:rsidTr="001F41D4">
        <w:trPr>
          <w:trHeight w:val="1365"/>
        </w:trPr>
        <w:tc>
          <w:tcPr>
            <w:tcW w:w="2425" w:type="dxa"/>
            <w:shd w:val="clear" w:color="auto" w:fill="auto"/>
            <w:vAlign w:val="center"/>
            <w:hideMark/>
          </w:tcPr>
          <w:p w14:paraId="3FBE7027"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 xml:space="preserve">Intron A </w:t>
            </w:r>
            <w:proofErr w:type="spellStart"/>
            <w:r w:rsidRPr="005D6F2E">
              <w:rPr>
                <w:rFonts w:ascii="Calibri" w:eastAsia="Times New Roman" w:hAnsi="Calibri" w:cs="Times New Roman"/>
                <w:color w:val="000000"/>
                <w:sz w:val="20"/>
                <w:szCs w:val="20"/>
              </w:rPr>
              <w:t>Redipen</w:t>
            </w:r>
            <w:proofErr w:type="spellEnd"/>
            <w:r w:rsidRPr="005D6F2E">
              <w:rPr>
                <w:rFonts w:ascii="Calibri" w:eastAsia="Times New Roman" w:hAnsi="Calibri" w:cs="Times New Roman"/>
                <w:color w:val="000000"/>
                <w:sz w:val="20"/>
                <w:szCs w:val="20"/>
              </w:rPr>
              <w:t xml:space="preserve"> </w:t>
            </w:r>
            <w:r w:rsidRPr="005D6F2E">
              <w:rPr>
                <w:rFonts w:ascii="Calibri" w:eastAsia="Times New Roman" w:hAnsi="Calibri" w:cs="Times New Roman"/>
                <w:color w:val="000000"/>
                <w:sz w:val="20"/>
                <w:szCs w:val="20"/>
              </w:rPr>
              <w:br/>
              <w:t xml:space="preserve">(Merck Sharp &amp; </w:t>
            </w:r>
            <w:proofErr w:type="spellStart"/>
            <w:r w:rsidRPr="005D6F2E">
              <w:rPr>
                <w:rFonts w:ascii="Calibri" w:eastAsia="Times New Roman" w:hAnsi="Calibri" w:cs="Times New Roman"/>
                <w:color w:val="000000"/>
                <w:sz w:val="20"/>
                <w:szCs w:val="20"/>
              </w:rPr>
              <w:t>Dohme</w:t>
            </w:r>
            <w:proofErr w:type="spellEnd"/>
            <w:r w:rsidRPr="005D6F2E">
              <w:rPr>
                <w:rFonts w:ascii="Calibri" w:eastAsia="Times New Roman" w:hAnsi="Calibri" w:cs="Times New Roman"/>
                <w:color w:val="000000"/>
                <w:sz w:val="20"/>
                <w:szCs w:val="20"/>
              </w:rPr>
              <w:t xml:space="preserve"> (Australia) Pty Ltd)</w:t>
            </w:r>
          </w:p>
        </w:tc>
        <w:tc>
          <w:tcPr>
            <w:tcW w:w="1418" w:type="dxa"/>
            <w:shd w:val="clear" w:color="auto" w:fill="auto"/>
            <w:vAlign w:val="center"/>
            <w:hideMark/>
          </w:tcPr>
          <w:p w14:paraId="07E16FDF" w14:textId="1CE6A276" w:rsidR="00DD259F" w:rsidRPr="005D6F2E" w:rsidRDefault="00E40D7C"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p>
        </w:tc>
        <w:tc>
          <w:tcPr>
            <w:tcW w:w="1417" w:type="dxa"/>
            <w:vAlign w:val="center"/>
          </w:tcPr>
          <w:p w14:paraId="6E8D8078"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w:t>
            </w:r>
          </w:p>
        </w:tc>
        <w:tc>
          <w:tcPr>
            <w:tcW w:w="4111" w:type="dxa"/>
            <w:shd w:val="clear" w:color="auto" w:fill="auto"/>
            <w:vAlign w:val="center"/>
            <w:hideMark/>
          </w:tcPr>
          <w:p w14:paraId="45868038"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Subcutaneous injection 3×10</w:t>
            </w:r>
            <w:r w:rsidRPr="005D6F2E">
              <w:rPr>
                <w:rFonts w:ascii="Calibri" w:eastAsia="Times New Roman" w:hAnsi="Calibri" w:cs="Times New Roman"/>
                <w:color w:val="000000"/>
                <w:sz w:val="20"/>
                <w:szCs w:val="20"/>
                <w:vertAlign w:val="superscript"/>
              </w:rPr>
              <w:t>6</w:t>
            </w:r>
            <w:r w:rsidRPr="005D6F2E">
              <w:rPr>
                <w:rFonts w:ascii="Calibri" w:eastAsia="Times New Roman" w:hAnsi="Calibri" w:cs="Times New Roman"/>
                <w:color w:val="000000"/>
                <w:sz w:val="20"/>
                <w:szCs w:val="20"/>
              </w:rPr>
              <w:t xml:space="preserve"> units 3 times per week, increasing to  5-10×10</w:t>
            </w:r>
            <w:r w:rsidRPr="005D6F2E">
              <w:rPr>
                <w:rFonts w:ascii="Calibri" w:eastAsia="Times New Roman" w:hAnsi="Calibri" w:cs="Times New Roman"/>
                <w:color w:val="000000"/>
                <w:sz w:val="20"/>
                <w:szCs w:val="20"/>
                <w:vertAlign w:val="superscript"/>
              </w:rPr>
              <w:t>6</w:t>
            </w:r>
            <w:r w:rsidRPr="005D6F2E">
              <w:rPr>
                <w:rFonts w:ascii="Calibri" w:eastAsia="Times New Roman" w:hAnsi="Calibri" w:cs="Times New Roman"/>
                <w:color w:val="000000"/>
                <w:sz w:val="20"/>
                <w:szCs w:val="20"/>
              </w:rPr>
              <w:t xml:space="preserve"> units 3 times per week after one month if the lower dose is tolerated and there is no response</w:t>
            </w:r>
          </w:p>
        </w:tc>
      </w:tr>
    </w:tbl>
    <w:p w14:paraId="793FC397" w14:textId="77777777" w:rsidR="00DD259F" w:rsidRPr="005D6F2E" w:rsidRDefault="00DD259F" w:rsidP="00DD259F">
      <w:pPr>
        <w:pStyle w:val="Notes"/>
      </w:pPr>
      <w:r w:rsidRPr="005D6F2E">
        <w:t>Source: Australian Medicines Handbook, 2013</w:t>
      </w:r>
    </w:p>
    <w:p w14:paraId="1E3F828D" w14:textId="75B3B84D" w:rsidR="00DD259F" w:rsidRPr="005D6F2E" w:rsidRDefault="00DD259F" w:rsidP="00DD259F">
      <w:r w:rsidRPr="005D6F2E">
        <w:t xml:space="preserve">The current Product Information (PI) and Consumer Medicine Information (CMI) are available from </w:t>
      </w:r>
      <w:hyperlink r:id="rId11" w:history="1">
        <w:r w:rsidRPr="001C2004">
          <w:rPr>
            <w:rStyle w:val="Hyperlink"/>
          </w:rPr>
          <w:t>the TGA (Product Information)</w:t>
        </w:r>
      </w:hyperlink>
      <w:r>
        <w:t xml:space="preserve"> and the</w:t>
      </w:r>
      <w:r w:rsidRPr="005D6F2E">
        <w:t xml:space="preserve"> </w:t>
      </w:r>
      <w:hyperlink r:id="rId12" w:history="1">
        <w:r w:rsidR="00C934D2" w:rsidRPr="00C934D2">
          <w:rPr>
            <w:rStyle w:val="Hyperlink"/>
          </w:rPr>
          <w:t>TGA (Consumer Medicines Information).</w:t>
        </w:r>
      </w:hyperlink>
    </w:p>
    <w:p w14:paraId="143CC403" w14:textId="5A441729" w:rsidR="001420B3" w:rsidRPr="005C55C6" w:rsidRDefault="001420B3" w:rsidP="002F63ED">
      <w:pPr>
        <w:pStyle w:val="Heading4"/>
      </w:pPr>
      <w:r w:rsidRPr="005C55C6">
        <w:t>Clinical situation</w:t>
      </w:r>
    </w:p>
    <w:p w14:paraId="27BBF07B" w14:textId="54142C9B" w:rsidR="00DD259F" w:rsidRPr="005D6F2E" w:rsidRDefault="00DD259F" w:rsidP="00DD259F">
      <w:r w:rsidRPr="005D6F2E">
        <w:t xml:space="preserve">It is estimated that only 55 per cent of people living with chronic hepatitis B are diagnosed. </w:t>
      </w:r>
      <w:r w:rsidR="00341FCC">
        <w:t>The Second National Hepatitis B Strategy 2014-2017 notes e</w:t>
      </w:r>
      <w:r w:rsidRPr="005D6F2E">
        <w:t>xpert opinion that increasing the proportion of those diagnosed to 80 per cent would significantly contribute to reducing hepatitis B associated morbidity and mortality, and reducing transmission.</w:t>
      </w:r>
      <w:bookmarkStart w:id="4" w:name="_Ref405383579"/>
      <w:r w:rsidRPr="005D6F2E">
        <w:rPr>
          <w:rStyle w:val="FootnoteReference"/>
        </w:rPr>
        <w:footnoteReference w:id="4"/>
      </w:r>
      <w:bookmarkEnd w:id="4"/>
    </w:p>
    <w:p w14:paraId="7005621E" w14:textId="2199FEB2" w:rsidR="00DD259F" w:rsidRPr="005D6F2E" w:rsidRDefault="00DD259F" w:rsidP="00DD259F">
      <w:r w:rsidRPr="005D6F2E">
        <w:t>While estimates for the proportion of people living with chronic hepatitis B who are on treatment are uncertain, they are very low, ranging from 2.5–5 per cent. Similarly, there is limited information on the proportion of people living with chronic hepatitis B who are eligible for treatment; however, Australian and international estimates range from 10–25 per cent.</w:t>
      </w:r>
      <w:r w:rsidR="004C7C9E" w:rsidRPr="004C7C9E">
        <w:rPr>
          <w:vertAlign w:val="superscript"/>
        </w:rPr>
        <w:fldChar w:fldCharType="begin"/>
      </w:r>
      <w:r w:rsidR="004C7C9E" w:rsidRPr="004C7C9E">
        <w:rPr>
          <w:vertAlign w:val="superscript"/>
        </w:rPr>
        <w:instrText xml:space="preserve"> NOTEREF _Ref420594151 \h </w:instrText>
      </w:r>
      <w:r w:rsidR="004C7C9E">
        <w:rPr>
          <w:vertAlign w:val="superscript"/>
        </w:rPr>
        <w:instrText xml:space="preserve"> \* MERGEFORMAT </w:instrText>
      </w:r>
      <w:r w:rsidR="004C7C9E" w:rsidRPr="004C7C9E">
        <w:rPr>
          <w:vertAlign w:val="superscript"/>
        </w:rPr>
      </w:r>
      <w:r w:rsidR="004C7C9E" w:rsidRPr="004C7C9E">
        <w:rPr>
          <w:vertAlign w:val="superscript"/>
        </w:rPr>
        <w:fldChar w:fldCharType="separate"/>
      </w:r>
      <w:r w:rsidR="0015162B">
        <w:rPr>
          <w:vertAlign w:val="superscript"/>
        </w:rPr>
        <w:t>3</w:t>
      </w:r>
      <w:r w:rsidR="004C7C9E" w:rsidRPr="004C7C9E">
        <w:rPr>
          <w:vertAlign w:val="superscript"/>
        </w:rPr>
        <w:fldChar w:fldCharType="end"/>
      </w:r>
    </w:p>
    <w:p w14:paraId="19920506" w14:textId="531B7236" w:rsidR="00DD259F" w:rsidRPr="005D6F2E" w:rsidRDefault="00DD259F" w:rsidP="00DD259F">
      <w:r w:rsidRPr="005D6F2E">
        <w:t>The decision to treat a patient is based on whether they are at risk for the development of cirrhosis and its consequences, liver failure and liver cancer. Clinical factors which are considered are the level of hepatitis B virus (HBV DNA) in the blood, alanine aminotransferase (ALT) levels and whether there is inflammation or fibrosis in the liver, as seen in the results of a liver biopsy.</w:t>
      </w:r>
      <w:r w:rsidRPr="005D6F2E">
        <w:fldChar w:fldCharType="begin"/>
      </w:r>
      <w:r w:rsidRPr="005D6F2E">
        <w:instrText xml:space="preserve"> NOTEREF _Ref404587129 \f \h  \* MERGEFORMAT </w:instrText>
      </w:r>
      <w:r w:rsidRPr="005D6F2E">
        <w:fldChar w:fldCharType="separate"/>
      </w:r>
      <w:r w:rsidR="0015162B" w:rsidRPr="0015162B">
        <w:rPr>
          <w:rStyle w:val="FootnoteReference"/>
        </w:rPr>
        <w:t>1</w:t>
      </w:r>
      <w:r w:rsidRPr="005D6F2E">
        <w:fldChar w:fldCharType="end"/>
      </w:r>
      <w:r w:rsidRPr="005D6F2E">
        <w:t xml:space="preserve"> In general, a patient will require careful monitoring in the ‘Immune Tolerance’ and ‘Immune Control’ phases of the disease, and is likely to require treatment in the ‘Immune Clearance’ and ‘Immune Escape’ phases. To achieve continued clinical benefit, treatment may be required for years, decades or for the remainder of the patient’s life. The decision to initiate treatment must balance the long-term benefits with the long-term risks, and consider anticipated compliance and any contraindications.</w:t>
      </w:r>
      <w:r w:rsidRPr="005D6F2E">
        <w:fldChar w:fldCharType="begin"/>
      </w:r>
      <w:r w:rsidRPr="005D6F2E">
        <w:instrText xml:space="preserve"> NOTEREF _Ref404587129 \f \h </w:instrText>
      </w:r>
      <w:r>
        <w:instrText xml:space="preserve"> \* MERGEFORMAT </w:instrText>
      </w:r>
      <w:r w:rsidRPr="005D6F2E">
        <w:fldChar w:fldCharType="separate"/>
      </w:r>
      <w:r w:rsidR="0015162B" w:rsidRPr="0015162B">
        <w:rPr>
          <w:rStyle w:val="FootnoteReference"/>
        </w:rPr>
        <w:t>1</w:t>
      </w:r>
      <w:r w:rsidRPr="005D6F2E">
        <w:fldChar w:fldCharType="end"/>
      </w:r>
      <w:r w:rsidRPr="005D6F2E">
        <w:t xml:space="preserve"> </w:t>
      </w:r>
    </w:p>
    <w:p w14:paraId="20B79F4F" w14:textId="6FE7CE77" w:rsidR="005339F6" w:rsidRPr="005E22C2" w:rsidRDefault="00DD259F" w:rsidP="00A35800">
      <w:r w:rsidRPr="005D6F2E">
        <w:t xml:space="preserve">Drug resistance is common with older direct antiviral agents, but newer agents such as </w:t>
      </w:r>
      <w:proofErr w:type="spellStart"/>
      <w:r w:rsidRPr="005D6F2E">
        <w:t>tenofovir</w:t>
      </w:r>
      <w:proofErr w:type="spellEnd"/>
      <w:r w:rsidRPr="005D6F2E">
        <w:t xml:space="preserve"> and </w:t>
      </w:r>
      <w:proofErr w:type="spellStart"/>
      <w:r w:rsidRPr="005D6F2E">
        <w:t>entecavir</w:t>
      </w:r>
      <w:proofErr w:type="spellEnd"/>
      <w:r w:rsidRPr="005D6F2E">
        <w:t xml:space="preserve"> have favourable resistance profiles.</w:t>
      </w:r>
      <w:bookmarkStart w:id="5" w:name="_Ref420594399"/>
      <w:r w:rsidRPr="005D6F2E">
        <w:rPr>
          <w:rStyle w:val="FootnoteReference"/>
        </w:rPr>
        <w:footnoteReference w:id="5"/>
      </w:r>
      <w:bookmarkEnd w:id="5"/>
      <w:r w:rsidRPr="005D6F2E">
        <w:t xml:space="preserve"> According to clinical guidelines, </w:t>
      </w:r>
      <w:proofErr w:type="spellStart"/>
      <w:r w:rsidRPr="005D6F2E">
        <w:t>tenofovir</w:t>
      </w:r>
      <w:proofErr w:type="spellEnd"/>
      <w:r w:rsidRPr="005D6F2E">
        <w:t xml:space="preserve"> and </w:t>
      </w:r>
      <w:proofErr w:type="spellStart"/>
      <w:r w:rsidRPr="005D6F2E">
        <w:t>entecavir</w:t>
      </w:r>
      <w:proofErr w:type="spellEnd"/>
      <w:r w:rsidRPr="005D6F2E">
        <w:t xml:space="preserve"> are the preferred first-line therapies. </w:t>
      </w:r>
      <w:proofErr w:type="spellStart"/>
      <w:r w:rsidRPr="005D6F2E">
        <w:t>Adefovir</w:t>
      </w:r>
      <w:proofErr w:type="spellEnd"/>
      <w:r w:rsidRPr="005D6F2E">
        <w:t xml:space="preserve"> is also recommended as an appropriate first-line therapy, although the PBS listing for </w:t>
      </w:r>
      <w:proofErr w:type="spellStart"/>
      <w:r w:rsidRPr="005D6F2E">
        <w:t>adefovir</w:t>
      </w:r>
      <w:proofErr w:type="spellEnd"/>
      <w:r w:rsidRPr="005D6F2E">
        <w:t xml:space="preserve"> </w:t>
      </w:r>
      <w:r w:rsidR="00F56DB9">
        <w:t>is restricted to</w:t>
      </w:r>
      <w:r w:rsidRPr="005D6F2E">
        <w:t xml:space="preserve"> second line</w:t>
      </w:r>
      <w:r w:rsidR="00802788">
        <w:t xml:space="preserve"> use</w:t>
      </w:r>
      <w:r w:rsidRPr="005D6F2E">
        <w:t xml:space="preserve">, after failure of </w:t>
      </w:r>
      <w:proofErr w:type="spellStart"/>
      <w:r w:rsidRPr="005D6F2E">
        <w:t>antihepadnaviral</w:t>
      </w:r>
      <w:proofErr w:type="spellEnd"/>
      <w:r w:rsidRPr="005D6F2E">
        <w:t xml:space="preserve"> therapy. In hepatitis B “e” antigen (</w:t>
      </w:r>
      <w:proofErr w:type="spellStart"/>
      <w:r w:rsidRPr="005D6F2E">
        <w:t>HBeAg</w:t>
      </w:r>
      <w:proofErr w:type="spellEnd"/>
      <w:r w:rsidRPr="005D6F2E">
        <w:t xml:space="preserve">)-positive hepatitis B </w:t>
      </w:r>
      <w:proofErr w:type="gramStart"/>
      <w:r w:rsidRPr="005D6F2E">
        <w:t>patients</w:t>
      </w:r>
      <w:proofErr w:type="gramEnd"/>
      <w:r w:rsidRPr="005D6F2E">
        <w:t xml:space="preserve"> </w:t>
      </w:r>
      <w:proofErr w:type="spellStart"/>
      <w:r w:rsidRPr="005D6F2E">
        <w:t>peginterferon</w:t>
      </w:r>
      <w:proofErr w:type="spellEnd"/>
      <w:r w:rsidRPr="005D6F2E">
        <w:t xml:space="preserve"> is also an option for first line treatment. As lamivudine and </w:t>
      </w:r>
      <w:proofErr w:type="spellStart"/>
      <w:r w:rsidRPr="005D6F2E">
        <w:t>telbivudine</w:t>
      </w:r>
      <w:proofErr w:type="spellEnd"/>
      <w:r w:rsidRPr="005D6F2E">
        <w:t xml:space="preserve"> tend to have higher resistance rates they are generally not recommended in either </w:t>
      </w:r>
      <w:proofErr w:type="spellStart"/>
      <w:r w:rsidRPr="005D6F2E">
        <w:t>HBeAg</w:t>
      </w:r>
      <w:proofErr w:type="spellEnd"/>
      <w:r w:rsidRPr="005D6F2E">
        <w:t xml:space="preserve">-positive or </w:t>
      </w:r>
      <w:proofErr w:type="spellStart"/>
      <w:r w:rsidRPr="005D6F2E">
        <w:t>HBeAg</w:t>
      </w:r>
      <w:proofErr w:type="spellEnd"/>
      <w:r w:rsidRPr="005D6F2E">
        <w:t>-negative patients, although there are patient subgroups for whom lamivudine should be considered.</w:t>
      </w:r>
      <w:r w:rsidRPr="005D6F2E">
        <w:fldChar w:fldCharType="begin"/>
      </w:r>
      <w:r w:rsidRPr="005D6F2E">
        <w:instrText xml:space="preserve"> NOTEREF _Ref404587129 \f \h </w:instrText>
      </w:r>
      <w:r>
        <w:instrText xml:space="preserve"> \* MERGEFORMAT </w:instrText>
      </w:r>
      <w:r w:rsidRPr="005D6F2E">
        <w:fldChar w:fldCharType="separate"/>
      </w:r>
      <w:r w:rsidR="0015162B" w:rsidRPr="0015162B">
        <w:rPr>
          <w:rStyle w:val="FootnoteReference"/>
        </w:rPr>
        <w:t>1</w:t>
      </w:r>
      <w:r w:rsidRPr="005D6F2E">
        <w:fldChar w:fldCharType="end"/>
      </w:r>
      <w:r w:rsidRPr="005D6F2E">
        <w:t xml:space="preserve"> There are options for combination treatment, such as lamivudine plus </w:t>
      </w:r>
      <w:proofErr w:type="spellStart"/>
      <w:r w:rsidRPr="005D6F2E">
        <w:t>adefovir</w:t>
      </w:r>
      <w:proofErr w:type="spellEnd"/>
      <w:r w:rsidRPr="005D6F2E">
        <w:t>, if the patient dev</w:t>
      </w:r>
      <w:r w:rsidR="00A57B00">
        <w:t>elops resistance to lamivudine.</w:t>
      </w:r>
    </w:p>
    <w:p w14:paraId="46E2BB42" w14:textId="17C58D13" w:rsidR="00DF0B13" w:rsidRPr="002801FD" w:rsidRDefault="00DF0B13" w:rsidP="00A36FA8">
      <w:pPr>
        <w:pStyle w:val="Heading4"/>
      </w:pPr>
      <w:r w:rsidRPr="002801FD">
        <w:lastRenderedPageBreak/>
        <w:t>PBS listing details</w:t>
      </w:r>
      <w:r w:rsidR="00D151EB" w:rsidRPr="002801FD">
        <w:t xml:space="preserve"> </w:t>
      </w:r>
    </w:p>
    <w:p w14:paraId="0336A4BA" w14:textId="46273FCD" w:rsidR="00DF0B13" w:rsidRDefault="00DF0B13" w:rsidP="00A35800">
      <w:r w:rsidRPr="00294FFC">
        <w:t>Details of the PBS listing including listing date, indication, list price, maximum quantities and number of repeats</w:t>
      </w:r>
      <w:r w:rsidR="00E1564B" w:rsidRPr="00294FFC">
        <w:t xml:space="preserve">, presentation, dose forms, brand name, </w:t>
      </w:r>
      <w:proofErr w:type="gramStart"/>
      <w:r w:rsidR="00E1564B" w:rsidRPr="00294FFC">
        <w:t>manufacturer</w:t>
      </w:r>
      <w:proofErr w:type="gramEnd"/>
      <w:r w:rsidR="004C3186" w:rsidRPr="00294FFC">
        <w:t xml:space="preserve"> </w:t>
      </w:r>
      <w:r w:rsidR="00857E6D" w:rsidRPr="00294FFC">
        <w:t xml:space="preserve">can be found in </w:t>
      </w:r>
      <w:r w:rsidR="00AC7503">
        <w:t>A</w:t>
      </w:r>
      <w:r w:rsidR="00857E6D" w:rsidRPr="004C7C9E">
        <w:t>ppendi</w:t>
      </w:r>
      <w:r w:rsidR="00AC7503">
        <w:t>x A.</w:t>
      </w:r>
    </w:p>
    <w:p w14:paraId="28AAF32A" w14:textId="34C0912C" w:rsidR="00757713" w:rsidRDefault="004C3186" w:rsidP="00294FFC">
      <w:pPr>
        <w:pStyle w:val="Heading5"/>
      </w:pPr>
      <w:r w:rsidRPr="004F1E15">
        <w:t>Restriction</w:t>
      </w:r>
    </w:p>
    <w:p w14:paraId="632C79E5" w14:textId="77777777" w:rsidR="008A61D6" w:rsidRDefault="008A61D6" w:rsidP="008A61D6">
      <w:r>
        <w:t>The PBS restrictions of medicines used to treat hepatitis B are summarised in the table below.</w:t>
      </w:r>
    </w:p>
    <w:p w14:paraId="5EF95AC8" w14:textId="62FA5CCA" w:rsidR="008A61D6" w:rsidRPr="008A61D6" w:rsidRDefault="008A61D6" w:rsidP="008A61D6">
      <w:pPr>
        <w:pStyle w:val="Tabletitle"/>
      </w:pPr>
      <w:r>
        <w:t xml:space="preserve">Table 2: </w:t>
      </w:r>
      <w:r w:rsidRPr="008A61D6">
        <w:t>PBS restrictions of medicines used to treat hepatitis B</w:t>
      </w:r>
    </w:p>
    <w:tbl>
      <w:tblPr>
        <w:tblW w:w="9087" w:type="dxa"/>
        <w:tblInd w:w="93" w:type="dxa"/>
        <w:tblLayout w:type="fixed"/>
        <w:tblLook w:val="04A0" w:firstRow="1" w:lastRow="0" w:firstColumn="1" w:lastColumn="0" w:noHBand="0" w:noVBand="1"/>
        <w:tblCaption w:val="PBS Restrictions of Medicines Listed for Hepatits B"/>
        <w:tblDescription w:val="PBS Restrictions of Medicines Listed for Hepatits B "/>
      </w:tblPr>
      <w:tblGrid>
        <w:gridCol w:w="2425"/>
        <w:gridCol w:w="832"/>
        <w:gridCol w:w="833"/>
        <w:gridCol w:w="833"/>
        <w:gridCol w:w="833"/>
        <w:gridCol w:w="832"/>
        <w:gridCol w:w="833"/>
        <w:gridCol w:w="833"/>
        <w:gridCol w:w="833"/>
      </w:tblGrid>
      <w:tr w:rsidR="00DD259F" w:rsidRPr="005D6F2E" w14:paraId="3B2AA7B3" w14:textId="77777777" w:rsidTr="001F41D4">
        <w:trPr>
          <w:trHeight w:val="480"/>
        </w:trPr>
        <w:tc>
          <w:tcPr>
            <w:tcW w:w="2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1CABEC" w14:textId="77777777" w:rsidR="00DD259F" w:rsidRPr="005D6F2E" w:rsidRDefault="00DD259F" w:rsidP="001F41D4">
            <w:pPr>
              <w:keepNext/>
              <w:spacing w:after="0"/>
              <w:jc w:val="center"/>
              <w:rPr>
                <w:rFonts w:ascii="Calibri" w:eastAsia="Times New Roman" w:hAnsi="Calibri" w:cs="Times New Roman"/>
                <w:b/>
                <w:color w:val="000000"/>
                <w:sz w:val="20"/>
                <w:szCs w:val="20"/>
              </w:rPr>
            </w:pPr>
          </w:p>
        </w:tc>
        <w:tc>
          <w:tcPr>
            <w:tcW w:w="83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FC38E7" w14:textId="77777777" w:rsidR="00DD259F" w:rsidRPr="005D6F2E" w:rsidRDefault="00DD259F" w:rsidP="001F41D4">
            <w:pPr>
              <w:keepNext/>
              <w:spacing w:after="0"/>
              <w:jc w:val="center"/>
              <w:rPr>
                <w:rFonts w:ascii="Calibri" w:eastAsia="Times New Roman" w:hAnsi="Calibri" w:cs="Times New Roman"/>
                <w:b/>
                <w:color w:val="000000"/>
                <w:sz w:val="20"/>
                <w:szCs w:val="20"/>
              </w:rPr>
            </w:pPr>
            <w:r w:rsidRPr="005D6F2E">
              <w:rPr>
                <w:rFonts w:ascii="Calibri" w:eastAsia="Times New Roman" w:hAnsi="Calibri" w:cs="Times New Roman"/>
                <w:b/>
                <w:color w:val="000000"/>
                <w:sz w:val="20"/>
                <w:szCs w:val="20"/>
              </w:rPr>
              <w:t>LAM</w:t>
            </w:r>
          </w:p>
        </w:tc>
        <w:tc>
          <w:tcPr>
            <w:tcW w:w="83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F1FCA49" w14:textId="77777777" w:rsidR="00DD259F" w:rsidRPr="005D6F2E" w:rsidRDefault="00DD259F" w:rsidP="001F41D4">
            <w:pPr>
              <w:keepNext/>
              <w:spacing w:after="0"/>
              <w:jc w:val="center"/>
              <w:rPr>
                <w:rFonts w:ascii="Calibri" w:eastAsia="Times New Roman" w:hAnsi="Calibri" w:cs="Times New Roman"/>
                <w:b/>
                <w:color w:val="000000"/>
                <w:sz w:val="20"/>
                <w:szCs w:val="20"/>
              </w:rPr>
            </w:pPr>
            <w:r w:rsidRPr="005D6F2E">
              <w:rPr>
                <w:rFonts w:ascii="Calibri" w:eastAsia="Times New Roman" w:hAnsi="Calibri" w:cs="Times New Roman"/>
                <w:b/>
                <w:color w:val="000000"/>
                <w:sz w:val="20"/>
                <w:szCs w:val="20"/>
              </w:rPr>
              <w:t>ADV</w:t>
            </w:r>
          </w:p>
        </w:tc>
        <w:tc>
          <w:tcPr>
            <w:tcW w:w="83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1A04096" w14:textId="77777777" w:rsidR="00DD259F" w:rsidRPr="005D6F2E" w:rsidRDefault="00DD259F" w:rsidP="001F41D4">
            <w:pPr>
              <w:keepNext/>
              <w:spacing w:after="0"/>
              <w:jc w:val="center"/>
              <w:rPr>
                <w:rFonts w:ascii="Calibri" w:eastAsia="Times New Roman" w:hAnsi="Calibri" w:cs="Times New Roman"/>
                <w:b/>
                <w:color w:val="000000"/>
                <w:sz w:val="20"/>
                <w:szCs w:val="20"/>
              </w:rPr>
            </w:pPr>
            <w:r w:rsidRPr="005D6F2E">
              <w:rPr>
                <w:rFonts w:ascii="Calibri" w:eastAsia="Times New Roman" w:hAnsi="Calibri" w:cs="Times New Roman"/>
                <w:b/>
                <w:color w:val="000000"/>
                <w:sz w:val="20"/>
                <w:szCs w:val="20"/>
              </w:rPr>
              <w:t>ETV</w:t>
            </w:r>
          </w:p>
        </w:tc>
        <w:tc>
          <w:tcPr>
            <w:tcW w:w="83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BDAB42D" w14:textId="77777777" w:rsidR="00DD259F" w:rsidRPr="005D6F2E" w:rsidRDefault="00DD259F" w:rsidP="001F41D4">
            <w:pPr>
              <w:keepNext/>
              <w:spacing w:after="0"/>
              <w:jc w:val="center"/>
              <w:rPr>
                <w:rFonts w:ascii="Calibri" w:eastAsia="Times New Roman" w:hAnsi="Calibri" w:cs="Times New Roman"/>
                <w:b/>
                <w:color w:val="000000"/>
                <w:sz w:val="20"/>
                <w:szCs w:val="20"/>
              </w:rPr>
            </w:pPr>
            <w:r w:rsidRPr="005D6F2E">
              <w:rPr>
                <w:rFonts w:ascii="Calibri" w:eastAsia="Times New Roman" w:hAnsi="Calibri" w:cs="Times New Roman"/>
                <w:b/>
                <w:color w:val="000000"/>
                <w:sz w:val="20"/>
                <w:szCs w:val="20"/>
              </w:rPr>
              <w:t>TDF</w:t>
            </w:r>
          </w:p>
        </w:tc>
        <w:tc>
          <w:tcPr>
            <w:tcW w:w="83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03EFB96" w14:textId="77777777" w:rsidR="00DD259F" w:rsidRPr="005D6F2E" w:rsidRDefault="00DD259F" w:rsidP="001F41D4">
            <w:pPr>
              <w:keepNext/>
              <w:spacing w:after="0"/>
              <w:jc w:val="center"/>
              <w:rPr>
                <w:rFonts w:ascii="Calibri" w:eastAsia="Times New Roman" w:hAnsi="Calibri" w:cs="Times New Roman"/>
                <w:b/>
                <w:color w:val="000000"/>
                <w:sz w:val="20"/>
                <w:szCs w:val="20"/>
              </w:rPr>
            </w:pPr>
            <w:proofErr w:type="spellStart"/>
            <w:r w:rsidRPr="005D6F2E">
              <w:rPr>
                <w:rFonts w:ascii="Calibri" w:eastAsia="Times New Roman" w:hAnsi="Calibri" w:cs="Times New Roman"/>
                <w:b/>
                <w:color w:val="000000"/>
                <w:sz w:val="20"/>
                <w:szCs w:val="20"/>
              </w:rPr>
              <w:t>LdT</w:t>
            </w:r>
            <w:proofErr w:type="spellEnd"/>
          </w:p>
        </w:tc>
        <w:tc>
          <w:tcPr>
            <w:tcW w:w="83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B469025" w14:textId="77777777" w:rsidR="00DD259F" w:rsidRPr="005D6F2E" w:rsidRDefault="00DD259F" w:rsidP="001F41D4">
            <w:pPr>
              <w:keepNext/>
              <w:spacing w:after="0"/>
              <w:jc w:val="center"/>
              <w:rPr>
                <w:b/>
                <w:sz w:val="20"/>
                <w:szCs w:val="20"/>
              </w:rPr>
            </w:pPr>
            <w:r w:rsidRPr="005D6F2E">
              <w:rPr>
                <w:b/>
                <w:sz w:val="20"/>
                <w:szCs w:val="20"/>
              </w:rPr>
              <w:t>IFN</w:t>
            </w:r>
          </w:p>
          <w:p w14:paraId="1D14AF70" w14:textId="77777777" w:rsidR="00DD259F" w:rsidRPr="005D6F2E" w:rsidRDefault="00DD259F" w:rsidP="001F41D4">
            <w:pPr>
              <w:keepNext/>
              <w:spacing w:after="0"/>
              <w:jc w:val="center"/>
              <w:rPr>
                <w:rFonts w:ascii="Calibri" w:eastAsia="Times New Roman" w:hAnsi="Calibri" w:cs="Times New Roman"/>
                <w:b/>
                <w:color w:val="000000"/>
                <w:sz w:val="20"/>
                <w:szCs w:val="20"/>
              </w:rPr>
            </w:pPr>
            <w:r w:rsidRPr="005D6F2E">
              <w:rPr>
                <w:b/>
                <w:sz w:val="20"/>
                <w:szCs w:val="20"/>
              </w:rPr>
              <w:t>alfa-2a</w:t>
            </w:r>
          </w:p>
        </w:tc>
        <w:tc>
          <w:tcPr>
            <w:tcW w:w="83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D9B26EA" w14:textId="77777777" w:rsidR="00DD259F" w:rsidRPr="005D6F2E" w:rsidRDefault="00DD259F" w:rsidP="001F41D4">
            <w:pPr>
              <w:keepNext/>
              <w:spacing w:after="0"/>
              <w:jc w:val="center"/>
              <w:rPr>
                <w:b/>
                <w:sz w:val="20"/>
                <w:szCs w:val="20"/>
              </w:rPr>
            </w:pPr>
            <w:r w:rsidRPr="005D6F2E">
              <w:rPr>
                <w:b/>
                <w:sz w:val="20"/>
                <w:szCs w:val="20"/>
              </w:rPr>
              <w:t>IFN</w:t>
            </w:r>
          </w:p>
          <w:p w14:paraId="0430C6F0" w14:textId="77777777" w:rsidR="00DD259F" w:rsidRPr="005D6F2E" w:rsidRDefault="00DD259F" w:rsidP="001F41D4">
            <w:pPr>
              <w:keepNext/>
              <w:spacing w:after="0"/>
              <w:jc w:val="center"/>
              <w:rPr>
                <w:rFonts w:ascii="Calibri" w:eastAsia="Times New Roman" w:hAnsi="Calibri" w:cs="Times New Roman"/>
                <w:b/>
                <w:color w:val="000000"/>
                <w:sz w:val="20"/>
                <w:szCs w:val="20"/>
              </w:rPr>
            </w:pPr>
            <w:r w:rsidRPr="005D6F2E">
              <w:rPr>
                <w:b/>
                <w:sz w:val="20"/>
                <w:szCs w:val="20"/>
              </w:rPr>
              <w:t>alfa-2b</w:t>
            </w:r>
          </w:p>
        </w:tc>
        <w:tc>
          <w:tcPr>
            <w:tcW w:w="83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E4C9630" w14:textId="77777777" w:rsidR="00DD259F" w:rsidRPr="005D6F2E" w:rsidRDefault="00DD259F" w:rsidP="001F41D4">
            <w:pPr>
              <w:keepNext/>
              <w:spacing w:after="0"/>
              <w:jc w:val="center"/>
              <w:rPr>
                <w:rFonts w:ascii="Calibri" w:eastAsia="Times New Roman" w:hAnsi="Calibri" w:cs="Times New Roman"/>
                <w:b/>
                <w:color w:val="000000"/>
                <w:sz w:val="20"/>
                <w:szCs w:val="20"/>
              </w:rPr>
            </w:pPr>
            <w:proofErr w:type="spellStart"/>
            <w:r w:rsidRPr="005D6F2E">
              <w:rPr>
                <w:b/>
                <w:sz w:val="20"/>
                <w:szCs w:val="20"/>
              </w:rPr>
              <w:t>pegIFN</w:t>
            </w:r>
            <w:proofErr w:type="spellEnd"/>
          </w:p>
        </w:tc>
      </w:tr>
      <w:tr w:rsidR="00DD259F" w:rsidRPr="005D6F2E" w14:paraId="6438B03A" w14:textId="77777777" w:rsidTr="001F41D4">
        <w:trPr>
          <w:trHeight w:val="321"/>
        </w:trPr>
        <w:tc>
          <w:tcPr>
            <w:tcW w:w="9087" w:type="dxa"/>
            <w:gridSpan w:val="9"/>
            <w:tcBorders>
              <w:top w:val="nil"/>
              <w:left w:val="single" w:sz="4" w:space="0" w:color="auto"/>
              <w:bottom w:val="single" w:sz="4" w:space="0" w:color="auto"/>
              <w:right w:val="single" w:sz="4" w:space="0" w:color="auto"/>
            </w:tcBorders>
            <w:shd w:val="clear" w:color="auto" w:fill="BFBFBF" w:themeFill="background1" w:themeFillShade="BF"/>
            <w:vAlign w:val="center"/>
          </w:tcPr>
          <w:p w14:paraId="6E7045F5" w14:textId="77777777" w:rsidR="00DD259F" w:rsidRPr="005D6F2E" w:rsidRDefault="00DD259F" w:rsidP="001F41D4">
            <w:pPr>
              <w:spacing w:after="0"/>
              <w:rPr>
                <w:rFonts w:ascii="Calibri" w:eastAsia="Times New Roman" w:hAnsi="Calibri" w:cs="Times New Roman"/>
                <w:b/>
                <w:color w:val="000000"/>
                <w:sz w:val="20"/>
                <w:szCs w:val="20"/>
              </w:rPr>
            </w:pPr>
            <w:r w:rsidRPr="005D6F2E">
              <w:rPr>
                <w:b/>
                <w:sz w:val="20"/>
                <w:szCs w:val="20"/>
              </w:rPr>
              <w:t>Patients without cirrhosis:</w:t>
            </w:r>
          </w:p>
        </w:tc>
      </w:tr>
      <w:tr w:rsidR="00DD259F" w:rsidRPr="005D6F2E" w14:paraId="4E583B75" w14:textId="77777777" w:rsidTr="001F41D4">
        <w:trPr>
          <w:trHeight w:val="1020"/>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6DCD9462"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nucleoside analogue naïve with elevated HBV DNA levels and evidence of chronic liver injury</w:t>
            </w:r>
          </w:p>
        </w:tc>
        <w:tc>
          <w:tcPr>
            <w:tcW w:w="832" w:type="dxa"/>
            <w:tcBorders>
              <w:top w:val="nil"/>
              <w:left w:val="nil"/>
              <w:bottom w:val="single" w:sz="4" w:space="0" w:color="auto"/>
              <w:right w:val="single" w:sz="4" w:space="0" w:color="auto"/>
            </w:tcBorders>
            <w:shd w:val="clear" w:color="auto" w:fill="auto"/>
            <w:noWrap/>
            <w:vAlign w:val="center"/>
          </w:tcPr>
          <w:p w14:paraId="02C2625A"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tcPr>
          <w:p w14:paraId="7643B5A3" w14:textId="77777777" w:rsidR="00DD259F" w:rsidRPr="005D6F2E" w:rsidRDefault="00DD259F" w:rsidP="001F41D4">
            <w:pPr>
              <w:spacing w:after="0"/>
              <w:jc w:val="center"/>
              <w:rPr>
                <w:rFonts w:ascii="Wingdings" w:eastAsia="Times New Roman" w:hAnsi="Wingdings"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tcPr>
          <w:p w14:paraId="1E9C2F19"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68C7864E"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2" w:type="dxa"/>
            <w:tcBorders>
              <w:top w:val="nil"/>
              <w:left w:val="nil"/>
              <w:bottom w:val="single" w:sz="4" w:space="0" w:color="auto"/>
              <w:right w:val="single" w:sz="4" w:space="0" w:color="auto"/>
            </w:tcBorders>
            <w:shd w:val="clear" w:color="auto" w:fill="auto"/>
            <w:noWrap/>
            <w:vAlign w:val="center"/>
            <w:hideMark/>
          </w:tcPr>
          <w:p w14:paraId="49784F54"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hideMark/>
          </w:tcPr>
          <w:p w14:paraId="2788200F"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2C42B16C"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159D4B23" w14:textId="77777777" w:rsidR="00DD259F" w:rsidRPr="005D6F2E" w:rsidRDefault="00DD259F" w:rsidP="001F41D4">
            <w:pPr>
              <w:spacing w:after="0"/>
              <w:jc w:val="center"/>
              <w:rPr>
                <w:rFonts w:ascii="Calibri" w:eastAsia="Times New Roman" w:hAnsi="Calibri" w:cs="Times New Roman"/>
                <w:color w:val="000000"/>
                <w:sz w:val="20"/>
                <w:szCs w:val="20"/>
              </w:rPr>
            </w:pPr>
          </w:p>
        </w:tc>
      </w:tr>
      <w:tr w:rsidR="00DD259F" w:rsidRPr="005D6F2E" w14:paraId="72B47424" w14:textId="77777777" w:rsidTr="001F41D4">
        <w:trPr>
          <w:trHeight w:val="765"/>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29EDC4C2"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elevated HBV DNA levels and evidence of chronic liver injury</w:t>
            </w:r>
          </w:p>
        </w:tc>
        <w:tc>
          <w:tcPr>
            <w:tcW w:w="832" w:type="dxa"/>
            <w:tcBorders>
              <w:top w:val="nil"/>
              <w:left w:val="nil"/>
              <w:bottom w:val="single" w:sz="4" w:space="0" w:color="auto"/>
              <w:right w:val="single" w:sz="4" w:space="0" w:color="auto"/>
            </w:tcBorders>
            <w:shd w:val="clear" w:color="auto" w:fill="auto"/>
            <w:noWrap/>
            <w:vAlign w:val="center"/>
            <w:hideMark/>
          </w:tcPr>
          <w:p w14:paraId="21A2045F"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tcPr>
          <w:p w14:paraId="5F8E6556" w14:textId="77777777" w:rsidR="00DD259F" w:rsidRPr="005D6F2E" w:rsidRDefault="00DD259F" w:rsidP="001F41D4">
            <w:pPr>
              <w:spacing w:after="0"/>
              <w:jc w:val="center"/>
              <w:rPr>
                <w:rFonts w:ascii="Wingdings" w:eastAsia="Times New Roman" w:hAnsi="Wingdings"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74D27040"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tcPr>
          <w:p w14:paraId="4829498D" w14:textId="77777777" w:rsidR="00DD259F" w:rsidRPr="005D6F2E" w:rsidRDefault="00DD259F" w:rsidP="001F41D4">
            <w:pPr>
              <w:spacing w:after="0"/>
              <w:jc w:val="center"/>
              <w:rPr>
                <w:rFonts w:ascii="Wingdings" w:eastAsia="Times New Roman" w:hAnsi="Wingdings" w:cs="Times New Roman"/>
                <w:color w:val="000000"/>
                <w:sz w:val="20"/>
                <w:szCs w:val="20"/>
              </w:rPr>
            </w:pPr>
          </w:p>
        </w:tc>
        <w:tc>
          <w:tcPr>
            <w:tcW w:w="832" w:type="dxa"/>
            <w:tcBorders>
              <w:top w:val="nil"/>
              <w:left w:val="nil"/>
              <w:bottom w:val="single" w:sz="4" w:space="0" w:color="auto"/>
              <w:right w:val="single" w:sz="4" w:space="0" w:color="auto"/>
            </w:tcBorders>
            <w:shd w:val="clear" w:color="auto" w:fill="auto"/>
            <w:noWrap/>
            <w:vAlign w:val="center"/>
          </w:tcPr>
          <w:p w14:paraId="72F77B43" w14:textId="77777777" w:rsidR="00DD259F" w:rsidRPr="005D6F2E" w:rsidRDefault="00DD259F" w:rsidP="001F41D4">
            <w:pPr>
              <w:spacing w:after="0"/>
              <w:jc w:val="center"/>
              <w:rPr>
                <w:rFonts w:ascii="Wingdings" w:eastAsia="Times New Roman" w:hAnsi="Wingdings"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1B40BFC4"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hideMark/>
          </w:tcPr>
          <w:p w14:paraId="1E097070"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hideMark/>
          </w:tcPr>
          <w:p w14:paraId="6B2B2EEF"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r>
      <w:tr w:rsidR="00DD259F" w:rsidRPr="005D6F2E" w14:paraId="4B13CD02" w14:textId="77777777" w:rsidTr="001F41D4">
        <w:trPr>
          <w:trHeight w:val="1020"/>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0FD889E2"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 xml:space="preserve">after </w:t>
            </w:r>
            <w:proofErr w:type="spellStart"/>
            <w:r w:rsidRPr="005D6F2E">
              <w:rPr>
                <w:rFonts w:ascii="Calibri" w:eastAsia="Times New Roman" w:hAnsi="Calibri" w:cs="Times New Roman"/>
                <w:color w:val="000000"/>
                <w:sz w:val="20"/>
                <w:szCs w:val="20"/>
              </w:rPr>
              <w:t>antihepadnaviral</w:t>
            </w:r>
            <w:proofErr w:type="spellEnd"/>
            <w:r w:rsidRPr="005D6F2E">
              <w:rPr>
                <w:rFonts w:ascii="Calibri" w:eastAsia="Times New Roman" w:hAnsi="Calibri" w:cs="Times New Roman"/>
                <w:color w:val="000000"/>
                <w:sz w:val="20"/>
                <w:szCs w:val="20"/>
              </w:rPr>
              <w:t xml:space="preserve"> therapy failure with or without combination treatment with lamivudine</w:t>
            </w:r>
          </w:p>
        </w:tc>
        <w:tc>
          <w:tcPr>
            <w:tcW w:w="832" w:type="dxa"/>
            <w:tcBorders>
              <w:top w:val="nil"/>
              <w:left w:val="nil"/>
              <w:bottom w:val="single" w:sz="4" w:space="0" w:color="auto"/>
              <w:right w:val="single" w:sz="4" w:space="0" w:color="auto"/>
            </w:tcBorders>
            <w:shd w:val="clear" w:color="auto" w:fill="auto"/>
            <w:noWrap/>
            <w:vAlign w:val="center"/>
            <w:hideMark/>
          </w:tcPr>
          <w:p w14:paraId="012E5FDF"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6B20AD66"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hideMark/>
          </w:tcPr>
          <w:p w14:paraId="5FA91585"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74AB7118"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2" w:type="dxa"/>
            <w:tcBorders>
              <w:top w:val="nil"/>
              <w:left w:val="nil"/>
              <w:bottom w:val="single" w:sz="4" w:space="0" w:color="auto"/>
              <w:right w:val="single" w:sz="4" w:space="0" w:color="auto"/>
            </w:tcBorders>
            <w:shd w:val="clear" w:color="auto" w:fill="auto"/>
            <w:noWrap/>
            <w:vAlign w:val="center"/>
            <w:hideMark/>
          </w:tcPr>
          <w:p w14:paraId="701EA77E"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630C7DB0"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713EBEF2"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0F304D57" w14:textId="77777777" w:rsidR="00DD259F" w:rsidRPr="005D6F2E" w:rsidRDefault="00DD259F" w:rsidP="001F41D4">
            <w:pPr>
              <w:spacing w:after="0"/>
              <w:jc w:val="center"/>
              <w:rPr>
                <w:rFonts w:ascii="Calibri" w:eastAsia="Times New Roman" w:hAnsi="Calibri" w:cs="Times New Roman"/>
                <w:color w:val="000000"/>
                <w:sz w:val="20"/>
                <w:szCs w:val="20"/>
              </w:rPr>
            </w:pPr>
          </w:p>
        </w:tc>
      </w:tr>
      <w:tr w:rsidR="00DD259F" w:rsidRPr="005D6F2E" w14:paraId="49FA066C" w14:textId="77777777" w:rsidTr="001F41D4">
        <w:trPr>
          <w:trHeight w:val="255"/>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51ACADBA"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after failure of lamivudine</w:t>
            </w:r>
          </w:p>
        </w:tc>
        <w:tc>
          <w:tcPr>
            <w:tcW w:w="832" w:type="dxa"/>
            <w:tcBorders>
              <w:top w:val="nil"/>
              <w:left w:val="nil"/>
              <w:bottom w:val="single" w:sz="4" w:space="0" w:color="auto"/>
              <w:right w:val="single" w:sz="4" w:space="0" w:color="auto"/>
            </w:tcBorders>
            <w:shd w:val="clear" w:color="auto" w:fill="auto"/>
            <w:noWrap/>
            <w:vAlign w:val="center"/>
            <w:hideMark/>
          </w:tcPr>
          <w:p w14:paraId="689196E7"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3457100F"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hideMark/>
          </w:tcPr>
          <w:p w14:paraId="0B0FD7C2"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hideMark/>
          </w:tcPr>
          <w:p w14:paraId="79D4EBD0"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2" w:type="dxa"/>
            <w:tcBorders>
              <w:top w:val="nil"/>
              <w:left w:val="nil"/>
              <w:bottom w:val="single" w:sz="4" w:space="0" w:color="auto"/>
              <w:right w:val="single" w:sz="4" w:space="0" w:color="auto"/>
            </w:tcBorders>
            <w:shd w:val="clear" w:color="auto" w:fill="auto"/>
            <w:noWrap/>
            <w:vAlign w:val="center"/>
            <w:hideMark/>
          </w:tcPr>
          <w:p w14:paraId="78678F8F"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37FB4AAD"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3E6C8DB7"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6585682A" w14:textId="77777777" w:rsidR="00DD259F" w:rsidRPr="005D6F2E" w:rsidRDefault="00DD259F" w:rsidP="001F41D4">
            <w:pPr>
              <w:spacing w:after="0"/>
              <w:jc w:val="center"/>
              <w:rPr>
                <w:rFonts w:ascii="Calibri" w:eastAsia="Times New Roman" w:hAnsi="Calibri" w:cs="Times New Roman"/>
                <w:color w:val="000000"/>
                <w:sz w:val="20"/>
                <w:szCs w:val="20"/>
              </w:rPr>
            </w:pPr>
          </w:p>
        </w:tc>
      </w:tr>
      <w:tr w:rsidR="00DD259F" w:rsidRPr="005D6F2E" w14:paraId="6AB9F98B" w14:textId="77777777" w:rsidTr="001F41D4">
        <w:trPr>
          <w:trHeight w:val="321"/>
        </w:trPr>
        <w:tc>
          <w:tcPr>
            <w:tcW w:w="9087"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D53E0B" w14:textId="77777777" w:rsidR="00DD259F" w:rsidRPr="005D6F2E" w:rsidRDefault="00DD259F" w:rsidP="001F41D4">
            <w:pPr>
              <w:spacing w:after="0"/>
              <w:rPr>
                <w:rFonts w:ascii="Calibri" w:eastAsia="Times New Roman" w:hAnsi="Calibri" w:cs="Times New Roman"/>
                <w:b/>
                <w:color w:val="000000"/>
                <w:sz w:val="20"/>
                <w:szCs w:val="20"/>
              </w:rPr>
            </w:pPr>
            <w:r w:rsidRPr="005D6F2E">
              <w:rPr>
                <w:b/>
                <w:sz w:val="20"/>
                <w:szCs w:val="20"/>
              </w:rPr>
              <w:t>Patients with cirrhosis:</w:t>
            </w:r>
          </w:p>
        </w:tc>
      </w:tr>
      <w:tr w:rsidR="00DD259F" w:rsidRPr="005D6F2E" w14:paraId="43FAE36B" w14:textId="77777777" w:rsidTr="001F41D4">
        <w:trPr>
          <w:trHeight w:val="510"/>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A7499F"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 xml:space="preserve">nucleoside analogue naïve with detectable HBV DNA </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5BC049D4"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7ADD2799"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114513C4"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14:paraId="2214115C"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14:paraId="76EAB103"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2495C1F1"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203E0C26"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single" w:sz="4" w:space="0" w:color="auto"/>
              <w:left w:val="nil"/>
              <w:bottom w:val="single" w:sz="4" w:space="0" w:color="auto"/>
              <w:right w:val="single" w:sz="4" w:space="0" w:color="auto"/>
            </w:tcBorders>
            <w:shd w:val="clear" w:color="auto" w:fill="auto"/>
            <w:noWrap/>
            <w:vAlign w:val="center"/>
          </w:tcPr>
          <w:p w14:paraId="0764E03B" w14:textId="77777777" w:rsidR="00DD259F" w:rsidRPr="005D6F2E" w:rsidRDefault="00DD259F" w:rsidP="001F41D4">
            <w:pPr>
              <w:spacing w:after="0"/>
              <w:jc w:val="center"/>
              <w:rPr>
                <w:rFonts w:ascii="Calibri" w:eastAsia="Times New Roman" w:hAnsi="Calibri" w:cs="Times New Roman"/>
                <w:color w:val="000000"/>
                <w:sz w:val="20"/>
                <w:szCs w:val="20"/>
              </w:rPr>
            </w:pPr>
          </w:p>
        </w:tc>
      </w:tr>
      <w:tr w:rsidR="00DD259F" w:rsidRPr="005D6F2E" w14:paraId="6D384DB1" w14:textId="77777777" w:rsidTr="001F41D4">
        <w:trPr>
          <w:trHeight w:val="255"/>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0AF34B41"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 xml:space="preserve">detectable HBV DNA </w:t>
            </w:r>
          </w:p>
        </w:tc>
        <w:tc>
          <w:tcPr>
            <w:tcW w:w="832" w:type="dxa"/>
            <w:tcBorders>
              <w:top w:val="nil"/>
              <w:left w:val="nil"/>
              <w:bottom w:val="single" w:sz="4" w:space="0" w:color="auto"/>
              <w:right w:val="single" w:sz="4" w:space="0" w:color="auto"/>
            </w:tcBorders>
            <w:shd w:val="clear" w:color="auto" w:fill="auto"/>
            <w:noWrap/>
            <w:vAlign w:val="center"/>
            <w:hideMark/>
          </w:tcPr>
          <w:p w14:paraId="329AA5C0"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hideMark/>
          </w:tcPr>
          <w:p w14:paraId="71D585DF"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277DB506"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tcPr>
          <w:p w14:paraId="1C966825" w14:textId="77777777" w:rsidR="00DD259F" w:rsidRPr="005D6F2E" w:rsidRDefault="00DD259F" w:rsidP="001F41D4">
            <w:pPr>
              <w:spacing w:after="0"/>
              <w:jc w:val="center"/>
              <w:rPr>
                <w:rFonts w:ascii="Wingdings" w:eastAsia="Times New Roman" w:hAnsi="Wingdings" w:cs="Times New Roman"/>
                <w:color w:val="000000"/>
                <w:sz w:val="20"/>
                <w:szCs w:val="20"/>
              </w:rPr>
            </w:pPr>
          </w:p>
        </w:tc>
        <w:tc>
          <w:tcPr>
            <w:tcW w:w="832" w:type="dxa"/>
            <w:tcBorders>
              <w:top w:val="nil"/>
              <w:left w:val="nil"/>
              <w:bottom w:val="single" w:sz="4" w:space="0" w:color="auto"/>
              <w:right w:val="single" w:sz="4" w:space="0" w:color="auto"/>
            </w:tcBorders>
            <w:shd w:val="clear" w:color="auto" w:fill="auto"/>
            <w:noWrap/>
            <w:vAlign w:val="center"/>
          </w:tcPr>
          <w:p w14:paraId="5126196C" w14:textId="77777777" w:rsidR="00DD259F" w:rsidRPr="005D6F2E" w:rsidRDefault="00DD259F" w:rsidP="001F41D4">
            <w:pPr>
              <w:spacing w:after="0"/>
              <w:jc w:val="center"/>
              <w:rPr>
                <w:rFonts w:ascii="Wingdings" w:eastAsia="Times New Roman" w:hAnsi="Wingdings"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3DAA371A"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hideMark/>
          </w:tcPr>
          <w:p w14:paraId="4610A561"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hideMark/>
          </w:tcPr>
          <w:p w14:paraId="07A55847"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r>
      <w:tr w:rsidR="00DD259F" w:rsidRPr="005D6F2E" w14:paraId="611BC5AD" w14:textId="77777777" w:rsidTr="001F41D4">
        <w:trPr>
          <w:trHeight w:val="1020"/>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24097E75"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 xml:space="preserve">after </w:t>
            </w:r>
            <w:proofErr w:type="spellStart"/>
            <w:r w:rsidRPr="005D6F2E">
              <w:rPr>
                <w:rFonts w:ascii="Calibri" w:eastAsia="Times New Roman" w:hAnsi="Calibri" w:cs="Times New Roman"/>
                <w:color w:val="000000"/>
                <w:sz w:val="20"/>
                <w:szCs w:val="20"/>
              </w:rPr>
              <w:t>antihepadnaviral</w:t>
            </w:r>
            <w:proofErr w:type="spellEnd"/>
            <w:r w:rsidRPr="005D6F2E">
              <w:rPr>
                <w:rFonts w:ascii="Calibri" w:eastAsia="Times New Roman" w:hAnsi="Calibri" w:cs="Times New Roman"/>
                <w:color w:val="000000"/>
                <w:sz w:val="20"/>
                <w:szCs w:val="20"/>
              </w:rPr>
              <w:t xml:space="preserve"> therapy failure with or without combination treatment with lamivudine</w:t>
            </w:r>
          </w:p>
        </w:tc>
        <w:tc>
          <w:tcPr>
            <w:tcW w:w="832" w:type="dxa"/>
            <w:tcBorders>
              <w:top w:val="nil"/>
              <w:left w:val="nil"/>
              <w:bottom w:val="single" w:sz="4" w:space="0" w:color="auto"/>
              <w:right w:val="single" w:sz="4" w:space="0" w:color="auto"/>
            </w:tcBorders>
            <w:shd w:val="clear" w:color="auto" w:fill="auto"/>
            <w:noWrap/>
            <w:vAlign w:val="center"/>
          </w:tcPr>
          <w:p w14:paraId="1B450B6C"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42D3FB8F"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hideMark/>
          </w:tcPr>
          <w:p w14:paraId="5966882C"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4D82D70D"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2" w:type="dxa"/>
            <w:tcBorders>
              <w:top w:val="nil"/>
              <w:left w:val="nil"/>
              <w:bottom w:val="single" w:sz="4" w:space="0" w:color="auto"/>
              <w:right w:val="single" w:sz="4" w:space="0" w:color="auto"/>
            </w:tcBorders>
            <w:shd w:val="clear" w:color="auto" w:fill="auto"/>
            <w:noWrap/>
            <w:vAlign w:val="center"/>
          </w:tcPr>
          <w:p w14:paraId="2F80EA1C"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tcPr>
          <w:p w14:paraId="7FA20C95"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tcPr>
          <w:p w14:paraId="06C9BD39"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tcPr>
          <w:p w14:paraId="046CE863" w14:textId="77777777" w:rsidR="00DD259F" w:rsidRPr="005D6F2E" w:rsidRDefault="00DD259F" w:rsidP="001F41D4">
            <w:pPr>
              <w:spacing w:after="0"/>
              <w:jc w:val="center"/>
              <w:rPr>
                <w:rFonts w:ascii="Calibri" w:eastAsia="Times New Roman" w:hAnsi="Calibri" w:cs="Times New Roman"/>
                <w:color w:val="000000"/>
                <w:sz w:val="20"/>
                <w:szCs w:val="20"/>
              </w:rPr>
            </w:pPr>
          </w:p>
        </w:tc>
      </w:tr>
      <w:tr w:rsidR="00DD259F" w:rsidRPr="005D6F2E" w14:paraId="3FDBB6DA" w14:textId="77777777" w:rsidTr="001F41D4">
        <w:trPr>
          <w:trHeight w:val="255"/>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017B6208"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after failure of lamivudine</w:t>
            </w:r>
          </w:p>
        </w:tc>
        <w:tc>
          <w:tcPr>
            <w:tcW w:w="832" w:type="dxa"/>
            <w:tcBorders>
              <w:top w:val="nil"/>
              <w:left w:val="nil"/>
              <w:bottom w:val="single" w:sz="4" w:space="0" w:color="auto"/>
              <w:right w:val="single" w:sz="4" w:space="0" w:color="auto"/>
            </w:tcBorders>
            <w:shd w:val="clear" w:color="auto" w:fill="auto"/>
            <w:noWrap/>
            <w:vAlign w:val="center"/>
          </w:tcPr>
          <w:p w14:paraId="756C7AC2"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hideMark/>
          </w:tcPr>
          <w:p w14:paraId="5DAE6AF9"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hideMark/>
          </w:tcPr>
          <w:p w14:paraId="074AB97D" w14:textId="77777777" w:rsidR="00DD259F" w:rsidRPr="005D6F2E" w:rsidRDefault="00DD259F" w:rsidP="001F41D4">
            <w:pPr>
              <w:spacing w:after="0"/>
              <w:jc w:val="center"/>
              <w:rPr>
                <w:rFonts w:ascii="Wingdings" w:eastAsia="Times New Roman" w:hAnsi="Wingdings" w:cs="Times New Roman"/>
                <w:color w:val="000000"/>
                <w:sz w:val="20"/>
                <w:szCs w:val="20"/>
              </w:rPr>
            </w:pPr>
            <w:r w:rsidRPr="005D6F2E">
              <w:rPr>
                <w:rFonts w:ascii="Wingdings" w:eastAsia="Times New Roman" w:hAnsi="Wingdings" w:cs="Times New Roman"/>
                <w:color w:val="000000"/>
                <w:sz w:val="20"/>
                <w:szCs w:val="20"/>
              </w:rPr>
              <w:t></w:t>
            </w:r>
          </w:p>
        </w:tc>
        <w:tc>
          <w:tcPr>
            <w:tcW w:w="833" w:type="dxa"/>
            <w:tcBorders>
              <w:top w:val="nil"/>
              <w:left w:val="nil"/>
              <w:bottom w:val="single" w:sz="4" w:space="0" w:color="auto"/>
              <w:right w:val="single" w:sz="4" w:space="0" w:color="auto"/>
            </w:tcBorders>
            <w:shd w:val="clear" w:color="auto" w:fill="auto"/>
            <w:noWrap/>
            <w:vAlign w:val="center"/>
          </w:tcPr>
          <w:p w14:paraId="58BA9A85"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2" w:type="dxa"/>
            <w:tcBorders>
              <w:top w:val="nil"/>
              <w:left w:val="nil"/>
              <w:bottom w:val="single" w:sz="4" w:space="0" w:color="auto"/>
              <w:right w:val="single" w:sz="4" w:space="0" w:color="auto"/>
            </w:tcBorders>
            <w:shd w:val="clear" w:color="auto" w:fill="auto"/>
            <w:noWrap/>
            <w:vAlign w:val="center"/>
          </w:tcPr>
          <w:p w14:paraId="09C6BD4E"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tcPr>
          <w:p w14:paraId="28591CC6"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tcPr>
          <w:p w14:paraId="7DB19DAF" w14:textId="77777777" w:rsidR="00DD259F" w:rsidRPr="005D6F2E" w:rsidRDefault="00DD259F" w:rsidP="001F41D4">
            <w:pPr>
              <w:spacing w:after="0"/>
              <w:jc w:val="center"/>
              <w:rPr>
                <w:rFonts w:ascii="Calibri" w:eastAsia="Times New Roman" w:hAnsi="Calibri" w:cs="Times New Roman"/>
                <w:color w:val="000000"/>
                <w:sz w:val="20"/>
                <w:szCs w:val="20"/>
              </w:rPr>
            </w:pPr>
          </w:p>
        </w:tc>
        <w:tc>
          <w:tcPr>
            <w:tcW w:w="833" w:type="dxa"/>
            <w:tcBorders>
              <w:top w:val="nil"/>
              <w:left w:val="nil"/>
              <w:bottom w:val="single" w:sz="4" w:space="0" w:color="auto"/>
              <w:right w:val="single" w:sz="4" w:space="0" w:color="auto"/>
            </w:tcBorders>
            <w:shd w:val="clear" w:color="auto" w:fill="auto"/>
            <w:noWrap/>
            <w:vAlign w:val="center"/>
          </w:tcPr>
          <w:p w14:paraId="21FB46E6" w14:textId="77777777" w:rsidR="00DD259F" w:rsidRPr="005D6F2E" w:rsidRDefault="00DD259F" w:rsidP="001F41D4">
            <w:pPr>
              <w:spacing w:after="0"/>
              <w:jc w:val="center"/>
              <w:rPr>
                <w:rFonts w:ascii="Calibri" w:eastAsia="Times New Roman" w:hAnsi="Calibri" w:cs="Times New Roman"/>
                <w:color w:val="000000"/>
                <w:sz w:val="20"/>
                <w:szCs w:val="20"/>
              </w:rPr>
            </w:pPr>
          </w:p>
        </w:tc>
      </w:tr>
    </w:tbl>
    <w:p w14:paraId="6B02A61B" w14:textId="77777777" w:rsidR="00DD259F" w:rsidRPr="005D6F2E" w:rsidRDefault="00DD259F" w:rsidP="00DD259F">
      <w:pPr>
        <w:pStyle w:val="Figurecaption"/>
      </w:pPr>
      <w:r w:rsidRPr="005D6F2E">
        <w:t xml:space="preserve">Abbreviations: LAM: lamivudine; ADV: </w:t>
      </w:r>
      <w:proofErr w:type="spellStart"/>
      <w:r w:rsidRPr="005D6F2E">
        <w:t>adefovir</w:t>
      </w:r>
      <w:proofErr w:type="spellEnd"/>
      <w:r w:rsidRPr="005D6F2E">
        <w:t xml:space="preserve">; ETV: </w:t>
      </w:r>
      <w:proofErr w:type="spellStart"/>
      <w:r w:rsidRPr="005D6F2E">
        <w:t>entecavir</w:t>
      </w:r>
      <w:proofErr w:type="spellEnd"/>
      <w:r w:rsidRPr="005D6F2E">
        <w:t xml:space="preserve">; </w:t>
      </w:r>
      <w:proofErr w:type="spellStart"/>
      <w:r w:rsidRPr="005D6F2E">
        <w:t>TDF</w:t>
      </w:r>
      <w:proofErr w:type="gramStart"/>
      <w:r w:rsidRPr="005D6F2E">
        <w:t>:tenofovir</w:t>
      </w:r>
      <w:proofErr w:type="spellEnd"/>
      <w:proofErr w:type="gramEnd"/>
      <w:r w:rsidRPr="005D6F2E">
        <w:t xml:space="preserve">; </w:t>
      </w:r>
      <w:proofErr w:type="spellStart"/>
      <w:r w:rsidRPr="005D6F2E">
        <w:t>LdT:telbivudine</w:t>
      </w:r>
      <w:proofErr w:type="spellEnd"/>
      <w:r w:rsidRPr="005D6F2E">
        <w:t xml:space="preserve">; IFN alfa-2a: interferon alfa-2a; IFN alfa-2b: interferon alfa-2b; </w:t>
      </w:r>
      <w:proofErr w:type="spellStart"/>
      <w:r w:rsidRPr="005D6F2E">
        <w:t>pegIFN</w:t>
      </w:r>
      <w:proofErr w:type="spellEnd"/>
      <w:r w:rsidRPr="005D6F2E">
        <w:t xml:space="preserve">: </w:t>
      </w:r>
      <w:proofErr w:type="spellStart"/>
      <w:r w:rsidRPr="005D6F2E">
        <w:t>peginterferon</w:t>
      </w:r>
      <w:proofErr w:type="spellEnd"/>
      <w:r w:rsidRPr="005D6F2E">
        <w:t xml:space="preserve"> alfa-2a</w:t>
      </w:r>
    </w:p>
    <w:p w14:paraId="5FAB3CA3" w14:textId="078C6F9B" w:rsidR="00DD259F" w:rsidRPr="005D6F2E" w:rsidRDefault="00DD259F" w:rsidP="00DD259F">
      <w:r w:rsidRPr="005D6F2E">
        <w:t xml:space="preserve">Full wording of the restrictions </w:t>
      </w:r>
      <w:r w:rsidR="00675812" w:rsidRPr="002F61CA">
        <w:t xml:space="preserve">are available from </w:t>
      </w:r>
      <w:r w:rsidR="00675812">
        <w:t xml:space="preserve">the </w:t>
      </w:r>
      <w:hyperlink r:id="rId13" w:history="1">
        <w:r w:rsidR="00675812" w:rsidRPr="00645D51">
          <w:rPr>
            <w:rStyle w:val="Hyperlink"/>
          </w:rPr>
          <w:t>PBS website</w:t>
        </w:r>
      </w:hyperlink>
      <w:r w:rsidR="00675812">
        <w:t>.</w:t>
      </w:r>
    </w:p>
    <w:p w14:paraId="509ADFEB" w14:textId="5D8DB94B" w:rsidR="009C35F2" w:rsidRDefault="009C35F2" w:rsidP="004F1E15">
      <w:pPr>
        <w:pStyle w:val="Heading5"/>
      </w:pPr>
      <w:r w:rsidRPr="00675BB1">
        <w:t>Date of listing on PBS</w:t>
      </w:r>
    </w:p>
    <w:p w14:paraId="6CCBB6EC" w14:textId="3D447D6C" w:rsidR="008A61D6" w:rsidRDefault="008A61D6" w:rsidP="008A61D6">
      <w:r>
        <w:t>The d</w:t>
      </w:r>
      <w:r w:rsidRPr="008A61D6">
        <w:t xml:space="preserve">ate of first PBS listing </w:t>
      </w:r>
      <w:r>
        <w:t>of medicines used to treat hepatitis B are summarised in the table below.</w:t>
      </w:r>
    </w:p>
    <w:p w14:paraId="325B65E9" w14:textId="529D4C8E" w:rsidR="008A61D6" w:rsidRPr="008A61D6" w:rsidRDefault="008A61D6" w:rsidP="008A61D6">
      <w:pPr>
        <w:pStyle w:val="Tabletitle"/>
      </w:pPr>
      <w:r>
        <w:lastRenderedPageBreak/>
        <w:t xml:space="preserve">Table </w:t>
      </w:r>
      <w:r w:rsidR="00774ED0">
        <w:t>3</w:t>
      </w:r>
      <w:r>
        <w:t>: Date of first PBS listing of</w:t>
      </w:r>
      <w:r w:rsidRPr="008A61D6">
        <w:t xml:space="preserve"> medicines used to treat hepatitis B</w:t>
      </w:r>
    </w:p>
    <w:tbl>
      <w:tblPr>
        <w:tblW w:w="6111" w:type="dxa"/>
        <w:tblInd w:w="93" w:type="dxa"/>
        <w:tblLook w:val="04A0" w:firstRow="1" w:lastRow="0" w:firstColumn="1" w:lastColumn="0" w:noHBand="0" w:noVBand="1"/>
      </w:tblPr>
      <w:tblGrid>
        <w:gridCol w:w="2500"/>
        <w:gridCol w:w="3611"/>
      </w:tblGrid>
      <w:tr w:rsidR="00DD259F" w:rsidRPr="005D6F2E" w14:paraId="625AA2A7" w14:textId="77777777" w:rsidTr="001F41D4">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DF0F409" w14:textId="77777777" w:rsidR="00DD259F" w:rsidRPr="005D6F2E" w:rsidRDefault="00DD259F" w:rsidP="001F41D4">
            <w:pPr>
              <w:spacing w:after="0"/>
              <w:rPr>
                <w:rFonts w:ascii="Calibri" w:eastAsia="Times New Roman" w:hAnsi="Calibri" w:cs="Times New Roman"/>
                <w:b/>
                <w:color w:val="000000"/>
                <w:sz w:val="20"/>
                <w:szCs w:val="20"/>
              </w:rPr>
            </w:pPr>
            <w:r w:rsidRPr="005D6F2E">
              <w:rPr>
                <w:rFonts w:ascii="Calibri" w:eastAsia="Times New Roman" w:hAnsi="Calibri" w:cs="Times New Roman"/>
                <w:b/>
                <w:color w:val="000000"/>
                <w:sz w:val="20"/>
                <w:szCs w:val="20"/>
              </w:rPr>
              <w:t>Drug</w:t>
            </w:r>
          </w:p>
        </w:tc>
        <w:tc>
          <w:tcPr>
            <w:tcW w:w="36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FCEFA07" w14:textId="77777777" w:rsidR="00DD259F" w:rsidRPr="005D6F2E" w:rsidRDefault="00DD259F" w:rsidP="001F41D4">
            <w:pPr>
              <w:spacing w:after="0"/>
              <w:rPr>
                <w:rFonts w:ascii="Calibri" w:eastAsia="Times New Roman" w:hAnsi="Calibri" w:cs="Times New Roman"/>
                <w:b/>
                <w:color w:val="000000"/>
                <w:sz w:val="20"/>
                <w:szCs w:val="20"/>
              </w:rPr>
            </w:pPr>
            <w:r w:rsidRPr="005D6F2E">
              <w:rPr>
                <w:rFonts w:ascii="Calibri" w:eastAsia="Times New Roman" w:hAnsi="Calibri" w:cs="Times New Roman"/>
                <w:b/>
                <w:color w:val="000000"/>
                <w:sz w:val="20"/>
                <w:szCs w:val="20"/>
              </w:rPr>
              <w:t>Date of first PBS listing for hepatitis B</w:t>
            </w:r>
          </w:p>
        </w:tc>
      </w:tr>
      <w:tr w:rsidR="00DD259F" w:rsidRPr="005D6F2E" w14:paraId="76528AB5" w14:textId="77777777" w:rsidTr="001F41D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4A1EBEC7"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alfa-2a</w:t>
            </w:r>
          </w:p>
        </w:tc>
        <w:tc>
          <w:tcPr>
            <w:tcW w:w="3611" w:type="dxa"/>
            <w:tcBorders>
              <w:top w:val="nil"/>
              <w:left w:val="nil"/>
              <w:bottom w:val="single" w:sz="4" w:space="0" w:color="auto"/>
              <w:right w:val="single" w:sz="4" w:space="0" w:color="auto"/>
            </w:tcBorders>
            <w:shd w:val="clear" w:color="auto" w:fill="auto"/>
            <w:noWrap/>
            <w:vAlign w:val="bottom"/>
            <w:hideMark/>
          </w:tcPr>
          <w:p w14:paraId="1889B788" w14:textId="77777777" w:rsidR="00DD259F" w:rsidRPr="005D6F2E" w:rsidRDefault="00DD259F" w:rsidP="001F41D4">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 November 2001</w:t>
            </w:r>
          </w:p>
        </w:tc>
      </w:tr>
      <w:tr w:rsidR="00DD259F" w:rsidRPr="005D6F2E" w14:paraId="71E9DCE4" w14:textId="77777777" w:rsidTr="001F41D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57A04BB2"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p>
        </w:tc>
        <w:tc>
          <w:tcPr>
            <w:tcW w:w="3611" w:type="dxa"/>
            <w:tcBorders>
              <w:top w:val="nil"/>
              <w:left w:val="nil"/>
              <w:bottom w:val="single" w:sz="4" w:space="0" w:color="auto"/>
              <w:right w:val="single" w:sz="4" w:space="0" w:color="auto"/>
            </w:tcBorders>
            <w:shd w:val="clear" w:color="auto" w:fill="auto"/>
            <w:noWrap/>
            <w:vAlign w:val="bottom"/>
            <w:hideMark/>
          </w:tcPr>
          <w:p w14:paraId="3B84D4F0" w14:textId="77777777" w:rsidR="00DD259F" w:rsidRPr="005D6F2E" w:rsidRDefault="00DD259F" w:rsidP="001F41D4">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 November 2001</w:t>
            </w:r>
          </w:p>
        </w:tc>
      </w:tr>
      <w:tr w:rsidR="00DD259F" w:rsidRPr="005D6F2E" w14:paraId="0140A1E7" w14:textId="77777777" w:rsidTr="001F41D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3CC11A3" w14:textId="77777777" w:rsidR="00DD259F" w:rsidRPr="005D6F2E" w:rsidRDefault="00DD259F" w:rsidP="001F41D4">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lamivudine</w:t>
            </w:r>
          </w:p>
        </w:tc>
        <w:tc>
          <w:tcPr>
            <w:tcW w:w="3611" w:type="dxa"/>
            <w:tcBorders>
              <w:top w:val="nil"/>
              <w:left w:val="nil"/>
              <w:bottom w:val="single" w:sz="4" w:space="0" w:color="auto"/>
              <w:right w:val="single" w:sz="4" w:space="0" w:color="auto"/>
            </w:tcBorders>
            <w:shd w:val="clear" w:color="auto" w:fill="auto"/>
            <w:noWrap/>
            <w:vAlign w:val="bottom"/>
            <w:hideMark/>
          </w:tcPr>
          <w:p w14:paraId="36CD68F7" w14:textId="77777777" w:rsidR="00DD259F" w:rsidRPr="005D6F2E" w:rsidRDefault="00DD259F" w:rsidP="001F41D4">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 November 2001</w:t>
            </w:r>
          </w:p>
        </w:tc>
      </w:tr>
      <w:tr w:rsidR="00DD259F" w:rsidRPr="005D6F2E" w14:paraId="0B853905" w14:textId="77777777" w:rsidTr="001F41D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278FCA0D" w14:textId="77777777" w:rsidR="00DD259F" w:rsidRPr="005D6F2E" w:rsidRDefault="00DD259F"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adefovir</w:t>
            </w:r>
            <w:proofErr w:type="spellEnd"/>
            <w:r w:rsidRPr="005D6F2E">
              <w:rPr>
                <w:rFonts w:ascii="Calibri" w:eastAsia="Times New Roman" w:hAnsi="Calibri" w:cs="Times New Roman"/>
                <w:color w:val="000000"/>
                <w:sz w:val="20"/>
                <w:szCs w:val="20"/>
              </w:rPr>
              <w:t xml:space="preserve"> </w:t>
            </w:r>
          </w:p>
        </w:tc>
        <w:tc>
          <w:tcPr>
            <w:tcW w:w="3611" w:type="dxa"/>
            <w:tcBorders>
              <w:top w:val="nil"/>
              <w:left w:val="nil"/>
              <w:bottom w:val="single" w:sz="4" w:space="0" w:color="auto"/>
              <w:right w:val="single" w:sz="4" w:space="0" w:color="auto"/>
            </w:tcBorders>
            <w:shd w:val="clear" w:color="auto" w:fill="auto"/>
            <w:noWrap/>
            <w:vAlign w:val="bottom"/>
            <w:hideMark/>
          </w:tcPr>
          <w:p w14:paraId="524711DD" w14:textId="77777777" w:rsidR="00DD259F" w:rsidRPr="005D6F2E" w:rsidRDefault="00DD259F" w:rsidP="001F41D4">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 December 2004</w:t>
            </w:r>
          </w:p>
        </w:tc>
      </w:tr>
      <w:tr w:rsidR="00DD259F" w:rsidRPr="005D6F2E" w14:paraId="10F05802" w14:textId="77777777" w:rsidTr="001F41D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0E93C00" w14:textId="77777777" w:rsidR="00DD259F" w:rsidRPr="005D6F2E" w:rsidRDefault="00DD259F"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peginterferon</w:t>
            </w:r>
            <w:proofErr w:type="spellEnd"/>
            <w:r w:rsidRPr="005D6F2E">
              <w:rPr>
                <w:rFonts w:ascii="Calibri" w:eastAsia="Times New Roman" w:hAnsi="Calibri" w:cs="Times New Roman"/>
                <w:color w:val="000000"/>
                <w:sz w:val="20"/>
                <w:szCs w:val="20"/>
              </w:rPr>
              <w:t xml:space="preserve"> alfa-2a</w:t>
            </w:r>
          </w:p>
        </w:tc>
        <w:tc>
          <w:tcPr>
            <w:tcW w:w="3611" w:type="dxa"/>
            <w:tcBorders>
              <w:top w:val="nil"/>
              <w:left w:val="nil"/>
              <w:bottom w:val="single" w:sz="4" w:space="0" w:color="auto"/>
              <w:right w:val="single" w:sz="4" w:space="0" w:color="auto"/>
            </w:tcBorders>
            <w:shd w:val="clear" w:color="auto" w:fill="auto"/>
            <w:noWrap/>
            <w:vAlign w:val="bottom"/>
            <w:hideMark/>
          </w:tcPr>
          <w:p w14:paraId="5EAF94E7" w14:textId="77777777" w:rsidR="00DD259F" w:rsidRPr="005D6F2E" w:rsidRDefault="00DD259F" w:rsidP="001F41D4">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 October 2006</w:t>
            </w:r>
          </w:p>
        </w:tc>
      </w:tr>
      <w:tr w:rsidR="00DD259F" w:rsidRPr="005D6F2E" w14:paraId="0DD612D6" w14:textId="77777777" w:rsidTr="001F41D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6F6D0264" w14:textId="77777777" w:rsidR="00DD259F" w:rsidRPr="005D6F2E" w:rsidRDefault="00DD259F"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entecavir</w:t>
            </w:r>
            <w:proofErr w:type="spellEnd"/>
          </w:p>
        </w:tc>
        <w:tc>
          <w:tcPr>
            <w:tcW w:w="3611" w:type="dxa"/>
            <w:tcBorders>
              <w:top w:val="nil"/>
              <w:left w:val="nil"/>
              <w:bottom w:val="single" w:sz="4" w:space="0" w:color="auto"/>
              <w:right w:val="single" w:sz="4" w:space="0" w:color="auto"/>
            </w:tcBorders>
            <w:shd w:val="clear" w:color="auto" w:fill="auto"/>
            <w:noWrap/>
            <w:vAlign w:val="bottom"/>
            <w:hideMark/>
          </w:tcPr>
          <w:p w14:paraId="4401A2F9" w14:textId="77777777" w:rsidR="00DD259F" w:rsidRPr="005D6F2E" w:rsidRDefault="00DD259F" w:rsidP="001F41D4">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 December 2006</w:t>
            </w:r>
          </w:p>
        </w:tc>
      </w:tr>
      <w:tr w:rsidR="00DD259F" w:rsidRPr="005D6F2E" w14:paraId="692F786B" w14:textId="77777777" w:rsidTr="001F41D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689D5031" w14:textId="77777777" w:rsidR="00DD259F" w:rsidRPr="005D6F2E" w:rsidRDefault="00DD259F"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telbivudine</w:t>
            </w:r>
            <w:proofErr w:type="spellEnd"/>
          </w:p>
        </w:tc>
        <w:tc>
          <w:tcPr>
            <w:tcW w:w="3611" w:type="dxa"/>
            <w:tcBorders>
              <w:top w:val="nil"/>
              <w:left w:val="nil"/>
              <w:bottom w:val="single" w:sz="4" w:space="0" w:color="auto"/>
              <w:right w:val="single" w:sz="4" w:space="0" w:color="auto"/>
            </w:tcBorders>
            <w:shd w:val="clear" w:color="auto" w:fill="auto"/>
            <w:noWrap/>
            <w:vAlign w:val="bottom"/>
            <w:hideMark/>
          </w:tcPr>
          <w:p w14:paraId="761A4755" w14:textId="77777777" w:rsidR="00DD259F" w:rsidRPr="005D6F2E" w:rsidRDefault="00DD259F" w:rsidP="001F41D4">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 August 2008</w:t>
            </w:r>
          </w:p>
        </w:tc>
      </w:tr>
      <w:tr w:rsidR="00DD259F" w:rsidRPr="005D6F2E" w14:paraId="7A6CD1A1" w14:textId="77777777" w:rsidTr="001F41D4">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5D2B9A54" w14:textId="77777777" w:rsidR="00DD259F" w:rsidRPr="005D6F2E" w:rsidRDefault="00DD259F" w:rsidP="001F41D4">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tenofovir</w:t>
            </w:r>
            <w:proofErr w:type="spellEnd"/>
          </w:p>
        </w:tc>
        <w:tc>
          <w:tcPr>
            <w:tcW w:w="3611" w:type="dxa"/>
            <w:tcBorders>
              <w:top w:val="nil"/>
              <w:left w:val="nil"/>
              <w:bottom w:val="single" w:sz="4" w:space="0" w:color="auto"/>
              <w:right w:val="single" w:sz="4" w:space="0" w:color="auto"/>
            </w:tcBorders>
            <w:shd w:val="clear" w:color="auto" w:fill="auto"/>
            <w:noWrap/>
            <w:vAlign w:val="bottom"/>
            <w:hideMark/>
          </w:tcPr>
          <w:p w14:paraId="6CCC7336" w14:textId="77777777" w:rsidR="00DD259F" w:rsidRPr="005D6F2E" w:rsidRDefault="00DD259F" w:rsidP="001F41D4">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 December 2009</w:t>
            </w:r>
          </w:p>
        </w:tc>
      </w:tr>
    </w:tbl>
    <w:p w14:paraId="47422988" w14:textId="77777777" w:rsidR="00DD259F" w:rsidRPr="00DD259F" w:rsidRDefault="00DD259F" w:rsidP="00DD259F"/>
    <w:p w14:paraId="39EF75ED" w14:textId="210A5F9B" w:rsidR="00675BB1" w:rsidRPr="00675BB1" w:rsidRDefault="00675BB1" w:rsidP="004F1E15">
      <w:pPr>
        <w:pStyle w:val="Heading5"/>
      </w:pPr>
      <w:r w:rsidRPr="00675BB1">
        <w:t>Changes to listing</w:t>
      </w:r>
    </w:p>
    <w:p w14:paraId="7149CBC6" w14:textId="1EB54FF7" w:rsidR="00DD259F" w:rsidRPr="005D6F2E" w:rsidRDefault="00DD259F" w:rsidP="00DD259F">
      <w:r w:rsidRPr="005D6F2E">
        <w:t xml:space="preserve">Historical changes to the listings of medicines used to treat hepatitis B are tabulated in </w:t>
      </w:r>
      <w:r w:rsidR="00675812">
        <w:t>the appendices</w:t>
      </w:r>
      <w:r w:rsidRPr="005D6F2E">
        <w:t>.</w:t>
      </w:r>
    </w:p>
    <w:p w14:paraId="421527AE" w14:textId="3E5AD5BC" w:rsidR="004C3186" w:rsidRPr="002F61CA" w:rsidRDefault="007247B9" w:rsidP="00A35800">
      <w:r w:rsidRPr="002F61CA">
        <w:t xml:space="preserve">Current </w:t>
      </w:r>
      <w:r w:rsidR="004C3186" w:rsidRPr="002F61CA">
        <w:t xml:space="preserve">PBS listing details </w:t>
      </w:r>
      <w:r w:rsidR="009C35F2" w:rsidRPr="002F61CA">
        <w:t xml:space="preserve">are </w:t>
      </w:r>
      <w:r w:rsidR="004C3186" w:rsidRPr="002F61CA">
        <w:t xml:space="preserve">available from </w:t>
      </w:r>
      <w:r w:rsidR="00645D51">
        <w:t xml:space="preserve">the </w:t>
      </w:r>
      <w:hyperlink r:id="rId14" w:history="1">
        <w:r w:rsidR="00645D51" w:rsidRPr="00645D51">
          <w:rPr>
            <w:rStyle w:val="Hyperlink"/>
          </w:rPr>
          <w:t>PBS website</w:t>
        </w:r>
      </w:hyperlink>
      <w:r w:rsidR="00313B8D">
        <w:t>.</w:t>
      </w:r>
    </w:p>
    <w:p w14:paraId="383E312E" w14:textId="67497DE8" w:rsidR="00736041" w:rsidRPr="006C4620" w:rsidRDefault="00C41246" w:rsidP="00852A4C">
      <w:pPr>
        <w:pStyle w:val="Heading4"/>
      </w:pPr>
      <w:r w:rsidRPr="006C4620">
        <w:t xml:space="preserve">Relevant aspects of </w:t>
      </w:r>
      <w:r w:rsidR="0063021F" w:rsidRPr="006C4620">
        <w:t xml:space="preserve">the PBAC </w:t>
      </w:r>
      <w:r w:rsidR="00736041" w:rsidRPr="006C4620">
        <w:t>consideration</w:t>
      </w:r>
      <w:r w:rsidR="001D60D0">
        <w:t>s</w:t>
      </w:r>
    </w:p>
    <w:p w14:paraId="70386FD4" w14:textId="77777777" w:rsidR="00380CAD" w:rsidRPr="005D6F2E" w:rsidRDefault="00380CAD" w:rsidP="00380CAD">
      <w:pPr>
        <w:keepNext/>
        <w:rPr>
          <w:b/>
        </w:rPr>
      </w:pPr>
      <w:proofErr w:type="spellStart"/>
      <w:r w:rsidRPr="005D6F2E">
        <w:rPr>
          <w:b/>
        </w:rPr>
        <w:t>Entecavir</w:t>
      </w:r>
      <w:proofErr w:type="spellEnd"/>
      <w:r w:rsidRPr="005D6F2E">
        <w:rPr>
          <w:b/>
        </w:rPr>
        <w:t xml:space="preserve"> July 2006 meeting</w:t>
      </w:r>
    </w:p>
    <w:p w14:paraId="4027196B" w14:textId="77777777" w:rsidR="00380CAD" w:rsidRPr="005D6F2E" w:rsidRDefault="00380CAD" w:rsidP="00380CAD">
      <w:proofErr w:type="spellStart"/>
      <w:r w:rsidRPr="005D6F2E">
        <w:t>Entecavir</w:t>
      </w:r>
      <w:proofErr w:type="spellEnd"/>
      <w:r w:rsidRPr="005D6F2E">
        <w:t xml:space="preserve"> was recommended on a cost effectiveness basis compared to lamivudine for the treatment of hepatitis B patients in </w:t>
      </w:r>
      <w:proofErr w:type="spellStart"/>
      <w:proofErr w:type="gramStart"/>
      <w:r w:rsidRPr="005D6F2E">
        <w:t>nucleos</w:t>
      </w:r>
      <w:proofErr w:type="spellEnd"/>
      <w:r w:rsidRPr="005D6F2E">
        <w:t>(</w:t>
      </w:r>
      <w:proofErr w:type="gramEnd"/>
      <w:r w:rsidRPr="005D6F2E">
        <w:t>t)ide naïve patients.</w:t>
      </w:r>
    </w:p>
    <w:p w14:paraId="3706EC06" w14:textId="77777777" w:rsidR="00380CAD" w:rsidRPr="005D6F2E" w:rsidRDefault="00380CAD" w:rsidP="00380CAD">
      <w:proofErr w:type="spellStart"/>
      <w:r w:rsidRPr="005D6F2E">
        <w:t>Entecavir</w:t>
      </w:r>
      <w:proofErr w:type="spellEnd"/>
      <w:r w:rsidRPr="005D6F2E">
        <w:t xml:space="preserve"> was recommended on a cost minimisation basis compared to </w:t>
      </w:r>
      <w:proofErr w:type="spellStart"/>
      <w:r w:rsidRPr="005D6F2E">
        <w:t>adefovir</w:t>
      </w:r>
      <w:proofErr w:type="spellEnd"/>
      <w:r w:rsidRPr="005D6F2E">
        <w:t xml:space="preserve"> for the treatment of hepatitis B patients in lamivudine resistant patients.</w:t>
      </w:r>
    </w:p>
    <w:p w14:paraId="1F9966F7" w14:textId="77777777" w:rsidR="00380CAD" w:rsidRPr="005D6F2E" w:rsidRDefault="00380CAD" w:rsidP="00380CAD">
      <w:r w:rsidRPr="005D6F2E">
        <w:t xml:space="preserve">The PBAC noted the overall market for chronic hepatitis B was not expected to grow or to grow more rapidly as a result of listing </w:t>
      </w:r>
      <w:proofErr w:type="spellStart"/>
      <w:r w:rsidRPr="005D6F2E">
        <w:t>entecavir</w:t>
      </w:r>
      <w:proofErr w:type="spellEnd"/>
      <w:r w:rsidRPr="005D6F2E">
        <w:t>.</w:t>
      </w:r>
    </w:p>
    <w:p w14:paraId="79C25F99" w14:textId="69B5249A" w:rsidR="00307EEF" w:rsidRPr="00F65F0D" w:rsidRDefault="00307EEF" w:rsidP="00307EEF">
      <w:r>
        <w:t xml:space="preserve">For further details refer to </w:t>
      </w:r>
      <w:r w:rsidRPr="00F65F0D">
        <w:t xml:space="preserve">the </w:t>
      </w:r>
      <w:hyperlink r:id="rId15" w:history="1">
        <w:r w:rsidRPr="00307EEF">
          <w:rPr>
            <w:rStyle w:val="Hyperlink"/>
          </w:rPr>
          <w:t>Public Summary Document</w:t>
        </w:r>
      </w:hyperlink>
      <w:r>
        <w:t xml:space="preserve"> </w:t>
      </w:r>
      <w:r w:rsidRPr="00F65F0D">
        <w:t xml:space="preserve">from the </w:t>
      </w:r>
      <w:r>
        <w:t>July 2006 PBAC meeting.</w:t>
      </w:r>
    </w:p>
    <w:p w14:paraId="0B576287" w14:textId="77777777" w:rsidR="00380CAD" w:rsidRPr="005D6F2E" w:rsidRDefault="00380CAD" w:rsidP="00380CAD">
      <w:pPr>
        <w:rPr>
          <w:b/>
        </w:rPr>
      </w:pPr>
      <w:proofErr w:type="spellStart"/>
      <w:r w:rsidRPr="005D6F2E">
        <w:rPr>
          <w:b/>
        </w:rPr>
        <w:t>Tenofovir</w:t>
      </w:r>
      <w:proofErr w:type="spellEnd"/>
      <w:r w:rsidRPr="005D6F2E">
        <w:rPr>
          <w:b/>
        </w:rPr>
        <w:t xml:space="preserve"> November 2008 meeting</w:t>
      </w:r>
    </w:p>
    <w:p w14:paraId="326B86B9" w14:textId="77777777" w:rsidR="00380CAD" w:rsidRPr="005D6F2E" w:rsidRDefault="00380CAD" w:rsidP="00380CAD">
      <w:r w:rsidRPr="005D6F2E">
        <w:t xml:space="preserve">The PBAC recommended the listing of </w:t>
      </w:r>
      <w:proofErr w:type="spellStart"/>
      <w:r w:rsidRPr="005D6F2E">
        <w:t>tenofovir</w:t>
      </w:r>
      <w:proofErr w:type="spellEnd"/>
      <w:r w:rsidRPr="005D6F2E">
        <w:t xml:space="preserve"> on the S100 Highly Specialised Drugs Program of the PBS for the treatment patients with </w:t>
      </w:r>
      <w:proofErr w:type="spellStart"/>
      <w:r w:rsidRPr="005D6F2E">
        <w:t>HBeAg</w:t>
      </w:r>
      <w:proofErr w:type="spellEnd"/>
      <w:r w:rsidRPr="005D6F2E">
        <w:t xml:space="preserve">-positive chronic hepatitis B who are nucleoside analogue naïve on a cost minimisation basis to </w:t>
      </w:r>
      <w:proofErr w:type="spellStart"/>
      <w:r w:rsidRPr="005D6F2E">
        <w:t>entecavir</w:t>
      </w:r>
      <w:proofErr w:type="spellEnd"/>
      <w:r w:rsidRPr="005D6F2E">
        <w:t xml:space="preserve"> 0.5 mg tablets. </w:t>
      </w:r>
    </w:p>
    <w:p w14:paraId="621C2B17" w14:textId="77777777" w:rsidR="00380CAD" w:rsidRPr="005D6F2E" w:rsidRDefault="00380CAD" w:rsidP="00380CAD">
      <w:r w:rsidRPr="005D6F2E">
        <w:t xml:space="preserve">The PBAC did not accept the claim that </w:t>
      </w:r>
      <w:proofErr w:type="spellStart"/>
      <w:r w:rsidRPr="005D6F2E">
        <w:t>tenofovir</w:t>
      </w:r>
      <w:proofErr w:type="spellEnd"/>
      <w:r w:rsidRPr="005D6F2E">
        <w:t xml:space="preserve"> is equally effective </w:t>
      </w:r>
      <w:r>
        <w:t>as</w:t>
      </w:r>
      <w:r w:rsidRPr="005D6F2E">
        <w:t xml:space="preserve"> </w:t>
      </w:r>
      <w:proofErr w:type="spellStart"/>
      <w:r w:rsidRPr="005D6F2E">
        <w:t>entecavir</w:t>
      </w:r>
      <w:proofErr w:type="spellEnd"/>
      <w:r w:rsidRPr="005D6F2E">
        <w:t xml:space="preserve"> in nucleoside naïve </w:t>
      </w:r>
      <w:proofErr w:type="spellStart"/>
      <w:r w:rsidRPr="005D6F2E">
        <w:t>HBeAg</w:t>
      </w:r>
      <w:proofErr w:type="spellEnd"/>
      <w:r w:rsidRPr="005D6F2E">
        <w:t xml:space="preserve"> negative patients because this conclusion relied on the assumption </w:t>
      </w:r>
      <w:r w:rsidRPr="005D6F2E">
        <w:lastRenderedPageBreak/>
        <w:t xml:space="preserve">that </w:t>
      </w:r>
      <w:proofErr w:type="spellStart"/>
      <w:r w:rsidRPr="005D6F2E">
        <w:t>tenofovir</w:t>
      </w:r>
      <w:proofErr w:type="spellEnd"/>
      <w:r w:rsidRPr="005D6F2E">
        <w:t xml:space="preserve"> is equally effective in nucleoside naïve </w:t>
      </w:r>
      <w:proofErr w:type="spellStart"/>
      <w:r w:rsidRPr="005D6F2E">
        <w:t>HBeAg</w:t>
      </w:r>
      <w:proofErr w:type="spellEnd"/>
      <w:r w:rsidRPr="005D6F2E">
        <w:t xml:space="preserve"> negative and </w:t>
      </w:r>
      <w:proofErr w:type="spellStart"/>
      <w:r w:rsidRPr="005D6F2E">
        <w:t>HBeAg</w:t>
      </w:r>
      <w:proofErr w:type="spellEnd"/>
      <w:r w:rsidRPr="005D6F2E">
        <w:t xml:space="preserve"> positive patients. </w:t>
      </w:r>
    </w:p>
    <w:p w14:paraId="6DAE00EC" w14:textId="77777777" w:rsidR="00380CAD" w:rsidRPr="005D6F2E" w:rsidRDefault="00380CAD" w:rsidP="00380CAD">
      <w:r w:rsidRPr="005D6F2E">
        <w:t xml:space="preserve">The PBAC rejected the application for listing of </w:t>
      </w:r>
      <w:proofErr w:type="spellStart"/>
      <w:r w:rsidRPr="005D6F2E">
        <w:t>tenofovir</w:t>
      </w:r>
      <w:proofErr w:type="spellEnd"/>
      <w:r w:rsidRPr="005D6F2E">
        <w:t xml:space="preserve"> for the treatment of hepatitis in nucleoside experienced patients.</w:t>
      </w:r>
    </w:p>
    <w:p w14:paraId="47664955" w14:textId="1B171611" w:rsidR="00380CAD" w:rsidRPr="005D6F2E" w:rsidRDefault="00307EEF" w:rsidP="00380CAD">
      <w:r>
        <w:t xml:space="preserve">For further details refer to </w:t>
      </w:r>
      <w:r w:rsidRPr="00F65F0D">
        <w:t xml:space="preserve">the </w:t>
      </w:r>
      <w:hyperlink r:id="rId16" w:history="1">
        <w:r w:rsidRPr="00307EEF">
          <w:rPr>
            <w:rStyle w:val="Hyperlink"/>
          </w:rPr>
          <w:t>Public Summary Document</w:t>
        </w:r>
      </w:hyperlink>
      <w:r>
        <w:t xml:space="preserve"> </w:t>
      </w:r>
      <w:r w:rsidRPr="00F65F0D">
        <w:t xml:space="preserve">from the </w:t>
      </w:r>
      <w:r>
        <w:t>November 2008 PBAC meeting.</w:t>
      </w:r>
    </w:p>
    <w:p w14:paraId="3A18156D" w14:textId="77777777" w:rsidR="00380CAD" w:rsidRPr="005D6F2E" w:rsidRDefault="00380CAD" w:rsidP="00380CAD">
      <w:pPr>
        <w:rPr>
          <w:b/>
        </w:rPr>
      </w:pPr>
      <w:proofErr w:type="spellStart"/>
      <w:r w:rsidRPr="005D6F2E">
        <w:rPr>
          <w:b/>
        </w:rPr>
        <w:t>Tenofovir</w:t>
      </w:r>
      <w:proofErr w:type="spellEnd"/>
      <w:r w:rsidRPr="005D6F2E">
        <w:rPr>
          <w:b/>
        </w:rPr>
        <w:t xml:space="preserve"> July 2009 meeting</w:t>
      </w:r>
    </w:p>
    <w:p w14:paraId="48FABE61" w14:textId="77777777" w:rsidR="00380CAD" w:rsidRPr="005D6F2E" w:rsidRDefault="00380CAD" w:rsidP="00380CAD">
      <w:r w:rsidRPr="005D6F2E">
        <w:t xml:space="preserve">The PBAC recommended extending the listing of </w:t>
      </w:r>
      <w:proofErr w:type="spellStart"/>
      <w:r w:rsidRPr="005D6F2E">
        <w:t>tenofovir</w:t>
      </w:r>
      <w:proofErr w:type="spellEnd"/>
      <w:r w:rsidRPr="005D6F2E">
        <w:t xml:space="preserve"> on a cost-minimisation basis compared with </w:t>
      </w:r>
      <w:proofErr w:type="spellStart"/>
      <w:r w:rsidRPr="005D6F2E">
        <w:t>entecavir</w:t>
      </w:r>
      <w:proofErr w:type="spellEnd"/>
      <w:r w:rsidRPr="005D6F2E">
        <w:t xml:space="preserve"> 0.5 mg for treatment of chronic hepatitis B in nucleoside analogue naïve patients and on a cost-minimisation basis compared with </w:t>
      </w:r>
      <w:proofErr w:type="spellStart"/>
      <w:r w:rsidRPr="005D6F2E">
        <w:t>adefovir</w:t>
      </w:r>
      <w:proofErr w:type="spellEnd"/>
      <w:r w:rsidRPr="005D6F2E">
        <w:t xml:space="preserve"> 10 mg for patients who have failed previous </w:t>
      </w:r>
      <w:proofErr w:type="spellStart"/>
      <w:r w:rsidRPr="005D6F2E">
        <w:t>antihepadnaviral</w:t>
      </w:r>
      <w:proofErr w:type="spellEnd"/>
      <w:r w:rsidRPr="005D6F2E">
        <w:t xml:space="preserve"> therapy. </w:t>
      </w:r>
    </w:p>
    <w:p w14:paraId="56666987" w14:textId="77777777" w:rsidR="00380CAD" w:rsidRPr="005D6F2E" w:rsidRDefault="00380CAD" w:rsidP="00380CAD">
      <w:r w:rsidRPr="005D6F2E">
        <w:t>The submission estimated the likely number of patients/year to be less than 10,000 in Year 5 of listing.</w:t>
      </w:r>
    </w:p>
    <w:p w14:paraId="0A686639" w14:textId="257EE58D" w:rsidR="00307EEF" w:rsidRPr="00F65F0D" w:rsidRDefault="00307EEF" w:rsidP="00307EEF">
      <w:r>
        <w:t xml:space="preserve">For further details refer to </w:t>
      </w:r>
      <w:r w:rsidRPr="00F65F0D">
        <w:t xml:space="preserve">the </w:t>
      </w:r>
      <w:hyperlink r:id="rId17" w:history="1">
        <w:r w:rsidRPr="00307EEF">
          <w:rPr>
            <w:rStyle w:val="Hyperlink"/>
          </w:rPr>
          <w:t>Public Summary Document</w:t>
        </w:r>
      </w:hyperlink>
      <w:r>
        <w:t xml:space="preserve"> </w:t>
      </w:r>
      <w:r w:rsidRPr="00F65F0D">
        <w:t xml:space="preserve">from the </w:t>
      </w:r>
      <w:r>
        <w:t>July 2009 PBAC meeting.</w:t>
      </w:r>
    </w:p>
    <w:p w14:paraId="0DEBD50F" w14:textId="15FAF547" w:rsidR="00094DCF" w:rsidRPr="005C25A2" w:rsidRDefault="00ED633B" w:rsidP="000933D3">
      <w:pPr>
        <w:pStyle w:val="Heading4"/>
      </w:pPr>
      <w:r w:rsidRPr="005C25A2">
        <w:t xml:space="preserve">Previous reviews by </w:t>
      </w:r>
      <w:r w:rsidR="005C597F" w:rsidRPr="005C25A2">
        <w:t xml:space="preserve">the </w:t>
      </w:r>
      <w:r w:rsidRPr="005C25A2">
        <w:t>DUSC</w:t>
      </w:r>
    </w:p>
    <w:p w14:paraId="70842331" w14:textId="77777777" w:rsidR="00BD3CAF" w:rsidRPr="00C74999" w:rsidRDefault="00BD3CAF" w:rsidP="00BD3CAF">
      <w:r w:rsidRPr="005D6F2E">
        <w:t xml:space="preserve">A 12 month predicted versus actual review was completed for </w:t>
      </w:r>
      <w:proofErr w:type="spellStart"/>
      <w:r w:rsidRPr="005D6F2E">
        <w:t>adefovir</w:t>
      </w:r>
      <w:proofErr w:type="spellEnd"/>
      <w:r w:rsidRPr="005D6F2E">
        <w:t xml:space="preserve"> for the June 2006 DUSC meeting. </w:t>
      </w:r>
      <w:r w:rsidRPr="00C74999">
        <w:t xml:space="preserve">The review found the actual utilisation of </w:t>
      </w:r>
      <w:proofErr w:type="spellStart"/>
      <w:r w:rsidRPr="00C74999">
        <w:t>adefovir</w:t>
      </w:r>
      <w:proofErr w:type="spellEnd"/>
      <w:r w:rsidRPr="00C74999">
        <w:t xml:space="preserve"> was slightly more than half of that predicted in the submission for the first year of listing. </w:t>
      </w:r>
    </w:p>
    <w:p w14:paraId="1A72C7D2" w14:textId="2965D156" w:rsidR="00347CBC" w:rsidRPr="00ED633B" w:rsidRDefault="00FB4EDD" w:rsidP="00BD3CAF">
      <w:r w:rsidRPr="00C74999">
        <w:t xml:space="preserve">The </w:t>
      </w:r>
      <w:r w:rsidR="00BD3CAF" w:rsidRPr="00C74999">
        <w:t xml:space="preserve">DUSC concluded that the lower than expected use may have been due to differences in interpretation of the requirement to have failed lamivudine therapy prior to being prescribed </w:t>
      </w:r>
      <w:proofErr w:type="spellStart"/>
      <w:r w:rsidR="00BD3CAF" w:rsidRPr="00C74999">
        <w:t>adefovir</w:t>
      </w:r>
      <w:proofErr w:type="spellEnd"/>
      <w:r w:rsidR="00BD3CAF" w:rsidRPr="00C74999">
        <w:t xml:space="preserve">; as the treatment duration of lamivudine was not clinically well defined. Therefore the time between a patient being considered to have failed lamivudine and requiring transition to </w:t>
      </w:r>
      <w:proofErr w:type="spellStart"/>
      <w:r w:rsidR="00BD3CAF" w:rsidRPr="00C74999">
        <w:t>adefovir</w:t>
      </w:r>
      <w:proofErr w:type="spellEnd"/>
      <w:r w:rsidR="00BD3CAF" w:rsidRPr="00C74999">
        <w:t xml:space="preserve"> may be different in practice to that proposed in the submission.</w:t>
      </w:r>
    </w:p>
    <w:p w14:paraId="0312FFEC" w14:textId="5C6A9662" w:rsidR="00E677DD" w:rsidRPr="005E22C2" w:rsidRDefault="00E677DD" w:rsidP="00E11A6D">
      <w:pPr>
        <w:pStyle w:val="Heading3"/>
      </w:pPr>
      <w:r w:rsidRPr="005E22C2">
        <w:t>Method</w:t>
      </w:r>
      <w:r w:rsidR="001B5D37" w:rsidRPr="005E22C2">
        <w:t>s</w:t>
      </w:r>
    </w:p>
    <w:p w14:paraId="71B66783" w14:textId="77777777" w:rsidR="005E50E4" w:rsidRPr="005D6F2E" w:rsidRDefault="005E50E4" w:rsidP="005E50E4">
      <w:pPr>
        <w:rPr>
          <w:rFonts w:eastAsia="Calibri" w:cs="Times New Roman"/>
        </w:rPr>
      </w:pPr>
      <w:r w:rsidRPr="005D6F2E">
        <w:rPr>
          <w:rFonts w:eastAsia="Calibri" w:cs="Times New Roman"/>
        </w:rPr>
        <w:t>Data for the number of prescriptions for medicines used to treat hepatitis B were extracted from the Highly Specialised Drugs (HSD) database for the period January 2003 to June 2014 inclusive, based on the date that the prescription was supplied. These data were used to count the overall number of packs dispensed for medicines used to treat hepatitis B, and the annual cost to Government.</w:t>
      </w:r>
    </w:p>
    <w:p w14:paraId="7DAE091E" w14:textId="77777777" w:rsidR="005E50E4" w:rsidRDefault="005E50E4" w:rsidP="005E50E4">
      <w:r w:rsidRPr="005D6F2E">
        <w:t xml:space="preserve">The number of patients was calculated by matching prescriptions from the Department of Human Services (DHS) Authority Approvals database with data from the DHS Medicare Pharmacy Claims database for the period July 2013 to June 2014, inclusive. The number of </w:t>
      </w:r>
      <w:r w:rsidRPr="005D6F2E">
        <w:lastRenderedPageBreak/>
        <w:t>patients treated overall and for each drug was determined by counting the number of individual de-identified personal identification numbers in this period. Data manipulation was undertaken using SAS.</w:t>
      </w:r>
    </w:p>
    <w:p w14:paraId="1DE3B8AF" w14:textId="0ACAAC10" w:rsidR="00D72000" w:rsidRPr="00400B39" w:rsidRDefault="00AE46EC" w:rsidP="00400B39">
      <w:r>
        <w:t xml:space="preserve">The </w:t>
      </w:r>
      <w:r w:rsidR="00D72000" w:rsidRPr="004C7C9E">
        <w:t xml:space="preserve">DUSC noted that as there were only 12 months of complete patient level data available, it was not possible to complete a length of treatment analysis. </w:t>
      </w:r>
    </w:p>
    <w:p w14:paraId="18A0BFC2" w14:textId="77777777" w:rsidR="005E50E4" w:rsidRPr="005D6F2E" w:rsidRDefault="005E50E4" w:rsidP="005E50E4">
      <w:pPr>
        <w:pStyle w:val="Heading3"/>
      </w:pPr>
      <w:r w:rsidRPr="005D6F2E">
        <w:t>Limitations of the data</w:t>
      </w:r>
    </w:p>
    <w:p w14:paraId="69E932B1" w14:textId="77777777" w:rsidR="005E50E4" w:rsidRPr="005D6F2E" w:rsidRDefault="005E50E4" w:rsidP="005E50E4">
      <w:pPr>
        <w:rPr>
          <w:rFonts w:eastAsia="Calibri" w:cs="Times New Roman"/>
        </w:rPr>
      </w:pPr>
      <w:r w:rsidRPr="005D6F2E">
        <w:rPr>
          <w:rFonts w:eastAsia="Calibri" w:cs="Times New Roman"/>
        </w:rPr>
        <w:t>Until July 2013 some HSD prescriptions were processed through the DHS Offline processing system, and these prescriptions do not have attached patient information. Therefore a patient level analysis has not been performed prior to July 2013 as the data are likely to be incomplete.</w:t>
      </w:r>
    </w:p>
    <w:p w14:paraId="324A9980" w14:textId="77777777" w:rsidR="005E50E4" w:rsidRPr="005D6F2E" w:rsidRDefault="005E50E4" w:rsidP="005E50E4">
      <w:pPr>
        <w:rPr>
          <w:rFonts w:eastAsia="Calibri" w:cs="Times New Roman"/>
        </w:rPr>
      </w:pPr>
      <w:r w:rsidRPr="005D6F2E">
        <w:rPr>
          <w:rFonts w:eastAsia="Calibri" w:cs="Times New Roman"/>
        </w:rPr>
        <w:t xml:space="preserve">Some medicines used to treat hepatitis B are also listed for other indications, such as hepatitis C, HIV, </w:t>
      </w:r>
      <w:proofErr w:type="spellStart"/>
      <w:r w:rsidRPr="005D6F2E">
        <w:rPr>
          <w:rFonts w:eastAsia="Calibri" w:cs="Times New Roman"/>
        </w:rPr>
        <w:t>myelogenous</w:t>
      </w:r>
      <w:proofErr w:type="spellEnd"/>
      <w:r w:rsidRPr="005D6F2E">
        <w:rPr>
          <w:rFonts w:eastAsia="Calibri" w:cs="Times New Roman"/>
        </w:rPr>
        <w:t xml:space="preserve"> leukaemia in the chronic phase and malignant melanoma. Where a drug is listed for more than one indication under the same PBS item code it was not possible to separate these in the HSD data prior to July 2013. </w:t>
      </w:r>
    </w:p>
    <w:p w14:paraId="72EF9E3C" w14:textId="1764A8E8" w:rsidR="005E50E4" w:rsidRPr="005D6F2E" w:rsidRDefault="005E50E4" w:rsidP="005E50E4">
      <w:r w:rsidRPr="005D6F2E">
        <w:t xml:space="preserve">The item codes for </w:t>
      </w:r>
      <w:proofErr w:type="spellStart"/>
      <w:r w:rsidRPr="005D6F2E">
        <w:t>tenofovir</w:t>
      </w:r>
      <w:proofErr w:type="spellEnd"/>
      <w:r w:rsidRPr="005D6F2E">
        <w:t xml:space="preserve"> include use for HIV. </w:t>
      </w:r>
      <w:r w:rsidR="00774ED0">
        <w:t xml:space="preserve">Figure 1 </w:t>
      </w:r>
      <w:r w:rsidRPr="005D6F2E">
        <w:t xml:space="preserve">shows the use of </w:t>
      </w:r>
      <w:proofErr w:type="spellStart"/>
      <w:r w:rsidRPr="005D6F2E">
        <w:t>tenofovir</w:t>
      </w:r>
      <w:proofErr w:type="spellEnd"/>
      <w:r w:rsidRPr="005D6F2E">
        <w:t xml:space="preserve"> in the HSD database. All use of </w:t>
      </w:r>
      <w:proofErr w:type="spellStart"/>
      <w:r w:rsidRPr="005D6F2E">
        <w:t>tenofovir</w:t>
      </w:r>
      <w:proofErr w:type="spellEnd"/>
      <w:r w:rsidRPr="005D6F2E">
        <w:t xml:space="preserve"> prior to 1 December 2009 was for HIV treatment. The decrease in the use of </w:t>
      </w:r>
      <w:proofErr w:type="spellStart"/>
      <w:r w:rsidRPr="005D6F2E">
        <w:t>tenofovir</w:t>
      </w:r>
      <w:proofErr w:type="spellEnd"/>
      <w:r w:rsidRPr="005D6F2E">
        <w:t xml:space="preserve"> from the first quarter of 2006 is likely because a combination item of </w:t>
      </w:r>
      <w:proofErr w:type="spellStart"/>
      <w:r w:rsidRPr="005D6F2E">
        <w:t>tenofovir</w:t>
      </w:r>
      <w:proofErr w:type="spellEnd"/>
      <w:r w:rsidRPr="005D6F2E">
        <w:t xml:space="preserve"> with </w:t>
      </w:r>
      <w:proofErr w:type="spellStart"/>
      <w:r w:rsidRPr="005D6F2E">
        <w:t>emtricitabine</w:t>
      </w:r>
      <w:proofErr w:type="spellEnd"/>
      <w:r w:rsidRPr="005D6F2E">
        <w:t xml:space="preserve"> was listed for the treatment of HIV effective 1 February 2006.</w:t>
      </w:r>
    </w:p>
    <w:p w14:paraId="6D9662B9" w14:textId="10FE0DBA" w:rsidR="005E50E4" w:rsidRPr="005D6F2E" w:rsidRDefault="005E50E4" w:rsidP="005E50E4">
      <w:proofErr w:type="spellStart"/>
      <w:r w:rsidRPr="005D6F2E">
        <w:t>Tenofovir</w:t>
      </w:r>
      <w:proofErr w:type="spellEnd"/>
      <w:r w:rsidRPr="005D6F2E">
        <w:t xml:space="preserve"> was PBS listed for hepatitis B on 1 December 2009. In </w:t>
      </w:r>
      <w:r w:rsidR="00774ED0">
        <w:t xml:space="preserve">Figure </w:t>
      </w:r>
      <w:r w:rsidR="004C7C9E">
        <w:t>1</w:t>
      </w:r>
      <w:r w:rsidRPr="005D6F2E">
        <w:t xml:space="preserve">, Hepatitis B (actual) represents the use of </w:t>
      </w:r>
      <w:proofErr w:type="spellStart"/>
      <w:r w:rsidRPr="005D6F2E">
        <w:t>tenofovir</w:t>
      </w:r>
      <w:proofErr w:type="spellEnd"/>
      <w:r w:rsidRPr="005D6F2E">
        <w:t xml:space="preserve"> for hepatitis B in the data set which matched the authority approvals and pharmacy claims data from July 2013 to June 2014. A trend function was used to estimate the amount of use of hepatitis B treatment before July 2013. This use was subtracted from the total use of </w:t>
      </w:r>
      <w:proofErr w:type="spellStart"/>
      <w:r w:rsidRPr="005D6F2E">
        <w:t>tenofovir</w:t>
      </w:r>
      <w:proofErr w:type="spellEnd"/>
      <w:r w:rsidRPr="005D6F2E">
        <w:t xml:space="preserve"> to estimate the use of </w:t>
      </w:r>
      <w:proofErr w:type="spellStart"/>
      <w:r w:rsidRPr="005D6F2E">
        <w:t>tenofovir</w:t>
      </w:r>
      <w:proofErr w:type="spellEnd"/>
      <w:r w:rsidRPr="005D6F2E">
        <w:t xml:space="preserve"> for HIV.</w:t>
      </w:r>
    </w:p>
    <w:p w14:paraId="3D5647DF" w14:textId="77777777" w:rsidR="005E50E4" w:rsidRPr="005D6F2E" w:rsidRDefault="005E50E4" w:rsidP="00307EEF">
      <w:pPr>
        <w:keepNext/>
      </w:pPr>
      <w:r w:rsidRPr="005D6F2E">
        <w:rPr>
          <w:noProof/>
        </w:rPr>
        <w:lastRenderedPageBreak/>
        <w:drawing>
          <wp:inline distT="0" distB="0" distL="0" distR="0" wp14:anchorId="5F02E0FD" wp14:editId="0E4736D8">
            <wp:extent cx="5687695" cy="3709155"/>
            <wp:effectExtent l="0" t="0" r="27305" b="24765"/>
            <wp:docPr id="5" name="Chart 5" descr="Use of tenofovir showing use for hepatitis B and HIV" title="Use of tenofovi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1008CF" w14:textId="77777777" w:rsidR="005E50E4" w:rsidRDefault="005E50E4" w:rsidP="00307EEF">
      <w:pPr>
        <w:pStyle w:val="Figuretitle"/>
        <w:keepNext w:val="0"/>
      </w:pPr>
      <w:bookmarkStart w:id="6" w:name="_Ref405974280"/>
      <w:r w:rsidRPr="005D6F2E">
        <w:t xml:space="preserve">Figure </w:t>
      </w:r>
      <w:r w:rsidRPr="005D6F2E">
        <w:fldChar w:fldCharType="begin"/>
      </w:r>
      <w:r w:rsidRPr="005D6F2E">
        <w:instrText xml:space="preserve"> SEQ Figure \* ARABIC </w:instrText>
      </w:r>
      <w:r w:rsidRPr="005D6F2E">
        <w:fldChar w:fldCharType="separate"/>
      </w:r>
      <w:r w:rsidR="0015162B">
        <w:rPr>
          <w:noProof/>
        </w:rPr>
        <w:t>1</w:t>
      </w:r>
      <w:r w:rsidRPr="005D6F2E">
        <w:fldChar w:fldCharType="end"/>
      </w:r>
      <w:bookmarkEnd w:id="6"/>
      <w:r w:rsidRPr="005D6F2E">
        <w:t xml:space="preserve">: Estimated proportion of use of </w:t>
      </w:r>
      <w:proofErr w:type="spellStart"/>
      <w:r w:rsidRPr="005D6F2E">
        <w:t>tenofovir</w:t>
      </w:r>
      <w:proofErr w:type="spellEnd"/>
      <w:r w:rsidRPr="005D6F2E">
        <w:t xml:space="preserve"> over time </w:t>
      </w:r>
    </w:p>
    <w:p w14:paraId="17F00F51" w14:textId="77777777" w:rsidR="005E50E4" w:rsidRPr="005D6F2E" w:rsidRDefault="005E50E4" w:rsidP="005E50E4">
      <w:r w:rsidRPr="005D6F2E">
        <w:t xml:space="preserve">Lamivudine is also PBS listed for HIV but under separate PBS item codes which were excluded from this analysis. Use of interferon alfa-2a and interferon alfa-2b includes use for Philadelphia chromosome positive </w:t>
      </w:r>
      <w:proofErr w:type="spellStart"/>
      <w:r w:rsidRPr="005D6F2E">
        <w:t>myelogenous</w:t>
      </w:r>
      <w:proofErr w:type="spellEnd"/>
      <w:r w:rsidRPr="005D6F2E">
        <w:t xml:space="preserve"> leukaemia in the chronic phase. Use of </w:t>
      </w:r>
      <w:proofErr w:type="spellStart"/>
      <w:r w:rsidRPr="005D6F2E">
        <w:t>peginterferon</w:t>
      </w:r>
      <w:proofErr w:type="spellEnd"/>
      <w:r w:rsidRPr="005D6F2E">
        <w:t xml:space="preserve"> alfa-2a includes use for hepatitis C. As the use of interferons is quite low compared to </w:t>
      </w:r>
      <w:r>
        <w:t xml:space="preserve">direct </w:t>
      </w:r>
      <w:r w:rsidRPr="005D6F2E">
        <w:t xml:space="preserve">antiviral drugs, the use of the interferons has not been adjusted. </w:t>
      </w:r>
    </w:p>
    <w:p w14:paraId="6F8867CC" w14:textId="77777777" w:rsidR="005E50E4" w:rsidRPr="005D6F2E" w:rsidRDefault="005E50E4" w:rsidP="005E50E4">
      <w:r w:rsidRPr="005D6F2E">
        <w:rPr>
          <w:rFonts w:eastAsia="Calibri" w:cs="Times New Roman"/>
        </w:rPr>
        <w:t xml:space="preserve">For the period July 2013 to June 2014, prescriptions for HIV, hepatitis C and leukaemia were excluded from the data before counting the number of patients. </w:t>
      </w:r>
    </w:p>
    <w:p w14:paraId="4F91A98A" w14:textId="00180E30" w:rsidR="00C714D0" w:rsidRPr="005E22C2" w:rsidRDefault="00C714D0" w:rsidP="00E11A6D">
      <w:pPr>
        <w:pStyle w:val="Heading3"/>
      </w:pPr>
      <w:r w:rsidRPr="005E22C2">
        <w:t>Results</w:t>
      </w:r>
    </w:p>
    <w:p w14:paraId="2221FF19" w14:textId="336CE8B2" w:rsidR="00736041" w:rsidRDefault="001B5D37" w:rsidP="0038097B">
      <w:pPr>
        <w:pStyle w:val="Heading4"/>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Default="00736041" w:rsidP="0038097B">
      <w:pPr>
        <w:pStyle w:val="Heading5"/>
      </w:pPr>
      <w:r w:rsidRPr="005E22C2">
        <w:t>Overall utilisation</w:t>
      </w:r>
    </w:p>
    <w:p w14:paraId="120268CF" w14:textId="6C91D803" w:rsidR="00A57B00" w:rsidRPr="00A57B00" w:rsidRDefault="00A57B00" w:rsidP="00A57B00">
      <w:r>
        <w:t xml:space="preserve">The figure below shows the use </w:t>
      </w:r>
      <w:r w:rsidRPr="00A57B00">
        <w:t xml:space="preserve">of medicines used to treat hepatitis B </w:t>
      </w:r>
      <w:r>
        <w:t>since 2003.</w:t>
      </w:r>
    </w:p>
    <w:p w14:paraId="6C896FEA" w14:textId="77777777" w:rsidR="005E50E4" w:rsidRPr="005D6F2E" w:rsidRDefault="005E50E4" w:rsidP="005E50E4">
      <w:pPr>
        <w:pStyle w:val="Figuretitle"/>
      </w:pPr>
      <w:bookmarkStart w:id="7" w:name="_Ref405815540"/>
      <w:r w:rsidRPr="005D6F2E">
        <w:rPr>
          <w:noProof/>
          <w:lang w:val="en-AU"/>
        </w:rPr>
        <w:lastRenderedPageBreak/>
        <w:drawing>
          <wp:inline distT="0" distB="0" distL="0" distR="0" wp14:anchorId="66F1B442" wp14:editId="03B8CBF5">
            <wp:extent cx="5724525" cy="3876675"/>
            <wp:effectExtent l="0" t="0" r="9525" b="9525"/>
            <wp:docPr id="1" name="Chart 1" descr="Use of medicines used to treat hepatitis B over time from 2003 to June 2014" title="Use of medicines used to treat hepatitis B over ti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5D6F2E">
        <w:t xml:space="preserve">Figure </w:t>
      </w:r>
      <w:r w:rsidRPr="005D6F2E">
        <w:fldChar w:fldCharType="begin"/>
      </w:r>
      <w:r w:rsidRPr="005D6F2E">
        <w:instrText xml:space="preserve"> SEQ Figure \* ARABIC </w:instrText>
      </w:r>
      <w:r w:rsidRPr="005D6F2E">
        <w:fldChar w:fldCharType="separate"/>
      </w:r>
      <w:r w:rsidR="0015162B">
        <w:rPr>
          <w:noProof/>
        </w:rPr>
        <w:t>2</w:t>
      </w:r>
      <w:r w:rsidRPr="005D6F2E">
        <w:rPr>
          <w:noProof/>
        </w:rPr>
        <w:fldChar w:fldCharType="end"/>
      </w:r>
      <w:bookmarkEnd w:id="7"/>
      <w:r w:rsidRPr="005D6F2E">
        <w:t xml:space="preserve">: Use of medicines used to treat hepatitis B over time </w:t>
      </w:r>
    </w:p>
    <w:p w14:paraId="6F97675B" w14:textId="77777777" w:rsidR="005E50E4" w:rsidRDefault="005E50E4" w:rsidP="005E50E4">
      <w:pPr>
        <w:pStyle w:val="Figurecaption"/>
      </w:pPr>
      <w:r w:rsidRPr="005D6F2E">
        <w:t xml:space="preserve">Note that the use of </w:t>
      </w:r>
      <w:proofErr w:type="spellStart"/>
      <w:r w:rsidRPr="005D6F2E">
        <w:t>tenofovir</w:t>
      </w:r>
      <w:proofErr w:type="spellEnd"/>
      <w:r w:rsidRPr="005D6F2E">
        <w:t xml:space="preserve"> has been adjusted to exclude use for HIV, please see </w:t>
      </w:r>
      <w:r w:rsidRPr="005D6F2E">
        <w:fldChar w:fldCharType="begin"/>
      </w:r>
      <w:r w:rsidRPr="005D6F2E">
        <w:instrText xml:space="preserve"> REF _Ref405974280 \h </w:instrText>
      </w:r>
      <w:r>
        <w:instrText xml:space="preserve"> \* MERGEFORMAT </w:instrText>
      </w:r>
      <w:r w:rsidRPr="005D6F2E">
        <w:fldChar w:fldCharType="separate"/>
      </w:r>
      <w:r w:rsidR="0015162B" w:rsidRPr="005D6F2E">
        <w:t xml:space="preserve">Figure </w:t>
      </w:r>
      <w:r w:rsidR="0015162B">
        <w:rPr>
          <w:noProof/>
        </w:rPr>
        <w:t>1</w:t>
      </w:r>
      <w:r w:rsidRPr="005D6F2E">
        <w:fldChar w:fldCharType="end"/>
      </w:r>
      <w:r w:rsidRPr="005D6F2E">
        <w:t xml:space="preserve"> for more information. </w:t>
      </w:r>
    </w:p>
    <w:p w14:paraId="2AE89C99" w14:textId="77777777" w:rsidR="00A57B00" w:rsidRDefault="00A57B00" w:rsidP="005E50E4">
      <w:pPr>
        <w:pStyle w:val="Figurecaption"/>
      </w:pPr>
    </w:p>
    <w:p w14:paraId="38CC6CAE" w14:textId="38D12E30" w:rsidR="00A57B00" w:rsidRPr="005D6F2E" w:rsidRDefault="00A57B00" w:rsidP="00A57B00">
      <w:r>
        <w:t>The table below summarises the packs supplied by quarter and calendar year since 2003.</w:t>
      </w:r>
    </w:p>
    <w:p w14:paraId="1E64F7EF" w14:textId="3A256ED9" w:rsidR="005E50E4" w:rsidRPr="005D6F2E" w:rsidRDefault="005E50E4" w:rsidP="005E50E4">
      <w:pPr>
        <w:pStyle w:val="Tabletitle"/>
      </w:pPr>
      <w:r w:rsidRPr="005D6F2E">
        <w:t xml:space="preserve">Table </w:t>
      </w:r>
      <w:r w:rsidR="00774ED0">
        <w:t>4</w:t>
      </w:r>
      <w:r w:rsidRPr="005D6F2E">
        <w:t>: Packs per quarter and year for all hepatitis B medicines</w:t>
      </w:r>
    </w:p>
    <w:tbl>
      <w:tblPr>
        <w:tblW w:w="5829" w:type="dxa"/>
        <w:tblInd w:w="93" w:type="dxa"/>
        <w:tblLook w:val="04A0" w:firstRow="1" w:lastRow="0" w:firstColumn="1" w:lastColumn="0" w:noHBand="0" w:noVBand="1"/>
      </w:tblPr>
      <w:tblGrid>
        <w:gridCol w:w="960"/>
        <w:gridCol w:w="960"/>
        <w:gridCol w:w="960"/>
        <w:gridCol w:w="960"/>
        <w:gridCol w:w="960"/>
        <w:gridCol w:w="1029"/>
      </w:tblGrid>
      <w:tr w:rsidR="005E50E4" w:rsidRPr="005D6F2E" w14:paraId="7EF67AF8" w14:textId="77777777" w:rsidTr="001F41D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28858A1" w14:textId="77777777" w:rsidR="005E50E4" w:rsidRPr="005D6F2E" w:rsidRDefault="005E50E4" w:rsidP="001F41D4">
            <w:pPr>
              <w:keepNext/>
              <w:spacing w:after="0"/>
              <w:rPr>
                <w:rFonts w:ascii="Calibri" w:eastAsia="Times New Roman" w:hAnsi="Calibri" w:cs="Times New Roman"/>
                <w:b/>
                <w:bCs/>
                <w:color w:val="000000"/>
                <w:sz w:val="22"/>
                <w:szCs w:val="22"/>
              </w:rPr>
            </w:pPr>
            <w:r w:rsidRPr="005D6F2E">
              <w:rPr>
                <w:rFonts w:ascii="Calibri" w:eastAsia="Times New Roman" w:hAnsi="Calibri" w:cs="Times New Roman"/>
                <w:b/>
                <w:bCs/>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3BCD2EE" w14:textId="77777777" w:rsidR="005E50E4" w:rsidRPr="005D6F2E" w:rsidRDefault="005E50E4" w:rsidP="001F41D4">
            <w:pPr>
              <w:keepNext/>
              <w:spacing w:after="0"/>
              <w:jc w:val="center"/>
              <w:rPr>
                <w:rFonts w:ascii="Calibri" w:eastAsia="Times New Roman" w:hAnsi="Calibri" w:cs="Times New Roman"/>
                <w:b/>
                <w:bCs/>
                <w:color w:val="000000"/>
                <w:sz w:val="22"/>
                <w:szCs w:val="22"/>
              </w:rPr>
            </w:pPr>
            <w:r w:rsidRPr="005D6F2E">
              <w:rPr>
                <w:rFonts w:ascii="Calibri" w:eastAsia="Times New Roman" w:hAnsi="Calibri" w:cs="Times New Roman"/>
                <w:b/>
                <w:bCs/>
                <w:color w:val="000000"/>
                <w:sz w:val="22"/>
                <w:szCs w:val="22"/>
              </w:rPr>
              <w:t>Q1</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DF4E860" w14:textId="77777777" w:rsidR="005E50E4" w:rsidRPr="005D6F2E" w:rsidRDefault="005E50E4" w:rsidP="001F41D4">
            <w:pPr>
              <w:keepNext/>
              <w:spacing w:after="0"/>
              <w:jc w:val="center"/>
              <w:rPr>
                <w:rFonts w:ascii="Calibri" w:eastAsia="Times New Roman" w:hAnsi="Calibri" w:cs="Times New Roman"/>
                <w:b/>
                <w:bCs/>
                <w:color w:val="000000"/>
                <w:sz w:val="22"/>
                <w:szCs w:val="22"/>
              </w:rPr>
            </w:pPr>
            <w:r w:rsidRPr="005D6F2E">
              <w:rPr>
                <w:rFonts w:ascii="Calibri" w:eastAsia="Times New Roman" w:hAnsi="Calibri" w:cs="Times New Roman"/>
                <w:b/>
                <w:bCs/>
                <w:color w:val="000000"/>
                <w:sz w:val="22"/>
                <w:szCs w:val="22"/>
              </w:rPr>
              <w:t>Q2</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78384A4" w14:textId="77777777" w:rsidR="005E50E4" w:rsidRPr="005D6F2E" w:rsidRDefault="005E50E4" w:rsidP="001F41D4">
            <w:pPr>
              <w:keepNext/>
              <w:spacing w:after="0"/>
              <w:jc w:val="center"/>
              <w:rPr>
                <w:rFonts w:ascii="Calibri" w:eastAsia="Times New Roman" w:hAnsi="Calibri" w:cs="Times New Roman"/>
                <w:b/>
                <w:bCs/>
                <w:color w:val="000000"/>
                <w:sz w:val="22"/>
                <w:szCs w:val="22"/>
              </w:rPr>
            </w:pPr>
            <w:r w:rsidRPr="005D6F2E">
              <w:rPr>
                <w:rFonts w:ascii="Calibri" w:eastAsia="Times New Roman" w:hAnsi="Calibri" w:cs="Times New Roman"/>
                <w:b/>
                <w:bCs/>
                <w:color w:val="000000"/>
                <w:sz w:val="22"/>
                <w:szCs w:val="22"/>
              </w:rPr>
              <w:t>Q3</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B845249" w14:textId="77777777" w:rsidR="005E50E4" w:rsidRPr="005D6F2E" w:rsidRDefault="005E50E4" w:rsidP="001F41D4">
            <w:pPr>
              <w:keepNext/>
              <w:spacing w:after="0"/>
              <w:jc w:val="center"/>
              <w:rPr>
                <w:rFonts w:ascii="Calibri" w:eastAsia="Times New Roman" w:hAnsi="Calibri" w:cs="Times New Roman"/>
                <w:b/>
                <w:bCs/>
                <w:color w:val="000000"/>
                <w:sz w:val="22"/>
                <w:szCs w:val="22"/>
              </w:rPr>
            </w:pPr>
            <w:r w:rsidRPr="005D6F2E">
              <w:rPr>
                <w:rFonts w:ascii="Calibri" w:eastAsia="Times New Roman" w:hAnsi="Calibri" w:cs="Times New Roman"/>
                <w:b/>
                <w:bCs/>
                <w:color w:val="000000"/>
                <w:sz w:val="22"/>
                <w:szCs w:val="22"/>
              </w:rPr>
              <w:t>Q4</w:t>
            </w:r>
          </w:p>
        </w:tc>
        <w:tc>
          <w:tcPr>
            <w:tcW w:w="10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E5571AC" w14:textId="77777777" w:rsidR="005E50E4" w:rsidRPr="005D6F2E" w:rsidRDefault="005E50E4" w:rsidP="001F41D4">
            <w:pPr>
              <w:keepNext/>
              <w:spacing w:after="0"/>
              <w:jc w:val="center"/>
              <w:rPr>
                <w:rFonts w:ascii="Calibri" w:eastAsia="Times New Roman" w:hAnsi="Calibri" w:cs="Times New Roman"/>
                <w:b/>
                <w:bCs/>
                <w:color w:val="000000"/>
                <w:sz w:val="22"/>
                <w:szCs w:val="22"/>
              </w:rPr>
            </w:pPr>
            <w:r w:rsidRPr="005D6F2E">
              <w:rPr>
                <w:rFonts w:ascii="Calibri" w:eastAsia="Times New Roman" w:hAnsi="Calibri" w:cs="Times New Roman"/>
                <w:b/>
                <w:bCs/>
                <w:color w:val="000000"/>
                <w:sz w:val="22"/>
                <w:szCs w:val="22"/>
              </w:rPr>
              <w:t>Total by Calendar Year</w:t>
            </w:r>
          </w:p>
        </w:tc>
      </w:tr>
      <w:tr w:rsidR="005E50E4" w:rsidRPr="005D6F2E" w14:paraId="4F0315E3" w14:textId="77777777" w:rsidTr="001F41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D871BB" w14:textId="77777777" w:rsidR="005E50E4" w:rsidRPr="005D6F2E" w:rsidRDefault="005E50E4" w:rsidP="001F41D4">
            <w:pPr>
              <w:keepNext/>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2003</w:t>
            </w:r>
          </w:p>
        </w:tc>
        <w:tc>
          <w:tcPr>
            <w:tcW w:w="960" w:type="dxa"/>
            <w:tcBorders>
              <w:top w:val="nil"/>
              <w:left w:val="nil"/>
              <w:bottom w:val="single" w:sz="4" w:space="0" w:color="auto"/>
              <w:right w:val="single" w:sz="4" w:space="0" w:color="auto"/>
            </w:tcBorders>
            <w:shd w:val="clear" w:color="auto" w:fill="auto"/>
            <w:noWrap/>
            <w:vAlign w:val="center"/>
            <w:hideMark/>
          </w:tcPr>
          <w:p w14:paraId="1A8FF385"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2,095 </w:t>
            </w:r>
          </w:p>
        </w:tc>
        <w:tc>
          <w:tcPr>
            <w:tcW w:w="960" w:type="dxa"/>
            <w:tcBorders>
              <w:top w:val="nil"/>
              <w:left w:val="nil"/>
              <w:bottom w:val="single" w:sz="4" w:space="0" w:color="auto"/>
              <w:right w:val="single" w:sz="4" w:space="0" w:color="auto"/>
            </w:tcBorders>
            <w:shd w:val="clear" w:color="auto" w:fill="auto"/>
            <w:noWrap/>
            <w:vAlign w:val="center"/>
            <w:hideMark/>
          </w:tcPr>
          <w:p w14:paraId="1F7DEDF7"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2,273 </w:t>
            </w:r>
          </w:p>
        </w:tc>
        <w:tc>
          <w:tcPr>
            <w:tcW w:w="960" w:type="dxa"/>
            <w:tcBorders>
              <w:top w:val="nil"/>
              <w:left w:val="nil"/>
              <w:bottom w:val="single" w:sz="4" w:space="0" w:color="auto"/>
              <w:right w:val="single" w:sz="4" w:space="0" w:color="auto"/>
            </w:tcBorders>
            <w:shd w:val="clear" w:color="auto" w:fill="auto"/>
            <w:noWrap/>
            <w:vAlign w:val="center"/>
            <w:hideMark/>
          </w:tcPr>
          <w:p w14:paraId="3D1EDC7F"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8,357 </w:t>
            </w:r>
          </w:p>
        </w:tc>
        <w:tc>
          <w:tcPr>
            <w:tcW w:w="960" w:type="dxa"/>
            <w:tcBorders>
              <w:top w:val="nil"/>
              <w:left w:val="nil"/>
              <w:bottom w:val="single" w:sz="4" w:space="0" w:color="auto"/>
              <w:right w:val="single" w:sz="4" w:space="0" w:color="auto"/>
            </w:tcBorders>
            <w:shd w:val="clear" w:color="auto" w:fill="auto"/>
            <w:noWrap/>
            <w:vAlign w:val="center"/>
            <w:hideMark/>
          </w:tcPr>
          <w:p w14:paraId="63FDBDB7"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8,218 </w:t>
            </w:r>
          </w:p>
        </w:tc>
        <w:tc>
          <w:tcPr>
            <w:tcW w:w="1029" w:type="dxa"/>
            <w:tcBorders>
              <w:top w:val="nil"/>
              <w:left w:val="nil"/>
              <w:bottom w:val="single" w:sz="4" w:space="0" w:color="auto"/>
              <w:right w:val="single" w:sz="4" w:space="0" w:color="auto"/>
            </w:tcBorders>
            <w:shd w:val="clear" w:color="auto" w:fill="auto"/>
            <w:noWrap/>
            <w:vAlign w:val="center"/>
            <w:hideMark/>
          </w:tcPr>
          <w:p w14:paraId="1863FD8F"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20,944 </w:t>
            </w:r>
          </w:p>
        </w:tc>
      </w:tr>
      <w:tr w:rsidR="005E50E4" w:rsidRPr="005D6F2E" w14:paraId="3ED8BEAD" w14:textId="77777777" w:rsidTr="001F41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6B957C" w14:textId="77777777" w:rsidR="005E50E4" w:rsidRPr="005D6F2E" w:rsidRDefault="005E50E4" w:rsidP="001F41D4">
            <w:pPr>
              <w:keepNext/>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2004</w:t>
            </w:r>
          </w:p>
        </w:tc>
        <w:tc>
          <w:tcPr>
            <w:tcW w:w="960" w:type="dxa"/>
            <w:tcBorders>
              <w:top w:val="nil"/>
              <w:left w:val="nil"/>
              <w:bottom w:val="single" w:sz="4" w:space="0" w:color="auto"/>
              <w:right w:val="single" w:sz="4" w:space="0" w:color="auto"/>
            </w:tcBorders>
            <w:shd w:val="clear" w:color="auto" w:fill="auto"/>
            <w:noWrap/>
            <w:vAlign w:val="center"/>
            <w:hideMark/>
          </w:tcPr>
          <w:p w14:paraId="6E527EBA"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7,464 </w:t>
            </w:r>
          </w:p>
        </w:tc>
        <w:tc>
          <w:tcPr>
            <w:tcW w:w="960" w:type="dxa"/>
            <w:tcBorders>
              <w:top w:val="nil"/>
              <w:left w:val="nil"/>
              <w:bottom w:val="single" w:sz="4" w:space="0" w:color="auto"/>
              <w:right w:val="single" w:sz="4" w:space="0" w:color="auto"/>
            </w:tcBorders>
            <w:shd w:val="clear" w:color="auto" w:fill="auto"/>
            <w:noWrap/>
            <w:vAlign w:val="center"/>
            <w:hideMark/>
          </w:tcPr>
          <w:p w14:paraId="6DD486C0"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8,054 </w:t>
            </w:r>
          </w:p>
        </w:tc>
        <w:tc>
          <w:tcPr>
            <w:tcW w:w="960" w:type="dxa"/>
            <w:tcBorders>
              <w:top w:val="nil"/>
              <w:left w:val="nil"/>
              <w:bottom w:val="single" w:sz="4" w:space="0" w:color="auto"/>
              <w:right w:val="single" w:sz="4" w:space="0" w:color="auto"/>
            </w:tcBorders>
            <w:shd w:val="clear" w:color="auto" w:fill="auto"/>
            <w:noWrap/>
            <w:vAlign w:val="center"/>
            <w:hideMark/>
          </w:tcPr>
          <w:p w14:paraId="0D426439"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8,212 </w:t>
            </w:r>
          </w:p>
        </w:tc>
        <w:tc>
          <w:tcPr>
            <w:tcW w:w="960" w:type="dxa"/>
            <w:tcBorders>
              <w:top w:val="nil"/>
              <w:left w:val="nil"/>
              <w:bottom w:val="single" w:sz="4" w:space="0" w:color="auto"/>
              <w:right w:val="single" w:sz="4" w:space="0" w:color="auto"/>
            </w:tcBorders>
            <w:shd w:val="clear" w:color="auto" w:fill="auto"/>
            <w:noWrap/>
            <w:vAlign w:val="center"/>
            <w:hideMark/>
          </w:tcPr>
          <w:p w14:paraId="470B848C"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8,904 </w:t>
            </w:r>
          </w:p>
        </w:tc>
        <w:tc>
          <w:tcPr>
            <w:tcW w:w="1029" w:type="dxa"/>
            <w:tcBorders>
              <w:top w:val="nil"/>
              <w:left w:val="nil"/>
              <w:bottom w:val="single" w:sz="4" w:space="0" w:color="auto"/>
              <w:right w:val="single" w:sz="4" w:space="0" w:color="auto"/>
            </w:tcBorders>
            <w:shd w:val="clear" w:color="auto" w:fill="auto"/>
            <w:noWrap/>
            <w:vAlign w:val="center"/>
            <w:hideMark/>
          </w:tcPr>
          <w:p w14:paraId="1FE8BE49"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32,634 </w:t>
            </w:r>
          </w:p>
        </w:tc>
      </w:tr>
      <w:tr w:rsidR="005E50E4" w:rsidRPr="005D6F2E" w14:paraId="0FD8A8FF" w14:textId="77777777" w:rsidTr="001F41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17C99E" w14:textId="77777777" w:rsidR="005E50E4" w:rsidRPr="005D6F2E" w:rsidRDefault="005E50E4" w:rsidP="001F41D4">
            <w:pPr>
              <w:keepNext/>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2005</w:t>
            </w:r>
          </w:p>
        </w:tc>
        <w:tc>
          <w:tcPr>
            <w:tcW w:w="960" w:type="dxa"/>
            <w:tcBorders>
              <w:top w:val="nil"/>
              <w:left w:val="nil"/>
              <w:bottom w:val="single" w:sz="4" w:space="0" w:color="auto"/>
              <w:right w:val="single" w:sz="4" w:space="0" w:color="auto"/>
            </w:tcBorders>
            <w:shd w:val="clear" w:color="auto" w:fill="auto"/>
            <w:noWrap/>
            <w:vAlign w:val="center"/>
            <w:hideMark/>
          </w:tcPr>
          <w:p w14:paraId="579E72E9"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9,410 </w:t>
            </w:r>
          </w:p>
        </w:tc>
        <w:tc>
          <w:tcPr>
            <w:tcW w:w="960" w:type="dxa"/>
            <w:tcBorders>
              <w:top w:val="nil"/>
              <w:left w:val="nil"/>
              <w:bottom w:val="single" w:sz="4" w:space="0" w:color="auto"/>
              <w:right w:val="single" w:sz="4" w:space="0" w:color="auto"/>
            </w:tcBorders>
            <w:shd w:val="clear" w:color="auto" w:fill="auto"/>
            <w:noWrap/>
            <w:vAlign w:val="center"/>
            <w:hideMark/>
          </w:tcPr>
          <w:p w14:paraId="74AB3D8B"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9,905 </w:t>
            </w:r>
          </w:p>
        </w:tc>
        <w:tc>
          <w:tcPr>
            <w:tcW w:w="960" w:type="dxa"/>
            <w:tcBorders>
              <w:top w:val="nil"/>
              <w:left w:val="nil"/>
              <w:bottom w:val="single" w:sz="4" w:space="0" w:color="auto"/>
              <w:right w:val="single" w:sz="4" w:space="0" w:color="auto"/>
            </w:tcBorders>
            <w:shd w:val="clear" w:color="auto" w:fill="auto"/>
            <w:noWrap/>
            <w:vAlign w:val="center"/>
            <w:hideMark/>
          </w:tcPr>
          <w:p w14:paraId="6864E2B9"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10,199 </w:t>
            </w:r>
          </w:p>
        </w:tc>
        <w:tc>
          <w:tcPr>
            <w:tcW w:w="960" w:type="dxa"/>
            <w:tcBorders>
              <w:top w:val="nil"/>
              <w:left w:val="nil"/>
              <w:bottom w:val="single" w:sz="4" w:space="0" w:color="auto"/>
              <w:right w:val="single" w:sz="4" w:space="0" w:color="auto"/>
            </w:tcBorders>
            <w:shd w:val="clear" w:color="auto" w:fill="auto"/>
            <w:noWrap/>
            <w:vAlign w:val="center"/>
            <w:hideMark/>
          </w:tcPr>
          <w:p w14:paraId="015ABC56"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10,818 </w:t>
            </w:r>
          </w:p>
        </w:tc>
        <w:tc>
          <w:tcPr>
            <w:tcW w:w="1029" w:type="dxa"/>
            <w:tcBorders>
              <w:top w:val="nil"/>
              <w:left w:val="nil"/>
              <w:bottom w:val="single" w:sz="4" w:space="0" w:color="auto"/>
              <w:right w:val="single" w:sz="4" w:space="0" w:color="auto"/>
            </w:tcBorders>
            <w:shd w:val="clear" w:color="auto" w:fill="auto"/>
            <w:noWrap/>
            <w:vAlign w:val="center"/>
            <w:hideMark/>
          </w:tcPr>
          <w:p w14:paraId="10F7DCA7"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40,333 </w:t>
            </w:r>
          </w:p>
        </w:tc>
      </w:tr>
      <w:tr w:rsidR="005E50E4" w:rsidRPr="005D6F2E" w14:paraId="34664455" w14:textId="77777777" w:rsidTr="001F41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D7F1B4" w14:textId="77777777" w:rsidR="005E50E4" w:rsidRPr="005D6F2E" w:rsidRDefault="005E50E4" w:rsidP="001F41D4">
            <w:pPr>
              <w:keepNext/>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2006</w:t>
            </w:r>
          </w:p>
        </w:tc>
        <w:tc>
          <w:tcPr>
            <w:tcW w:w="960" w:type="dxa"/>
            <w:tcBorders>
              <w:top w:val="nil"/>
              <w:left w:val="nil"/>
              <w:bottom w:val="single" w:sz="4" w:space="0" w:color="auto"/>
              <w:right w:val="single" w:sz="4" w:space="0" w:color="auto"/>
            </w:tcBorders>
            <w:shd w:val="clear" w:color="auto" w:fill="auto"/>
            <w:noWrap/>
            <w:vAlign w:val="center"/>
            <w:hideMark/>
          </w:tcPr>
          <w:p w14:paraId="486044EB"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10,097 </w:t>
            </w:r>
          </w:p>
        </w:tc>
        <w:tc>
          <w:tcPr>
            <w:tcW w:w="960" w:type="dxa"/>
            <w:tcBorders>
              <w:top w:val="nil"/>
              <w:left w:val="nil"/>
              <w:bottom w:val="single" w:sz="4" w:space="0" w:color="auto"/>
              <w:right w:val="single" w:sz="4" w:space="0" w:color="auto"/>
            </w:tcBorders>
            <w:shd w:val="clear" w:color="auto" w:fill="auto"/>
            <w:noWrap/>
            <w:vAlign w:val="center"/>
            <w:hideMark/>
          </w:tcPr>
          <w:p w14:paraId="3040C83F"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13,057 </w:t>
            </w:r>
          </w:p>
        </w:tc>
        <w:tc>
          <w:tcPr>
            <w:tcW w:w="960" w:type="dxa"/>
            <w:tcBorders>
              <w:top w:val="nil"/>
              <w:left w:val="nil"/>
              <w:bottom w:val="single" w:sz="4" w:space="0" w:color="auto"/>
              <w:right w:val="single" w:sz="4" w:space="0" w:color="auto"/>
            </w:tcBorders>
            <w:shd w:val="clear" w:color="auto" w:fill="auto"/>
            <w:noWrap/>
            <w:vAlign w:val="center"/>
            <w:hideMark/>
          </w:tcPr>
          <w:p w14:paraId="404EE517"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11,249 </w:t>
            </w:r>
          </w:p>
        </w:tc>
        <w:tc>
          <w:tcPr>
            <w:tcW w:w="960" w:type="dxa"/>
            <w:tcBorders>
              <w:top w:val="nil"/>
              <w:left w:val="nil"/>
              <w:bottom w:val="single" w:sz="4" w:space="0" w:color="auto"/>
              <w:right w:val="single" w:sz="4" w:space="0" w:color="auto"/>
            </w:tcBorders>
            <w:shd w:val="clear" w:color="auto" w:fill="auto"/>
            <w:noWrap/>
            <w:vAlign w:val="center"/>
            <w:hideMark/>
          </w:tcPr>
          <w:p w14:paraId="2DB772C8"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12,068 </w:t>
            </w:r>
          </w:p>
        </w:tc>
        <w:tc>
          <w:tcPr>
            <w:tcW w:w="1029" w:type="dxa"/>
            <w:tcBorders>
              <w:top w:val="nil"/>
              <w:left w:val="nil"/>
              <w:bottom w:val="single" w:sz="4" w:space="0" w:color="auto"/>
              <w:right w:val="single" w:sz="4" w:space="0" w:color="auto"/>
            </w:tcBorders>
            <w:shd w:val="clear" w:color="auto" w:fill="auto"/>
            <w:noWrap/>
            <w:vAlign w:val="center"/>
            <w:hideMark/>
          </w:tcPr>
          <w:p w14:paraId="71BB2ACF"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46,471 </w:t>
            </w:r>
          </w:p>
        </w:tc>
      </w:tr>
      <w:tr w:rsidR="005E50E4" w:rsidRPr="005D6F2E" w14:paraId="635A2002" w14:textId="77777777" w:rsidTr="001F41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583164" w14:textId="77777777" w:rsidR="005E50E4" w:rsidRPr="005D6F2E" w:rsidRDefault="005E50E4" w:rsidP="001F41D4">
            <w:pPr>
              <w:keepNext/>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2007</w:t>
            </w:r>
          </w:p>
        </w:tc>
        <w:tc>
          <w:tcPr>
            <w:tcW w:w="960" w:type="dxa"/>
            <w:tcBorders>
              <w:top w:val="nil"/>
              <w:left w:val="nil"/>
              <w:bottom w:val="single" w:sz="4" w:space="0" w:color="auto"/>
              <w:right w:val="single" w:sz="4" w:space="0" w:color="auto"/>
            </w:tcBorders>
            <w:shd w:val="clear" w:color="auto" w:fill="auto"/>
            <w:noWrap/>
            <w:vAlign w:val="center"/>
            <w:hideMark/>
          </w:tcPr>
          <w:p w14:paraId="1C6BB23B"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12,434 </w:t>
            </w:r>
          </w:p>
        </w:tc>
        <w:tc>
          <w:tcPr>
            <w:tcW w:w="960" w:type="dxa"/>
            <w:tcBorders>
              <w:top w:val="nil"/>
              <w:left w:val="nil"/>
              <w:bottom w:val="single" w:sz="4" w:space="0" w:color="auto"/>
              <w:right w:val="single" w:sz="4" w:space="0" w:color="auto"/>
            </w:tcBorders>
            <w:shd w:val="clear" w:color="auto" w:fill="auto"/>
            <w:noWrap/>
            <w:vAlign w:val="center"/>
            <w:hideMark/>
          </w:tcPr>
          <w:p w14:paraId="6AA1404C"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14,306 </w:t>
            </w:r>
          </w:p>
        </w:tc>
        <w:tc>
          <w:tcPr>
            <w:tcW w:w="960" w:type="dxa"/>
            <w:tcBorders>
              <w:top w:val="nil"/>
              <w:left w:val="nil"/>
              <w:bottom w:val="single" w:sz="4" w:space="0" w:color="auto"/>
              <w:right w:val="single" w:sz="4" w:space="0" w:color="auto"/>
            </w:tcBorders>
            <w:shd w:val="clear" w:color="auto" w:fill="auto"/>
            <w:noWrap/>
            <w:vAlign w:val="center"/>
            <w:hideMark/>
          </w:tcPr>
          <w:p w14:paraId="472C8CA9"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15,911 </w:t>
            </w:r>
          </w:p>
        </w:tc>
        <w:tc>
          <w:tcPr>
            <w:tcW w:w="960" w:type="dxa"/>
            <w:tcBorders>
              <w:top w:val="nil"/>
              <w:left w:val="nil"/>
              <w:bottom w:val="single" w:sz="4" w:space="0" w:color="auto"/>
              <w:right w:val="single" w:sz="4" w:space="0" w:color="auto"/>
            </w:tcBorders>
            <w:shd w:val="clear" w:color="auto" w:fill="auto"/>
            <w:noWrap/>
            <w:vAlign w:val="center"/>
            <w:hideMark/>
          </w:tcPr>
          <w:p w14:paraId="131CFC33"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17,209 </w:t>
            </w:r>
          </w:p>
        </w:tc>
        <w:tc>
          <w:tcPr>
            <w:tcW w:w="1029" w:type="dxa"/>
            <w:tcBorders>
              <w:top w:val="nil"/>
              <w:left w:val="nil"/>
              <w:bottom w:val="single" w:sz="4" w:space="0" w:color="auto"/>
              <w:right w:val="single" w:sz="4" w:space="0" w:color="auto"/>
            </w:tcBorders>
            <w:shd w:val="clear" w:color="auto" w:fill="auto"/>
            <w:noWrap/>
            <w:vAlign w:val="center"/>
            <w:hideMark/>
          </w:tcPr>
          <w:p w14:paraId="5A03EAF8"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59,860 </w:t>
            </w:r>
          </w:p>
        </w:tc>
      </w:tr>
      <w:tr w:rsidR="005E50E4" w:rsidRPr="005D6F2E" w14:paraId="0FF67C41" w14:textId="77777777" w:rsidTr="001F41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8AC67E" w14:textId="77777777" w:rsidR="005E50E4" w:rsidRPr="005D6F2E" w:rsidRDefault="005E50E4" w:rsidP="001F41D4">
            <w:pPr>
              <w:keepNext/>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2008</w:t>
            </w:r>
          </w:p>
        </w:tc>
        <w:tc>
          <w:tcPr>
            <w:tcW w:w="960" w:type="dxa"/>
            <w:tcBorders>
              <w:top w:val="nil"/>
              <w:left w:val="nil"/>
              <w:bottom w:val="single" w:sz="4" w:space="0" w:color="auto"/>
              <w:right w:val="single" w:sz="4" w:space="0" w:color="auto"/>
            </w:tcBorders>
            <w:shd w:val="clear" w:color="auto" w:fill="auto"/>
            <w:noWrap/>
            <w:vAlign w:val="center"/>
            <w:hideMark/>
          </w:tcPr>
          <w:p w14:paraId="4DED9A7A"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16,743 </w:t>
            </w:r>
          </w:p>
        </w:tc>
        <w:tc>
          <w:tcPr>
            <w:tcW w:w="960" w:type="dxa"/>
            <w:tcBorders>
              <w:top w:val="nil"/>
              <w:left w:val="nil"/>
              <w:bottom w:val="single" w:sz="4" w:space="0" w:color="auto"/>
              <w:right w:val="single" w:sz="4" w:space="0" w:color="auto"/>
            </w:tcBorders>
            <w:shd w:val="clear" w:color="auto" w:fill="auto"/>
            <w:noWrap/>
            <w:vAlign w:val="center"/>
            <w:hideMark/>
          </w:tcPr>
          <w:p w14:paraId="2F4C17D5"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18,777 </w:t>
            </w:r>
          </w:p>
        </w:tc>
        <w:tc>
          <w:tcPr>
            <w:tcW w:w="960" w:type="dxa"/>
            <w:tcBorders>
              <w:top w:val="nil"/>
              <w:left w:val="nil"/>
              <w:bottom w:val="single" w:sz="4" w:space="0" w:color="auto"/>
              <w:right w:val="single" w:sz="4" w:space="0" w:color="auto"/>
            </w:tcBorders>
            <w:shd w:val="clear" w:color="auto" w:fill="auto"/>
            <w:noWrap/>
            <w:vAlign w:val="center"/>
            <w:hideMark/>
          </w:tcPr>
          <w:p w14:paraId="153B143B"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19,471 </w:t>
            </w:r>
          </w:p>
        </w:tc>
        <w:tc>
          <w:tcPr>
            <w:tcW w:w="960" w:type="dxa"/>
            <w:tcBorders>
              <w:top w:val="nil"/>
              <w:left w:val="nil"/>
              <w:bottom w:val="single" w:sz="4" w:space="0" w:color="auto"/>
              <w:right w:val="single" w:sz="4" w:space="0" w:color="auto"/>
            </w:tcBorders>
            <w:shd w:val="clear" w:color="auto" w:fill="auto"/>
            <w:noWrap/>
            <w:vAlign w:val="center"/>
            <w:hideMark/>
          </w:tcPr>
          <w:p w14:paraId="1683EAB6"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21,443 </w:t>
            </w:r>
          </w:p>
        </w:tc>
        <w:tc>
          <w:tcPr>
            <w:tcW w:w="1029" w:type="dxa"/>
            <w:tcBorders>
              <w:top w:val="nil"/>
              <w:left w:val="nil"/>
              <w:bottom w:val="single" w:sz="4" w:space="0" w:color="auto"/>
              <w:right w:val="single" w:sz="4" w:space="0" w:color="auto"/>
            </w:tcBorders>
            <w:shd w:val="clear" w:color="auto" w:fill="auto"/>
            <w:noWrap/>
            <w:vAlign w:val="center"/>
            <w:hideMark/>
          </w:tcPr>
          <w:p w14:paraId="5DD00256"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76,435 </w:t>
            </w:r>
          </w:p>
        </w:tc>
      </w:tr>
      <w:tr w:rsidR="005E50E4" w:rsidRPr="005D6F2E" w14:paraId="5AA1145C" w14:textId="77777777" w:rsidTr="001F41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098960" w14:textId="77777777" w:rsidR="005E50E4" w:rsidRPr="005D6F2E" w:rsidRDefault="005E50E4" w:rsidP="001F41D4">
            <w:pPr>
              <w:keepNext/>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2009</w:t>
            </w:r>
          </w:p>
        </w:tc>
        <w:tc>
          <w:tcPr>
            <w:tcW w:w="960" w:type="dxa"/>
            <w:tcBorders>
              <w:top w:val="nil"/>
              <w:left w:val="nil"/>
              <w:bottom w:val="single" w:sz="4" w:space="0" w:color="auto"/>
              <w:right w:val="single" w:sz="4" w:space="0" w:color="auto"/>
            </w:tcBorders>
            <w:shd w:val="clear" w:color="auto" w:fill="auto"/>
            <w:noWrap/>
            <w:vAlign w:val="center"/>
            <w:hideMark/>
          </w:tcPr>
          <w:p w14:paraId="4EE817D1"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19,495 </w:t>
            </w:r>
          </w:p>
        </w:tc>
        <w:tc>
          <w:tcPr>
            <w:tcW w:w="960" w:type="dxa"/>
            <w:tcBorders>
              <w:top w:val="nil"/>
              <w:left w:val="nil"/>
              <w:bottom w:val="single" w:sz="4" w:space="0" w:color="auto"/>
              <w:right w:val="single" w:sz="4" w:space="0" w:color="auto"/>
            </w:tcBorders>
            <w:shd w:val="clear" w:color="auto" w:fill="auto"/>
            <w:noWrap/>
            <w:vAlign w:val="center"/>
            <w:hideMark/>
          </w:tcPr>
          <w:p w14:paraId="38E69500"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21,620 </w:t>
            </w:r>
          </w:p>
        </w:tc>
        <w:tc>
          <w:tcPr>
            <w:tcW w:w="960" w:type="dxa"/>
            <w:tcBorders>
              <w:top w:val="nil"/>
              <w:left w:val="nil"/>
              <w:bottom w:val="single" w:sz="4" w:space="0" w:color="auto"/>
              <w:right w:val="single" w:sz="4" w:space="0" w:color="auto"/>
            </w:tcBorders>
            <w:shd w:val="clear" w:color="auto" w:fill="auto"/>
            <w:noWrap/>
            <w:vAlign w:val="center"/>
            <w:hideMark/>
          </w:tcPr>
          <w:p w14:paraId="00EF064F"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22,519 </w:t>
            </w:r>
          </w:p>
        </w:tc>
        <w:tc>
          <w:tcPr>
            <w:tcW w:w="960" w:type="dxa"/>
            <w:tcBorders>
              <w:top w:val="nil"/>
              <w:left w:val="nil"/>
              <w:bottom w:val="single" w:sz="4" w:space="0" w:color="auto"/>
              <w:right w:val="single" w:sz="4" w:space="0" w:color="auto"/>
            </w:tcBorders>
            <w:shd w:val="clear" w:color="auto" w:fill="auto"/>
            <w:noWrap/>
            <w:vAlign w:val="center"/>
            <w:hideMark/>
          </w:tcPr>
          <w:p w14:paraId="6CD1A7FD"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26,880 </w:t>
            </w:r>
          </w:p>
        </w:tc>
        <w:tc>
          <w:tcPr>
            <w:tcW w:w="1029" w:type="dxa"/>
            <w:tcBorders>
              <w:top w:val="nil"/>
              <w:left w:val="nil"/>
              <w:bottom w:val="single" w:sz="4" w:space="0" w:color="auto"/>
              <w:right w:val="single" w:sz="4" w:space="0" w:color="auto"/>
            </w:tcBorders>
            <w:shd w:val="clear" w:color="auto" w:fill="auto"/>
            <w:noWrap/>
            <w:vAlign w:val="center"/>
            <w:hideMark/>
          </w:tcPr>
          <w:p w14:paraId="422683F5"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90,514 </w:t>
            </w:r>
          </w:p>
        </w:tc>
      </w:tr>
      <w:tr w:rsidR="005E50E4" w:rsidRPr="005D6F2E" w14:paraId="5675A1C3" w14:textId="77777777" w:rsidTr="001F41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96FCC3" w14:textId="77777777" w:rsidR="005E50E4" w:rsidRPr="005D6F2E" w:rsidRDefault="005E50E4" w:rsidP="001F41D4">
            <w:pPr>
              <w:keepNext/>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2010</w:t>
            </w:r>
          </w:p>
        </w:tc>
        <w:tc>
          <w:tcPr>
            <w:tcW w:w="960" w:type="dxa"/>
            <w:tcBorders>
              <w:top w:val="nil"/>
              <w:left w:val="nil"/>
              <w:bottom w:val="single" w:sz="4" w:space="0" w:color="auto"/>
              <w:right w:val="single" w:sz="4" w:space="0" w:color="auto"/>
            </w:tcBorders>
            <w:shd w:val="clear" w:color="auto" w:fill="auto"/>
            <w:noWrap/>
            <w:vAlign w:val="center"/>
            <w:hideMark/>
          </w:tcPr>
          <w:p w14:paraId="6B6BC1E5"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26,215 </w:t>
            </w:r>
          </w:p>
        </w:tc>
        <w:tc>
          <w:tcPr>
            <w:tcW w:w="960" w:type="dxa"/>
            <w:tcBorders>
              <w:top w:val="nil"/>
              <w:left w:val="nil"/>
              <w:bottom w:val="single" w:sz="4" w:space="0" w:color="auto"/>
              <w:right w:val="single" w:sz="4" w:space="0" w:color="auto"/>
            </w:tcBorders>
            <w:shd w:val="clear" w:color="auto" w:fill="auto"/>
            <w:noWrap/>
            <w:vAlign w:val="center"/>
            <w:hideMark/>
          </w:tcPr>
          <w:p w14:paraId="1FFA4E2D"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26,814 </w:t>
            </w:r>
          </w:p>
        </w:tc>
        <w:tc>
          <w:tcPr>
            <w:tcW w:w="960" w:type="dxa"/>
            <w:tcBorders>
              <w:top w:val="nil"/>
              <w:left w:val="nil"/>
              <w:bottom w:val="single" w:sz="4" w:space="0" w:color="auto"/>
              <w:right w:val="single" w:sz="4" w:space="0" w:color="auto"/>
            </w:tcBorders>
            <w:shd w:val="clear" w:color="auto" w:fill="auto"/>
            <w:noWrap/>
            <w:vAlign w:val="center"/>
            <w:hideMark/>
          </w:tcPr>
          <w:p w14:paraId="6095E20C"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29,587 </w:t>
            </w:r>
          </w:p>
        </w:tc>
        <w:tc>
          <w:tcPr>
            <w:tcW w:w="960" w:type="dxa"/>
            <w:tcBorders>
              <w:top w:val="nil"/>
              <w:left w:val="nil"/>
              <w:bottom w:val="single" w:sz="4" w:space="0" w:color="auto"/>
              <w:right w:val="single" w:sz="4" w:space="0" w:color="auto"/>
            </w:tcBorders>
            <w:shd w:val="clear" w:color="auto" w:fill="auto"/>
            <w:noWrap/>
            <w:vAlign w:val="center"/>
            <w:hideMark/>
          </w:tcPr>
          <w:p w14:paraId="710DCE0F"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30,594 </w:t>
            </w:r>
          </w:p>
        </w:tc>
        <w:tc>
          <w:tcPr>
            <w:tcW w:w="1029" w:type="dxa"/>
            <w:tcBorders>
              <w:top w:val="nil"/>
              <w:left w:val="nil"/>
              <w:bottom w:val="single" w:sz="4" w:space="0" w:color="auto"/>
              <w:right w:val="single" w:sz="4" w:space="0" w:color="auto"/>
            </w:tcBorders>
            <w:shd w:val="clear" w:color="auto" w:fill="auto"/>
            <w:noWrap/>
            <w:vAlign w:val="center"/>
            <w:hideMark/>
          </w:tcPr>
          <w:p w14:paraId="39A6FE46"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113,210 </w:t>
            </w:r>
          </w:p>
        </w:tc>
      </w:tr>
      <w:tr w:rsidR="005E50E4" w:rsidRPr="005D6F2E" w14:paraId="0AEBBDD3" w14:textId="77777777" w:rsidTr="001F41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CBA9FA" w14:textId="77777777" w:rsidR="005E50E4" w:rsidRPr="005D6F2E" w:rsidRDefault="005E50E4" w:rsidP="001F41D4">
            <w:pPr>
              <w:keepNext/>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2011</w:t>
            </w:r>
          </w:p>
        </w:tc>
        <w:tc>
          <w:tcPr>
            <w:tcW w:w="960" w:type="dxa"/>
            <w:tcBorders>
              <w:top w:val="nil"/>
              <w:left w:val="nil"/>
              <w:bottom w:val="single" w:sz="4" w:space="0" w:color="auto"/>
              <w:right w:val="single" w:sz="4" w:space="0" w:color="auto"/>
            </w:tcBorders>
            <w:shd w:val="clear" w:color="auto" w:fill="auto"/>
            <w:noWrap/>
            <w:vAlign w:val="center"/>
            <w:hideMark/>
          </w:tcPr>
          <w:p w14:paraId="1544CA7E"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29,059 </w:t>
            </w:r>
          </w:p>
        </w:tc>
        <w:tc>
          <w:tcPr>
            <w:tcW w:w="960" w:type="dxa"/>
            <w:tcBorders>
              <w:top w:val="nil"/>
              <w:left w:val="nil"/>
              <w:bottom w:val="single" w:sz="4" w:space="0" w:color="auto"/>
              <w:right w:val="single" w:sz="4" w:space="0" w:color="auto"/>
            </w:tcBorders>
            <w:shd w:val="clear" w:color="auto" w:fill="auto"/>
            <w:noWrap/>
            <w:vAlign w:val="center"/>
            <w:hideMark/>
          </w:tcPr>
          <w:p w14:paraId="0B190231"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30,235 </w:t>
            </w:r>
          </w:p>
        </w:tc>
        <w:tc>
          <w:tcPr>
            <w:tcW w:w="960" w:type="dxa"/>
            <w:tcBorders>
              <w:top w:val="nil"/>
              <w:left w:val="nil"/>
              <w:bottom w:val="single" w:sz="4" w:space="0" w:color="auto"/>
              <w:right w:val="single" w:sz="4" w:space="0" w:color="auto"/>
            </w:tcBorders>
            <w:shd w:val="clear" w:color="auto" w:fill="auto"/>
            <w:noWrap/>
            <w:vAlign w:val="center"/>
            <w:hideMark/>
          </w:tcPr>
          <w:p w14:paraId="5975D10A"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31,631 </w:t>
            </w:r>
          </w:p>
        </w:tc>
        <w:tc>
          <w:tcPr>
            <w:tcW w:w="960" w:type="dxa"/>
            <w:tcBorders>
              <w:top w:val="nil"/>
              <w:left w:val="nil"/>
              <w:bottom w:val="single" w:sz="4" w:space="0" w:color="auto"/>
              <w:right w:val="single" w:sz="4" w:space="0" w:color="auto"/>
            </w:tcBorders>
            <w:shd w:val="clear" w:color="auto" w:fill="auto"/>
            <w:noWrap/>
            <w:vAlign w:val="center"/>
            <w:hideMark/>
          </w:tcPr>
          <w:p w14:paraId="17E1522A"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33,393 </w:t>
            </w:r>
          </w:p>
        </w:tc>
        <w:tc>
          <w:tcPr>
            <w:tcW w:w="1029" w:type="dxa"/>
            <w:tcBorders>
              <w:top w:val="nil"/>
              <w:left w:val="nil"/>
              <w:bottom w:val="single" w:sz="4" w:space="0" w:color="auto"/>
              <w:right w:val="single" w:sz="4" w:space="0" w:color="auto"/>
            </w:tcBorders>
            <w:shd w:val="clear" w:color="auto" w:fill="auto"/>
            <w:noWrap/>
            <w:vAlign w:val="center"/>
            <w:hideMark/>
          </w:tcPr>
          <w:p w14:paraId="3A19CD74"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124,317 </w:t>
            </w:r>
          </w:p>
        </w:tc>
      </w:tr>
      <w:tr w:rsidR="005E50E4" w:rsidRPr="005D6F2E" w14:paraId="45D92FEC" w14:textId="77777777" w:rsidTr="001F41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DE0399" w14:textId="77777777" w:rsidR="005E50E4" w:rsidRPr="005D6F2E" w:rsidRDefault="005E50E4" w:rsidP="001F41D4">
            <w:pPr>
              <w:keepNext/>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2012</w:t>
            </w:r>
          </w:p>
        </w:tc>
        <w:tc>
          <w:tcPr>
            <w:tcW w:w="960" w:type="dxa"/>
            <w:tcBorders>
              <w:top w:val="nil"/>
              <w:left w:val="nil"/>
              <w:bottom w:val="single" w:sz="4" w:space="0" w:color="auto"/>
              <w:right w:val="single" w:sz="4" w:space="0" w:color="auto"/>
            </w:tcBorders>
            <w:shd w:val="clear" w:color="auto" w:fill="auto"/>
            <w:noWrap/>
            <w:vAlign w:val="center"/>
            <w:hideMark/>
          </w:tcPr>
          <w:p w14:paraId="303CC40C"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33,183 </w:t>
            </w:r>
          </w:p>
        </w:tc>
        <w:tc>
          <w:tcPr>
            <w:tcW w:w="960" w:type="dxa"/>
            <w:tcBorders>
              <w:top w:val="nil"/>
              <w:left w:val="nil"/>
              <w:bottom w:val="single" w:sz="4" w:space="0" w:color="auto"/>
              <w:right w:val="single" w:sz="4" w:space="0" w:color="auto"/>
            </w:tcBorders>
            <w:shd w:val="clear" w:color="auto" w:fill="auto"/>
            <w:noWrap/>
            <w:vAlign w:val="center"/>
            <w:hideMark/>
          </w:tcPr>
          <w:p w14:paraId="2639D46E"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33,856 </w:t>
            </w:r>
          </w:p>
        </w:tc>
        <w:tc>
          <w:tcPr>
            <w:tcW w:w="960" w:type="dxa"/>
            <w:tcBorders>
              <w:top w:val="nil"/>
              <w:left w:val="nil"/>
              <w:bottom w:val="single" w:sz="4" w:space="0" w:color="auto"/>
              <w:right w:val="single" w:sz="4" w:space="0" w:color="auto"/>
            </w:tcBorders>
            <w:shd w:val="clear" w:color="auto" w:fill="auto"/>
            <w:noWrap/>
            <w:vAlign w:val="center"/>
            <w:hideMark/>
          </w:tcPr>
          <w:p w14:paraId="13975229"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35,910 </w:t>
            </w:r>
          </w:p>
        </w:tc>
        <w:tc>
          <w:tcPr>
            <w:tcW w:w="960" w:type="dxa"/>
            <w:tcBorders>
              <w:top w:val="nil"/>
              <w:left w:val="nil"/>
              <w:bottom w:val="single" w:sz="4" w:space="0" w:color="auto"/>
              <w:right w:val="single" w:sz="4" w:space="0" w:color="auto"/>
            </w:tcBorders>
            <w:shd w:val="clear" w:color="auto" w:fill="auto"/>
            <w:noWrap/>
            <w:vAlign w:val="center"/>
            <w:hideMark/>
          </w:tcPr>
          <w:p w14:paraId="2F37AC56"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38,038 </w:t>
            </w:r>
          </w:p>
        </w:tc>
        <w:tc>
          <w:tcPr>
            <w:tcW w:w="1029" w:type="dxa"/>
            <w:tcBorders>
              <w:top w:val="nil"/>
              <w:left w:val="nil"/>
              <w:bottom w:val="single" w:sz="4" w:space="0" w:color="auto"/>
              <w:right w:val="single" w:sz="4" w:space="0" w:color="auto"/>
            </w:tcBorders>
            <w:shd w:val="clear" w:color="auto" w:fill="auto"/>
            <w:noWrap/>
            <w:vAlign w:val="center"/>
            <w:hideMark/>
          </w:tcPr>
          <w:p w14:paraId="05DB36FD"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140,987 </w:t>
            </w:r>
          </w:p>
        </w:tc>
      </w:tr>
      <w:tr w:rsidR="005E50E4" w:rsidRPr="005D6F2E" w14:paraId="4E3A202A" w14:textId="77777777" w:rsidTr="001F41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104A6D" w14:textId="77777777" w:rsidR="005E50E4" w:rsidRPr="005D6F2E" w:rsidRDefault="005E50E4" w:rsidP="001F41D4">
            <w:pPr>
              <w:keepNext/>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2013</w:t>
            </w:r>
          </w:p>
        </w:tc>
        <w:tc>
          <w:tcPr>
            <w:tcW w:w="960" w:type="dxa"/>
            <w:tcBorders>
              <w:top w:val="nil"/>
              <w:left w:val="nil"/>
              <w:bottom w:val="single" w:sz="4" w:space="0" w:color="auto"/>
              <w:right w:val="single" w:sz="4" w:space="0" w:color="auto"/>
            </w:tcBorders>
            <w:shd w:val="clear" w:color="auto" w:fill="auto"/>
            <w:noWrap/>
            <w:vAlign w:val="center"/>
            <w:hideMark/>
          </w:tcPr>
          <w:p w14:paraId="6403FB55"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35,355 </w:t>
            </w:r>
          </w:p>
        </w:tc>
        <w:tc>
          <w:tcPr>
            <w:tcW w:w="960" w:type="dxa"/>
            <w:tcBorders>
              <w:top w:val="nil"/>
              <w:left w:val="nil"/>
              <w:bottom w:val="single" w:sz="4" w:space="0" w:color="auto"/>
              <w:right w:val="single" w:sz="4" w:space="0" w:color="auto"/>
            </w:tcBorders>
            <w:shd w:val="clear" w:color="auto" w:fill="auto"/>
            <w:noWrap/>
            <w:vAlign w:val="center"/>
            <w:hideMark/>
          </w:tcPr>
          <w:p w14:paraId="07CDCD84"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37,450 </w:t>
            </w:r>
          </w:p>
        </w:tc>
        <w:tc>
          <w:tcPr>
            <w:tcW w:w="960" w:type="dxa"/>
            <w:tcBorders>
              <w:top w:val="nil"/>
              <w:left w:val="nil"/>
              <w:bottom w:val="single" w:sz="4" w:space="0" w:color="auto"/>
              <w:right w:val="single" w:sz="4" w:space="0" w:color="auto"/>
            </w:tcBorders>
            <w:shd w:val="clear" w:color="auto" w:fill="auto"/>
            <w:noWrap/>
            <w:vAlign w:val="center"/>
            <w:hideMark/>
          </w:tcPr>
          <w:p w14:paraId="7D51E810"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39,292 </w:t>
            </w:r>
          </w:p>
        </w:tc>
        <w:tc>
          <w:tcPr>
            <w:tcW w:w="960" w:type="dxa"/>
            <w:tcBorders>
              <w:top w:val="nil"/>
              <w:left w:val="nil"/>
              <w:bottom w:val="single" w:sz="4" w:space="0" w:color="auto"/>
              <w:right w:val="single" w:sz="4" w:space="0" w:color="auto"/>
            </w:tcBorders>
            <w:shd w:val="clear" w:color="auto" w:fill="auto"/>
            <w:noWrap/>
            <w:vAlign w:val="center"/>
            <w:hideMark/>
          </w:tcPr>
          <w:p w14:paraId="4A40A6F9"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40,542 </w:t>
            </w:r>
          </w:p>
        </w:tc>
        <w:tc>
          <w:tcPr>
            <w:tcW w:w="1029" w:type="dxa"/>
            <w:tcBorders>
              <w:top w:val="nil"/>
              <w:left w:val="nil"/>
              <w:bottom w:val="single" w:sz="4" w:space="0" w:color="auto"/>
              <w:right w:val="single" w:sz="4" w:space="0" w:color="auto"/>
            </w:tcBorders>
            <w:shd w:val="clear" w:color="auto" w:fill="auto"/>
            <w:noWrap/>
            <w:vAlign w:val="center"/>
            <w:hideMark/>
          </w:tcPr>
          <w:p w14:paraId="2D526D5C" w14:textId="77777777" w:rsidR="005E50E4" w:rsidRPr="005D6F2E" w:rsidRDefault="005E50E4" w:rsidP="001F41D4">
            <w:pPr>
              <w:keepNext/>
              <w:spacing w:after="0"/>
              <w:jc w:val="right"/>
              <w:rPr>
                <w:rFonts w:ascii="Calibri" w:eastAsia="Times New Roman" w:hAnsi="Calibri" w:cs="Times New Roman"/>
                <w:color w:val="000000"/>
                <w:sz w:val="20"/>
                <w:szCs w:val="20"/>
              </w:rPr>
            </w:pPr>
            <w:r w:rsidRPr="005D6F2E">
              <w:rPr>
                <w:sz w:val="20"/>
                <w:szCs w:val="20"/>
              </w:rPr>
              <w:t xml:space="preserve"> 152,639 </w:t>
            </w:r>
          </w:p>
        </w:tc>
      </w:tr>
      <w:tr w:rsidR="005E50E4" w:rsidRPr="005D6F2E" w14:paraId="2925CE05" w14:textId="77777777" w:rsidTr="001F41D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F0B883" w14:textId="77777777" w:rsidR="005E50E4" w:rsidRPr="005D6F2E" w:rsidRDefault="005E50E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2014</w:t>
            </w:r>
          </w:p>
        </w:tc>
        <w:tc>
          <w:tcPr>
            <w:tcW w:w="960" w:type="dxa"/>
            <w:tcBorders>
              <w:top w:val="nil"/>
              <w:left w:val="nil"/>
              <w:bottom w:val="single" w:sz="4" w:space="0" w:color="auto"/>
              <w:right w:val="single" w:sz="4" w:space="0" w:color="auto"/>
            </w:tcBorders>
            <w:shd w:val="clear" w:color="auto" w:fill="auto"/>
            <w:noWrap/>
            <w:vAlign w:val="center"/>
            <w:hideMark/>
          </w:tcPr>
          <w:p w14:paraId="7BE3377A" w14:textId="77777777" w:rsidR="005E50E4" w:rsidRPr="005D6F2E" w:rsidRDefault="005E50E4" w:rsidP="001F41D4">
            <w:pPr>
              <w:spacing w:after="0"/>
              <w:jc w:val="right"/>
              <w:rPr>
                <w:rFonts w:ascii="Calibri" w:eastAsia="Times New Roman" w:hAnsi="Calibri" w:cs="Times New Roman"/>
                <w:color w:val="000000"/>
                <w:sz w:val="20"/>
                <w:szCs w:val="20"/>
              </w:rPr>
            </w:pPr>
            <w:r w:rsidRPr="005D6F2E">
              <w:rPr>
                <w:sz w:val="20"/>
                <w:szCs w:val="20"/>
              </w:rPr>
              <w:t xml:space="preserve"> 38,015 </w:t>
            </w:r>
          </w:p>
        </w:tc>
        <w:tc>
          <w:tcPr>
            <w:tcW w:w="960" w:type="dxa"/>
            <w:tcBorders>
              <w:top w:val="nil"/>
              <w:left w:val="nil"/>
              <w:bottom w:val="single" w:sz="4" w:space="0" w:color="auto"/>
              <w:right w:val="single" w:sz="4" w:space="0" w:color="auto"/>
            </w:tcBorders>
            <w:shd w:val="clear" w:color="auto" w:fill="auto"/>
            <w:noWrap/>
            <w:vAlign w:val="center"/>
            <w:hideMark/>
          </w:tcPr>
          <w:p w14:paraId="56D444DF" w14:textId="77777777" w:rsidR="005E50E4" w:rsidRPr="005D6F2E" w:rsidRDefault="005E50E4" w:rsidP="001F41D4">
            <w:pPr>
              <w:spacing w:after="0"/>
              <w:jc w:val="right"/>
              <w:rPr>
                <w:rFonts w:ascii="Calibri" w:eastAsia="Times New Roman" w:hAnsi="Calibri" w:cs="Times New Roman"/>
                <w:color w:val="000000"/>
                <w:sz w:val="20"/>
                <w:szCs w:val="20"/>
              </w:rPr>
            </w:pPr>
            <w:r w:rsidRPr="005D6F2E">
              <w:rPr>
                <w:sz w:val="20"/>
                <w:szCs w:val="20"/>
              </w:rPr>
              <w:t xml:space="preserve"> 39,529 </w:t>
            </w:r>
          </w:p>
        </w:tc>
        <w:tc>
          <w:tcPr>
            <w:tcW w:w="960" w:type="dxa"/>
            <w:tcBorders>
              <w:top w:val="nil"/>
              <w:left w:val="nil"/>
              <w:bottom w:val="single" w:sz="4" w:space="0" w:color="auto"/>
              <w:right w:val="single" w:sz="4" w:space="0" w:color="auto"/>
            </w:tcBorders>
            <w:shd w:val="clear" w:color="auto" w:fill="auto"/>
            <w:noWrap/>
            <w:vAlign w:val="center"/>
            <w:hideMark/>
          </w:tcPr>
          <w:p w14:paraId="2862FB1A" w14:textId="77777777" w:rsidR="005E50E4" w:rsidRPr="005D6F2E" w:rsidRDefault="005E50E4" w:rsidP="001F41D4">
            <w:pPr>
              <w:spacing w:after="0"/>
              <w:jc w:val="right"/>
              <w:rPr>
                <w:rFonts w:ascii="Calibri" w:eastAsia="Times New Roman" w:hAnsi="Calibri" w:cs="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7847D0FC" w14:textId="77777777" w:rsidR="005E50E4" w:rsidRPr="005D6F2E" w:rsidRDefault="005E50E4" w:rsidP="001F41D4">
            <w:pPr>
              <w:spacing w:after="0"/>
              <w:jc w:val="right"/>
              <w:rPr>
                <w:rFonts w:ascii="Calibri" w:eastAsia="Times New Roman" w:hAnsi="Calibri" w:cs="Times New Roman"/>
                <w:color w:val="000000"/>
                <w:sz w:val="20"/>
                <w:szCs w:val="20"/>
              </w:rPr>
            </w:pPr>
          </w:p>
        </w:tc>
        <w:tc>
          <w:tcPr>
            <w:tcW w:w="1029" w:type="dxa"/>
            <w:tcBorders>
              <w:top w:val="nil"/>
              <w:left w:val="nil"/>
              <w:bottom w:val="single" w:sz="4" w:space="0" w:color="auto"/>
              <w:right w:val="single" w:sz="4" w:space="0" w:color="auto"/>
            </w:tcBorders>
            <w:shd w:val="clear" w:color="auto" w:fill="auto"/>
            <w:noWrap/>
            <w:vAlign w:val="center"/>
            <w:hideMark/>
          </w:tcPr>
          <w:p w14:paraId="76294AC1" w14:textId="77777777" w:rsidR="005E50E4" w:rsidRPr="005D6F2E" w:rsidRDefault="005E50E4" w:rsidP="001F41D4">
            <w:pPr>
              <w:spacing w:after="0"/>
              <w:jc w:val="right"/>
              <w:rPr>
                <w:rFonts w:ascii="Calibri" w:eastAsia="Times New Roman" w:hAnsi="Calibri" w:cs="Times New Roman"/>
                <w:color w:val="000000"/>
                <w:sz w:val="20"/>
                <w:szCs w:val="20"/>
              </w:rPr>
            </w:pPr>
            <w:r w:rsidRPr="005D6F2E">
              <w:rPr>
                <w:sz w:val="20"/>
                <w:szCs w:val="20"/>
              </w:rPr>
              <w:t xml:space="preserve"> 77,544 </w:t>
            </w:r>
          </w:p>
        </w:tc>
      </w:tr>
    </w:tbl>
    <w:p w14:paraId="2A5D4BB1" w14:textId="3DE1E2F4" w:rsidR="005E50E4" w:rsidRPr="005D6F2E" w:rsidRDefault="005E50E4" w:rsidP="005E50E4">
      <w:pPr>
        <w:pStyle w:val="Notes"/>
      </w:pPr>
      <w:r w:rsidRPr="005D6F2E">
        <w:t xml:space="preserve">*Note: the figure reported for 2014 is for January to June 2014 (inclusive). These figures include some use for indications other than hepatitis </w:t>
      </w:r>
      <w:proofErr w:type="gramStart"/>
      <w:r w:rsidRPr="005D6F2E">
        <w:t>B,</w:t>
      </w:r>
      <w:proofErr w:type="gramEnd"/>
      <w:r w:rsidRPr="005D6F2E">
        <w:t xml:space="preserve"> however use of </w:t>
      </w:r>
      <w:proofErr w:type="spellStart"/>
      <w:r w:rsidRPr="005D6F2E">
        <w:t>tenofovir</w:t>
      </w:r>
      <w:proofErr w:type="spellEnd"/>
      <w:r w:rsidRPr="005D6F2E">
        <w:t xml:space="preserve"> prior to its hepatitis B listing on 1 December 2009 </w:t>
      </w:r>
      <w:r w:rsidRPr="005D6F2E">
        <w:lastRenderedPageBreak/>
        <w:t xml:space="preserve">has been excluded (see ‘Limitations of the data’ p9-10 and </w:t>
      </w:r>
      <w:r w:rsidR="00774ED0">
        <w:t>Figure 1</w:t>
      </w:r>
      <w:r w:rsidRPr="005D6F2E">
        <w:t xml:space="preserve"> for more information).</w:t>
      </w:r>
      <w:r>
        <w:br/>
      </w:r>
    </w:p>
    <w:p w14:paraId="582D8FC7" w14:textId="77777777" w:rsidR="005E50E4" w:rsidRPr="005D6F2E" w:rsidRDefault="005E50E4" w:rsidP="005E50E4">
      <w:r w:rsidRPr="005D6F2E">
        <w:t xml:space="preserve">Use of hepatitis B medicines is increasing. The population rate of diagnosis of hepatitis B infection in Australia declined slightly from 33.8 per 100,000 </w:t>
      </w:r>
      <w:proofErr w:type="gramStart"/>
      <w:r w:rsidRPr="005D6F2E">
        <w:t>population</w:t>
      </w:r>
      <w:proofErr w:type="gramEnd"/>
      <w:r w:rsidRPr="005D6F2E">
        <w:t xml:space="preserve"> in 2009 to 30.9 in 2013</w:t>
      </w:r>
      <w:bookmarkStart w:id="8" w:name="_Ref406426818"/>
      <w:r w:rsidRPr="005D6F2E">
        <w:rPr>
          <w:rStyle w:val="FootnoteReference"/>
        </w:rPr>
        <w:footnoteReference w:id="6"/>
      </w:r>
      <w:bookmarkEnd w:id="8"/>
      <w:r w:rsidRPr="005D6F2E">
        <w:t xml:space="preserve">, which suggests the diagnosed prevalence may be fairly stable. The graph of overall utilisation by drug suggests the market is growing, </w:t>
      </w:r>
      <w:r>
        <w:t xml:space="preserve">largely due to the use of </w:t>
      </w:r>
      <w:proofErr w:type="spellStart"/>
      <w:r>
        <w:t>ente</w:t>
      </w:r>
      <w:r w:rsidRPr="005D6F2E">
        <w:t>cavir</w:t>
      </w:r>
      <w:proofErr w:type="spellEnd"/>
      <w:r w:rsidRPr="005D6F2E">
        <w:t xml:space="preserve"> and </w:t>
      </w:r>
      <w:proofErr w:type="spellStart"/>
      <w:r w:rsidRPr="005D6F2E">
        <w:t>tenofovir</w:t>
      </w:r>
      <w:proofErr w:type="spellEnd"/>
      <w:r w:rsidRPr="005D6F2E">
        <w:t xml:space="preserve">. </w:t>
      </w:r>
    </w:p>
    <w:p w14:paraId="561F4684" w14:textId="2B1C021A" w:rsidR="00A35800" w:rsidRPr="00A35800" w:rsidRDefault="00A35800" w:rsidP="00FE645A">
      <w:pPr>
        <w:pStyle w:val="Figurecaption"/>
      </w:pPr>
    </w:p>
    <w:p w14:paraId="09F9D349" w14:textId="24AC6C3B" w:rsidR="00736041" w:rsidRPr="005E22C2" w:rsidRDefault="00736041" w:rsidP="00343204">
      <w:pPr>
        <w:pStyle w:val="Heading5"/>
      </w:pPr>
      <w:r w:rsidRPr="005E22C2">
        <w:t>Utilisation by relevant sub-populations/regions</w:t>
      </w:r>
      <w:r w:rsidR="00CF6FB3">
        <w:t xml:space="preserve"> </w:t>
      </w:r>
      <w:r w:rsidR="001B5D37" w:rsidRPr="005E22C2">
        <w:t>or patient level analysis</w:t>
      </w:r>
    </w:p>
    <w:p w14:paraId="47211692" w14:textId="77777777" w:rsidR="005E50E4" w:rsidRPr="005D6F2E" w:rsidRDefault="005E50E4" w:rsidP="005E50E4">
      <w:r w:rsidRPr="005D6F2E">
        <w:t xml:space="preserve">In the 12 month period from July 2013 to June 2014, 12,953 patients accessed PBS listed medicine for hepatitis B. </w:t>
      </w:r>
    </w:p>
    <w:p w14:paraId="5B6BB62E" w14:textId="77777777" w:rsidR="005E50E4" w:rsidRPr="005D6F2E" w:rsidRDefault="005E50E4" w:rsidP="005E50E4">
      <w:r w:rsidRPr="005D6F2E">
        <w:t>The number of patients who accessed each drug is below. Note that a patient is counted once for each drug they received in this time period, and as patients may receive more than one medicine in the period, the sum of these patients is higher than the count of patients when they are not split by drug.</w:t>
      </w:r>
    </w:p>
    <w:p w14:paraId="4E38E611" w14:textId="111568D5" w:rsidR="005E50E4" w:rsidRPr="005D6F2E" w:rsidRDefault="005E50E4" w:rsidP="00294FFC">
      <w:pPr>
        <w:pStyle w:val="Tableheading"/>
        <w:keepNext/>
      </w:pPr>
      <w:r w:rsidRPr="005D6F2E">
        <w:t xml:space="preserve">Table </w:t>
      </w:r>
      <w:r w:rsidR="00774ED0">
        <w:t>5</w:t>
      </w:r>
      <w:r w:rsidRPr="005D6F2E">
        <w:t>: Count of patients who received hepatitis B medicine during the period July 2013 to June 2014, by drug</w:t>
      </w:r>
    </w:p>
    <w:tbl>
      <w:tblPr>
        <w:tblW w:w="42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418"/>
      </w:tblGrid>
      <w:tr w:rsidR="005E50E4" w:rsidRPr="005D6F2E" w14:paraId="50AA7C1B" w14:textId="77777777" w:rsidTr="001F41D4">
        <w:trPr>
          <w:trHeight w:val="300"/>
        </w:trPr>
        <w:tc>
          <w:tcPr>
            <w:tcW w:w="2850" w:type="dxa"/>
            <w:shd w:val="clear" w:color="auto" w:fill="BFBFBF" w:themeFill="background1" w:themeFillShade="BF"/>
            <w:noWrap/>
            <w:vAlign w:val="bottom"/>
            <w:hideMark/>
          </w:tcPr>
          <w:p w14:paraId="77DEEE78" w14:textId="77777777" w:rsidR="005E50E4" w:rsidRPr="005D6F2E" w:rsidRDefault="005E50E4" w:rsidP="001F41D4">
            <w:pPr>
              <w:keepNext/>
              <w:spacing w:after="0"/>
              <w:rPr>
                <w:rFonts w:ascii="Calibri" w:eastAsia="Times New Roman" w:hAnsi="Calibri" w:cs="Times New Roman"/>
                <w:b/>
                <w:sz w:val="22"/>
                <w:szCs w:val="22"/>
              </w:rPr>
            </w:pPr>
            <w:r w:rsidRPr="005D6F2E">
              <w:rPr>
                <w:rFonts w:ascii="Calibri" w:eastAsia="Times New Roman" w:hAnsi="Calibri" w:cs="Times New Roman"/>
                <w:b/>
                <w:sz w:val="22"/>
                <w:szCs w:val="22"/>
              </w:rPr>
              <w:t>Drug name</w:t>
            </w:r>
          </w:p>
        </w:tc>
        <w:tc>
          <w:tcPr>
            <w:tcW w:w="1418" w:type="dxa"/>
            <w:shd w:val="clear" w:color="auto" w:fill="BFBFBF" w:themeFill="background1" w:themeFillShade="BF"/>
            <w:noWrap/>
            <w:vAlign w:val="bottom"/>
            <w:hideMark/>
          </w:tcPr>
          <w:p w14:paraId="3E6F58B2" w14:textId="77777777" w:rsidR="005E50E4" w:rsidRPr="005D6F2E" w:rsidRDefault="005E50E4" w:rsidP="001F41D4">
            <w:pPr>
              <w:keepNext/>
              <w:spacing w:after="0"/>
              <w:rPr>
                <w:rFonts w:ascii="Calibri" w:eastAsia="Times New Roman" w:hAnsi="Calibri" w:cs="Times New Roman"/>
                <w:b/>
                <w:sz w:val="22"/>
                <w:szCs w:val="22"/>
              </w:rPr>
            </w:pPr>
            <w:r w:rsidRPr="005D6F2E">
              <w:rPr>
                <w:rFonts w:ascii="Calibri" w:eastAsia="Times New Roman" w:hAnsi="Calibri" w:cs="Times New Roman"/>
                <w:b/>
                <w:sz w:val="22"/>
                <w:szCs w:val="22"/>
              </w:rPr>
              <w:t>Number of patients</w:t>
            </w:r>
          </w:p>
        </w:tc>
      </w:tr>
      <w:tr w:rsidR="005E50E4" w:rsidRPr="005D6F2E" w14:paraId="031F75A3" w14:textId="77777777" w:rsidTr="001F41D4">
        <w:trPr>
          <w:trHeight w:val="300"/>
        </w:trPr>
        <w:tc>
          <w:tcPr>
            <w:tcW w:w="2850" w:type="dxa"/>
            <w:shd w:val="clear" w:color="auto" w:fill="auto"/>
            <w:noWrap/>
            <w:vAlign w:val="bottom"/>
            <w:hideMark/>
          </w:tcPr>
          <w:p w14:paraId="3767F0AD" w14:textId="77777777" w:rsidR="005E50E4" w:rsidRPr="005D6F2E" w:rsidRDefault="005E50E4" w:rsidP="001F41D4">
            <w:pPr>
              <w:keepNext/>
              <w:spacing w:after="0"/>
              <w:rPr>
                <w:rFonts w:ascii="Calibri" w:eastAsia="Times New Roman" w:hAnsi="Calibri" w:cs="Times New Roman"/>
                <w:sz w:val="22"/>
                <w:szCs w:val="22"/>
              </w:rPr>
            </w:pPr>
            <w:r w:rsidRPr="005D6F2E">
              <w:rPr>
                <w:rFonts w:ascii="Calibri" w:eastAsia="Times New Roman" w:hAnsi="Calibri" w:cs="Times New Roman"/>
                <w:sz w:val="22"/>
                <w:szCs w:val="22"/>
              </w:rPr>
              <w:t>ADEFOVIR DIPIVOXIL</w:t>
            </w:r>
          </w:p>
        </w:tc>
        <w:tc>
          <w:tcPr>
            <w:tcW w:w="1418" w:type="dxa"/>
            <w:shd w:val="clear" w:color="auto" w:fill="auto"/>
            <w:noWrap/>
            <w:vAlign w:val="bottom"/>
            <w:hideMark/>
          </w:tcPr>
          <w:p w14:paraId="2988E0A9" w14:textId="77777777" w:rsidR="005E50E4" w:rsidRPr="005D6F2E" w:rsidRDefault="005E50E4" w:rsidP="001F41D4">
            <w:pPr>
              <w:keepNext/>
              <w:spacing w:after="0"/>
              <w:jc w:val="right"/>
              <w:rPr>
                <w:rFonts w:ascii="Calibri" w:eastAsia="Times New Roman" w:hAnsi="Calibri" w:cs="Times New Roman"/>
                <w:sz w:val="22"/>
                <w:szCs w:val="22"/>
              </w:rPr>
            </w:pPr>
            <w:r w:rsidRPr="005D6F2E">
              <w:rPr>
                <w:rFonts w:ascii="Calibri" w:eastAsia="Times New Roman" w:hAnsi="Calibri" w:cs="Times New Roman"/>
                <w:sz w:val="22"/>
                <w:szCs w:val="22"/>
              </w:rPr>
              <w:t>623</w:t>
            </w:r>
          </w:p>
        </w:tc>
      </w:tr>
      <w:tr w:rsidR="005E50E4" w:rsidRPr="005D6F2E" w14:paraId="35AF44E8" w14:textId="77777777" w:rsidTr="001F41D4">
        <w:trPr>
          <w:trHeight w:val="300"/>
        </w:trPr>
        <w:tc>
          <w:tcPr>
            <w:tcW w:w="2850" w:type="dxa"/>
            <w:shd w:val="clear" w:color="auto" w:fill="auto"/>
            <w:noWrap/>
            <w:vAlign w:val="bottom"/>
            <w:hideMark/>
          </w:tcPr>
          <w:p w14:paraId="68F09134" w14:textId="77777777" w:rsidR="005E50E4" w:rsidRPr="005D6F2E" w:rsidRDefault="005E50E4" w:rsidP="001F41D4">
            <w:pPr>
              <w:keepNext/>
              <w:spacing w:after="0"/>
              <w:rPr>
                <w:rFonts w:ascii="Calibri" w:eastAsia="Times New Roman" w:hAnsi="Calibri" w:cs="Times New Roman"/>
                <w:sz w:val="22"/>
                <w:szCs w:val="22"/>
              </w:rPr>
            </w:pPr>
            <w:r w:rsidRPr="005D6F2E">
              <w:rPr>
                <w:rFonts w:ascii="Calibri" w:eastAsia="Times New Roman" w:hAnsi="Calibri" w:cs="Times New Roman"/>
                <w:sz w:val="22"/>
                <w:szCs w:val="22"/>
              </w:rPr>
              <w:t>ENTECAVIR</w:t>
            </w:r>
          </w:p>
        </w:tc>
        <w:tc>
          <w:tcPr>
            <w:tcW w:w="1418" w:type="dxa"/>
            <w:shd w:val="clear" w:color="auto" w:fill="auto"/>
            <w:noWrap/>
            <w:vAlign w:val="bottom"/>
            <w:hideMark/>
          </w:tcPr>
          <w:p w14:paraId="6FFF716D" w14:textId="77777777" w:rsidR="005E50E4" w:rsidRPr="005D6F2E" w:rsidRDefault="005E50E4" w:rsidP="001F41D4">
            <w:pPr>
              <w:keepNext/>
              <w:spacing w:after="0"/>
              <w:jc w:val="right"/>
              <w:rPr>
                <w:rFonts w:ascii="Calibri" w:eastAsia="Times New Roman" w:hAnsi="Calibri" w:cs="Times New Roman"/>
                <w:sz w:val="22"/>
                <w:szCs w:val="22"/>
              </w:rPr>
            </w:pPr>
            <w:r w:rsidRPr="005D6F2E">
              <w:rPr>
                <w:rFonts w:ascii="Calibri" w:eastAsia="Times New Roman" w:hAnsi="Calibri" w:cs="Times New Roman"/>
                <w:sz w:val="22"/>
                <w:szCs w:val="22"/>
              </w:rPr>
              <w:t>7,175</w:t>
            </w:r>
          </w:p>
        </w:tc>
      </w:tr>
      <w:tr w:rsidR="005E50E4" w:rsidRPr="005D6F2E" w14:paraId="4ED050B3" w14:textId="77777777" w:rsidTr="001F41D4">
        <w:trPr>
          <w:trHeight w:val="300"/>
        </w:trPr>
        <w:tc>
          <w:tcPr>
            <w:tcW w:w="2850" w:type="dxa"/>
            <w:shd w:val="clear" w:color="auto" w:fill="auto"/>
            <w:noWrap/>
            <w:vAlign w:val="bottom"/>
            <w:hideMark/>
          </w:tcPr>
          <w:p w14:paraId="1FF337BF" w14:textId="77777777" w:rsidR="005E50E4" w:rsidRPr="005D6F2E" w:rsidRDefault="005E50E4" w:rsidP="001F41D4">
            <w:pPr>
              <w:keepNext/>
              <w:spacing w:after="0"/>
              <w:rPr>
                <w:rFonts w:ascii="Calibri" w:eastAsia="Times New Roman" w:hAnsi="Calibri" w:cs="Times New Roman"/>
                <w:sz w:val="22"/>
                <w:szCs w:val="22"/>
              </w:rPr>
            </w:pPr>
            <w:r w:rsidRPr="005D6F2E">
              <w:rPr>
                <w:rFonts w:ascii="Calibri" w:eastAsia="Times New Roman" w:hAnsi="Calibri" w:cs="Times New Roman"/>
                <w:sz w:val="22"/>
                <w:szCs w:val="22"/>
              </w:rPr>
              <w:t>INTERFERON ALFA-2A</w:t>
            </w:r>
          </w:p>
        </w:tc>
        <w:tc>
          <w:tcPr>
            <w:tcW w:w="1418" w:type="dxa"/>
            <w:shd w:val="clear" w:color="auto" w:fill="auto"/>
            <w:noWrap/>
            <w:vAlign w:val="bottom"/>
            <w:hideMark/>
          </w:tcPr>
          <w:p w14:paraId="50AE6E75" w14:textId="77777777" w:rsidR="005E50E4" w:rsidRPr="005D6F2E" w:rsidRDefault="005E50E4" w:rsidP="001F41D4">
            <w:pPr>
              <w:keepNext/>
              <w:spacing w:after="0"/>
              <w:jc w:val="right"/>
              <w:rPr>
                <w:rFonts w:ascii="Calibri" w:eastAsia="Times New Roman" w:hAnsi="Calibri" w:cs="Times New Roman"/>
                <w:sz w:val="22"/>
                <w:szCs w:val="22"/>
              </w:rPr>
            </w:pPr>
            <w:r w:rsidRPr="005D6F2E">
              <w:rPr>
                <w:rFonts w:ascii="Calibri" w:eastAsia="Times New Roman" w:hAnsi="Calibri" w:cs="Times New Roman"/>
                <w:sz w:val="22"/>
                <w:szCs w:val="22"/>
              </w:rPr>
              <w:t>1</w:t>
            </w:r>
          </w:p>
        </w:tc>
      </w:tr>
      <w:tr w:rsidR="005E50E4" w:rsidRPr="005D6F2E" w14:paraId="4563C0A3" w14:textId="77777777" w:rsidTr="001F41D4">
        <w:trPr>
          <w:trHeight w:val="300"/>
        </w:trPr>
        <w:tc>
          <w:tcPr>
            <w:tcW w:w="2850" w:type="dxa"/>
            <w:shd w:val="clear" w:color="auto" w:fill="auto"/>
            <w:noWrap/>
            <w:vAlign w:val="bottom"/>
            <w:hideMark/>
          </w:tcPr>
          <w:p w14:paraId="28B4C6D5" w14:textId="77777777" w:rsidR="005E50E4" w:rsidRPr="005D6F2E" w:rsidRDefault="005E50E4" w:rsidP="001F41D4">
            <w:pPr>
              <w:keepNext/>
              <w:spacing w:after="0"/>
              <w:rPr>
                <w:rFonts w:ascii="Calibri" w:eastAsia="Times New Roman" w:hAnsi="Calibri" w:cs="Times New Roman"/>
                <w:sz w:val="22"/>
                <w:szCs w:val="22"/>
              </w:rPr>
            </w:pPr>
            <w:r w:rsidRPr="005D6F2E">
              <w:rPr>
                <w:rFonts w:ascii="Calibri" w:eastAsia="Times New Roman" w:hAnsi="Calibri" w:cs="Times New Roman"/>
                <w:sz w:val="22"/>
                <w:szCs w:val="22"/>
              </w:rPr>
              <w:t>LAMIVUDINE</w:t>
            </w:r>
          </w:p>
        </w:tc>
        <w:tc>
          <w:tcPr>
            <w:tcW w:w="1418" w:type="dxa"/>
            <w:shd w:val="clear" w:color="auto" w:fill="auto"/>
            <w:noWrap/>
            <w:vAlign w:val="bottom"/>
            <w:hideMark/>
          </w:tcPr>
          <w:p w14:paraId="3A3CB11F" w14:textId="77777777" w:rsidR="005E50E4" w:rsidRPr="005D6F2E" w:rsidRDefault="005E50E4" w:rsidP="001F41D4">
            <w:pPr>
              <w:keepNext/>
              <w:spacing w:after="0"/>
              <w:jc w:val="right"/>
              <w:rPr>
                <w:rFonts w:ascii="Calibri" w:eastAsia="Times New Roman" w:hAnsi="Calibri" w:cs="Times New Roman"/>
                <w:sz w:val="22"/>
                <w:szCs w:val="22"/>
              </w:rPr>
            </w:pPr>
            <w:r w:rsidRPr="005D6F2E">
              <w:rPr>
                <w:rFonts w:ascii="Calibri" w:eastAsia="Times New Roman" w:hAnsi="Calibri" w:cs="Times New Roman"/>
                <w:sz w:val="22"/>
                <w:szCs w:val="22"/>
              </w:rPr>
              <w:t>1,696</w:t>
            </w:r>
          </w:p>
        </w:tc>
      </w:tr>
      <w:tr w:rsidR="005E50E4" w:rsidRPr="005D6F2E" w14:paraId="21669916" w14:textId="77777777" w:rsidTr="001F41D4">
        <w:trPr>
          <w:trHeight w:val="300"/>
        </w:trPr>
        <w:tc>
          <w:tcPr>
            <w:tcW w:w="2850" w:type="dxa"/>
            <w:shd w:val="clear" w:color="auto" w:fill="auto"/>
            <w:noWrap/>
            <w:vAlign w:val="bottom"/>
            <w:hideMark/>
          </w:tcPr>
          <w:p w14:paraId="1EE206E8" w14:textId="77777777" w:rsidR="005E50E4" w:rsidRPr="005D6F2E" w:rsidRDefault="005E50E4" w:rsidP="001F41D4">
            <w:pPr>
              <w:keepNext/>
              <w:spacing w:after="0"/>
              <w:rPr>
                <w:rFonts w:ascii="Calibri" w:eastAsia="Times New Roman" w:hAnsi="Calibri" w:cs="Times New Roman"/>
                <w:sz w:val="22"/>
                <w:szCs w:val="22"/>
              </w:rPr>
            </w:pPr>
            <w:r w:rsidRPr="005D6F2E">
              <w:rPr>
                <w:rFonts w:ascii="Calibri" w:eastAsia="Times New Roman" w:hAnsi="Calibri" w:cs="Times New Roman"/>
                <w:sz w:val="22"/>
                <w:szCs w:val="22"/>
              </w:rPr>
              <w:t>PEGINTERFERON ALFA-2A</w:t>
            </w:r>
          </w:p>
        </w:tc>
        <w:tc>
          <w:tcPr>
            <w:tcW w:w="1418" w:type="dxa"/>
            <w:shd w:val="clear" w:color="auto" w:fill="auto"/>
            <w:noWrap/>
            <w:vAlign w:val="bottom"/>
            <w:hideMark/>
          </w:tcPr>
          <w:p w14:paraId="602FB604" w14:textId="77777777" w:rsidR="005E50E4" w:rsidRPr="005D6F2E" w:rsidRDefault="005E50E4" w:rsidP="001F41D4">
            <w:pPr>
              <w:keepNext/>
              <w:spacing w:after="0"/>
              <w:jc w:val="right"/>
              <w:rPr>
                <w:rFonts w:ascii="Calibri" w:eastAsia="Times New Roman" w:hAnsi="Calibri" w:cs="Times New Roman"/>
                <w:sz w:val="22"/>
                <w:szCs w:val="22"/>
              </w:rPr>
            </w:pPr>
            <w:r w:rsidRPr="005D6F2E">
              <w:rPr>
                <w:rFonts w:ascii="Calibri" w:eastAsia="Times New Roman" w:hAnsi="Calibri" w:cs="Times New Roman"/>
                <w:sz w:val="22"/>
                <w:szCs w:val="22"/>
              </w:rPr>
              <w:t>168</w:t>
            </w:r>
          </w:p>
        </w:tc>
      </w:tr>
      <w:tr w:rsidR="005E50E4" w:rsidRPr="005D6F2E" w14:paraId="3A823F3A" w14:textId="77777777" w:rsidTr="001F41D4">
        <w:trPr>
          <w:trHeight w:val="300"/>
        </w:trPr>
        <w:tc>
          <w:tcPr>
            <w:tcW w:w="2850" w:type="dxa"/>
            <w:shd w:val="clear" w:color="auto" w:fill="auto"/>
            <w:noWrap/>
            <w:vAlign w:val="bottom"/>
            <w:hideMark/>
          </w:tcPr>
          <w:p w14:paraId="780BAE77" w14:textId="77777777" w:rsidR="005E50E4" w:rsidRPr="005D6F2E" w:rsidRDefault="005E50E4" w:rsidP="001F41D4">
            <w:pPr>
              <w:keepNext/>
              <w:spacing w:after="0"/>
              <w:rPr>
                <w:rFonts w:ascii="Calibri" w:eastAsia="Times New Roman" w:hAnsi="Calibri" w:cs="Times New Roman"/>
                <w:sz w:val="22"/>
                <w:szCs w:val="22"/>
              </w:rPr>
            </w:pPr>
            <w:r w:rsidRPr="005D6F2E">
              <w:rPr>
                <w:rFonts w:ascii="Calibri" w:eastAsia="Times New Roman" w:hAnsi="Calibri" w:cs="Times New Roman"/>
                <w:sz w:val="22"/>
                <w:szCs w:val="22"/>
              </w:rPr>
              <w:t>TELBIVUDINE</w:t>
            </w:r>
          </w:p>
        </w:tc>
        <w:tc>
          <w:tcPr>
            <w:tcW w:w="1418" w:type="dxa"/>
            <w:shd w:val="clear" w:color="auto" w:fill="auto"/>
            <w:noWrap/>
            <w:vAlign w:val="bottom"/>
            <w:hideMark/>
          </w:tcPr>
          <w:p w14:paraId="73310463" w14:textId="77777777" w:rsidR="005E50E4" w:rsidRPr="005D6F2E" w:rsidRDefault="005E50E4" w:rsidP="001F41D4">
            <w:pPr>
              <w:keepNext/>
              <w:spacing w:after="0"/>
              <w:jc w:val="right"/>
              <w:rPr>
                <w:rFonts w:ascii="Calibri" w:eastAsia="Times New Roman" w:hAnsi="Calibri" w:cs="Times New Roman"/>
                <w:sz w:val="22"/>
                <w:szCs w:val="22"/>
              </w:rPr>
            </w:pPr>
            <w:r w:rsidRPr="005D6F2E">
              <w:rPr>
                <w:rFonts w:ascii="Calibri" w:eastAsia="Times New Roman" w:hAnsi="Calibri" w:cs="Times New Roman"/>
                <w:sz w:val="22"/>
                <w:szCs w:val="22"/>
              </w:rPr>
              <w:t>5</w:t>
            </w:r>
          </w:p>
        </w:tc>
      </w:tr>
      <w:tr w:rsidR="005E50E4" w:rsidRPr="005D6F2E" w14:paraId="76DBF2B9" w14:textId="77777777" w:rsidTr="001F41D4">
        <w:trPr>
          <w:trHeight w:val="300"/>
        </w:trPr>
        <w:tc>
          <w:tcPr>
            <w:tcW w:w="2850" w:type="dxa"/>
            <w:shd w:val="clear" w:color="auto" w:fill="auto"/>
            <w:noWrap/>
            <w:vAlign w:val="bottom"/>
            <w:hideMark/>
          </w:tcPr>
          <w:p w14:paraId="31C07840" w14:textId="77777777" w:rsidR="005E50E4" w:rsidRPr="005D6F2E" w:rsidRDefault="005E50E4" w:rsidP="001F41D4">
            <w:pPr>
              <w:keepNext/>
              <w:spacing w:after="0"/>
              <w:rPr>
                <w:rFonts w:ascii="Calibri" w:eastAsia="Times New Roman" w:hAnsi="Calibri" w:cs="Times New Roman"/>
                <w:sz w:val="22"/>
                <w:szCs w:val="22"/>
              </w:rPr>
            </w:pPr>
            <w:r w:rsidRPr="005D6F2E">
              <w:rPr>
                <w:rFonts w:ascii="Calibri" w:eastAsia="Times New Roman" w:hAnsi="Calibri" w:cs="Times New Roman"/>
                <w:sz w:val="22"/>
                <w:szCs w:val="22"/>
              </w:rPr>
              <w:t>TENOFOVIR</w:t>
            </w:r>
          </w:p>
        </w:tc>
        <w:tc>
          <w:tcPr>
            <w:tcW w:w="1418" w:type="dxa"/>
            <w:shd w:val="clear" w:color="auto" w:fill="auto"/>
            <w:noWrap/>
            <w:vAlign w:val="bottom"/>
            <w:hideMark/>
          </w:tcPr>
          <w:p w14:paraId="3FD20378" w14:textId="77777777" w:rsidR="005E50E4" w:rsidRPr="005D6F2E" w:rsidRDefault="005E50E4" w:rsidP="001F41D4">
            <w:pPr>
              <w:keepNext/>
              <w:spacing w:after="0"/>
              <w:jc w:val="right"/>
              <w:rPr>
                <w:rFonts w:ascii="Calibri" w:eastAsia="Times New Roman" w:hAnsi="Calibri" w:cs="Times New Roman"/>
                <w:sz w:val="22"/>
                <w:szCs w:val="22"/>
              </w:rPr>
            </w:pPr>
            <w:r w:rsidRPr="005D6F2E">
              <w:rPr>
                <w:rFonts w:ascii="Calibri" w:eastAsia="Times New Roman" w:hAnsi="Calibri" w:cs="Times New Roman"/>
                <w:sz w:val="22"/>
                <w:szCs w:val="22"/>
              </w:rPr>
              <w:t>4,641</w:t>
            </w:r>
          </w:p>
        </w:tc>
      </w:tr>
    </w:tbl>
    <w:p w14:paraId="6EFBA521" w14:textId="77777777" w:rsidR="005E50E4" w:rsidRPr="005D6F2E" w:rsidRDefault="005E50E4" w:rsidP="005E50E4">
      <w:pPr>
        <w:pStyle w:val="Figurecaption"/>
      </w:pPr>
      <w:r w:rsidRPr="005D6F2E">
        <w:t>Note that during this period interferon alfa-2b was PBS listed for hepatitis B but no prescriptions were recorded as being for hepatitis B.</w:t>
      </w:r>
      <w:r>
        <w:br/>
      </w:r>
    </w:p>
    <w:p w14:paraId="46FAE1D7" w14:textId="77777777" w:rsidR="005E50E4" w:rsidRPr="005D6F2E" w:rsidRDefault="005E50E4" w:rsidP="005E50E4">
      <w:r w:rsidRPr="005D6F2E">
        <w:t xml:space="preserve">The clinical guidelines recommend </w:t>
      </w:r>
      <w:proofErr w:type="spellStart"/>
      <w:r w:rsidRPr="005D6F2E">
        <w:t>pegylated</w:t>
      </w:r>
      <w:proofErr w:type="spellEnd"/>
      <w:r w:rsidRPr="005D6F2E">
        <w:t xml:space="preserve"> interferon </w:t>
      </w:r>
      <w:proofErr w:type="gramStart"/>
      <w:r w:rsidRPr="005D6F2E">
        <w:t>be</w:t>
      </w:r>
      <w:proofErr w:type="gramEnd"/>
      <w:r w:rsidRPr="005D6F2E">
        <w:t xml:space="preserve"> used rather than the older interferons. Only one patient used interferon alfa-2a for hepatitis B in the period July 2013 to June 2014, and there were no patients who used interferon alfa-2b for hepatitis B in this period.</w:t>
      </w:r>
    </w:p>
    <w:p w14:paraId="5FFEDD92" w14:textId="52C365FA" w:rsidR="00DC49E9" w:rsidRDefault="00DC49E9" w:rsidP="00A35800">
      <w:r w:rsidRPr="005E22C2">
        <w:t xml:space="preserve"> </w:t>
      </w:r>
    </w:p>
    <w:p w14:paraId="4F8723A6" w14:textId="3B792516" w:rsidR="00736041" w:rsidRPr="005E22C2" w:rsidRDefault="001B5D37" w:rsidP="0085256D">
      <w:pPr>
        <w:pStyle w:val="Heading4"/>
      </w:pPr>
      <w:r w:rsidRPr="005E22C2">
        <w:lastRenderedPageBreak/>
        <w:t xml:space="preserve">Analysis </w:t>
      </w:r>
      <w:r w:rsidR="00481108" w:rsidRPr="005E22C2">
        <w:t xml:space="preserve">of </w:t>
      </w:r>
      <w:r w:rsidR="0063631C">
        <w:t>e</w:t>
      </w:r>
      <w:r w:rsidR="00736041" w:rsidRPr="005E22C2">
        <w:t>xpenditure</w:t>
      </w:r>
    </w:p>
    <w:p w14:paraId="1BA99FB1" w14:textId="62AD0B7B" w:rsidR="001F41D4" w:rsidRPr="005D6F2E" w:rsidRDefault="001F41D4" w:rsidP="00294FFC">
      <w:pPr>
        <w:pStyle w:val="Tableheading"/>
      </w:pPr>
      <w:r w:rsidRPr="005D6F2E">
        <w:t xml:space="preserve">Table </w:t>
      </w:r>
      <w:r w:rsidR="00774ED0">
        <w:t>6</w:t>
      </w:r>
      <w:r w:rsidRPr="005D6F2E">
        <w:t>: Cost to Government of medicines used to treat hepatitis B since 2003</w:t>
      </w:r>
    </w:p>
    <w:tbl>
      <w:tblPr>
        <w:tblW w:w="4280" w:type="dxa"/>
        <w:tblInd w:w="93" w:type="dxa"/>
        <w:tblLook w:val="04A0" w:firstRow="1" w:lastRow="0" w:firstColumn="1" w:lastColumn="0" w:noHBand="0" w:noVBand="1"/>
      </w:tblPr>
      <w:tblGrid>
        <w:gridCol w:w="2140"/>
        <w:gridCol w:w="2140"/>
      </w:tblGrid>
      <w:tr w:rsidR="001F41D4" w:rsidRPr="005D6F2E" w14:paraId="5C46A915" w14:textId="77777777" w:rsidTr="001F41D4">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5600DEF" w14:textId="77777777" w:rsidR="001F41D4" w:rsidRPr="005D6F2E" w:rsidRDefault="001F41D4" w:rsidP="001F41D4">
            <w:pPr>
              <w:spacing w:after="0"/>
              <w:rPr>
                <w:rFonts w:ascii="Calibri" w:eastAsia="Times New Roman" w:hAnsi="Calibri" w:cs="Times New Roman"/>
                <w:b/>
                <w:color w:val="000000"/>
                <w:sz w:val="22"/>
                <w:szCs w:val="22"/>
              </w:rPr>
            </w:pPr>
            <w:r w:rsidRPr="005D6F2E">
              <w:rPr>
                <w:rFonts w:ascii="Calibri" w:eastAsia="Times New Roman" w:hAnsi="Calibri" w:cs="Times New Roman"/>
                <w:b/>
                <w:color w:val="000000"/>
                <w:sz w:val="22"/>
                <w:szCs w:val="22"/>
              </w:rPr>
              <w:t>Year</w:t>
            </w:r>
          </w:p>
        </w:tc>
        <w:tc>
          <w:tcPr>
            <w:tcW w:w="214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1037259" w14:textId="77777777" w:rsidR="001F41D4" w:rsidRPr="005D6F2E" w:rsidRDefault="001F41D4" w:rsidP="001F41D4">
            <w:pPr>
              <w:spacing w:after="0"/>
              <w:rPr>
                <w:rFonts w:ascii="Calibri" w:eastAsia="Times New Roman" w:hAnsi="Calibri" w:cs="Times New Roman"/>
                <w:b/>
                <w:color w:val="000000"/>
                <w:sz w:val="22"/>
                <w:szCs w:val="22"/>
              </w:rPr>
            </w:pPr>
            <w:r w:rsidRPr="005D6F2E">
              <w:rPr>
                <w:rFonts w:ascii="Calibri" w:eastAsia="Times New Roman" w:hAnsi="Calibri" w:cs="Times New Roman"/>
                <w:b/>
                <w:color w:val="000000"/>
                <w:sz w:val="22"/>
                <w:szCs w:val="22"/>
              </w:rPr>
              <w:t>Cost to Government</w:t>
            </w:r>
          </w:p>
        </w:tc>
      </w:tr>
      <w:tr w:rsidR="001F41D4" w:rsidRPr="005D6F2E" w14:paraId="7E96F6CE" w14:textId="77777777" w:rsidTr="001F41D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DD161EC" w14:textId="77777777" w:rsidR="001F41D4" w:rsidRPr="005D6F2E" w:rsidRDefault="001F41D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2003</w:t>
            </w:r>
          </w:p>
        </w:tc>
        <w:tc>
          <w:tcPr>
            <w:tcW w:w="2140" w:type="dxa"/>
            <w:tcBorders>
              <w:top w:val="nil"/>
              <w:left w:val="nil"/>
              <w:bottom w:val="single" w:sz="4" w:space="0" w:color="auto"/>
              <w:right w:val="single" w:sz="4" w:space="0" w:color="auto"/>
            </w:tcBorders>
            <w:shd w:val="clear" w:color="auto" w:fill="auto"/>
            <w:noWrap/>
            <w:vAlign w:val="center"/>
            <w:hideMark/>
          </w:tcPr>
          <w:p w14:paraId="04A665AB" w14:textId="77777777" w:rsidR="001F41D4" w:rsidRPr="005D6F2E" w:rsidRDefault="001F41D4" w:rsidP="001F41D4">
            <w:pPr>
              <w:spacing w:after="0"/>
              <w:jc w:val="right"/>
              <w:rPr>
                <w:rFonts w:ascii="Calibri" w:eastAsia="Times New Roman" w:hAnsi="Calibri" w:cs="Times New Roman"/>
                <w:color w:val="000000"/>
                <w:sz w:val="20"/>
                <w:szCs w:val="20"/>
              </w:rPr>
            </w:pPr>
            <w:r w:rsidRPr="005D6F2E">
              <w:rPr>
                <w:sz w:val="20"/>
                <w:szCs w:val="20"/>
              </w:rPr>
              <w:t xml:space="preserve"> $3,291,262 </w:t>
            </w:r>
          </w:p>
        </w:tc>
      </w:tr>
      <w:tr w:rsidR="001F41D4" w:rsidRPr="005D6F2E" w14:paraId="61F93547" w14:textId="77777777" w:rsidTr="001F41D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0874B0E" w14:textId="77777777" w:rsidR="001F41D4" w:rsidRPr="005D6F2E" w:rsidRDefault="001F41D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2004</w:t>
            </w:r>
          </w:p>
        </w:tc>
        <w:tc>
          <w:tcPr>
            <w:tcW w:w="2140" w:type="dxa"/>
            <w:tcBorders>
              <w:top w:val="nil"/>
              <w:left w:val="nil"/>
              <w:bottom w:val="single" w:sz="4" w:space="0" w:color="auto"/>
              <w:right w:val="single" w:sz="4" w:space="0" w:color="auto"/>
            </w:tcBorders>
            <w:shd w:val="clear" w:color="auto" w:fill="auto"/>
            <w:noWrap/>
            <w:vAlign w:val="center"/>
            <w:hideMark/>
          </w:tcPr>
          <w:p w14:paraId="6157021E" w14:textId="77777777" w:rsidR="001F41D4" w:rsidRPr="005D6F2E" w:rsidRDefault="001F41D4" w:rsidP="001F41D4">
            <w:pPr>
              <w:spacing w:after="0"/>
              <w:jc w:val="right"/>
              <w:rPr>
                <w:rFonts w:ascii="Calibri" w:eastAsia="Times New Roman" w:hAnsi="Calibri" w:cs="Times New Roman"/>
                <w:color w:val="000000"/>
                <w:sz w:val="20"/>
                <w:szCs w:val="20"/>
              </w:rPr>
            </w:pPr>
            <w:r w:rsidRPr="005D6F2E">
              <w:rPr>
                <w:sz w:val="20"/>
                <w:szCs w:val="20"/>
              </w:rPr>
              <w:t xml:space="preserve"> $4,914,580 </w:t>
            </w:r>
          </w:p>
        </w:tc>
      </w:tr>
      <w:tr w:rsidR="001F41D4" w:rsidRPr="005D6F2E" w14:paraId="7CF6F809" w14:textId="77777777" w:rsidTr="001F41D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307DDE2E" w14:textId="77777777" w:rsidR="001F41D4" w:rsidRPr="005D6F2E" w:rsidRDefault="001F41D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2005</w:t>
            </w:r>
          </w:p>
        </w:tc>
        <w:tc>
          <w:tcPr>
            <w:tcW w:w="2140" w:type="dxa"/>
            <w:tcBorders>
              <w:top w:val="nil"/>
              <w:left w:val="nil"/>
              <w:bottom w:val="single" w:sz="4" w:space="0" w:color="auto"/>
              <w:right w:val="single" w:sz="4" w:space="0" w:color="auto"/>
            </w:tcBorders>
            <w:shd w:val="clear" w:color="auto" w:fill="auto"/>
            <w:noWrap/>
            <w:vAlign w:val="center"/>
            <w:hideMark/>
          </w:tcPr>
          <w:p w14:paraId="67C14813" w14:textId="77777777" w:rsidR="001F41D4" w:rsidRPr="005D6F2E" w:rsidRDefault="001F41D4" w:rsidP="001F41D4">
            <w:pPr>
              <w:spacing w:after="0"/>
              <w:jc w:val="right"/>
              <w:rPr>
                <w:rFonts w:ascii="Calibri" w:eastAsia="Times New Roman" w:hAnsi="Calibri" w:cs="Times New Roman"/>
                <w:color w:val="000000"/>
                <w:sz w:val="20"/>
                <w:szCs w:val="20"/>
              </w:rPr>
            </w:pPr>
            <w:r w:rsidRPr="005D6F2E">
              <w:rPr>
                <w:sz w:val="20"/>
                <w:szCs w:val="20"/>
              </w:rPr>
              <w:t xml:space="preserve"> $9,818,377 </w:t>
            </w:r>
          </w:p>
        </w:tc>
      </w:tr>
      <w:tr w:rsidR="001F41D4" w:rsidRPr="005D6F2E" w14:paraId="5E0F5076" w14:textId="77777777" w:rsidTr="001F41D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29966A21" w14:textId="77777777" w:rsidR="001F41D4" w:rsidRPr="005D6F2E" w:rsidRDefault="001F41D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2006</w:t>
            </w:r>
          </w:p>
        </w:tc>
        <w:tc>
          <w:tcPr>
            <w:tcW w:w="2140" w:type="dxa"/>
            <w:tcBorders>
              <w:top w:val="nil"/>
              <w:left w:val="nil"/>
              <w:bottom w:val="single" w:sz="4" w:space="0" w:color="auto"/>
              <w:right w:val="single" w:sz="4" w:space="0" w:color="auto"/>
            </w:tcBorders>
            <w:shd w:val="clear" w:color="auto" w:fill="auto"/>
            <w:noWrap/>
            <w:vAlign w:val="center"/>
            <w:hideMark/>
          </w:tcPr>
          <w:p w14:paraId="0A724D62" w14:textId="77777777" w:rsidR="001F41D4" w:rsidRPr="005D6F2E" w:rsidRDefault="001F41D4" w:rsidP="001F41D4">
            <w:pPr>
              <w:spacing w:after="0"/>
              <w:jc w:val="right"/>
              <w:rPr>
                <w:rFonts w:ascii="Calibri" w:eastAsia="Times New Roman" w:hAnsi="Calibri" w:cs="Times New Roman"/>
                <w:color w:val="000000"/>
                <w:sz w:val="20"/>
                <w:szCs w:val="20"/>
              </w:rPr>
            </w:pPr>
            <w:r w:rsidRPr="005D6F2E">
              <w:rPr>
                <w:sz w:val="20"/>
                <w:szCs w:val="20"/>
              </w:rPr>
              <w:t xml:space="preserve"> $12,215,030 </w:t>
            </w:r>
          </w:p>
        </w:tc>
      </w:tr>
      <w:tr w:rsidR="001F41D4" w:rsidRPr="005D6F2E" w14:paraId="01B11891" w14:textId="77777777" w:rsidTr="001F41D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C8EB0FD" w14:textId="77777777" w:rsidR="001F41D4" w:rsidRPr="005D6F2E" w:rsidRDefault="001F41D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2007</w:t>
            </w:r>
          </w:p>
        </w:tc>
        <w:tc>
          <w:tcPr>
            <w:tcW w:w="2140" w:type="dxa"/>
            <w:tcBorders>
              <w:top w:val="nil"/>
              <w:left w:val="nil"/>
              <w:bottom w:val="single" w:sz="4" w:space="0" w:color="auto"/>
              <w:right w:val="single" w:sz="4" w:space="0" w:color="auto"/>
            </w:tcBorders>
            <w:shd w:val="clear" w:color="auto" w:fill="auto"/>
            <w:noWrap/>
            <w:vAlign w:val="center"/>
            <w:hideMark/>
          </w:tcPr>
          <w:p w14:paraId="59287F86" w14:textId="77777777" w:rsidR="001F41D4" w:rsidRPr="005D6F2E" w:rsidRDefault="001F41D4" w:rsidP="001F41D4">
            <w:pPr>
              <w:spacing w:after="0"/>
              <w:jc w:val="right"/>
              <w:rPr>
                <w:rFonts w:ascii="Calibri" w:eastAsia="Times New Roman" w:hAnsi="Calibri" w:cs="Times New Roman"/>
                <w:color w:val="000000"/>
                <w:sz w:val="20"/>
                <w:szCs w:val="20"/>
              </w:rPr>
            </w:pPr>
            <w:r w:rsidRPr="005D6F2E">
              <w:rPr>
                <w:sz w:val="20"/>
                <w:szCs w:val="20"/>
              </w:rPr>
              <w:t xml:space="preserve"> $21,980,871 </w:t>
            </w:r>
          </w:p>
        </w:tc>
      </w:tr>
      <w:tr w:rsidR="001F41D4" w:rsidRPr="005D6F2E" w14:paraId="16F70542" w14:textId="77777777" w:rsidTr="001F41D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20820D6" w14:textId="77777777" w:rsidR="001F41D4" w:rsidRPr="005D6F2E" w:rsidRDefault="001F41D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2008</w:t>
            </w:r>
          </w:p>
        </w:tc>
        <w:tc>
          <w:tcPr>
            <w:tcW w:w="2140" w:type="dxa"/>
            <w:tcBorders>
              <w:top w:val="nil"/>
              <w:left w:val="nil"/>
              <w:bottom w:val="single" w:sz="4" w:space="0" w:color="auto"/>
              <w:right w:val="single" w:sz="4" w:space="0" w:color="auto"/>
            </w:tcBorders>
            <w:shd w:val="clear" w:color="auto" w:fill="auto"/>
            <w:noWrap/>
            <w:vAlign w:val="center"/>
            <w:hideMark/>
          </w:tcPr>
          <w:p w14:paraId="0CE06107" w14:textId="77777777" w:rsidR="001F41D4" w:rsidRPr="005D6F2E" w:rsidRDefault="001F41D4" w:rsidP="001F41D4">
            <w:pPr>
              <w:spacing w:after="0"/>
              <w:jc w:val="right"/>
              <w:rPr>
                <w:rFonts w:ascii="Calibri" w:eastAsia="Times New Roman" w:hAnsi="Calibri" w:cs="Times New Roman"/>
                <w:color w:val="000000"/>
                <w:sz w:val="20"/>
                <w:szCs w:val="20"/>
              </w:rPr>
            </w:pPr>
            <w:r w:rsidRPr="005D6F2E">
              <w:rPr>
                <w:sz w:val="20"/>
                <w:szCs w:val="20"/>
              </w:rPr>
              <w:t xml:space="preserve"> $28,889,980 </w:t>
            </w:r>
          </w:p>
        </w:tc>
      </w:tr>
      <w:tr w:rsidR="001F41D4" w:rsidRPr="005D6F2E" w14:paraId="0F452CA1" w14:textId="77777777" w:rsidTr="001F41D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D917E47" w14:textId="77777777" w:rsidR="001F41D4" w:rsidRPr="005D6F2E" w:rsidRDefault="001F41D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2009</w:t>
            </w:r>
          </w:p>
        </w:tc>
        <w:tc>
          <w:tcPr>
            <w:tcW w:w="2140" w:type="dxa"/>
            <w:tcBorders>
              <w:top w:val="nil"/>
              <w:left w:val="nil"/>
              <w:bottom w:val="single" w:sz="4" w:space="0" w:color="auto"/>
              <w:right w:val="single" w:sz="4" w:space="0" w:color="auto"/>
            </w:tcBorders>
            <w:shd w:val="clear" w:color="auto" w:fill="auto"/>
            <w:noWrap/>
            <w:vAlign w:val="center"/>
            <w:hideMark/>
          </w:tcPr>
          <w:p w14:paraId="71A62E25" w14:textId="77777777" w:rsidR="001F41D4" w:rsidRPr="005D6F2E" w:rsidRDefault="001F41D4" w:rsidP="001F41D4">
            <w:pPr>
              <w:spacing w:after="0"/>
              <w:jc w:val="right"/>
              <w:rPr>
                <w:rFonts w:ascii="Calibri" w:eastAsia="Times New Roman" w:hAnsi="Calibri" w:cs="Times New Roman"/>
                <w:color w:val="000000"/>
                <w:sz w:val="20"/>
                <w:szCs w:val="20"/>
              </w:rPr>
            </w:pPr>
            <w:r w:rsidRPr="005D6F2E">
              <w:rPr>
                <w:sz w:val="20"/>
                <w:szCs w:val="20"/>
              </w:rPr>
              <w:t xml:space="preserve"> $36,395,481 </w:t>
            </w:r>
          </w:p>
        </w:tc>
      </w:tr>
      <w:tr w:rsidR="001F41D4" w:rsidRPr="005D6F2E" w14:paraId="008E5601" w14:textId="77777777" w:rsidTr="001F41D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6BCDDCD9" w14:textId="77777777" w:rsidR="001F41D4" w:rsidRPr="005D6F2E" w:rsidRDefault="001F41D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2010</w:t>
            </w:r>
          </w:p>
        </w:tc>
        <w:tc>
          <w:tcPr>
            <w:tcW w:w="2140" w:type="dxa"/>
            <w:tcBorders>
              <w:top w:val="nil"/>
              <w:left w:val="nil"/>
              <w:bottom w:val="single" w:sz="4" w:space="0" w:color="auto"/>
              <w:right w:val="single" w:sz="4" w:space="0" w:color="auto"/>
            </w:tcBorders>
            <w:shd w:val="clear" w:color="auto" w:fill="auto"/>
            <w:noWrap/>
            <w:vAlign w:val="center"/>
            <w:hideMark/>
          </w:tcPr>
          <w:p w14:paraId="539E7228" w14:textId="77777777" w:rsidR="001F41D4" w:rsidRPr="005D6F2E" w:rsidRDefault="001F41D4" w:rsidP="001F41D4">
            <w:pPr>
              <w:spacing w:after="0"/>
              <w:jc w:val="right"/>
              <w:rPr>
                <w:rFonts w:ascii="Calibri" w:eastAsia="Times New Roman" w:hAnsi="Calibri" w:cs="Times New Roman"/>
                <w:color w:val="000000"/>
                <w:sz w:val="20"/>
                <w:szCs w:val="20"/>
              </w:rPr>
            </w:pPr>
            <w:r w:rsidRPr="005D6F2E">
              <w:rPr>
                <w:sz w:val="20"/>
                <w:szCs w:val="20"/>
              </w:rPr>
              <w:t xml:space="preserve"> $46,507,626 </w:t>
            </w:r>
          </w:p>
        </w:tc>
      </w:tr>
      <w:tr w:rsidR="001F41D4" w:rsidRPr="005D6F2E" w14:paraId="0535E00C" w14:textId="77777777" w:rsidTr="001F41D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6F86264C" w14:textId="77777777" w:rsidR="001F41D4" w:rsidRPr="005D6F2E" w:rsidRDefault="001F41D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2011</w:t>
            </w:r>
          </w:p>
        </w:tc>
        <w:tc>
          <w:tcPr>
            <w:tcW w:w="2140" w:type="dxa"/>
            <w:tcBorders>
              <w:top w:val="nil"/>
              <w:left w:val="nil"/>
              <w:bottom w:val="single" w:sz="4" w:space="0" w:color="auto"/>
              <w:right w:val="single" w:sz="4" w:space="0" w:color="auto"/>
            </w:tcBorders>
            <w:shd w:val="clear" w:color="auto" w:fill="auto"/>
            <w:noWrap/>
            <w:vAlign w:val="center"/>
            <w:hideMark/>
          </w:tcPr>
          <w:p w14:paraId="08782BD3" w14:textId="77777777" w:rsidR="001F41D4" w:rsidRPr="005D6F2E" w:rsidRDefault="001F41D4" w:rsidP="001F41D4">
            <w:pPr>
              <w:spacing w:after="0"/>
              <w:jc w:val="right"/>
              <w:rPr>
                <w:rFonts w:ascii="Calibri" w:eastAsia="Times New Roman" w:hAnsi="Calibri" w:cs="Times New Roman"/>
                <w:color w:val="000000"/>
                <w:sz w:val="20"/>
                <w:szCs w:val="20"/>
              </w:rPr>
            </w:pPr>
            <w:r w:rsidRPr="005D6F2E">
              <w:rPr>
                <w:sz w:val="20"/>
                <w:szCs w:val="20"/>
              </w:rPr>
              <w:t xml:space="preserve"> $51,100,477 </w:t>
            </w:r>
          </w:p>
        </w:tc>
      </w:tr>
      <w:tr w:rsidR="001F41D4" w:rsidRPr="005D6F2E" w14:paraId="6ED84B16" w14:textId="77777777" w:rsidTr="001F41D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EE0EE25" w14:textId="77777777" w:rsidR="001F41D4" w:rsidRPr="005D6F2E" w:rsidRDefault="001F41D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2012</w:t>
            </w:r>
          </w:p>
        </w:tc>
        <w:tc>
          <w:tcPr>
            <w:tcW w:w="2140" w:type="dxa"/>
            <w:tcBorders>
              <w:top w:val="nil"/>
              <w:left w:val="nil"/>
              <w:bottom w:val="single" w:sz="4" w:space="0" w:color="auto"/>
              <w:right w:val="single" w:sz="4" w:space="0" w:color="auto"/>
            </w:tcBorders>
            <w:shd w:val="clear" w:color="auto" w:fill="auto"/>
            <w:noWrap/>
            <w:vAlign w:val="center"/>
            <w:hideMark/>
          </w:tcPr>
          <w:p w14:paraId="161CEDB7" w14:textId="77777777" w:rsidR="001F41D4" w:rsidRPr="005D6F2E" w:rsidRDefault="001F41D4" w:rsidP="001F41D4">
            <w:pPr>
              <w:spacing w:after="0"/>
              <w:jc w:val="right"/>
              <w:rPr>
                <w:rFonts w:ascii="Calibri" w:eastAsia="Times New Roman" w:hAnsi="Calibri" w:cs="Times New Roman"/>
                <w:color w:val="000000"/>
                <w:sz w:val="20"/>
                <w:szCs w:val="20"/>
              </w:rPr>
            </w:pPr>
            <w:r w:rsidRPr="005D6F2E">
              <w:rPr>
                <w:sz w:val="20"/>
                <w:szCs w:val="20"/>
              </w:rPr>
              <w:t xml:space="preserve"> $58,120,201 </w:t>
            </w:r>
          </w:p>
        </w:tc>
      </w:tr>
      <w:tr w:rsidR="001F41D4" w:rsidRPr="005D6F2E" w14:paraId="78F89187" w14:textId="77777777" w:rsidTr="001F41D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AC58160" w14:textId="77777777" w:rsidR="001F41D4" w:rsidRPr="005D6F2E" w:rsidRDefault="001F41D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2013</w:t>
            </w:r>
          </w:p>
        </w:tc>
        <w:tc>
          <w:tcPr>
            <w:tcW w:w="2140" w:type="dxa"/>
            <w:tcBorders>
              <w:top w:val="nil"/>
              <w:left w:val="nil"/>
              <w:bottom w:val="single" w:sz="4" w:space="0" w:color="auto"/>
              <w:right w:val="single" w:sz="4" w:space="0" w:color="auto"/>
            </w:tcBorders>
            <w:shd w:val="clear" w:color="auto" w:fill="auto"/>
            <w:noWrap/>
            <w:vAlign w:val="center"/>
            <w:hideMark/>
          </w:tcPr>
          <w:p w14:paraId="06013FC8" w14:textId="77777777" w:rsidR="001F41D4" w:rsidRPr="005D6F2E" w:rsidRDefault="001F41D4" w:rsidP="001F41D4">
            <w:pPr>
              <w:spacing w:after="0"/>
              <w:jc w:val="right"/>
              <w:rPr>
                <w:rFonts w:ascii="Calibri" w:eastAsia="Times New Roman" w:hAnsi="Calibri" w:cs="Times New Roman"/>
                <w:color w:val="000000"/>
                <w:sz w:val="20"/>
                <w:szCs w:val="20"/>
              </w:rPr>
            </w:pPr>
            <w:r w:rsidRPr="005D6F2E">
              <w:rPr>
                <w:sz w:val="20"/>
                <w:szCs w:val="20"/>
              </w:rPr>
              <w:t xml:space="preserve"> $62,710,354 </w:t>
            </w:r>
          </w:p>
        </w:tc>
      </w:tr>
      <w:tr w:rsidR="001F41D4" w:rsidRPr="005D6F2E" w14:paraId="5D6A9DD4" w14:textId="77777777" w:rsidTr="001F41D4">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2F3D8E2" w14:textId="77777777" w:rsidR="001F41D4" w:rsidRPr="005D6F2E" w:rsidRDefault="001F41D4" w:rsidP="001F41D4">
            <w:pPr>
              <w:spacing w:after="0"/>
              <w:rPr>
                <w:rFonts w:ascii="Calibri" w:eastAsia="Times New Roman" w:hAnsi="Calibri" w:cs="Times New Roman"/>
                <w:color w:val="000000"/>
                <w:sz w:val="22"/>
                <w:szCs w:val="22"/>
              </w:rPr>
            </w:pPr>
            <w:r w:rsidRPr="005D6F2E">
              <w:rPr>
                <w:rFonts w:ascii="Calibri" w:eastAsia="Times New Roman" w:hAnsi="Calibri" w:cs="Times New Roman"/>
                <w:color w:val="000000"/>
                <w:sz w:val="22"/>
                <w:szCs w:val="22"/>
              </w:rPr>
              <w:t>2014*</w:t>
            </w:r>
          </w:p>
        </w:tc>
        <w:tc>
          <w:tcPr>
            <w:tcW w:w="2140" w:type="dxa"/>
            <w:tcBorders>
              <w:top w:val="nil"/>
              <w:left w:val="nil"/>
              <w:bottom w:val="single" w:sz="4" w:space="0" w:color="auto"/>
              <w:right w:val="single" w:sz="4" w:space="0" w:color="auto"/>
            </w:tcBorders>
            <w:shd w:val="clear" w:color="auto" w:fill="auto"/>
            <w:noWrap/>
            <w:vAlign w:val="center"/>
            <w:hideMark/>
          </w:tcPr>
          <w:p w14:paraId="0FD44513" w14:textId="77777777" w:rsidR="001F41D4" w:rsidRPr="005D6F2E" w:rsidRDefault="001F41D4" w:rsidP="001F41D4">
            <w:pPr>
              <w:spacing w:after="0"/>
              <w:jc w:val="right"/>
              <w:rPr>
                <w:rFonts w:ascii="Calibri" w:eastAsia="Times New Roman" w:hAnsi="Calibri" w:cs="Times New Roman"/>
                <w:color w:val="000000"/>
                <w:sz w:val="20"/>
                <w:szCs w:val="20"/>
              </w:rPr>
            </w:pPr>
            <w:r w:rsidRPr="005D6F2E">
              <w:rPr>
                <w:sz w:val="20"/>
                <w:szCs w:val="20"/>
              </w:rPr>
              <w:t xml:space="preserve"> $31,805,409 </w:t>
            </w:r>
          </w:p>
        </w:tc>
      </w:tr>
    </w:tbl>
    <w:p w14:paraId="4AC03661" w14:textId="2BBEB324" w:rsidR="001F41D4" w:rsidRDefault="001F41D4" w:rsidP="00A35800">
      <w:r w:rsidRPr="005D6F2E">
        <w:t xml:space="preserve">These figures are based on the date of supply. </w:t>
      </w:r>
      <w:r w:rsidRPr="005D6F2E">
        <w:br/>
        <w:t xml:space="preserve">*Note: the figure reported for 2014 is for the first six months of the year. These figures include some use for indications other than hepatitis </w:t>
      </w:r>
      <w:proofErr w:type="gramStart"/>
      <w:r w:rsidRPr="005D6F2E">
        <w:t>B,</w:t>
      </w:r>
      <w:proofErr w:type="gramEnd"/>
      <w:r w:rsidRPr="005D6F2E">
        <w:t xml:space="preserve"> however use of </w:t>
      </w:r>
      <w:proofErr w:type="spellStart"/>
      <w:r w:rsidRPr="005D6F2E">
        <w:t>tenofovir</w:t>
      </w:r>
      <w:proofErr w:type="spellEnd"/>
      <w:r w:rsidRPr="005D6F2E">
        <w:t xml:space="preserve"> prior to its listing on 1 December 2009 has been excluded (see </w:t>
      </w:r>
      <w:r w:rsidR="00774ED0">
        <w:t>Figure 1</w:t>
      </w:r>
      <w:r w:rsidRPr="005D6F2E">
        <w:fldChar w:fldCharType="begin"/>
      </w:r>
      <w:r w:rsidRPr="005D6F2E">
        <w:instrText xml:space="preserve"> REF _Ref405974280 \h </w:instrText>
      </w:r>
      <w:r>
        <w:instrText xml:space="preserve"> \* MERGEFORMAT </w:instrText>
      </w:r>
      <w:r w:rsidRPr="005D6F2E">
        <w:fldChar w:fldCharType="separate"/>
      </w:r>
      <w:r w:rsidR="0015162B" w:rsidRPr="005D6F2E">
        <w:t xml:space="preserve">Figure </w:t>
      </w:r>
      <w:r w:rsidR="0015162B">
        <w:rPr>
          <w:noProof/>
        </w:rPr>
        <w:t>1</w:t>
      </w:r>
      <w:r w:rsidRPr="005D6F2E">
        <w:fldChar w:fldCharType="end"/>
      </w:r>
      <w:r w:rsidRPr="005D6F2E">
        <w:t xml:space="preserve"> for more information).</w:t>
      </w:r>
    </w:p>
    <w:p w14:paraId="5F22B4D8" w14:textId="319090EA" w:rsidR="00736041" w:rsidRPr="005E22C2" w:rsidRDefault="00D151EB" w:rsidP="00E55D60">
      <w:pPr>
        <w:pStyle w:val="Heading4"/>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661E12F9" w14:textId="77777777" w:rsidR="001F41D4" w:rsidRDefault="001F41D4" w:rsidP="00A35800">
      <w:r w:rsidRPr="005D6F2E">
        <w:t>As the most recent new listing for hepatitis B occurred five years ago (December 2009) a predicted versus actual comparison is out of scope for this analysis.</w:t>
      </w:r>
    </w:p>
    <w:p w14:paraId="3555DFBA" w14:textId="60E8E761" w:rsidR="00591512" w:rsidRDefault="00AB3733" w:rsidP="00FD13CD">
      <w:pPr>
        <w:pStyle w:val="Heading3"/>
      </w:pPr>
      <w:r>
        <w:t>D</w:t>
      </w:r>
      <w:r w:rsidR="007346C7" w:rsidRPr="005E22C2">
        <w:t>iscussion</w:t>
      </w:r>
    </w:p>
    <w:p w14:paraId="516036FD" w14:textId="3792767F" w:rsidR="00D72000" w:rsidRDefault="00675812" w:rsidP="00675812">
      <w:r w:rsidRPr="005D6F2E">
        <w:t>The use of hepatitis B medicines is increasing with time. The population rate of diagnosis of hepatitis B infection in Australia declined slightly from 33.8 per 100,000 population in 2009 to 30.9 in 2013</w:t>
      </w:r>
      <w:r w:rsidR="004C7C9E" w:rsidRPr="004C7C9E">
        <w:rPr>
          <w:vertAlign w:val="superscript"/>
        </w:rPr>
        <w:fldChar w:fldCharType="begin"/>
      </w:r>
      <w:r w:rsidR="004C7C9E" w:rsidRPr="004C7C9E">
        <w:rPr>
          <w:vertAlign w:val="superscript"/>
        </w:rPr>
        <w:instrText xml:space="preserve"> NOTEREF _Ref420594399 \h </w:instrText>
      </w:r>
      <w:r w:rsidR="004C7C9E">
        <w:rPr>
          <w:vertAlign w:val="superscript"/>
        </w:rPr>
        <w:instrText xml:space="preserve"> \* MERGEFORMAT </w:instrText>
      </w:r>
      <w:r w:rsidR="004C7C9E" w:rsidRPr="004C7C9E">
        <w:rPr>
          <w:vertAlign w:val="superscript"/>
        </w:rPr>
      </w:r>
      <w:r w:rsidR="004C7C9E" w:rsidRPr="004C7C9E">
        <w:rPr>
          <w:vertAlign w:val="superscript"/>
        </w:rPr>
        <w:fldChar w:fldCharType="separate"/>
      </w:r>
      <w:r w:rsidR="0015162B">
        <w:rPr>
          <w:vertAlign w:val="superscript"/>
        </w:rPr>
        <w:t>5</w:t>
      </w:r>
      <w:r w:rsidR="004C7C9E" w:rsidRPr="004C7C9E">
        <w:rPr>
          <w:vertAlign w:val="superscript"/>
        </w:rPr>
        <w:fldChar w:fldCharType="end"/>
      </w:r>
      <w:r w:rsidRPr="005D6F2E">
        <w:t xml:space="preserve">, which suggests the diagnosed prevalence may be fairly stable. </w:t>
      </w:r>
      <w:r w:rsidR="00A06BD0">
        <w:t xml:space="preserve">The </w:t>
      </w:r>
      <w:r w:rsidR="008C57BE" w:rsidRPr="00EB44B6">
        <w:t xml:space="preserve">DUSC agreed that the growth in the use of hepatitis B medicines is likely being driven by the introduction of newer drugs with lower rates of resistance, the use of combination treatment and patients being able to be treated with these drugs for a longer duration. </w:t>
      </w:r>
      <w:r w:rsidR="00492D55">
        <w:t xml:space="preserve">The </w:t>
      </w:r>
      <w:r w:rsidR="008C57BE" w:rsidRPr="00EB44B6">
        <w:t>DUSC also considered that increased testing, in accordance with national guidelines, could increase detection, diagnosis and treatment in the future. DUSC noted that an estimated 45 per cent of prevalent patients are undiagnosed and that it is likely these patients have not shown any symptoms and m</w:t>
      </w:r>
      <w:r w:rsidR="008C57BE">
        <w:t xml:space="preserve">ay be diagnosed in the future. </w:t>
      </w:r>
    </w:p>
    <w:p w14:paraId="736D51B2" w14:textId="20218ED4" w:rsidR="0014500B" w:rsidRPr="00294FFC" w:rsidRDefault="0014500B" w:rsidP="00294FFC">
      <w:r w:rsidRPr="00294FFC">
        <w:t xml:space="preserve">To estimate future patterns of use, </w:t>
      </w:r>
      <w:r w:rsidR="00ED41B9">
        <w:t xml:space="preserve">the </w:t>
      </w:r>
      <w:r w:rsidRPr="00294FFC">
        <w:t xml:space="preserve">DUSC considered it would be informative to know more about the history of the epidemiology of hepatitis B and whether the diagnosis rate has changed over time. However, future treated prevalence of hepatitis B in Australia will </w:t>
      </w:r>
      <w:r w:rsidRPr="00294FFC">
        <w:lastRenderedPageBreak/>
        <w:t xml:space="preserve">be influenced by a number of factors, including the patterns of immigration from endemic countries, levels of testing and access to accredited prescribers. </w:t>
      </w:r>
    </w:p>
    <w:p w14:paraId="43E41FDC" w14:textId="4777844E" w:rsidR="0014500B" w:rsidRPr="00294FFC" w:rsidRDefault="00DA5626" w:rsidP="00294FFC">
      <w:r>
        <w:t xml:space="preserve">The </w:t>
      </w:r>
      <w:r w:rsidR="0014500B" w:rsidRPr="00294FFC">
        <w:t>DUSC considered the PBS restrictions provide flexibility for prescribers to choose the best treatment for their patient.</w:t>
      </w:r>
    </w:p>
    <w:p w14:paraId="3A74B465" w14:textId="5C201DBF" w:rsidR="007346C7" w:rsidRDefault="00957837" w:rsidP="00FD13CD">
      <w:pPr>
        <w:pStyle w:val="Heading3"/>
      </w:pPr>
      <w:r>
        <w:t>DUSC actions</w:t>
      </w:r>
    </w:p>
    <w:p w14:paraId="729D0472" w14:textId="77777777" w:rsidR="00675812" w:rsidRPr="00294FFC" w:rsidRDefault="00675812" w:rsidP="00675812">
      <w:pPr>
        <w:pStyle w:val="PBACBullets"/>
        <w:rPr>
          <w:sz w:val="24"/>
          <w:szCs w:val="24"/>
        </w:rPr>
      </w:pPr>
      <w:r w:rsidRPr="00294FFC">
        <w:rPr>
          <w:sz w:val="24"/>
          <w:szCs w:val="24"/>
        </w:rPr>
        <w:t>The DUSC referred the report to the PBAC for information.</w:t>
      </w:r>
    </w:p>
    <w:p w14:paraId="75A03124" w14:textId="77777777" w:rsidR="001B50CA" w:rsidRPr="0092516A" w:rsidRDefault="001B50CA" w:rsidP="00FD13CD">
      <w:pPr>
        <w:pStyle w:val="Heading3"/>
      </w:pPr>
      <w:r w:rsidRPr="0092516A">
        <w:t>Context for analysis</w:t>
      </w:r>
    </w:p>
    <w:p w14:paraId="1D8A2B2A" w14:textId="77777777" w:rsidR="001B50CA" w:rsidRPr="00241E48" w:rsidRDefault="001B50CA" w:rsidP="001B50CA">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14:paraId="58A6B21D" w14:textId="77777777" w:rsidR="001B50CA" w:rsidRPr="00241E48" w:rsidRDefault="001B50CA" w:rsidP="001B50CA">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E0BE3CC" w14:textId="77777777" w:rsidR="001B50CA" w:rsidRDefault="001B50CA" w:rsidP="001B50CA">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2A85FF2" w14:textId="77777777" w:rsidR="00C75822" w:rsidRDefault="00C75822" w:rsidP="00C75822">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14:paraId="44EFDCE9" w14:textId="77777777" w:rsidR="003529E0" w:rsidRDefault="003529E0" w:rsidP="00FD13CD">
      <w:pPr>
        <w:pStyle w:val="Heading3"/>
      </w:pPr>
      <w:r>
        <w:t>Sponsor</w:t>
      </w:r>
      <w:r w:rsidRPr="0092516A">
        <w:t>s</w:t>
      </w:r>
      <w:r>
        <w:t>’</w:t>
      </w:r>
      <w:r w:rsidRPr="0092516A">
        <w:t xml:space="preserve"> comments</w:t>
      </w:r>
    </w:p>
    <w:p w14:paraId="5E13FF25" w14:textId="77777777" w:rsidR="00E86A15" w:rsidRDefault="00E86A15" w:rsidP="00E86A15">
      <w:pPr>
        <w:spacing w:after="0"/>
      </w:pPr>
      <w:proofErr w:type="spellStart"/>
      <w:r w:rsidRPr="00E86A15">
        <w:t>Alphapharm</w:t>
      </w:r>
      <w:proofErr w:type="spellEnd"/>
      <w:r w:rsidRPr="00E86A15">
        <w:t xml:space="preserve"> Pty Ltd</w:t>
      </w:r>
    </w:p>
    <w:p w14:paraId="1177B8C4" w14:textId="681DCAB7" w:rsidR="00E86A15" w:rsidRDefault="001725DD" w:rsidP="00E86A15">
      <w:pPr>
        <w:spacing w:after="0"/>
      </w:pPr>
      <w:r w:rsidRPr="001725DD">
        <w:t>Aspen Pharma Pty Ltd</w:t>
      </w:r>
    </w:p>
    <w:p w14:paraId="59F6B2BC" w14:textId="4D2295F8" w:rsidR="001725DD" w:rsidRDefault="001725DD" w:rsidP="00E86A15">
      <w:pPr>
        <w:spacing w:after="0"/>
      </w:pPr>
      <w:proofErr w:type="spellStart"/>
      <w:r w:rsidRPr="001725DD">
        <w:t>Apotex</w:t>
      </w:r>
      <w:proofErr w:type="spellEnd"/>
      <w:r w:rsidRPr="001725DD">
        <w:t xml:space="preserve"> Pty Ltd</w:t>
      </w:r>
    </w:p>
    <w:p w14:paraId="42E01AAB" w14:textId="569D6E0A" w:rsidR="001725DD" w:rsidRDefault="008E597A" w:rsidP="00E86A15">
      <w:pPr>
        <w:spacing w:after="0"/>
      </w:pPr>
      <w:r w:rsidRPr="008E597A">
        <w:t>Bristol-Myers Squibb Australia Pty Ltd</w:t>
      </w:r>
    </w:p>
    <w:p w14:paraId="70936BCB" w14:textId="46FA271A" w:rsidR="008E597A" w:rsidRDefault="008E597A" w:rsidP="00E86A15">
      <w:pPr>
        <w:spacing w:after="0"/>
      </w:pPr>
      <w:r w:rsidRPr="008E597A">
        <w:t xml:space="preserve">Merck Sharp &amp; </w:t>
      </w:r>
      <w:proofErr w:type="spellStart"/>
      <w:r w:rsidRPr="008E597A">
        <w:t>Dohme</w:t>
      </w:r>
      <w:proofErr w:type="spellEnd"/>
      <w:r w:rsidRPr="008E597A">
        <w:t xml:space="preserve"> (Australia) Pty Ltd</w:t>
      </w:r>
    </w:p>
    <w:p w14:paraId="05BAE68B" w14:textId="3AFD27C8" w:rsidR="008E597A" w:rsidRDefault="001F7C68" w:rsidP="00E86A15">
      <w:pPr>
        <w:spacing w:after="0"/>
      </w:pPr>
      <w:r w:rsidRPr="001F7C68">
        <w:t>Novartis Pharmaceuticals Australia Pty Limited</w:t>
      </w:r>
    </w:p>
    <w:p w14:paraId="61F42A89" w14:textId="6E725BAA" w:rsidR="001B1A3A" w:rsidRDefault="001B1A3A" w:rsidP="00E86A15">
      <w:pPr>
        <w:spacing w:after="0"/>
      </w:pPr>
      <w:r w:rsidRPr="001B1A3A">
        <w:t>Roche Products Pty Ltd</w:t>
      </w:r>
    </w:p>
    <w:p w14:paraId="27FF3524" w14:textId="77777777" w:rsidR="00E83681" w:rsidRDefault="00E83681" w:rsidP="00E86A15">
      <w:pPr>
        <w:spacing w:after="0"/>
      </w:pPr>
    </w:p>
    <w:p w14:paraId="04A668B1" w14:textId="7F0B1421" w:rsidR="00E83681" w:rsidRDefault="00E83681" w:rsidP="00E86A15">
      <w:pPr>
        <w:spacing w:after="0"/>
      </w:pPr>
      <w:r>
        <w:t>The sponsors have no comment.</w:t>
      </w:r>
    </w:p>
    <w:p w14:paraId="5F28ABC9" w14:textId="4030213B" w:rsidR="00ED69B1" w:rsidRPr="00E86A15" w:rsidRDefault="00ED69B1">
      <w:pPr>
        <w:spacing w:line="276" w:lineRule="auto"/>
      </w:pPr>
      <w:r>
        <w:br w:type="page"/>
      </w:r>
    </w:p>
    <w:p w14:paraId="016AE134" w14:textId="2E69D63F" w:rsidR="002C6E0C" w:rsidRDefault="002C6E0C" w:rsidP="001B4788">
      <w:pPr>
        <w:pStyle w:val="Heading3"/>
      </w:pPr>
      <w:r>
        <w:lastRenderedPageBreak/>
        <w:t>Appendi</w:t>
      </w:r>
      <w:r w:rsidR="00C30B32">
        <w:t>x A</w:t>
      </w:r>
    </w:p>
    <w:p w14:paraId="3369C895" w14:textId="77777777" w:rsidR="00757713" w:rsidRPr="005D6F2E" w:rsidRDefault="00757713" w:rsidP="00757713">
      <w:pPr>
        <w:pStyle w:val="Heading4"/>
      </w:pPr>
      <w:r w:rsidRPr="005D6F2E">
        <w:t>PBS listing details (as at 1 November 2014)</w:t>
      </w:r>
    </w:p>
    <w:p w14:paraId="7C40D8E3" w14:textId="0D806AF2" w:rsidR="00757713" w:rsidRPr="005D6F2E" w:rsidRDefault="00757713" w:rsidP="00294FFC">
      <w:pPr>
        <w:pStyle w:val="Tableheading"/>
      </w:pPr>
      <w:r w:rsidRPr="005D6F2E">
        <w:t xml:space="preserve">Table </w:t>
      </w:r>
      <w:r w:rsidR="00774ED0">
        <w:t>7</w:t>
      </w:r>
      <w:r w:rsidRPr="005D6F2E">
        <w:t>: PBS listing of medicines to treat hepatitis B</w:t>
      </w:r>
    </w:p>
    <w:tbl>
      <w:tblPr>
        <w:tblW w:w="9380" w:type="dxa"/>
        <w:tblInd w:w="93" w:type="dxa"/>
        <w:tblLook w:val="04A0" w:firstRow="1" w:lastRow="0" w:firstColumn="1" w:lastColumn="0" w:noHBand="0" w:noVBand="1"/>
      </w:tblPr>
      <w:tblGrid>
        <w:gridCol w:w="800"/>
        <w:gridCol w:w="2642"/>
        <w:gridCol w:w="950"/>
        <w:gridCol w:w="941"/>
        <w:gridCol w:w="1026"/>
        <w:gridCol w:w="3021"/>
      </w:tblGrid>
      <w:tr w:rsidR="00757713" w:rsidRPr="005D6F2E" w14:paraId="7912DDBB" w14:textId="77777777" w:rsidTr="00B935C3">
        <w:trPr>
          <w:trHeight w:val="690"/>
        </w:trPr>
        <w:tc>
          <w:tcPr>
            <w:tcW w:w="8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ECD77B8" w14:textId="77777777" w:rsidR="00757713" w:rsidRPr="005D6F2E" w:rsidRDefault="00757713" w:rsidP="00B935C3">
            <w:pPr>
              <w:spacing w:after="0"/>
              <w:jc w:val="center"/>
              <w:rPr>
                <w:rFonts w:ascii="Calibri" w:eastAsia="Times New Roman" w:hAnsi="Calibri" w:cs="Times New Roman"/>
                <w:b/>
                <w:bCs/>
                <w:color w:val="000000"/>
                <w:sz w:val="20"/>
                <w:szCs w:val="20"/>
              </w:rPr>
            </w:pPr>
            <w:r w:rsidRPr="005D6F2E">
              <w:rPr>
                <w:rFonts w:ascii="Calibri" w:eastAsia="Times New Roman" w:hAnsi="Calibri" w:cs="Times New Roman"/>
                <w:b/>
                <w:bCs/>
                <w:color w:val="000000"/>
                <w:sz w:val="20"/>
                <w:szCs w:val="20"/>
              </w:rPr>
              <w:t>Item</w:t>
            </w:r>
          </w:p>
        </w:tc>
        <w:tc>
          <w:tcPr>
            <w:tcW w:w="2642" w:type="dxa"/>
            <w:tcBorders>
              <w:top w:val="single" w:sz="8" w:space="0" w:color="auto"/>
              <w:left w:val="nil"/>
              <w:bottom w:val="single" w:sz="8" w:space="0" w:color="auto"/>
              <w:right w:val="single" w:sz="8" w:space="0" w:color="auto"/>
            </w:tcBorders>
            <w:shd w:val="clear" w:color="000000" w:fill="BFBFBF"/>
            <w:vAlign w:val="center"/>
            <w:hideMark/>
          </w:tcPr>
          <w:p w14:paraId="0B76C668" w14:textId="77777777" w:rsidR="00757713" w:rsidRPr="005D6F2E" w:rsidRDefault="00757713" w:rsidP="00B935C3">
            <w:pPr>
              <w:spacing w:after="0"/>
              <w:jc w:val="center"/>
              <w:rPr>
                <w:rFonts w:ascii="Calibri" w:eastAsia="Times New Roman" w:hAnsi="Calibri" w:cs="Times New Roman"/>
                <w:b/>
                <w:bCs/>
                <w:color w:val="000000"/>
                <w:sz w:val="20"/>
                <w:szCs w:val="20"/>
              </w:rPr>
            </w:pPr>
            <w:r w:rsidRPr="005D6F2E">
              <w:rPr>
                <w:rFonts w:ascii="Calibri" w:eastAsia="Times New Roman" w:hAnsi="Calibri" w:cs="Times New Roman"/>
                <w:b/>
                <w:bCs/>
                <w:color w:val="000000"/>
                <w:sz w:val="20"/>
                <w:szCs w:val="20"/>
              </w:rPr>
              <w:t>Name, form &amp; strength, pack size</w:t>
            </w:r>
          </w:p>
        </w:tc>
        <w:tc>
          <w:tcPr>
            <w:tcW w:w="950" w:type="dxa"/>
            <w:tcBorders>
              <w:top w:val="single" w:sz="8" w:space="0" w:color="auto"/>
              <w:left w:val="nil"/>
              <w:bottom w:val="single" w:sz="8" w:space="0" w:color="auto"/>
              <w:right w:val="single" w:sz="8" w:space="0" w:color="auto"/>
            </w:tcBorders>
            <w:shd w:val="clear" w:color="000000" w:fill="BFBFBF"/>
            <w:vAlign w:val="center"/>
            <w:hideMark/>
          </w:tcPr>
          <w:p w14:paraId="66A64138" w14:textId="77777777" w:rsidR="00757713" w:rsidRPr="005D6F2E" w:rsidRDefault="00757713" w:rsidP="00B935C3">
            <w:pPr>
              <w:spacing w:after="0"/>
              <w:jc w:val="center"/>
              <w:rPr>
                <w:rFonts w:ascii="Calibri" w:eastAsia="Times New Roman" w:hAnsi="Calibri" w:cs="Times New Roman"/>
                <w:b/>
                <w:bCs/>
                <w:color w:val="000000"/>
                <w:sz w:val="20"/>
                <w:szCs w:val="20"/>
              </w:rPr>
            </w:pPr>
            <w:r w:rsidRPr="005D6F2E">
              <w:rPr>
                <w:rFonts w:ascii="Calibri" w:eastAsia="Times New Roman" w:hAnsi="Calibri" w:cs="Times New Roman"/>
                <w:b/>
                <w:bCs/>
                <w:color w:val="000000"/>
                <w:sz w:val="20"/>
                <w:szCs w:val="20"/>
              </w:rPr>
              <w:t xml:space="preserve">Max. quant. </w:t>
            </w:r>
          </w:p>
        </w:tc>
        <w:tc>
          <w:tcPr>
            <w:tcW w:w="941" w:type="dxa"/>
            <w:tcBorders>
              <w:top w:val="single" w:sz="8" w:space="0" w:color="auto"/>
              <w:left w:val="nil"/>
              <w:bottom w:val="single" w:sz="8" w:space="0" w:color="auto"/>
              <w:right w:val="single" w:sz="8" w:space="0" w:color="auto"/>
            </w:tcBorders>
            <w:shd w:val="clear" w:color="000000" w:fill="BFBFBF"/>
            <w:vAlign w:val="center"/>
            <w:hideMark/>
          </w:tcPr>
          <w:p w14:paraId="1320FF73" w14:textId="77777777" w:rsidR="00757713" w:rsidRPr="005D6F2E" w:rsidRDefault="00757713" w:rsidP="00B935C3">
            <w:pPr>
              <w:spacing w:after="0"/>
              <w:jc w:val="center"/>
              <w:rPr>
                <w:rFonts w:ascii="Calibri" w:eastAsia="Times New Roman" w:hAnsi="Calibri" w:cs="Times New Roman"/>
                <w:b/>
                <w:bCs/>
                <w:color w:val="000000"/>
                <w:sz w:val="20"/>
                <w:szCs w:val="20"/>
              </w:rPr>
            </w:pPr>
            <w:proofErr w:type="spellStart"/>
            <w:r w:rsidRPr="005D6F2E">
              <w:rPr>
                <w:rFonts w:ascii="Calibri" w:eastAsia="Times New Roman" w:hAnsi="Calibri" w:cs="Times New Roman"/>
                <w:b/>
                <w:bCs/>
                <w:color w:val="000000"/>
                <w:sz w:val="20"/>
                <w:szCs w:val="20"/>
              </w:rPr>
              <w:t>Rpts</w:t>
            </w:r>
            <w:proofErr w:type="spellEnd"/>
            <w:r w:rsidRPr="005D6F2E">
              <w:rPr>
                <w:rFonts w:ascii="Calibri" w:eastAsia="Times New Roman" w:hAnsi="Calibri" w:cs="Times New Roman"/>
                <w:b/>
                <w:bCs/>
                <w:color w:val="000000"/>
                <w:sz w:val="20"/>
                <w:szCs w:val="20"/>
              </w:rPr>
              <w:t xml:space="preserve"> </w:t>
            </w:r>
          </w:p>
        </w:tc>
        <w:tc>
          <w:tcPr>
            <w:tcW w:w="1026" w:type="dxa"/>
            <w:tcBorders>
              <w:top w:val="single" w:sz="8" w:space="0" w:color="auto"/>
              <w:left w:val="nil"/>
              <w:bottom w:val="single" w:sz="8" w:space="0" w:color="auto"/>
              <w:right w:val="single" w:sz="8" w:space="0" w:color="auto"/>
            </w:tcBorders>
            <w:shd w:val="clear" w:color="000000" w:fill="BFBFBF"/>
            <w:vAlign w:val="center"/>
            <w:hideMark/>
          </w:tcPr>
          <w:p w14:paraId="73F4AD26" w14:textId="77777777" w:rsidR="00757713" w:rsidRPr="005D6F2E" w:rsidRDefault="00757713" w:rsidP="00B935C3">
            <w:pPr>
              <w:spacing w:after="0"/>
              <w:jc w:val="center"/>
              <w:rPr>
                <w:rFonts w:ascii="Calibri" w:eastAsia="Times New Roman" w:hAnsi="Calibri" w:cs="Times New Roman"/>
                <w:b/>
                <w:bCs/>
                <w:color w:val="000000"/>
                <w:sz w:val="20"/>
                <w:szCs w:val="20"/>
              </w:rPr>
            </w:pPr>
            <w:r w:rsidRPr="005D6F2E">
              <w:rPr>
                <w:rFonts w:ascii="Calibri" w:eastAsia="Times New Roman" w:hAnsi="Calibri" w:cs="Times New Roman"/>
                <w:b/>
                <w:bCs/>
                <w:color w:val="000000"/>
                <w:sz w:val="20"/>
                <w:szCs w:val="20"/>
              </w:rPr>
              <w:t>DPMQ</w:t>
            </w:r>
          </w:p>
        </w:tc>
        <w:tc>
          <w:tcPr>
            <w:tcW w:w="3021" w:type="dxa"/>
            <w:tcBorders>
              <w:top w:val="single" w:sz="8" w:space="0" w:color="auto"/>
              <w:left w:val="nil"/>
              <w:bottom w:val="single" w:sz="8" w:space="0" w:color="auto"/>
              <w:right w:val="single" w:sz="8" w:space="0" w:color="auto"/>
            </w:tcBorders>
            <w:shd w:val="clear" w:color="000000" w:fill="BFBFBF"/>
            <w:vAlign w:val="center"/>
            <w:hideMark/>
          </w:tcPr>
          <w:p w14:paraId="0CA38ADC" w14:textId="77777777" w:rsidR="00757713" w:rsidRPr="005D6F2E" w:rsidRDefault="00757713" w:rsidP="00B935C3">
            <w:pPr>
              <w:spacing w:after="0"/>
              <w:jc w:val="center"/>
              <w:rPr>
                <w:rFonts w:ascii="Calibri" w:eastAsia="Times New Roman" w:hAnsi="Calibri" w:cs="Times New Roman"/>
                <w:b/>
                <w:bCs/>
                <w:color w:val="000000"/>
                <w:sz w:val="20"/>
                <w:szCs w:val="20"/>
              </w:rPr>
            </w:pPr>
            <w:r w:rsidRPr="005D6F2E">
              <w:rPr>
                <w:rFonts w:ascii="Calibri" w:eastAsia="Times New Roman" w:hAnsi="Calibri" w:cs="Times New Roman"/>
                <w:b/>
                <w:bCs/>
                <w:color w:val="000000"/>
                <w:sz w:val="20"/>
                <w:szCs w:val="20"/>
              </w:rPr>
              <w:t>Brand name and manufacturer</w:t>
            </w:r>
          </w:p>
        </w:tc>
      </w:tr>
      <w:tr w:rsidR="00757713" w:rsidRPr="005D6F2E" w14:paraId="0A36C217"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63D13788"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5770Q</w:t>
            </w:r>
          </w:p>
        </w:tc>
        <w:tc>
          <w:tcPr>
            <w:tcW w:w="2642" w:type="dxa"/>
            <w:tcBorders>
              <w:top w:val="nil"/>
              <w:left w:val="nil"/>
              <w:bottom w:val="single" w:sz="8" w:space="0" w:color="auto"/>
              <w:right w:val="single" w:sz="8" w:space="0" w:color="auto"/>
            </w:tcBorders>
            <w:shd w:val="clear" w:color="auto" w:fill="auto"/>
            <w:vAlign w:val="center"/>
            <w:hideMark/>
          </w:tcPr>
          <w:p w14:paraId="6C4C4C1F"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LAMIVUDINE</w:t>
            </w:r>
            <w:r w:rsidRPr="005D6F2E">
              <w:rPr>
                <w:rFonts w:ascii="Calibri" w:eastAsia="Times New Roman" w:hAnsi="Calibri" w:cs="Times New Roman"/>
                <w:color w:val="000000"/>
                <w:sz w:val="20"/>
                <w:szCs w:val="20"/>
              </w:rPr>
              <w:br/>
              <w:t>100 mg tablet, 28</w:t>
            </w:r>
          </w:p>
        </w:tc>
        <w:tc>
          <w:tcPr>
            <w:tcW w:w="950" w:type="dxa"/>
            <w:tcBorders>
              <w:top w:val="nil"/>
              <w:left w:val="nil"/>
              <w:bottom w:val="single" w:sz="8" w:space="0" w:color="auto"/>
              <w:right w:val="single" w:sz="8" w:space="0" w:color="auto"/>
            </w:tcBorders>
            <w:shd w:val="clear" w:color="auto" w:fill="auto"/>
            <w:vAlign w:val="center"/>
            <w:hideMark/>
          </w:tcPr>
          <w:p w14:paraId="46113ACC"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1E096F6A"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6B03FE09"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$162.44</w:t>
            </w:r>
          </w:p>
        </w:tc>
        <w:tc>
          <w:tcPr>
            <w:tcW w:w="3021" w:type="dxa"/>
            <w:vMerge w:val="restart"/>
            <w:tcBorders>
              <w:top w:val="nil"/>
              <w:left w:val="single" w:sz="8" w:space="0" w:color="auto"/>
              <w:bottom w:val="single" w:sz="8" w:space="0" w:color="000000"/>
              <w:right w:val="single" w:sz="8" w:space="0" w:color="auto"/>
            </w:tcBorders>
            <w:shd w:val="clear" w:color="auto" w:fill="auto"/>
            <w:vAlign w:val="center"/>
            <w:hideMark/>
          </w:tcPr>
          <w:p w14:paraId="133598E2" w14:textId="77777777" w:rsidR="00757713" w:rsidRPr="005D6F2E" w:rsidRDefault="00757713" w:rsidP="00B935C3">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Zeffix</w:t>
            </w:r>
            <w:proofErr w:type="spellEnd"/>
            <w:r w:rsidRPr="005D6F2E">
              <w:rPr>
                <w:rFonts w:ascii="Calibri" w:eastAsia="Times New Roman" w:hAnsi="Calibri" w:cs="Times New Roman"/>
                <w:color w:val="000000"/>
                <w:sz w:val="20"/>
                <w:szCs w:val="20"/>
              </w:rPr>
              <w:t xml:space="preserve"> (Aspen </w:t>
            </w:r>
            <w:proofErr w:type="spellStart"/>
            <w:r w:rsidRPr="005D6F2E">
              <w:rPr>
                <w:rFonts w:ascii="Calibri" w:eastAsia="Times New Roman" w:hAnsi="Calibri" w:cs="Times New Roman"/>
                <w:color w:val="000000"/>
                <w:sz w:val="20"/>
                <w:szCs w:val="20"/>
              </w:rPr>
              <w:t>Pharmacare</w:t>
            </w:r>
            <w:proofErr w:type="spellEnd"/>
            <w:r w:rsidRPr="005D6F2E">
              <w:rPr>
                <w:rFonts w:ascii="Calibri" w:eastAsia="Times New Roman" w:hAnsi="Calibri" w:cs="Times New Roman"/>
                <w:color w:val="000000"/>
                <w:sz w:val="20"/>
                <w:szCs w:val="20"/>
              </w:rPr>
              <w:t xml:space="preserve"> Australia Pty Limited)</w:t>
            </w:r>
            <w:r w:rsidRPr="005D6F2E">
              <w:rPr>
                <w:rFonts w:ascii="Calibri" w:eastAsia="Times New Roman" w:hAnsi="Calibri" w:cs="Times New Roman"/>
                <w:color w:val="000000"/>
                <w:sz w:val="20"/>
                <w:szCs w:val="20"/>
              </w:rPr>
              <w:br/>
            </w:r>
            <w:r w:rsidRPr="005D6F2E">
              <w:rPr>
                <w:rFonts w:ascii="Calibri" w:eastAsia="Times New Roman" w:hAnsi="Calibri" w:cs="Times New Roman"/>
                <w:color w:val="000000"/>
                <w:sz w:val="20"/>
                <w:szCs w:val="20"/>
              </w:rPr>
              <w:br/>
            </w:r>
            <w:proofErr w:type="spellStart"/>
            <w:r w:rsidRPr="005D6F2E">
              <w:rPr>
                <w:rFonts w:ascii="Calibri" w:eastAsia="Times New Roman" w:hAnsi="Calibri" w:cs="Times New Roman"/>
                <w:color w:val="000000"/>
                <w:sz w:val="20"/>
                <w:szCs w:val="20"/>
              </w:rPr>
              <w:t>Zetlam</w:t>
            </w:r>
            <w:proofErr w:type="spellEnd"/>
            <w:r w:rsidRPr="005D6F2E">
              <w:rPr>
                <w:rFonts w:ascii="Calibri" w:eastAsia="Times New Roman" w:hAnsi="Calibri" w:cs="Times New Roman"/>
                <w:color w:val="000000"/>
                <w:sz w:val="20"/>
                <w:szCs w:val="20"/>
              </w:rPr>
              <w:br/>
              <w:t>(</w:t>
            </w:r>
            <w:proofErr w:type="spellStart"/>
            <w:r w:rsidRPr="005D6F2E">
              <w:rPr>
                <w:rFonts w:ascii="Calibri" w:eastAsia="Times New Roman" w:hAnsi="Calibri" w:cs="Times New Roman"/>
                <w:color w:val="000000"/>
                <w:sz w:val="20"/>
                <w:szCs w:val="20"/>
              </w:rPr>
              <w:t>Alphapharm</w:t>
            </w:r>
            <w:proofErr w:type="spellEnd"/>
            <w:r w:rsidRPr="005D6F2E">
              <w:rPr>
                <w:rFonts w:ascii="Calibri" w:eastAsia="Times New Roman" w:hAnsi="Calibri" w:cs="Times New Roman"/>
                <w:color w:val="000000"/>
                <w:sz w:val="20"/>
                <w:szCs w:val="20"/>
              </w:rPr>
              <w:t xml:space="preserve"> Pty Ltd)</w:t>
            </w:r>
          </w:p>
        </w:tc>
      </w:tr>
      <w:tr w:rsidR="00757713" w:rsidRPr="005D6F2E" w14:paraId="4B24AD9B"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71C0915E"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6257H</w:t>
            </w:r>
          </w:p>
        </w:tc>
        <w:tc>
          <w:tcPr>
            <w:tcW w:w="2642" w:type="dxa"/>
            <w:tcBorders>
              <w:top w:val="nil"/>
              <w:left w:val="nil"/>
              <w:bottom w:val="single" w:sz="8" w:space="0" w:color="auto"/>
              <w:right w:val="single" w:sz="8" w:space="0" w:color="auto"/>
            </w:tcBorders>
            <w:shd w:val="clear" w:color="auto" w:fill="auto"/>
            <w:vAlign w:val="center"/>
            <w:hideMark/>
          </w:tcPr>
          <w:p w14:paraId="0395B904"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LAMIVUDINE</w:t>
            </w:r>
            <w:r w:rsidRPr="005D6F2E">
              <w:rPr>
                <w:rFonts w:ascii="Calibri" w:eastAsia="Times New Roman" w:hAnsi="Calibri" w:cs="Times New Roman"/>
                <w:color w:val="000000"/>
                <w:sz w:val="20"/>
                <w:szCs w:val="20"/>
              </w:rPr>
              <w:br/>
              <w:t>100 mg tablet, 28</w:t>
            </w:r>
          </w:p>
        </w:tc>
        <w:tc>
          <w:tcPr>
            <w:tcW w:w="950" w:type="dxa"/>
            <w:tcBorders>
              <w:top w:val="nil"/>
              <w:left w:val="nil"/>
              <w:bottom w:val="single" w:sz="8" w:space="0" w:color="auto"/>
              <w:right w:val="single" w:sz="8" w:space="0" w:color="auto"/>
            </w:tcBorders>
            <w:shd w:val="clear" w:color="auto" w:fill="auto"/>
            <w:vAlign w:val="center"/>
            <w:hideMark/>
          </w:tcPr>
          <w:p w14:paraId="21E7774B"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47D82B7F"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4B098A44"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$175.70</w:t>
            </w:r>
          </w:p>
        </w:tc>
        <w:tc>
          <w:tcPr>
            <w:tcW w:w="3021" w:type="dxa"/>
            <w:vMerge/>
            <w:tcBorders>
              <w:top w:val="nil"/>
              <w:left w:val="single" w:sz="8" w:space="0" w:color="auto"/>
              <w:bottom w:val="single" w:sz="8" w:space="0" w:color="000000"/>
              <w:right w:val="single" w:sz="8" w:space="0" w:color="auto"/>
            </w:tcBorders>
            <w:vAlign w:val="center"/>
            <w:hideMark/>
          </w:tcPr>
          <w:p w14:paraId="480A3875"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450BC9B2"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5924E9A0"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5771R</w:t>
            </w:r>
          </w:p>
        </w:tc>
        <w:tc>
          <w:tcPr>
            <w:tcW w:w="2642" w:type="dxa"/>
            <w:tcBorders>
              <w:top w:val="nil"/>
              <w:left w:val="nil"/>
              <w:bottom w:val="single" w:sz="8" w:space="0" w:color="auto"/>
              <w:right w:val="single" w:sz="8" w:space="0" w:color="auto"/>
            </w:tcBorders>
            <w:shd w:val="clear" w:color="auto" w:fill="auto"/>
            <w:vAlign w:val="center"/>
            <w:hideMark/>
          </w:tcPr>
          <w:p w14:paraId="7823828D"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LAMIVUDINE</w:t>
            </w:r>
            <w:r w:rsidRPr="005D6F2E">
              <w:rPr>
                <w:rFonts w:ascii="Calibri" w:eastAsia="Times New Roman" w:hAnsi="Calibri" w:cs="Times New Roman"/>
                <w:color w:val="000000"/>
                <w:sz w:val="20"/>
                <w:szCs w:val="20"/>
              </w:rPr>
              <w:br/>
              <w:t>5 mg/mL oral liquid, 240 mL</w:t>
            </w:r>
          </w:p>
        </w:tc>
        <w:tc>
          <w:tcPr>
            <w:tcW w:w="950" w:type="dxa"/>
            <w:tcBorders>
              <w:top w:val="nil"/>
              <w:left w:val="nil"/>
              <w:bottom w:val="single" w:sz="8" w:space="0" w:color="auto"/>
              <w:right w:val="single" w:sz="8" w:space="0" w:color="auto"/>
            </w:tcBorders>
            <w:shd w:val="clear" w:color="auto" w:fill="auto"/>
            <w:vAlign w:val="center"/>
            <w:hideMark/>
          </w:tcPr>
          <w:p w14:paraId="05545CDA"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107AD3D1"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531CAA61"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$226.25</w:t>
            </w:r>
          </w:p>
        </w:tc>
        <w:tc>
          <w:tcPr>
            <w:tcW w:w="3021" w:type="dxa"/>
            <w:vMerge w:val="restart"/>
            <w:tcBorders>
              <w:top w:val="nil"/>
              <w:left w:val="single" w:sz="8" w:space="0" w:color="auto"/>
              <w:bottom w:val="single" w:sz="8" w:space="0" w:color="000000"/>
              <w:right w:val="single" w:sz="8" w:space="0" w:color="auto"/>
            </w:tcBorders>
            <w:shd w:val="clear" w:color="auto" w:fill="auto"/>
            <w:vAlign w:val="center"/>
            <w:hideMark/>
          </w:tcPr>
          <w:p w14:paraId="0DC12096" w14:textId="77777777" w:rsidR="00757713" w:rsidRPr="005D6F2E" w:rsidRDefault="00757713" w:rsidP="00B935C3">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Zeffix</w:t>
            </w:r>
            <w:proofErr w:type="spellEnd"/>
            <w:r w:rsidRPr="005D6F2E">
              <w:rPr>
                <w:rFonts w:ascii="Calibri" w:eastAsia="Times New Roman" w:hAnsi="Calibri" w:cs="Times New Roman"/>
                <w:color w:val="000000"/>
                <w:sz w:val="20"/>
                <w:szCs w:val="20"/>
              </w:rPr>
              <w:t xml:space="preserve"> (Aspen </w:t>
            </w:r>
            <w:proofErr w:type="spellStart"/>
            <w:r w:rsidRPr="005D6F2E">
              <w:rPr>
                <w:rFonts w:ascii="Calibri" w:eastAsia="Times New Roman" w:hAnsi="Calibri" w:cs="Times New Roman"/>
                <w:color w:val="000000"/>
                <w:sz w:val="20"/>
                <w:szCs w:val="20"/>
              </w:rPr>
              <w:t>Pharmacare</w:t>
            </w:r>
            <w:proofErr w:type="spellEnd"/>
            <w:r w:rsidRPr="005D6F2E">
              <w:rPr>
                <w:rFonts w:ascii="Calibri" w:eastAsia="Times New Roman" w:hAnsi="Calibri" w:cs="Times New Roman"/>
                <w:color w:val="000000"/>
                <w:sz w:val="20"/>
                <w:szCs w:val="20"/>
              </w:rPr>
              <w:t xml:space="preserve"> Australia Pty Limited)</w:t>
            </w:r>
          </w:p>
        </w:tc>
      </w:tr>
      <w:tr w:rsidR="00757713" w:rsidRPr="005D6F2E" w14:paraId="25FA1A22"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70459C22"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6271C</w:t>
            </w:r>
          </w:p>
        </w:tc>
        <w:tc>
          <w:tcPr>
            <w:tcW w:w="2642" w:type="dxa"/>
            <w:tcBorders>
              <w:top w:val="nil"/>
              <w:left w:val="nil"/>
              <w:bottom w:val="single" w:sz="8" w:space="0" w:color="auto"/>
              <w:right w:val="single" w:sz="8" w:space="0" w:color="auto"/>
            </w:tcBorders>
            <w:shd w:val="clear" w:color="auto" w:fill="auto"/>
            <w:vAlign w:val="center"/>
            <w:hideMark/>
          </w:tcPr>
          <w:p w14:paraId="3983C8D3"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LAMIVUDINE</w:t>
            </w:r>
            <w:r w:rsidRPr="005D6F2E">
              <w:rPr>
                <w:rFonts w:ascii="Calibri" w:eastAsia="Times New Roman" w:hAnsi="Calibri" w:cs="Times New Roman"/>
                <w:color w:val="000000"/>
                <w:sz w:val="20"/>
                <w:szCs w:val="20"/>
              </w:rPr>
              <w:br/>
              <w:t>5 mg/mL oral liquid, 240 mL</w:t>
            </w:r>
          </w:p>
        </w:tc>
        <w:tc>
          <w:tcPr>
            <w:tcW w:w="950" w:type="dxa"/>
            <w:tcBorders>
              <w:top w:val="nil"/>
              <w:left w:val="nil"/>
              <w:bottom w:val="single" w:sz="8" w:space="0" w:color="auto"/>
              <w:right w:val="single" w:sz="8" w:space="0" w:color="auto"/>
            </w:tcBorders>
            <w:shd w:val="clear" w:color="auto" w:fill="auto"/>
            <w:vAlign w:val="center"/>
            <w:hideMark/>
          </w:tcPr>
          <w:p w14:paraId="0FBC25E4"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40064A22"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4C56DDEE"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$242.06</w:t>
            </w:r>
          </w:p>
        </w:tc>
        <w:tc>
          <w:tcPr>
            <w:tcW w:w="3021" w:type="dxa"/>
            <w:vMerge/>
            <w:tcBorders>
              <w:top w:val="nil"/>
              <w:left w:val="single" w:sz="8" w:space="0" w:color="auto"/>
              <w:bottom w:val="single" w:sz="8" w:space="0" w:color="000000"/>
              <w:right w:val="single" w:sz="8" w:space="0" w:color="auto"/>
            </w:tcBorders>
            <w:vAlign w:val="center"/>
            <w:hideMark/>
          </w:tcPr>
          <w:p w14:paraId="3B8CDCA9"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63F9DE7A"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06C962EC"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5606C</w:t>
            </w:r>
          </w:p>
        </w:tc>
        <w:tc>
          <w:tcPr>
            <w:tcW w:w="2642" w:type="dxa"/>
            <w:tcBorders>
              <w:top w:val="nil"/>
              <w:left w:val="nil"/>
              <w:bottom w:val="single" w:sz="8" w:space="0" w:color="auto"/>
              <w:right w:val="single" w:sz="8" w:space="0" w:color="auto"/>
            </w:tcBorders>
            <w:shd w:val="clear" w:color="auto" w:fill="auto"/>
            <w:vAlign w:val="center"/>
            <w:hideMark/>
          </w:tcPr>
          <w:p w14:paraId="76E49FAB"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ADEFOVIR DIPIVOXIL</w:t>
            </w:r>
            <w:r w:rsidRPr="005D6F2E">
              <w:rPr>
                <w:rFonts w:ascii="Calibri" w:eastAsia="Times New Roman" w:hAnsi="Calibri" w:cs="Times New Roman"/>
                <w:color w:val="000000"/>
                <w:sz w:val="20"/>
                <w:szCs w:val="20"/>
              </w:rPr>
              <w:br/>
              <w:t xml:space="preserve">10 mg tablet, 30 </w:t>
            </w:r>
          </w:p>
        </w:tc>
        <w:tc>
          <w:tcPr>
            <w:tcW w:w="950" w:type="dxa"/>
            <w:tcBorders>
              <w:top w:val="nil"/>
              <w:left w:val="nil"/>
              <w:bottom w:val="single" w:sz="8" w:space="0" w:color="auto"/>
              <w:right w:val="single" w:sz="8" w:space="0" w:color="auto"/>
            </w:tcBorders>
            <w:shd w:val="clear" w:color="auto" w:fill="auto"/>
            <w:vAlign w:val="center"/>
            <w:hideMark/>
          </w:tcPr>
          <w:p w14:paraId="3BCE5C35"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76B4251B"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7800846D"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$1,250.00</w:t>
            </w:r>
          </w:p>
        </w:tc>
        <w:tc>
          <w:tcPr>
            <w:tcW w:w="3021" w:type="dxa"/>
            <w:vMerge w:val="restart"/>
            <w:tcBorders>
              <w:top w:val="nil"/>
              <w:left w:val="single" w:sz="8" w:space="0" w:color="auto"/>
              <w:bottom w:val="single" w:sz="8" w:space="0" w:color="000000"/>
              <w:right w:val="single" w:sz="8" w:space="0" w:color="auto"/>
            </w:tcBorders>
            <w:shd w:val="clear" w:color="auto" w:fill="auto"/>
            <w:vAlign w:val="center"/>
            <w:hideMark/>
          </w:tcPr>
          <w:p w14:paraId="46E540F5" w14:textId="77777777" w:rsidR="00757713" w:rsidRPr="005D6F2E" w:rsidRDefault="00757713" w:rsidP="00B935C3">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Hepsera</w:t>
            </w:r>
            <w:proofErr w:type="spellEnd"/>
            <w:r w:rsidRPr="005D6F2E">
              <w:rPr>
                <w:rFonts w:ascii="Calibri" w:eastAsia="Times New Roman" w:hAnsi="Calibri" w:cs="Times New Roman"/>
                <w:color w:val="000000"/>
                <w:sz w:val="20"/>
                <w:szCs w:val="20"/>
              </w:rPr>
              <w:t xml:space="preserve"> (Gilead Sciences Pty Limited)</w:t>
            </w:r>
          </w:p>
        </w:tc>
      </w:tr>
      <w:tr w:rsidR="00757713" w:rsidRPr="005D6F2E" w14:paraId="0605E722"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03D8E89B"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6450L</w:t>
            </w:r>
          </w:p>
        </w:tc>
        <w:tc>
          <w:tcPr>
            <w:tcW w:w="2642" w:type="dxa"/>
            <w:tcBorders>
              <w:top w:val="nil"/>
              <w:left w:val="nil"/>
              <w:bottom w:val="single" w:sz="8" w:space="0" w:color="auto"/>
              <w:right w:val="single" w:sz="8" w:space="0" w:color="auto"/>
            </w:tcBorders>
            <w:shd w:val="clear" w:color="auto" w:fill="auto"/>
            <w:vAlign w:val="center"/>
            <w:hideMark/>
          </w:tcPr>
          <w:p w14:paraId="33604692"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ADEFOVIR DIPIVOXIL</w:t>
            </w:r>
            <w:r w:rsidRPr="005D6F2E">
              <w:rPr>
                <w:rFonts w:ascii="Calibri" w:eastAsia="Times New Roman" w:hAnsi="Calibri" w:cs="Times New Roman"/>
                <w:color w:val="000000"/>
                <w:sz w:val="20"/>
                <w:szCs w:val="20"/>
              </w:rPr>
              <w:br/>
              <w:t xml:space="preserve">10 mg tablet, 30 </w:t>
            </w:r>
          </w:p>
        </w:tc>
        <w:tc>
          <w:tcPr>
            <w:tcW w:w="950" w:type="dxa"/>
            <w:tcBorders>
              <w:top w:val="nil"/>
              <w:left w:val="nil"/>
              <w:bottom w:val="single" w:sz="8" w:space="0" w:color="auto"/>
              <w:right w:val="single" w:sz="8" w:space="0" w:color="auto"/>
            </w:tcBorders>
            <w:shd w:val="clear" w:color="auto" w:fill="auto"/>
            <w:vAlign w:val="center"/>
            <w:hideMark/>
          </w:tcPr>
          <w:p w14:paraId="0F8014BA"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3FA7D433"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24847DF3"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$1,296.76</w:t>
            </w:r>
          </w:p>
        </w:tc>
        <w:tc>
          <w:tcPr>
            <w:tcW w:w="3021" w:type="dxa"/>
            <w:vMerge/>
            <w:tcBorders>
              <w:top w:val="nil"/>
              <w:left w:val="single" w:sz="8" w:space="0" w:color="auto"/>
              <w:bottom w:val="single" w:sz="8" w:space="0" w:color="000000"/>
              <w:right w:val="single" w:sz="8" w:space="0" w:color="auto"/>
            </w:tcBorders>
            <w:vAlign w:val="center"/>
            <w:hideMark/>
          </w:tcPr>
          <w:p w14:paraId="09E08974"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3B1BAC87"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B80BB79"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5711N</w:t>
            </w:r>
          </w:p>
        </w:tc>
        <w:tc>
          <w:tcPr>
            <w:tcW w:w="2642" w:type="dxa"/>
            <w:tcBorders>
              <w:top w:val="nil"/>
              <w:left w:val="nil"/>
              <w:bottom w:val="single" w:sz="8" w:space="0" w:color="auto"/>
              <w:right w:val="single" w:sz="8" w:space="0" w:color="auto"/>
            </w:tcBorders>
            <w:shd w:val="clear" w:color="auto" w:fill="auto"/>
            <w:vAlign w:val="center"/>
            <w:hideMark/>
          </w:tcPr>
          <w:p w14:paraId="04A4ECAC"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ENTECAVIR</w:t>
            </w:r>
            <w:r w:rsidRPr="005D6F2E">
              <w:rPr>
                <w:rFonts w:ascii="Calibri" w:eastAsia="Times New Roman" w:hAnsi="Calibri" w:cs="Times New Roman"/>
                <w:color w:val="000000"/>
                <w:sz w:val="20"/>
                <w:szCs w:val="20"/>
              </w:rPr>
              <w:br/>
              <w:t>500 microgram tablet, 30</w:t>
            </w:r>
          </w:p>
        </w:tc>
        <w:tc>
          <w:tcPr>
            <w:tcW w:w="950" w:type="dxa"/>
            <w:tcBorders>
              <w:top w:val="nil"/>
              <w:left w:val="nil"/>
              <w:bottom w:val="single" w:sz="8" w:space="0" w:color="auto"/>
              <w:right w:val="single" w:sz="8" w:space="0" w:color="auto"/>
            </w:tcBorders>
            <w:shd w:val="clear" w:color="auto" w:fill="auto"/>
            <w:vAlign w:val="center"/>
            <w:hideMark/>
          </w:tcPr>
          <w:p w14:paraId="4618428C"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2BBDDA50"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2D6D06A8"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$768.60</w:t>
            </w:r>
          </w:p>
        </w:tc>
        <w:tc>
          <w:tcPr>
            <w:tcW w:w="3021" w:type="dxa"/>
            <w:vMerge w:val="restart"/>
            <w:tcBorders>
              <w:top w:val="nil"/>
              <w:left w:val="single" w:sz="8" w:space="0" w:color="auto"/>
              <w:bottom w:val="single" w:sz="8" w:space="0" w:color="000000"/>
              <w:right w:val="single" w:sz="8" w:space="0" w:color="auto"/>
            </w:tcBorders>
            <w:shd w:val="clear" w:color="auto" w:fill="auto"/>
            <w:vAlign w:val="center"/>
            <w:hideMark/>
          </w:tcPr>
          <w:p w14:paraId="4AA51B78" w14:textId="77777777" w:rsidR="00757713" w:rsidRPr="005D6F2E" w:rsidRDefault="00757713" w:rsidP="00B935C3">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Baraclude</w:t>
            </w:r>
            <w:proofErr w:type="spellEnd"/>
            <w:r w:rsidRPr="005D6F2E">
              <w:rPr>
                <w:rFonts w:ascii="Calibri" w:eastAsia="Times New Roman" w:hAnsi="Calibri" w:cs="Times New Roman"/>
                <w:color w:val="000000"/>
                <w:sz w:val="20"/>
                <w:szCs w:val="20"/>
              </w:rPr>
              <w:t xml:space="preserve"> (Bristol-Myers Squibb Australia Pty Ltd)</w:t>
            </w:r>
          </w:p>
        </w:tc>
      </w:tr>
      <w:tr w:rsidR="00757713" w:rsidRPr="005D6F2E" w14:paraId="640FDF34"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FB67A08"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5712P</w:t>
            </w:r>
          </w:p>
        </w:tc>
        <w:tc>
          <w:tcPr>
            <w:tcW w:w="2642" w:type="dxa"/>
            <w:tcBorders>
              <w:top w:val="nil"/>
              <w:left w:val="nil"/>
              <w:bottom w:val="single" w:sz="8" w:space="0" w:color="auto"/>
              <w:right w:val="single" w:sz="8" w:space="0" w:color="auto"/>
            </w:tcBorders>
            <w:shd w:val="clear" w:color="auto" w:fill="auto"/>
            <w:vAlign w:val="center"/>
            <w:hideMark/>
          </w:tcPr>
          <w:p w14:paraId="06744739"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ENTECAVIR</w:t>
            </w:r>
            <w:r w:rsidRPr="005D6F2E">
              <w:rPr>
                <w:rFonts w:ascii="Calibri" w:eastAsia="Times New Roman" w:hAnsi="Calibri" w:cs="Times New Roman"/>
                <w:color w:val="000000"/>
                <w:sz w:val="20"/>
                <w:szCs w:val="20"/>
              </w:rPr>
              <w:br/>
              <w:t xml:space="preserve">1 mg tablet, 30 </w:t>
            </w:r>
          </w:p>
        </w:tc>
        <w:tc>
          <w:tcPr>
            <w:tcW w:w="950" w:type="dxa"/>
            <w:tcBorders>
              <w:top w:val="nil"/>
              <w:left w:val="nil"/>
              <w:bottom w:val="single" w:sz="8" w:space="0" w:color="auto"/>
              <w:right w:val="single" w:sz="8" w:space="0" w:color="auto"/>
            </w:tcBorders>
            <w:shd w:val="clear" w:color="auto" w:fill="auto"/>
            <w:vAlign w:val="center"/>
            <w:hideMark/>
          </w:tcPr>
          <w:p w14:paraId="35DCFFAB"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7A49122B"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604AEDA9"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$1,250.00</w:t>
            </w:r>
          </w:p>
        </w:tc>
        <w:tc>
          <w:tcPr>
            <w:tcW w:w="3021" w:type="dxa"/>
            <w:vMerge/>
            <w:tcBorders>
              <w:top w:val="nil"/>
              <w:left w:val="single" w:sz="8" w:space="0" w:color="auto"/>
              <w:bottom w:val="single" w:sz="8" w:space="0" w:color="000000"/>
              <w:right w:val="single" w:sz="8" w:space="0" w:color="auto"/>
            </w:tcBorders>
            <w:vAlign w:val="center"/>
            <w:hideMark/>
          </w:tcPr>
          <w:p w14:paraId="358C57C5"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6A4B9CD9"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4FF2C866"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9602J</w:t>
            </w:r>
          </w:p>
        </w:tc>
        <w:tc>
          <w:tcPr>
            <w:tcW w:w="2642" w:type="dxa"/>
            <w:tcBorders>
              <w:top w:val="nil"/>
              <w:left w:val="nil"/>
              <w:bottom w:val="single" w:sz="8" w:space="0" w:color="auto"/>
              <w:right w:val="single" w:sz="8" w:space="0" w:color="auto"/>
            </w:tcBorders>
            <w:shd w:val="clear" w:color="auto" w:fill="auto"/>
            <w:vAlign w:val="center"/>
            <w:hideMark/>
          </w:tcPr>
          <w:p w14:paraId="2FFECA38"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ENTECAVIR</w:t>
            </w:r>
            <w:r w:rsidRPr="005D6F2E">
              <w:rPr>
                <w:rFonts w:ascii="Calibri" w:eastAsia="Times New Roman" w:hAnsi="Calibri" w:cs="Times New Roman"/>
                <w:color w:val="000000"/>
                <w:sz w:val="20"/>
                <w:szCs w:val="20"/>
              </w:rPr>
              <w:br/>
              <w:t>500 microgram tablet, 30</w:t>
            </w:r>
          </w:p>
        </w:tc>
        <w:tc>
          <w:tcPr>
            <w:tcW w:w="950" w:type="dxa"/>
            <w:tcBorders>
              <w:top w:val="nil"/>
              <w:left w:val="nil"/>
              <w:bottom w:val="single" w:sz="8" w:space="0" w:color="auto"/>
              <w:right w:val="single" w:sz="8" w:space="0" w:color="auto"/>
            </w:tcBorders>
            <w:shd w:val="clear" w:color="auto" w:fill="auto"/>
            <w:vAlign w:val="center"/>
            <w:hideMark/>
          </w:tcPr>
          <w:p w14:paraId="5CA0A607"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1A0E32A9"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2DBA4840"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$806.10</w:t>
            </w:r>
          </w:p>
        </w:tc>
        <w:tc>
          <w:tcPr>
            <w:tcW w:w="3021" w:type="dxa"/>
            <w:vMerge/>
            <w:tcBorders>
              <w:top w:val="nil"/>
              <w:left w:val="single" w:sz="8" w:space="0" w:color="auto"/>
              <w:bottom w:val="single" w:sz="8" w:space="0" w:color="000000"/>
              <w:right w:val="single" w:sz="8" w:space="0" w:color="auto"/>
            </w:tcBorders>
            <w:vAlign w:val="center"/>
            <w:hideMark/>
          </w:tcPr>
          <w:p w14:paraId="5E728455"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34D5EF8D"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71CD2737"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9603K</w:t>
            </w:r>
          </w:p>
        </w:tc>
        <w:tc>
          <w:tcPr>
            <w:tcW w:w="2642" w:type="dxa"/>
            <w:tcBorders>
              <w:top w:val="nil"/>
              <w:left w:val="nil"/>
              <w:bottom w:val="single" w:sz="8" w:space="0" w:color="auto"/>
              <w:right w:val="single" w:sz="8" w:space="0" w:color="auto"/>
            </w:tcBorders>
            <w:shd w:val="clear" w:color="auto" w:fill="auto"/>
            <w:vAlign w:val="center"/>
            <w:hideMark/>
          </w:tcPr>
          <w:p w14:paraId="666668E2"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ENTECAVIR</w:t>
            </w:r>
            <w:r w:rsidRPr="005D6F2E">
              <w:rPr>
                <w:rFonts w:ascii="Calibri" w:eastAsia="Times New Roman" w:hAnsi="Calibri" w:cs="Times New Roman"/>
                <w:color w:val="000000"/>
                <w:sz w:val="20"/>
                <w:szCs w:val="20"/>
              </w:rPr>
              <w:br/>
              <w:t xml:space="preserve">1 mg tablet, 30 </w:t>
            </w:r>
          </w:p>
        </w:tc>
        <w:tc>
          <w:tcPr>
            <w:tcW w:w="950" w:type="dxa"/>
            <w:tcBorders>
              <w:top w:val="nil"/>
              <w:left w:val="nil"/>
              <w:bottom w:val="single" w:sz="8" w:space="0" w:color="auto"/>
              <w:right w:val="single" w:sz="8" w:space="0" w:color="auto"/>
            </w:tcBorders>
            <w:shd w:val="clear" w:color="auto" w:fill="auto"/>
            <w:vAlign w:val="center"/>
            <w:hideMark/>
          </w:tcPr>
          <w:p w14:paraId="01D28258"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03DF0E17"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1F2C2A9A"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$1,296.76</w:t>
            </w:r>
          </w:p>
        </w:tc>
        <w:tc>
          <w:tcPr>
            <w:tcW w:w="3021" w:type="dxa"/>
            <w:vMerge/>
            <w:tcBorders>
              <w:top w:val="nil"/>
              <w:left w:val="single" w:sz="8" w:space="0" w:color="auto"/>
              <w:bottom w:val="single" w:sz="8" w:space="0" w:color="000000"/>
              <w:right w:val="single" w:sz="8" w:space="0" w:color="auto"/>
            </w:tcBorders>
            <w:vAlign w:val="center"/>
            <w:hideMark/>
          </w:tcPr>
          <w:p w14:paraId="7C6B20CA"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017A237D"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0E53CBF8"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6358P</w:t>
            </w:r>
          </w:p>
        </w:tc>
        <w:tc>
          <w:tcPr>
            <w:tcW w:w="2642" w:type="dxa"/>
            <w:tcBorders>
              <w:top w:val="nil"/>
              <w:left w:val="nil"/>
              <w:bottom w:val="single" w:sz="8" w:space="0" w:color="auto"/>
              <w:right w:val="single" w:sz="8" w:space="0" w:color="auto"/>
            </w:tcBorders>
            <w:shd w:val="clear" w:color="auto" w:fill="auto"/>
            <w:vAlign w:val="center"/>
            <w:hideMark/>
          </w:tcPr>
          <w:p w14:paraId="3FC4911B"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TENOFOVIR</w:t>
            </w:r>
            <w:r w:rsidRPr="005D6F2E">
              <w:rPr>
                <w:rFonts w:ascii="Calibri" w:eastAsia="Times New Roman" w:hAnsi="Calibri" w:cs="Times New Roman"/>
                <w:color w:val="000000"/>
                <w:sz w:val="20"/>
                <w:szCs w:val="20"/>
              </w:rPr>
              <w:br/>
              <w:t>300 mg tablet, 30</w:t>
            </w:r>
          </w:p>
        </w:tc>
        <w:tc>
          <w:tcPr>
            <w:tcW w:w="950" w:type="dxa"/>
            <w:tcBorders>
              <w:top w:val="nil"/>
              <w:left w:val="nil"/>
              <w:bottom w:val="single" w:sz="8" w:space="0" w:color="auto"/>
              <w:right w:val="single" w:sz="8" w:space="0" w:color="auto"/>
            </w:tcBorders>
            <w:shd w:val="clear" w:color="auto" w:fill="auto"/>
            <w:vAlign w:val="center"/>
            <w:hideMark/>
          </w:tcPr>
          <w:p w14:paraId="72FF927F"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51A3FC3C"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1B106B6E"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$1,011.60</w:t>
            </w:r>
          </w:p>
        </w:tc>
        <w:tc>
          <w:tcPr>
            <w:tcW w:w="3021" w:type="dxa"/>
            <w:vMerge w:val="restart"/>
            <w:tcBorders>
              <w:top w:val="nil"/>
              <w:left w:val="single" w:sz="8" w:space="0" w:color="auto"/>
              <w:bottom w:val="single" w:sz="8" w:space="0" w:color="000000"/>
              <w:right w:val="single" w:sz="8" w:space="0" w:color="auto"/>
            </w:tcBorders>
            <w:shd w:val="clear" w:color="auto" w:fill="auto"/>
            <w:vAlign w:val="center"/>
            <w:hideMark/>
          </w:tcPr>
          <w:p w14:paraId="5FF6286F" w14:textId="77777777" w:rsidR="00757713" w:rsidRPr="005D6F2E" w:rsidRDefault="00757713" w:rsidP="00B935C3">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Viread</w:t>
            </w:r>
            <w:proofErr w:type="spellEnd"/>
            <w:r w:rsidRPr="005D6F2E">
              <w:rPr>
                <w:rFonts w:ascii="Calibri" w:eastAsia="Times New Roman" w:hAnsi="Calibri" w:cs="Times New Roman"/>
                <w:color w:val="000000"/>
                <w:sz w:val="20"/>
                <w:szCs w:val="20"/>
              </w:rPr>
              <w:t xml:space="preserve"> (Gilead Sciences Pty Limited)</w:t>
            </w:r>
          </w:p>
        </w:tc>
      </w:tr>
      <w:tr w:rsidR="00757713" w:rsidRPr="005D6F2E" w14:paraId="74F48C29"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45B01ADF"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9563H</w:t>
            </w:r>
          </w:p>
        </w:tc>
        <w:tc>
          <w:tcPr>
            <w:tcW w:w="2642" w:type="dxa"/>
            <w:tcBorders>
              <w:top w:val="nil"/>
              <w:left w:val="nil"/>
              <w:bottom w:val="single" w:sz="8" w:space="0" w:color="auto"/>
              <w:right w:val="single" w:sz="8" w:space="0" w:color="auto"/>
            </w:tcBorders>
            <w:shd w:val="clear" w:color="auto" w:fill="auto"/>
            <w:vAlign w:val="center"/>
            <w:hideMark/>
          </w:tcPr>
          <w:p w14:paraId="1003BA27"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TENOFOVIR</w:t>
            </w:r>
            <w:r w:rsidRPr="005D6F2E">
              <w:rPr>
                <w:rFonts w:ascii="Calibri" w:eastAsia="Times New Roman" w:hAnsi="Calibri" w:cs="Times New Roman"/>
                <w:color w:val="000000"/>
                <w:sz w:val="20"/>
                <w:szCs w:val="20"/>
              </w:rPr>
              <w:br/>
              <w:t>300 mg tablet, 30</w:t>
            </w:r>
          </w:p>
        </w:tc>
        <w:tc>
          <w:tcPr>
            <w:tcW w:w="950" w:type="dxa"/>
            <w:tcBorders>
              <w:top w:val="nil"/>
              <w:left w:val="nil"/>
              <w:bottom w:val="single" w:sz="8" w:space="0" w:color="auto"/>
              <w:right w:val="single" w:sz="8" w:space="0" w:color="auto"/>
            </w:tcBorders>
            <w:shd w:val="clear" w:color="auto" w:fill="auto"/>
            <w:vAlign w:val="center"/>
            <w:hideMark/>
          </w:tcPr>
          <w:p w14:paraId="7A0920A3"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4B360F71"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73FB300C"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$966.20</w:t>
            </w:r>
          </w:p>
        </w:tc>
        <w:tc>
          <w:tcPr>
            <w:tcW w:w="3021" w:type="dxa"/>
            <w:vMerge/>
            <w:tcBorders>
              <w:top w:val="nil"/>
              <w:left w:val="single" w:sz="8" w:space="0" w:color="auto"/>
              <w:bottom w:val="single" w:sz="8" w:space="0" w:color="000000"/>
              <w:right w:val="single" w:sz="8" w:space="0" w:color="auto"/>
            </w:tcBorders>
            <w:vAlign w:val="center"/>
            <w:hideMark/>
          </w:tcPr>
          <w:p w14:paraId="066F3FF0"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1B7DBFE4"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64B20704"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9562G</w:t>
            </w:r>
          </w:p>
        </w:tc>
        <w:tc>
          <w:tcPr>
            <w:tcW w:w="2642" w:type="dxa"/>
            <w:tcBorders>
              <w:top w:val="nil"/>
              <w:left w:val="nil"/>
              <w:bottom w:val="single" w:sz="8" w:space="0" w:color="auto"/>
              <w:right w:val="single" w:sz="8" w:space="0" w:color="auto"/>
            </w:tcBorders>
            <w:shd w:val="clear" w:color="auto" w:fill="auto"/>
            <w:vAlign w:val="center"/>
            <w:hideMark/>
          </w:tcPr>
          <w:p w14:paraId="1CC4038A"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TELBIVUDINE</w:t>
            </w:r>
            <w:r w:rsidRPr="005D6F2E">
              <w:rPr>
                <w:rFonts w:ascii="Calibri" w:eastAsia="Times New Roman" w:hAnsi="Calibri" w:cs="Times New Roman"/>
                <w:color w:val="000000"/>
                <w:sz w:val="20"/>
                <w:szCs w:val="20"/>
              </w:rPr>
              <w:br/>
              <w:t>600 mg tablet, 28</w:t>
            </w:r>
          </w:p>
        </w:tc>
        <w:tc>
          <w:tcPr>
            <w:tcW w:w="950" w:type="dxa"/>
            <w:tcBorders>
              <w:top w:val="nil"/>
              <w:left w:val="nil"/>
              <w:bottom w:val="single" w:sz="8" w:space="0" w:color="auto"/>
              <w:right w:val="single" w:sz="8" w:space="0" w:color="auto"/>
            </w:tcBorders>
            <w:shd w:val="clear" w:color="auto" w:fill="auto"/>
            <w:vAlign w:val="center"/>
            <w:hideMark/>
          </w:tcPr>
          <w:p w14:paraId="26C88BDE"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76AA891B"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075AB943"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$501.76</w:t>
            </w:r>
          </w:p>
        </w:tc>
        <w:tc>
          <w:tcPr>
            <w:tcW w:w="3021" w:type="dxa"/>
            <w:vMerge w:val="restart"/>
            <w:tcBorders>
              <w:top w:val="nil"/>
              <w:left w:val="single" w:sz="8" w:space="0" w:color="auto"/>
              <w:bottom w:val="single" w:sz="8" w:space="0" w:color="000000"/>
              <w:right w:val="single" w:sz="8" w:space="0" w:color="auto"/>
            </w:tcBorders>
            <w:shd w:val="clear" w:color="auto" w:fill="auto"/>
            <w:vAlign w:val="center"/>
            <w:hideMark/>
          </w:tcPr>
          <w:p w14:paraId="3E81FAC2" w14:textId="77777777" w:rsidR="00757713" w:rsidRPr="005D6F2E" w:rsidRDefault="00757713" w:rsidP="00B935C3">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Sebivo</w:t>
            </w:r>
            <w:proofErr w:type="spellEnd"/>
            <w:r w:rsidRPr="005D6F2E">
              <w:rPr>
                <w:rFonts w:ascii="Calibri" w:eastAsia="Times New Roman" w:hAnsi="Calibri" w:cs="Times New Roman"/>
                <w:color w:val="000000"/>
                <w:sz w:val="20"/>
                <w:szCs w:val="20"/>
              </w:rPr>
              <w:t xml:space="preserve"> (Novartis Pharmaceuticals Australia Pty Limited)</w:t>
            </w:r>
          </w:p>
        </w:tc>
      </w:tr>
      <w:tr w:rsidR="00757713" w:rsidRPr="005D6F2E" w14:paraId="32C4F870"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42375862"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9630W</w:t>
            </w:r>
          </w:p>
        </w:tc>
        <w:tc>
          <w:tcPr>
            <w:tcW w:w="2642" w:type="dxa"/>
            <w:tcBorders>
              <w:top w:val="nil"/>
              <w:left w:val="nil"/>
              <w:bottom w:val="single" w:sz="8" w:space="0" w:color="auto"/>
              <w:right w:val="single" w:sz="8" w:space="0" w:color="auto"/>
            </w:tcBorders>
            <w:shd w:val="clear" w:color="auto" w:fill="auto"/>
            <w:vAlign w:val="center"/>
            <w:hideMark/>
          </w:tcPr>
          <w:p w14:paraId="6046772C"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TELBIVUDINE</w:t>
            </w:r>
            <w:r w:rsidRPr="005D6F2E">
              <w:rPr>
                <w:rFonts w:ascii="Calibri" w:eastAsia="Times New Roman" w:hAnsi="Calibri" w:cs="Times New Roman"/>
                <w:color w:val="000000"/>
                <w:sz w:val="20"/>
                <w:szCs w:val="20"/>
              </w:rPr>
              <w:br/>
              <w:t>600 mg tablet, 28</w:t>
            </w:r>
          </w:p>
        </w:tc>
        <w:tc>
          <w:tcPr>
            <w:tcW w:w="950" w:type="dxa"/>
            <w:tcBorders>
              <w:top w:val="nil"/>
              <w:left w:val="nil"/>
              <w:bottom w:val="single" w:sz="8" w:space="0" w:color="auto"/>
              <w:right w:val="single" w:sz="8" w:space="0" w:color="auto"/>
            </w:tcBorders>
            <w:shd w:val="clear" w:color="auto" w:fill="auto"/>
            <w:vAlign w:val="center"/>
            <w:hideMark/>
          </w:tcPr>
          <w:p w14:paraId="0A56CF72"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3F60F093"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04FA1F08"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$528.60</w:t>
            </w:r>
          </w:p>
        </w:tc>
        <w:tc>
          <w:tcPr>
            <w:tcW w:w="3021" w:type="dxa"/>
            <w:vMerge/>
            <w:tcBorders>
              <w:top w:val="nil"/>
              <w:left w:val="single" w:sz="8" w:space="0" w:color="auto"/>
              <w:bottom w:val="single" w:sz="8" w:space="0" w:color="000000"/>
              <w:right w:val="single" w:sz="8" w:space="0" w:color="auto"/>
            </w:tcBorders>
            <w:vAlign w:val="center"/>
            <w:hideMark/>
          </w:tcPr>
          <w:p w14:paraId="0A853167"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569A8780"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497BA71F"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6439X</w:t>
            </w:r>
          </w:p>
        </w:tc>
        <w:tc>
          <w:tcPr>
            <w:tcW w:w="2642" w:type="dxa"/>
            <w:tcBorders>
              <w:top w:val="nil"/>
              <w:left w:val="nil"/>
              <w:bottom w:val="single" w:sz="8" w:space="0" w:color="auto"/>
              <w:right w:val="single" w:sz="8" w:space="0" w:color="auto"/>
            </w:tcBorders>
            <w:shd w:val="clear" w:color="auto" w:fill="auto"/>
            <w:vAlign w:val="center"/>
            <w:hideMark/>
          </w:tcPr>
          <w:p w14:paraId="27C72036"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PEGINTERFERON ALFA-2A</w:t>
            </w:r>
            <w:r w:rsidRPr="005D6F2E">
              <w:rPr>
                <w:rFonts w:ascii="Calibri" w:eastAsia="Times New Roman" w:hAnsi="Calibri" w:cs="Times New Roman"/>
                <w:color w:val="000000"/>
                <w:sz w:val="20"/>
                <w:szCs w:val="20"/>
              </w:rPr>
              <w:br/>
              <w:t>135 microgram/0.5 mL injection, 4 x 0.5 mL syringes</w:t>
            </w:r>
          </w:p>
        </w:tc>
        <w:tc>
          <w:tcPr>
            <w:tcW w:w="950" w:type="dxa"/>
            <w:tcBorders>
              <w:top w:val="nil"/>
              <w:left w:val="nil"/>
              <w:bottom w:val="single" w:sz="8" w:space="0" w:color="auto"/>
              <w:right w:val="single" w:sz="8" w:space="0" w:color="auto"/>
            </w:tcBorders>
            <w:shd w:val="clear" w:color="auto" w:fill="auto"/>
            <w:vAlign w:val="center"/>
            <w:hideMark/>
          </w:tcPr>
          <w:p w14:paraId="1D2B8A31"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2A6133B9"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6E0A0357"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$2,378.56</w:t>
            </w:r>
          </w:p>
        </w:tc>
        <w:tc>
          <w:tcPr>
            <w:tcW w:w="3021" w:type="dxa"/>
            <w:vMerge w:val="restart"/>
            <w:tcBorders>
              <w:top w:val="nil"/>
              <w:left w:val="single" w:sz="8" w:space="0" w:color="auto"/>
              <w:bottom w:val="single" w:sz="8" w:space="0" w:color="000000"/>
              <w:right w:val="single" w:sz="8" w:space="0" w:color="auto"/>
            </w:tcBorders>
            <w:shd w:val="clear" w:color="auto" w:fill="auto"/>
            <w:vAlign w:val="center"/>
            <w:hideMark/>
          </w:tcPr>
          <w:p w14:paraId="112F1738" w14:textId="77777777" w:rsidR="00757713" w:rsidRPr="005D6F2E" w:rsidRDefault="00757713" w:rsidP="00B935C3">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Pegasys</w:t>
            </w:r>
            <w:proofErr w:type="spellEnd"/>
            <w:r w:rsidRPr="005D6F2E">
              <w:rPr>
                <w:rFonts w:ascii="Calibri" w:eastAsia="Times New Roman" w:hAnsi="Calibri" w:cs="Times New Roman"/>
                <w:color w:val="000000"/>
                <w:sz w:val="20"/>
                <w:szCs w:val="20"/>
              </w:rPr>
              <w:t xml:space="preserve"> (Roche Products Pty Ltd)</w:t>
            </w:r>
          </w:p>
        </w:tc>
      </w:tr>
      <w:tr w:rsidR="00757713" w:rsidRPr="005D6F2E" w14:paraId="0756217C"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014D1045"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lastRenderedPageBreak/>
              <w:t>6449K</w:t>
            </w:r>
          </w:p>
        </w:tc>
        <w:tc>
          <w:tcPr>
            <w:tcW w:w="2642" w:type="dxa"/>
            <w:tcBorders>
              <w:top w:val="nil"/>
              <w:left w:val="nil"/>
              <w:bottom w:val="single" w:sz="8" w:space="0" w:color="auto"/>
              <w:right w:val="single" w:sz="8" w:space="0" w:color="auto"/>
            </w:tcBorders>
            <w:shd w:val="clear" w:color="auto" w:fill="auto"/>
            <w:vAlign w:val="center"/>
            <w:hideMark/>
          </w:tcPr>
          <w:p w14:paraId="0475E795"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PEGINTERFERON ALFA-2A</w:t>
            </w:r>
            <w:r w:rsidRPr="005D6F2E">
              <w:rPr>
                <w:rFonts w:ascii="Calibri" w:eastAsia="Times New Roman" w:hAnsi="Calibri" w:cs="Times New Roman"/>
                <w:color w:val="000000"/>
                <w:sz w:val="20"/>
                <w:szCs w:val="20"/>
              </w:rPr>
              <w:br/>
              <w:t>180 microgram/0.5 mL injection, 4 x 0.5 mL syringes</w:t>
            </w:r>
          </w:p>
        </w:tc>
        <w:tc>
          <w:tcPr>
            <w:tcW w:w="950" w:type="dxa"/>
            <w:tcBorders>
              <w:top w:val="nil"/>
              <w:left w:val="nil"/>
              <w:bottom w:val="single" w:sz="8" w:space="0" w:color="auto"/>
              <w:right w:val="single" w:sz="8" w:space="0" w:color="auto"/>
            </w:tcBorders>
            <w:shd w:val="clear" w:color="auto" w:fill="auto"/>
            <w:vAlign w:val="center"/>
            <w:hideMark/>
          </w:tcPr>
          <w:p w14:paraId="3A4201AB"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1146C77E"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635FD7C8"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$2,747.22</w:t>
            </w:r>
          </w:p>
        </w:tc>
        <w:tc>
          <w:tcPr>
            <w:tcW w:w="3021" w:type="dxa"/>
            <w:vMerge/>
            <w:tcBorders>
              <w:top w:val="nil"/>
              <w:left w:val="single" w:sz="8" w:space="0" w:color="auto"/>
              <w:bottom w:val="single" w:sz="8" w:space="0" w:color="000000"/>
              <w:right w:val="single" w:sz="8" w:space="0" w:color="auto"/>
            </w:tcBorders>
            <w:vAlign w:val="center"/>
            <w:hideMark/>
          </w:tcPr>
          <w:p w14:paraId="6EE5F788"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5FD27213"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0E4F35F1"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9515T</w:t>
            </w:r>
          </w:p>
        </w:tc>
        <w:tc>
          <w:tcPr>
            <w:tcW w:w="2642" w:type="dxa"/>
            <w:tcBorders>
              <w:top w:val="nil"/>
              <w:left w:val="nil"/>
              <w:bottom w:val="single" w:sz="8" w:space="0" w:color="auto"/>
              <w:right w:val="single" w:sz="8" w:space="0" w:color="auto"/>
            </w:tcBorders>
            <w:shd w:val="clear" w:color="auto" w:fill="auto"/>
            <w:vAlign w:val="center"/>
            <w:hideMark/>
          </w:tcPr>
          <w:p w14:paraId="0FD51241"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PEGINTERFERON ALFA-2A</w:t>
            </w:r>
            <w:r w:rsidRPr="005D6F2E">
              <w:rPr>
                <w:rFonts w:ascii="Calibri" w:eastAsia="Times New Roman" w:hAnsi="Calibri" w:cs="Times New Roman"/>
                <w:color w:val="000000"/>
                <w:sz w:val="20"/>
                <w:szCs w:val="20"/>
              </w:rPr>
              <w:br/>
              <w:t>135 microgram/0.5 mL injection, 4 x 0.5 mL syringes</w:t>
            </w:r>
          </w:p>
        </w:tc>
        <w:tc>
          <w:tcPr>
            <w:tcW w:w="950" w:type="dxa"/>
            <w:tcBorders>
              <w:top w:val="nil"/>
              <w:left w:val="nil"/>
              <w:bottom w:val="single" w:sz="8" w:space="0" w:color="auto"/>
              <w:right w:val="single" w:sz="8" w:space="0" w:color="auto"/>
            </w:tcBorders>
            <w:shd w:val="clear" w:color="auto" w:fill="auto"/>
            <w:vAlign w:val="center"/>
            <w:hideMark/>
          </w:tcPr>
          <w:p w14:paraId="7C2A07D3"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737B1D0A"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5515FE58"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$2,331.80</w:t>
            </w:r>
          </w:p>
        </w:tc>
        <w:tc>
          <w:tcPr>
            <w:tcW w:w="3021" w:type="dxa"/>
            <w:vMerge/>
            <w:tcBorders>
              <w:top w:val="nil"/>
              <w:left w:val="single" w:sz="8" w:space="0" w:color="auto"/>
              <w:bottom w:val="single" w:sz="8" w:space="0" w:color="000000"/>
              <w:right w:val="single" w:sz="8" w:space="0" w:color="auto"/>
            </w:tcBorders>
            <w:vAlign w:val="center"/>
            <w:hideMark/>
          </w:tcPr>
          <w:p w14:paraId="47CB5D98"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7647189C"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76F2549"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9516W</w:t>
            </w:r>
          </w:p>
        </w:tc>
        <w:tc>
          <w:tcPr>
            <w:tcW w:w="2642" w:type="dxa"/>
            <w:tcBorders>
              <w:top w:val="nil"/>
              <w:left w:val="nil"/>
              <w:bottom w:val="single" w:sz="8" w:space="0" w:color="auto"/>
              <w:right w:val="single" w:sz="8" w:space="0" w:color="auto"/>
            </w:tcBorders>
            <w:shd w:val="clear" w:color="auto" w:fill="auto"/>
            <w:vAlign w:val="center"/>
            <w:hideMark/>
          </w:tcPr>
          <w:p w14:paraId="6DF627F3"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PEGINTERFERON ALFA-2A</w:t>
            </w:r>
            <w:r w:rsidRPr="005D6F2E">
              <w:rPr>
                <w:rFonts w:ascii="Calibri" w:eastAsia="Times New Roman" w:hAnsi="Calibri" w:cs="Times New Roman"/>
                <w:color w:val="000000"/>
                <w:sz w:val="20"/>
                <w:szCs w:val="20"/>
              </w:rPr>
              <w:br/>
              <w:t>180 microgram/0.5 mL injection, 4 x 0.5 mL syringes</w:t>
            </w:r>
          </w:p>
        </w:tc>
        <w:tc>
          <w:tcPr>
            <w:tcW w:w="950" w:type="dxa"/>
            <w:tcBorders>
              <w:top w:val="nil"/>
              <w:left w:val="nil"/>
              <w:bottom w:val="single" w:sz="8" w:space="0" w:color="auto"/>
              <w:right w:val="single" w:sz="8" w:space="0" w:color="auto"/>
            </w:tcBorders>
            <w:shd w:val="clear" w:color="auto" w:fill="auto"/>
            <w:vAlign w:val="center"/>
            <w:hideMark/>
          </w:tcPr>
          <w:p w14:paraId="17678B98"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7A62F280"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40FDFFC0"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$2,700.46</w:t>
            </w:r>
          </w:p>
        </w:tc>
        <w:tc>
          <w:tcPr>
            <w:tcW w:w="3021" w:type="dxa"/>
            <w:vMerge/>
            <w:tcBorders>
              <w:top w:val="nil"/>
              <w:left w:val="single" w:sz="8" w:space="0" w:color="auto"/>
              <w:bottom w:val="single" w:sz="8" w:space="0" w:color="000000"/>
              <w:right w:val="single" w:sz="8" w:space="0" w:color="auto"/>
            </w:tcBorders>
            <w:vAlign w:val="center"/>
            <w:hideMark/>
          </w:tcPr>
          <w:p w14:paraId="6B494E20"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055AF70E"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0880399"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5759D</w:t>
            </w:r>
          </w:p>
        </w:tc>
        <w:tc>
          <w:tcPr>
            <w:tcW w:w="2642" w:type="dxa"/>
            <w:tcBorders>
              <w:top w:val="nil"/>
              <w:left w:val="nil"/>
              <w:bottom w:val="single" w:sz="8" w:space="0" w:color="auto"/>
              <w:right w:val="single" w:sz="8" w:space="0" w:color="auto"/>
            </w:tcBorders>
            <w:shd w:val="clear" w:color="auto" w:fill="auto"/>
            <w:vAlign w:val="center"/>
            <w:hideMark/>
          </w:tcPr>
          <w:p w14:paraId="1CFEBFDA"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ALFA-2A</w:t>
            </w:r>
            <w:r w:rsidRPr="005D6F2E">
              <w:rPr>
                <w:rFonts w:ascii="Calibri" w:eastAsia="Times New Roman" w:hAnsi="Calibri" w:cs="Times New Roman"/>
                <w:color w:val="000000"/>
                <w:sz w:val="20"/>
                <w:szCs w:val="20"/>
              </w:rPr>
              <w:br/>
              <w:t xml:space="preserve">3 million international units/0.5 mL injection, 1 x 0.5 mL syringe </w:t>
            </w:r>
          </w:p>
        </w:tc>
        <w:tc>
          <w:tcPr>
            <w:tcW w:w="950" w:type="dxa"/>
            <w:tcBorders>
              <w:top w:val="nil"/>
              <w:left w:val="nil"/>
              <w:bottom w:val="single" w:sz="8" w:space="0" w:color="auto"/>
              <w:right w:val="single" w:sz="8" w:space="0" w:color="auto"/>
            </w:tcBorders>
            <w:shd w:val="clear" w:color="auto" w:fill="auto"/>
            <w:vAlign w:val="center"/>
            <w:hideMark/>
          </w:tcPr>
          <w:p w14:paraId="7412DBAB"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30</w:t>
            </w:r>
          </w:p>
        </w:tc>
        <w:tc>
          <w:tcPr>
            <w:tcW w:w="941" w:type="dxa"/>
            <w:tcBorders>
              <w:top w:val="nil"/>
              <w:left w:val="nil"/>
              <w:bottom w:val="single" w:sz="8" w:space="0" w:color="auto"/>
              <w:right w:val="single" w:sz="8" w:space="0" w:color="auto"/>
            </w:tcBorders>
            <w:shd w:val="clear" w:color="auto" w:fill="auto"/>
            <w:vAlign w:val="center"/>
            <w:hideMark/>
          </w:tcPr>
          <w:p w14:paraId="12822849"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2650210F"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$894.00</w:t>
            </w:r>
          </w:p>
        </w:tc>
        <w:tc>
          <w:tcPr>
            <w:tcW w:w="3021" w:type="dxa"/>
            <w:vMerge w:val="restart"/>
            <w:tcBorders>
              <w:top w:val="nil"/>
              <w:left w:val="single" w:sz="8" w:space="0" w:color="auto"/>
              <w:bottom w:val="single" w:sz="8" w:space="0" w:color="000000"/>
              <w:right w:val="single" w:sz="8" w:space="0" w:color="auto"/>
            </w:tcBorders>
            <w:shd w:val="clear" w:color="auto" w:fill="auto"/>
            <w:vAlign w:val="center"/>
            <w:hideMark/>
          </w:tcPr>
          <w:p w14:paraId="6B10FA30" w14:textId="77777777" w:rsidR="00757713" w:rsidRPr="005D6F2E" w:rsidRDefault="00757713" w:rsidP="00B935C3">
            <w:pPr>
              <w:spacing w:after="0"/>
              <w:rPr>
                <w:rFonts w:ascii="Calibri" w:eastAsia="Times New Roman" w:hAnsi="Calibri" w:cs="Times New Roman"/>
                <w:color w:val="000000"/>
                <w:sz w:val="20"/>
                <w:szCs w:val="20"/>
              </w:rPr>
            </w:pPr>
            <w:proofErr w:type="spellStart"/>
            <w:r w:rsidRPr="005D6F2E">
              <w:rPr>
                <w:rFonts w:ascii="Calibri" w:eastAsia="Times New Roman" w:hAnsi="Calibri" w:cs="Times New Roman"/>
                <w:color w:val="000000"/>
                <w:sz w:val="20"/>
                <w:szCs w:val="20"/>
              </w:rPr>
              <w:t>Roferon</w:t>
            </w:r>
            <w:proofErr w:type="spellEnd"/>
            <w:r w:rsidRPr="005D6F2E">
              <w:rPr>
                <w:rFonts w:ascii="Calibri" w:eastAsia="Times New Roman" w:hAnsi="Calibri" w:cs="Times New Roman"/>
                <w:color w:val="000000"/>
                <w:sz w:val="20"/>
                <w:szCs w:val="20"/>
              </w:rPr>
              <w:t>-A (Roche Products Pty Ltd)</w:t>
            </w:r>
          </w:p>
        </w:tc>
      </w:tr>
      <w:tr w:rsidR="00757713" w:rsidRPr="005D6F2E" w14:paraId="3177623B"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0DC4920E"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5760E</w:t>
            </w:r>
          </w:p>
        </w:tc>
        <w:tc>
          <w:tcPr>
            <w:tcW w:w="2642" w:type="dxa"/>
            <w:tcBorders>
              <w:top w:val="nil"/>
              <w:left w:val="nil"/>
              <w:bottom w:val="single" w:sz="8" w:space="0" w:color="auto"/>
              <w:right w:val="single" w:sz="8" w:space="0" w:color="auto"/>
            </w:tcBorders>
            <w:shd w:val="clear" w:color="auto" w:fill="auto"/>
            <w:vAlign w:val="center"/>
            <w:hideMark/>
          </w:tcPr>
          <w:p w14:paraId="4923DEE1"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ALFA-2A</w:t>
            </w:r>
            <w:r w:rsidRPr="005D6F2E">
              <w:rPr>
                <w:rFonts w:ascii="Calibri" w:eastAsia="Times New Roman" w:hAnsi="Calibri" w:cs="Times New Roman"/>
                <w:color w:val="000000"/>
                <w:sz w:val="20"/>
                <w:szCs w:val="20"/>
              </w:rPr>
              <w:br/>
              <w:t>4.5 million international units/0.5 mL injection, 1 x 0.5 mL syringe</w:t>
            </w:r>
          </w:p>
        </w:tc>
        <w:tc>
          <w:tcPr>
            <w:tcW w:w="950" w:type="dxa"/>
            <w:tcBorders>
              <w:top w:val="nil"/>
              <w:left w:val="nil"/>
              <w:bottom w:val="single" w:sz="8" w:space="0" w:color="auto"/>
              <w:right w:val="single" w:sz="8" w:space="0" w:color="auto"/>
            </w:tcBorders>
            <w:shd w:val="clear" w:color="auto" w:fill="auto"/>
            <w:vAlign w:val="center"/>
            <w:hideMark/>
          </w:tcPr>
          <w:p w14:paraId="002A35A2"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30</w:t>
            </w:r>
          </w:p>
        </w:tc>
        <w:tc>
          <w:tcPr>
            <w:tcW w:w="941" w:type="dxa"/>
            <w:tcBorders>
              <w:top w:val="nil"/>
              <w:left w:val="nil"/>
              <w:bottom w:val="single" w:sz="8" w:space="0" w:color="auto"/>
              <w:right w:val="single" w:sz="8" w:space="0" w:color="auto"/>
            </w:tcBorders>
            <w:shd w:val="clear" w:color="auto" w:fill="auto"/>
            <w:vAlign w:val="center"/>
            <w:hideMark/>
          </w:tcPr>
          <w:p w14:paraId="6E583DCC"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4A47B2EC"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$1,341.00</w:t>
            </w:r>
          </w:p>
        </w:tc>
        <w:tc>
          <w:tcPr>
            <w:tcW w:w="3021" w:type="dxa"/>
            <w:vMerge/>
            <w:tcBorders>
              <w:top w:val="nil"/>
              <w:left w:val="single" w:sz="8" w:space="0" w:color="auto"/>
              <w:bottom w:val="single" w:sz="8" w:space="0" w:color="000000"/>
              <w:right w:val="single" w:sz="8" w:space="0" w:color="auto"/>
            </w:tcBorders>
            <w:vAlign w:val="center"/>
            <w:hideMark/>
          </w:tcPr>
          <w:p w14:paraId="3BA7DA88"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5FF528BF"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4C004E92"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5761F</w:t>
            </w:r>
          </w:p>
        </w:tc>
        <w:tc>
          <w:tcPr>
            <w:tcW w:w="2642" w:type="dxa"/>
            <w:tcBorders>
              <w:top w:val="nil"/>
              <w:left w:val="nil"/>
              <w:bottom w:val="single" w:sz="8" w:space="0" w:color="auto"/>
              <w:right w:val="single" w:sz="8" w:space="0" w:color="auto"/>
            </w:tcBorders>
            <w:shd w:val="clear" w:color="auto" w:fill="auto"/>
            <w:vAlign w:val="center"/>
            <w:hideMark/>
          </w:tcPr>
          <w:p w14:paraId="42D30869"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ALFA-2A</w:t>
            </w:r>
            <w:r w:rsidRPr="005D6F2E">
              <w:rPr>
                <w:rFonts w:ascii="Calibri" w:eastAsia="Times New Roman" w:hAnsi="Calibri" w:cs="Times New Roman"/>
                <w:color w:val="000000"/>
                <w:sz w:val="20"/>
                <w:szCs w:val="20"/>
              </w:rPr>
              <w:br/>
              <w:t>6 million international units/0.5 mL injection, 1 x 0.5 mL syringe</w:t>
            </w:r>
          </w:p>
        </w:tc>
        <w:tc>
          <w:tcPr>
            <w:tcW w:w="950" w:type="dxa"/>
            <w:tcBorders>
              <w:top w:val="nil"/>
              <w:left w:val="nil"/>
              <w:bottom w:val="single" w:sz="8" w:space="0" w:color="auto"/>
              <w:right w:val="single" w:sz="8" w:space="0" w:color="auto"/>
            </w:tcBorders>
            <w:shd w:val="clear" w:color="auto" w:fill="auto"/>
            <w:vAlign w:val="center"/>
            <w:hideMark/>
          </w:tcPr>
          <w:p w14:paraId="34F68806"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30</w:t>
            </w:r>
          </w:p>
        </w:tc>
        <w:tc>
          <w:tcPr>
            <w:tcW w:w="941" w:type="dxa"/>
            <w:tcBorders>
              <w:top w:val="nil"/>
              <w:left w:val="nil"/>
              <w:bottom w:val="single" w:sz="8" w:space="0" w:color="auto"/>
              <w:right w:val="single" w:sz="8" w:space="0" w:color="auto"/>
            </w:tcBorders>
            <w:shd w:val="clear" w:color="auto" w:fill="auto"/>
            <w:vAlign w:val="center"/>
            <w:hideMark/>
          </w:tcPr>
          <w:p w14:paraId="70CD2CE3"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0A3FF116"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$1,787.40</w:t>
            </w:r>
          </w:p>
        </w:tc>
        <w:tc>
          <w:tcPr>
            <w:tcW w:w="3021" w:type="dxa"/>
            <w:vMerge/>
            <w:tcBorders>
              <w:top w:val="nil"/>
              <w:left w:val="single" w:sz="8" w:space="0" w:color="auto"/>
              <w:bottom w:val="single" w:sz="8" w:space="0" w:color="000000"/>
              <w:right w:val="single" w:sz="8" w:space="0" w:color="auto"/>
            </w:tcBorders>
            <w:vAlign w:val="center"/>
            <w:hideMark/>
          </w:tcPr>
          <w:p w14:paraId="52108CC4"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4023F316"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5B2916A7"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5762G</w:t>
            </w:r>
          </w:p>
        </w:tc>
        <w:tc>
          <w:tcPr>
            <w:tcW w:w="2642" w:type="dxa"/>
            <w:tcBorders>
              <w:top w:val="nil"/>
              <w:left w:val="nil"/>
              <w:bottom w:val="single" w:sz="8" w:space="0" w:color="auto"/>
              <w:right w:val="single" w:sz="8" w:space="0" w:color="auto"/>
            </w:tcBorders>
            <w:shd w:val="clear" w:color="auto" w:fill="auto"/>
            <w:vAlign w:val="center"/>
            <w:hideMark/>
          </w:tcPr>
          <w:p w14:paraId="5256FAC1"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ALFA-2A</w:t>
            </w:r>
            <w:r w:rsidRPr="005D6F2E">
              <w:rPr>
                <w:rFonts w:ascii="Calibri" w:eastAsia="Times New Roman" w:hAnsi="Calibri" w:cs="Times New Roman"/>
                <w:color w:val="000000"/>
                <w:sz w:val="20"/>
                <w:szCs w:val="20"/>
              </w:rPr>
              <w:br/>
              <w:t>9 million international units/0.5 mL injection, 1 x 0.5 mL syringe</w:t>
            </w:r>
          </w:p>
        </w:tc>
        <w:tc>
          <w:tcPr>
            <w:tcW w:w="950" w:type="dxa"/>
            <w:tcBorders>
              <w:top w:val="nil"/>
              <w:left w:val="nil"/>
              <w:bottom w:val="single" w:sz="8" w:space="0" w:color="auto"/>
              <w:right w:val="single" w:sz="8" w:space="0" w:color="auto"/>
            </w:tcBorders>
            <w:shd w:val="clear" w:color="auto" w:fill="auto"/>
            <w:vAlign w:val="center"/>
            <w:hideMark/>
          </w:tcPr>
          <w:p w14:paraId="6DDEA224"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30</w:t>
            </w:r>
          </w:p>
        </w:tc>
        <w:tc>
          <w:tcPr>
            <w:tcW w:w="941" w:type="dxa"/>
            <w:tcBorders>
              <w:top w:val="nil"/>
              <w:left w:val="nil"/>
              <w:bottom w:val="single" w:sz="8" w:space="0" w:color="auto"/>
              <w:right w:val="single" w:sz="8" w:space="0" w:color="auto"/>
            </w:tcBorders>
            <w:shd w:val="clear" w:color="auto" w:fill="auto"/>
            <w:vAlign w:val="center"/>
            <w:hideMark/>
          </w:tcPr>
          <w:p w14:paraId="10FF2BBA"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283D4095"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$2,681.40</w:t>
            </w:r>
          </w:p>
        </w:tc>
        <w:tc>
          <w:tcPr>
            <w:tcW w:w="3021" w:type="dxa"/>
            <w:vMerge/>
            <w:tcBorders>
              <w:top w:val="nil"/>
              <w:left w:val="single" w:sz="8" w:space="0" w:color="auto"/>
              <w:bottom w:val="single" w:sz="8" w:space="0" w:color="000000"/>
              <w:right w:val="single" w:sz="8" w:space="0" w:color="auto"/>
            </w:tcBorders>
            <w:vAlign w:val="center"/>
            <w:hideMark/>
          </w:tcPr>
          <w:p w14:paraId="50E36EF1"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201242A8"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3E315D2C"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6210W</w:t>
            </w:r>
          </w:p>
        </w:tc>
        <w:tc>
          <w:tcPr>
            <w:tcW w:w="2642" w:type="dxa"/>
            <w:tcBorders>
              <w:top w:val="nil"/>
              <w:left w:val="nil"/>
              <w:bottom w:val="single" w:sz="8" w:space="0" w:color="auto"/>
              <w:right w:val="single" w:sz="8" w:space="0" w:color="auto"/>
            </w:tcBorders>
            <w:shd w:val="clear" w:color="auto" w:fill="auto"/>
            <w:vAlign w:val="center"/>
            <w:hideMark/>
          </w:tcPr>
          <w:p w14:paraId="06D03415"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ALFA-2A</w:t>
            </w:r>
            <w:r w:rsidRPr="005D6F2E">
              <w:rPr>
                <w:rFonts w:ascii="Calibri" w:eastAsia="Times New Roman" w:hAnsi="Calibri" w:cs="Times New Roman"/>
                <w:color w:val="000000"/>
                <w:sz w:val="20"/>
                <w:szCs w:val="20"/>
              </w:rPr>
              <w:br/>
              <w:t xml:space="preserve">3 million international units/0.5 mL injection, 1 x 0.5 mL syringe </w:t>
            </w:r>
          </w:p>
        </w:tc>
        <w:tc>
          <w:tcPr>
            <w:tcW w:w="950" w:type="dxa"/>
            <w:tcBorders>
              <w:top w:val="nil"/>
              <w:left w:val="nil"/>
              <w:bottom w:val="single" w:sz="8" w:space="0" w:color="auto"/>
              <w:right w:val="single" w:sz="8" w:space="0" w:color="auto"/>
            </w:tcBorders>
            <w:shd w:val="clear" w:color="auto" w:fill="auto"/>
            <w:vAlign w:val="center"/>
            <w:hideMark/>
          </w:tcPr>
          <w:p w14:paraId="7C6ACDF6"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30</w:t>
            </w:r>
          </w:p>
        </w:tc>
        <w:tc>
          <w:tcPr>
            <w:tcW w:w="941" w:type="dxa"/>
            <w:tcBorders>
              <w:top w:val="nil"/>
              <w:left w:val="nil"/>
              <w:bottom w:val="single" w:sz="8" w:space="0" w:color="auto"/>
              <w:right w:val="single" w:sz="8" w:space="0" w:color="auto"/>
            </w:tcBorders>
            <w:shd w:val="clear" w:color="auto" w:fill="auto"/>
            <w:vAlign w:val="center"/>
            <w:hideMark/>
          </w:tcPr>
          <w:p w14:paraId="286C4962"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5D48078C"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$936.46</w:t>
            </w:r>
          </w:p>
        </w:tc>
        <w:tc>
          <w:tcPr>
            <w:tcW w:w="3021" w:type="dxa"/>
            <w:vMerge/>
            <w:tcBorders>
              <w:top w:val="nil"/>
              <w:left w:val="single" w:sz="8" w:space="0" w:color="auto"/>
              <w:bottom w:val="single" w:sz="8" w:space="0" w:color="000000"/>
              <w:right w:val="single" w:sz="8" w:space="0" w:color="auto"/>
            </w:tcBorders>
            <w:vAlign w:val="center"/>
            <w:hideMark/>
          </w:tcPr>
          <w:p w14:paraId="2F56629F"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018FD1EC"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7793F926"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6211X</w:t>
            </w:r>
          </w:p>
        </w:tc>
        <w:tc>
          <w:tcPr>
            <w:tcW w:w="2642" w:type="dxa"/>
            <w:tcBorders>
              <w:top w:val="nil"/>
              <w:left w:val="nil"/>
              <w:bottom w:val="single" w:sz="8" w:space="0" w:color="auto"/>
              <w:right w:val="single" w:sz="8" w:space="0" w:color="auto"/>
            </w:tcBorders>
            <w:shd w:val="clear" w:color="auto" w:fill="auto"/>
            <w:vAlign w:val="center"/>
            <w:hideMark/>
          </w:tcPr>
          <w:p w14:paraId="02CA2A02"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ALFA-2A</w:t>
            </w:r>
            <w:r w:rsidRPr="005D6F2E">
              <w:rPr>
                <w:rFonts w:ascii="Calibri" w:eastAsia="Times New Roman" w:hAnsi="Calibri" w:cs="Times New Roman"/>
                <w:color w:val="000000"/>
                <w:sz w:val="20"/>
                <w:szCs w:val="20"/>
              </w:rPr>
              <w:br/>
              <w:t>4.5 million international units/0.5 mL injection, 1 x 0.5 mL syringe</w:t>
            </w:r>
          </w:p>
        </w:tc>
        <w:tc>
          <w:tcPr>
            <w:tcW w:w="950" w:type="dxa"/>
            <w:tcBorders>
              <w:top w:val="nil"/>
              <w:left w:val="nil"/>
              <w:bottom w:val="single" w:sz="8" w:space="0" w:color="auto"/>
              <w:right w:val="single" w:sz="8" w:space="0" w:color="auto"/>
            </w:tcBorders>
            <w:shd w:val="clear" w:color="auto" w:fill="auto"/>
            <w:vAlign w:val="center"/>
            <w:hideMark/>
          </w:tcPr>
          <w:p w14:paraId="20BA444D"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30</w:t>
            </w:r>
          </w:p>
        </w:tc>
        <w:tc>
          <w:tcPr>
            <w:tcW w:w="941" w:type="dxa"/>
            <w:tcBorders>
              <w:top w:val="nil"/>
              <w:left w:val="nil"/>
              <w:bottom w:val="single" w:sz="8" w:space="0" w:color="auto"/>
              <w:right w:val="single" w:sz="8" w:space="0" w:color="auto"/>
            </w:tcBorders>
            <w:shd w:val="clear" w:color="auto" w:fill="auto"/>
            <w:vAlign w:val="center"/>
            <w:hideMark/>
          </w:tcPr>
          <w:p w14:paraId="24DB12F2"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037297A6"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$1,387.66</w:t>
            </w:r>
          </w:p>
        </w:tc>
        <w:tc>
          <w:tcPr>
            <w:tcW w:w="3021" w:type="dxa"/>
            <w:vMerge/>
            <w:tcBorders>
              <w:top w:val="nil"/>
              <w:left w:val="single" w:sz="8" w:space="0" w:color="auto"/>
              <w:bottom w:val="single" w:sz="8" w:space="0" w:color="000000"/>
              <w:right w:val="single" w:sz="8" w:space="0" w:color="auto"/>
            </w:tcBorders>
            <w:vAlign w:val="center"/>
            <w:hideMark/>
          </w:tcPr>
          <w:p w14:paraId="5E306497"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783880A1"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0574EEC7"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6212Y</w:t>
            </w:r>
          </w:p>
        </w:tc>
        <w:tc>
          <w:tcPr>
            <w:tcW w:w="2642" w:type="dxa"/>
            <w:tcBorders>
              <w:top w:val="nil"/>
              <w:left w:val="nil"/>
              <w:bottom w:val="single" w:sz="8" w:space="0" w:color="auto"/>
              <w:right w:val="single" w:sz="8" w:space="0" w:color="auto"/>
            </w:tcBorders>
            <w:shd w:val="clear" w:color="auto" w:fill="auto"/>
            <w:vAlign w:val="center"/>
            <w:hideMark/>
          </w:tcPr>
          <w:p w14:paraId="71F909EE"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ALFA-2A</w:t>
            </w:r>
            <w:r w:rsidRPr="005D6F2E">
              <w:rPr>
                <w:rFonts w:ascii="Calibri" w:eastAsia="Times New Roman" w:hAnsi="Calibri" w:cs="Times New Roman"/>
                <w:color w:val="000000"/>
                <w:sz w:val="20"/>
                <w:szCs w:val="20"/>
              </w:rPr>
              <w:br/>
              <w:t>6 million international units/0.5 mL injection, 1 x 0.5 mL syringe</w:t>
            </w:r>
          </w:p>
        </w:tc>
        <w:tc>
          <w:tcPr>
            <w:tcW w:w="950" w:type="dxa"/>
            <w:tcBorders>
              <w:top w:val="nil"/>
              <w:left w:val="nil"/>
              <w:bottom w:val="single" w:sz="8" w:space="0" w:color="auto"/>
              <w:right w:val="single" w:sz="8" w:space="0" w:color="auto"/>
            </w:tcBorders>
            <w:shd w:val="clear" w:color="auto" w:fill="auto"/>
            <w:vAlign w:val="center"/>
            <w:hideMark/>
          </w:tcPr>
          <w:p w14:paraId="79FED94B"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30</w:t>
            </w:r>
          </w:p>
        </w:tc>
        <w:tc>
          <w:tcPr>
            <w:tcW w:w="941" w:type="dxa"/>
            <w:tcBorders>
              <w:top w:val="nil"/>
              <w:left w:val="nil"/>
              <w:bottom w:val="single" w:sz="8" w:space="0" w:color="auto"/>
              <w:right w:val="single" w:sz="8" w:space="0" w:color="auto"/>
            </w:tcBorders>
            <w:shd w:val="clear" w:color="auto" w:fill="auto"/>
            <w:vAlign w:val="center"/>
            <w:hideMark/>
          </w:tcPr>
          <w:p w14:paraId="40E314FF"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62A95320"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$1,834.06</w:t>
            </w:r>
          </w:p>
        </w:tc>
        <w:tc>
          <w:tcPr>
            <w:tcW w:w="3021" w:type="dxa"/>
            <w:vMerge/>
            <w:tcBorders>
              <w:top w:val="nil"/>
              <w:left w:val="single" w:sz="8" w:space="0" w:color="auto"/>
              <w:bottom w:val="single" w:sz="8" w:space="0" w:color="000000"/>
              <w:right w:val="single" w:sz="8" w:space="0" w:color="auto"/>
            </w:tcBorders>
            <w:vAlign w:val="center"/>
            <w:hideMark/>
          </w:tcPr>
          <w:p w14:paraId="14E6E053"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063EA3B1"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AAB8E56"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6213B</w:t>
            </w:r>
          </w:p>
        </w:tc>
        <w:tc>
          <w:tcPr>
            <w:tcW w:w="2642" w:type="dxa"/>
            <w:tcBorders>
              <w:top w:val="nil"/>
              <w:left w:val="nil"/>
              <w:bottom w:val="single" w:sz="8" w:space="0" w:color="auto"/>
              <w:right w:val="single" w:sz="8" w:space="0" w:color="auto"/>
            </w:tcBorders>
            <w:shd w:val="clear" w:color="auto" w:fill="auto"/>
            <w:vAlign w:val="center"/>
            <w:hideMark/>
          </w:tcPr>
          <w:p w14:paraId="128037A9"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ALFA-2A</w:t>
            </w:r>
            <w:r w:rsidRPr="005D6F2E">
              <w:rPr>
                <w:rFonts w:ascii="Calibri" w:eastAsia="Times New Roman" w:hAnsi="Calibri" w:cs="Times New Roman"/>
                <w:color w:val="000000"/>
                <w:sz w:val="20"/>
                <w:szCs w:val="20"/>
              </w:rPr>
              <w:br/>
              <w:t>9 million international units/0.5 mL injection, 1 x 0.5 mL syringe</w:t>
            </w:r>
          </w:p>
        </w:tc>
        <w:tc>
          <w:tcPr>
            <w:tcW w:w="950" w:type="dxa"/>
            <w:tcBorders>
              <w:top w:val="nil"/>
              <w:left w:val="nil"/>
              <w:bottom w:val="single" w:sz="8" w:space="0" w:color="auto"/>
              <w:right w:val="single" w:sz="8" w:space="0" w:color="auto"/>
            </w:tcBorders>
            <w:shd w:val="clear" w:color="auto" w:fill="auto"/>
            <w:vAlign w:val="center"/>
            <w:hideMark/>
          </w:tcPr>
          <w:p w14:paraId="5BE40DA2"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30</w:t>
            </w:r>
          </w:p>
        </w:tc>
        <w:tc>
          <w:tcPr>
            <w:tcW w:w="941" w:type="dxa"/>
            <w:tcBorders>
              <w:top w:val="nil"/>
              <w:left w:val="nil"/>
              <w:bottom w:val="single" w:sz="8" w:space="0" w:color="auto"/>
              <w:right w:val="single" w:sz="8" w:space="0" w:color="auto"/>
            </w:tcBorders>
            <w:shd w:val="clear" w:color="auto" w:fill="auto"/>
            <w:vAlign w:val="center"/>
            <w:hideMark/>
          </w:tcPr>
          <w:p w14:paraId="56EBE561"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32CB98CD"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$2,728.06</w:t>
            </w:r>
          </w:p>
        </w:tc>
        <w:tc>
          <w:tcPr>
            <w:tcW w:w="3021" w:type="dxa"/>
            <w:vMerge/>
            <w:tcBorders>
              <w:top w:val="nil"/>
              <w:left w:val="single" w:sz="8" w:space="0" w:color="auto"/>
              <w:bottom w:val="single" w:sz="8" w:space="0" w:color="000000"/>
              <w:right w:val="single" w:sz="8" w:space="0" w:color="auto"/>
            </w:tcBorders>
            <w:vAlign w:val="center"/>
            <w:hideMark/>
          </w:tcPr>
          <w:p w14:paraId="47B1ACCA"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0E64D465"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C1A7CC4"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5763H</w:t>
            </w:r>
          </w:p>
        </w:tc>
        <w:tc>
          <w:tcPr>
            <w:tcW w:w="2642" w:type="dxa"/>
            <w:tcBorders>
              <w:top w:val="nil"/>
              <w:left w:val="nil"/>
              <w:bottom w:val="single" w:sz="8" w:space="0" w:color="auto"/>
              <w:right w:val="single" w:sz="8" w:space="0" w:color="auto"/>
            </w:tcBorders>
            <w:shd w:val="clear" w:color="auto" w:fill="auto"/>
            <w:vAlign w:val="center"/>
            <w:hideMark/>
          </w:tcPr>
          <w:p w14:paraId="0F313F47"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r w:rsidRPr="005D6F2E">
              <w:rPr>
                <w:rFonts w:ascii="Calibri" w:eastAsia="Times New Roman" w:hAnsi="Calibri" w:cs="Times New Roman"/>
                <w:color w:val="000000"/>
                <w:sz w:val="20"/>
                <w:szCs w:val="20"/>
              </w:rPr>
              <w:br/>
              <w:t>18 million international units/1.2 mL injection, 1 x 1.2 mL cartridge</w:t>
            </w:r>
          </w:p>
        </w:tc>
        <w:tc>
          <w:tcPr>
            <w:tcW w:w="950" w:type="dxa"/>
            <w:tcBorders>
              <w:top w:val="nil"/>
              <w:left w:val="nil"/>
              <w:bottom w:val="single" w:sz="8" w:space="0" w:color="auto"/>
              <w:right w:val="single" w:sz="8" w:space="0" w:color="auto"/>
            </w:tcBorders>
            <w:shd w:val="clear" w:color="auto" w:fill="auto"/>
            <w:vAlign w:val="center"/>
            <w:hideMark/>
          </w:tcPr>
          <w:p w14:paraId="6F5532A0"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328407EE"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0E310D35"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$357.48</w:t>
            </w:r>
          </w:p>
        </w:tc>
        <w:tc>
          <w:tcPr>
            <w:tcW w:w="3021" w:type="dxa"/>
            <w:vMerge w:val="restart"/>
            <w:tcBorders>
              <w:top w:val="nil"/>
              <w:left w:val="single" w:sz="8" w:space="0" w:color="auto"/>
              <w:bottom w:val="single" w:sz="8" w:space="0" w:color="000000"/>
              <w:right w:val="single" w:sz="8" w:space="0" w:color="auto"/>
            </w:tcBorders>
            <w:shd w:val="clear" w:color="auto" w:fill="auto"/>
            <w:vAlign w:val="center"/>
            <w:hideMark/>
          </w:tcPr>
          <w:p w14:paraId="0AD45245"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 xml:space="preserve">Intron A </w:t>
            </w:r>
            <w:proofErr w:type="spellStart"/>
            <w:r w:rsidRPr="005D6F2E">
              <w:rPr>
                <w:rFonts w:ascii="Calibri" w:eastAsia="Times New Roman" w:hAnsi="Calibri" w:cs="Times New Roman"/>
                <w:color w:val="000000"/>
                <w:sz w:val="20"/>
                <w:szCs w:val="20"/>
              </w:rPr>
              <w:t>Redipen</w:t>
            </w:r>
            <w:proofErr w:type="spellEnd"/>
            <w:r w:rsidRPr="005D6F2E">
              <w:rPr>
                <w:rFonts w:ascii="Calibri" w:eastAsia="Times New Roman" w:hAnsi="Calibri" w:cs="Times New Roman"/>
                <w:color w:val="000000"/>
                <w:sz w:val="20"/>
                <w:szCs w:val="20"/>
              </w:rPr>
              <w:t xml:space="preserve"> (Merck Sharp &amp; </w:t>
            </w:r>
            <w:proofErr w:type="spellStart"/>
            <w:r w:rsidRPr="005D6F2E">
              <w:rPr>
                <w:rFonts w:ascii="Calibri" w:eastAsia="Times New Roman" w:hAnsi="Calibri" w:cs="Times New Roman"/>
                <w:color w:val="000000"/>
                <w:sz w:val="20"/>
                <w:szCs w:val="20"/>
              </w:rPr>
              <w:t>Dohme</w:t>
            </w:r>
            <w:proofErr w:type="spellEnd"/>
            <w:r w:rsidRPr="005D6F2E">
              <w:rPr>
                <w:rFonts w:ascii="Calibri" w:eastAsia="Times New Roman" w:hAnsi="Calibri" w:cs="Times New Roman"/>
                <w:color w:val="000000"/>
                <w:sz w:val="20"/>
                <w:szCs w:val="20"/>
              </w:rPr>
              <w:t xml:space="preserve"> (Australia) Pty Ltd)</w:t>
            </w:r>
          </w:p>
        </w:tc>
      </w:tr>
      <w:tr w:rsidR="00757713" w:rsidRPr="005D6F2E" w14:paraId="569E2465"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4D34EA6D"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5764J</w:t>
            </w:r>
          </w:p>
        </w:tc>
        <w:tc>
          <w:tcPr>
            <w:tcW w:w="2642" w:type="dxa"/>
            <w:tcBorders>
              <w:top w:val="nil"/>
              <w:left w:val="nil"/>
              <w:bottom w:val="single" w:sz="8" w:space="0" w:color="auto"/>
              <w:right w:val="single" w:sz="8" w:space="0" w:color="auto"/>
            </w:tcBorders>
            <w:shd w:val="clear" w:color="auto" w:fill="auto"/>
            <w:vAlign w:val="center"/>
            <w:hideMark/>
          </w:tcPr>
          <w:p w14:paraId="0212393C"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r w:rsidRPr="005D6F2E">
              <w:rPr>
                <w:rFonts w:ascii="Calibri" w:eastAsia="Times New Roman" w:hAnsi="Calibri" w:cs="Times New Roman"/>
                <w:color w:val="000000"/>
                <w:sz w:val="20"/>
                <w:szCs w:val="20"/>
              </w:rPr>
              <w:br/>
              <w:t>30 million international units/1.2 mL injection, 1 x 1.2 mL cartridge</w:t>
            </w:r>
          </w:p>
        </w:tc>
        <w:tc>
          <w:tcPr>
            <w:tcW w:w="950" w:type="dxa"/>
            <w:tcBorders>
              <w:top w:val="nil"/>
              <w:left w:val="nil"/>
              <w:bottom w:val="single" w:sz="8" w:space="0" w:color="auto"/>
              <w:right w:val="single" w:sz="8" w:space="0" w:color="auto"/>
            </w:tcBorders>
            <w:shd w:val="clear" w:color="auto" w:fill="auto"/>
            <w:vAlign w:val="center"/>
            <w:hideMark/>
          </w:tcPr>
          <w:p w14:paraId="102A59EA"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43C81271"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6D785EE0"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$595.80</w:t>
            </w:r>
          </w:p>
        </w:tc>
        <w:tc>
          <w:tcPr>
            <w:tcW w:w="3021" w:type="dxa"/>
            <w:vMerge/>
            <w:tcBorders>
              <w:top w:val="nil"/>
              <w:left w:val="single" w:sz="8" w:space="0" w:color="auto"/>
              <w:bottom w:val="single" w:sz="8" w:space="0" w:color="000000"/>
              <w:right w:val="single" w:sz="8" w:space="0" w:color="auto"/>
            </w:tcBorders>
            <w:vAlign w:val="center"/>
            <w:hideMark/>
          </w:tcPr>
          <w:p w14:paraId="3DDCB1CF"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7B41FA11"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0BE71A80"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5765K</w:t>
            </w:r>
          </w:p>
        </w:tc>
        <w:tc>
          <w:tcPr>
            <w:tcW w:w="2642" w:type="dxa"/>
            <w:tcBorders>
              <w:top w:val="nil"/>
              <w:left w:val="nil"/>
              <w:bottom w:val="single" w:sz="8" w:space="0" w:color="auto"/>
              <w:right w:val="single" w:sz="8" w:space="0" w:color="auto"/>
            </w:tcBorders>
            <w:shd w:val="clear" w:color="auto" w:fill="auto"/>
            <w:vAlign w:val="center"/>
            <w:hideMark/>
          </w:tcPr>
          <w:p w14:paraId="3BF051E1"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r w:rsidRPr="005D6F2E">
              <w:rPr>
                <w:rFonts w:ascii="Calibri" w:eastAsia="Times New Roman" w:hAnsi="Calibri" w:cs="Times New Roman"/>
                <w:color w:val="000000"/>
                <w:sz w:val="20"/>
                <w:szCs w:val="20"/>
              </w:rPr>
              <w:br/>
              <w:t>60 million international units/1.2 mL injection, 1 x 1.2 mL cartridge</w:t>
            </w:r>
          </w:p>
        </w:tc>
        <w:tc>
          <w:tcPr>
            <w:tcW w:w="950" w:type="dxa"/>
            <w:tcBorders>
              <w:top w:val="nil"/>
              <w:left w:val="nil"/>
              <w:bottom w:val="single" w:sz="8" w:space="0" w:color="auto"/>
              <w:right w:val="single" w:sz="8" w:space="0" w:color="auto"/>
            </w:tcBorders>
            <w:shd w:val="clear" w:color="auto" w:fill="auto"/>
            <w:vAlign w:val="center"/>
            <w:hideMark/>
          </w:tcPr>
          <w:p w14:paraId="0D81F31E"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4D587939"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562F69CE"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$1,191.60</w:t>
            </w:r>
          </w:p>
        </w:tc>
        <w:tc>
          <w:tcPr>
            <w:tcW w:w="3021" w:type="dxa"/>
            <w:vMerge/>
            <w:tcBorders>
              <w:top w:val="nil"/>
              <w:left w:val="single" w:sz="8" w:space="0" w:color="auto"/>
              <w:bottom w:val="single" w:sz="8" w:space="0" w:color="000000"/>
              <w:right w:val="single" w:sz="8" w:space="0" w:color="auto"/>
            </w:tcBorders>
            <w:vAlign w:val="center"/>
            <w:hideMark/>
          </w:tcPr>
          <w:p w14:paraId="73FAE577"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3C22C41B"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D235756"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lastRenderedPageBreak/>
              <w:t>6253D</w:t>
            </w:r>
          </w:p>
        </w:tc>
        <w:tc>
          <w:tcPr>
            <w:tcW w:w="2642" w:type="dxa"/>
            <w:tcBorders>
              <w:top w:val="nil"/>
              <w:left w:val="nil"/>
              <w:bottom w:val="single" w:sz="8" w:space="0" w:color="auto"/>
              <w:right w:val="single" w:sz="8" w:space="0" w:color="auto"/>
            </w:tcBorders>
            <w:shd w:val="clear" w:color="auto" w:fill="auto"/>
            <w:vAlign w:val="center"/>
            <w:hideMark/>
          </w:tcPr>
          <w:p w14:paraId="3FDA4D24"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r w:rsidRPr="005D6F2E">
              <w:rPr>
                <w:rFonts w:ascii="Calibri" w:eastAsia="Times New Roman" w:hAnsi="Calibri" w:cs="Times New Roman"/>
                <w:color w:val="000000"/>
                <w:sz w:val="20"/>
                <w:szCs w:val="20"/>
              </w:rPr>
              <w:br/>
              <w:t>18 million international units/1.2 mL injection, 1 x 1.2 mL cartridge</w:t>
            </w:r>
          </w:p>
        </w:tc>
        <w:tc>
          <w:tcPr>
            <w:tcW w:w="950" w:type="dxa"/>
            <w:tcBorders>
              <w:top w:val="nil"/>
              <w:left w:val="nil"/>
              <w:bottom w:val="single" w:sz="8" w:space="0" w:color="auto"/>
              <w:right w:val="single" w:sz="8" w:space="0" w:color="auto"/>
            </w:tcBorders>
            <w:shd w:val="clear" w:color="auto" w:fill="auto"/>
            <w:vAlign w:val="center"/>
            <w:hideMark/>
          </w:tcPr>
          <w:p w14:paraId="34CE422F"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67CDD253"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5E0A9E68"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$378.54</w:t>
            </w:r>
          </w:p>
        </w:tc>
        <w:tc>
          <w:tcPr>
            <w:tcW w:w="3021" w:type="dxa"/>
            <w:vMerge/>
            <w:tcBorders>
              <w:top w:val="nil"/>
              <w:left w:val="single" w:sz="8" w:space="0" w:color="auto"/>
              <w:bottom w:val="single" w:sz="8" w:space="0" w:color="000000"/>
              <w:right w:val="single" w:sz="8" w:space="0" w:color="auto"/>
            </w:tcBorders>
            <w:vAlign w:val="center"/>
            <w:hideMark/>
          </w:tcPr>
          <w:p w14:paraId="586BD6F8"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41E96DC8"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1CCA1BC0"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6254E</w:t>
            </w:r>
          </w:p>
        </w:tc>
        <w:tc>
          <w:tcPr>
            <w:tcW w:w="2642" w:type="dxa"/>
            <w:tcBorders>
              <w:top w:val="nil"/>
              <w:left w:val="nil"/>
              <w:bottom w:val="single" w:sz="8" w:space="0" w:color="auto"/>
              <w:right w:val="single" w:sz="8" w:space="0" w:color="auto"/>
            </w:tcBorders>
            <w:shd w:val="clear" w:color="auto" w:fill="auto"/>
            <w:vAlign w:val="center"/>
            <w:hideMark/>
          </w:tcPr>
          <w:p w14:paraId="1097435C"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r w:rsidRPr="005D6F2E">
              <w:rPr>
                <w:rFonts w:ascii="Calibri" w:eastAsia="Times New Roman" w:hAnsi="Calibri" w:cs="Times New Roman"/>
                <w:color w:val="000000"/>
                <w:sz w:val="20"/>
                <w:szCs w:val="20"/>
              </w:rPr>
              <w:br/>
              <w:t>30 million international units/1.2 mL injection, 1 x 1.2 mL cartridge</w:t>
            </w:r>
          </w:p>
        </w:tc>
        <w:tc>
          <w:tcPr>
            <w:tcW w:w="950" w:type="dxa"/>
            <w:tcBorders>
              <w:top w:val="nil"/>
              <w:left w:val="nil"/>
              <w:bottom w:val="single" w:sz="8" w:space="0" w:color="auto"/>
              <w:right w:val="single" w:sz="8" w:space="0" w:color="auto"/>
            </w:tcBorders>
            <w:shd w:val="clear" w:color="auto" w:fill="auto"/>
            <w:vAlign w:val="center"/>
            <w:hideMark/>
          </w:tcPr>
          <w:p w14:paraId="15FFD327"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12543186"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42FC978E"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$626.40</w:t>
            </w:r>
          </w:p>
        </w:tc>
        <w:tc>
          <w:tcPr>
            <w:tcW w:w="3021" w:type="dxa"/>
            <w:vMerge/>
            <w:tcBorders>
              <w:top w:val="nil"/>
              <w:left w:val="single" w:sz="8" w:space="0" w:color="auto"/>
              <w:bottom w:val="single" w:sz="8" w:space="0" w:color="000000"/>
              <w:right w:val="single" w:sz="8" w:space="0" w:color="auto"/>
            </w:tcBorders>
            <w:vAlign w:val="center"/>
            <w:hideMark/>
          </w:tcPr>
          <w:p w14:paraId="6F4EED10"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01493894"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33256BF2"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6255F</w:t>
            </w:r>
          </w:p>
        </w:tc>
        <w:tc>
          <w:tcPr>
            <w:tcW w:w="2642" w:type="dxa"/>
            <w:tcBorders>
              <w:top w:val="nil"/>
              <w:left w:val="nil"/>
              <w:bottom w:val="single" w:sz="8" w:space="0" w:color="auto"/>
              <w:right w:val="single" w:sz="8" w:space="0" w:color="auto"/>
            </w:tcBorders>
            <w:shd w:val="clear" w:color="auto" w:fill="auto"/>
            <w:vAlign w:val="center"/>
            <w:hideMark/>
          </w:tcPr>
          <w:p w14:paraId="3DAAF808"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r w:rsidRPr="005D6F2E">
              <w:rPr>
                <w:rFonts w:ascii="Calibri" w:eastAsia="Times New Roman" w:hAnsi="Calibri" w:cs="Times New Roman"/>
                <w:color w:val="000000"/>
                <w:sz w:val="20"/>
                <w:szCs w:val="20"/>
              </w:rPr>
              <w:br/>
              <w:t>60 million international units/1.2 mL injection, 1 x 1.2 mL cartridge</w:t>
            </w:r>
          </w:p>
        </w:tc>
        <w:tc>
          <w:tcPr>
            <w:tcW w:w="950" w:type="dxa"/>
            <w:tcBorders>
              <w:top w:val="nil"/>
              <w:left w:val="nil"/>
              <w:bottom w:val="single" w:sz="8" w:space="0" w:color="auto"/>
              <w:right w:val="single" w:sz="8" w:space="0" w:color="auto"/>
            </w:tcBorders>
            <w:shd w:val="clear" w:color="auto" w:fill="auto"/>
            <w:vAlign w:val="center"/>
            <w:hideMark/>
          </w:tcPr>
          <w:p w14:paraId="62FA31EE"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w:t>
            </w:r>
          </w:p>
        </w:tc>
        <w:tc>
          <w:tcPr>
            <w:tcW w:w="941" w:type="dxa"/>
            <w:tcBorders>
              <w:top w:val="nil"/>
              <w:left w:val="nil"/>
              <w:bottom w:val="single" w:sz="8" w:space="0" w:color="auto"/>
              <w:right w:val="single" w:sz="8" w:space="0" w:color="auto"/>
            </w:tcBorders>
            <w:shd w:val="clear" w:color="auto" w:fill="auto"/>
            <w:vAlign w:val="center"/>
            <w:hideMark/>
          </w:tcPr>
          <w:p w14:paraId="335A6E4C"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2F463699"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$1,238.36</w:t>
            </w:r>
          </w:p>
        </w:tc>
        <w:tc>
          <w:tcPr>
            <w:tcW w:w="3021" w:type="dxa"/>
            <w:vMerge/>
            <w:tcBorders>
              <w:top w:val="nil"/>
              <w:left w:val="single" w:sz="8" w:space="0" w:color="auto"/>
              <w:bottom w:val="single" w:sz="8" w:space="0" w:color="000000"/>
              <w:right w:val="single" w:sz="8" w:space="0" w:color="auto"/>
            </w:tcBorders>
            <w:vAlign w:val="center"/>
            <w:hideMark/>
          </w:tcPr>
          <w:p w14:paraId="33A94F05"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349F4F75"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710C3D5C"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5766L</w:t>
            </w:r>
          </w:p>
        </w:tc>
        <w:tc>
          <w:tcPr>
            <w:tcW w:w="2642" w:type="dxa"/>
            <w:tcBorders>
              <w:top w:val="nil"/>
              <w:left w:val="nil"/>
              <w:bottom w:val="single" w:sz="8" w:space="0" w:color="auto"/>
              <w:right w:val="single" w:sz="8" w:space="0" w:color="auto"/>
            </w:tcBorders>
            <w:shd w:val="clear" w:color="auto" w:fill="auto"/>
            <w:vAlign w:val="center"/>
            <w:hideMark/>
          </w:tcPr>
          <w:p w14:paraId="7D9AEA15"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r w:rsidRPr="005D6F2E">
              <w:rPr>
                <w:rFonts w:ascii="Calibri" w:eastAsia="Times New Roman" w:hAnsi="Calibri" w:cs="Times New Roman"/>
                <w:color w:val="000000"/>
                <w:sz w:val="20"/>
                <w:szCs w:val="20"/>
              </w:rPr>
              <w:br/>
              <w:t>18 million international units/3 mL injection, 1 x 3 mL vial</w:t>
            </w:r>
          </w:p>
        </w:tc>
        <w:tc>
          <w:tcPr>
            <w:tcW w:w="950" w:type="dxa"/>
            <w:tcBorders>
              <w:top w:val="nil"/>
              <w:left w:val="nil"/>
              <w:bottom w:val="single" w:sz="8" w:space="0" w:color="auto"/>
              <w:right w:val="single" w:sz="8" w:space="0" w:color="auto"/>
            </w:tcBorders>
            <w:shd w:val="clear" w:color="auto" w:fill="auto"/>
            <w:vAlign w:val="center"/>
            <w:hideMark/>
          </w:tcPr>
          <w:p w14:paraId="3B131001"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15</w:t>
            </w:r>
          </w:p>
        </w:tc>
        <w:tc>
          <w:tcPr>
            <w:tcW w:w="941" w:type="dxa"/>
            <w:tcBorders>
              <w:top w:val="nil"/>
              <w:left w:val="nil"/>
              <w:bottom w:val="single" w:sz="8" w:space="0" w:color="auto"/>
              <w:right w:val="single" w:sz="8" w:space="0" w:color="auto"/>
            </w:tcBorders>
            <w:shd w:val="clear" w:color="auto" w:fill="auto"/>
            <w:vAlign w:val="center"/>
            <w:hideMark/>
          </w:tcPr>
          <w:p w14:paraId="6559D140"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41BD6AC1"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$2,681.10</w:t>
            </w:r>
          </w:p>
        </w:tc>
        <w:tc>
          <w:tcPr>
            <w:tcW w:w="3021" w:type="dxa"/>
            <w:vMerge w:val="restart"/>
            <w:tcBorders>
              <w:top w:val="nil"/>
              <w:left w:val="single" w:sz="8" w:space="0" w:color="auto"/>
              <w:bottom w:val="single" w:sz="8" w:space="0" w:color="000000"/>
              <w:right w:val="single" w:sz="8" w:space="0" w:color="auto"/>
            </w:tcBorders>
            <w:shd w:val="clear" w:color="auto" w:fill="auto"/>
            <w:vAlign w:val="center"/>
            <w:hideMark/>
          </w:tcPr>
          <w:p w14:paraId="1AB5342D"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 xml:space="preserve">Intron A (Merck Sharp &amp; </w:t>
            </w:r>
            <w:proofErr w:type="spellStart"/>
            <w:r w:rsidRPr="005D6F2E">
              <w:rPr>
                <w:rFonts w:ascii="Calibri" w:eastAsia="Times New Roman" w:hAnsi="Calibri" w:cs="Times New Roman"/>
                <w:color w:val="000000"/>
                <w:sz w:val="20"/>
                <w:szCs w:val="20"/>
              </w:rPr>
              <w:t>Dohme</w:t>
            </w:r>
            <w:proofErr w:type="spellEnd"/>
            <w:r w:rsidRPr="005D6F2E">
              <w:rPr>
                <w:rFonts w:ascii="Calibri" w:eastAsia="Times New Roman" w:hAnsi="Calibri" w:cs="Times New Roman"/>
                <w:color w:val="000000"/>
                <w:sz w:val="20"/>
                <w:szCs w:val="20"/>
              </w:rPr>
              <w:t xml:space="preserve"> (Australia) Pty Ltd)</w:t>
            </w:r>
          </w:p>
        </w:tc>
      </w:tr>
      <w:tr w:rsidR="00757713" w:rsidRPr="005D6F2E" w14:paraId="1EC9EA41"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5EB7FC51"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5767M</w:t>
            </w:r>
          </w:p>
        </w:tc>
        <w:tc>
          <w:tcPr>
            <w:tcW w:w="2642" w:type="dxa"/>
            <w:tcBorders>
              <w:top w:val="nil"/>
              <w:left w:val="nil"/>
              <w:bottom w:val="single" w:sz="8" w:space="0" w:color="auto"/>
              <w:right w:val="single" w:sz="8" w:space="0" w:color="auto"/>
            </w:tcBorders>
            <w:shd w:val="clear" w:color="auto" w:fill="auto"/>
            <w:vAlign w:val="center"/>
            <w:hideMark/>
          </w:tcPr>
          <w:p w14:paraId="53578DD6"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r w:rsidRPr="005D6F2E">
              <w:rPr>
                <w:rFonts w:ascii="Calibri" w:eastAsia="Times New Roman" w:hAnsi="Calibri" w:cs="Times New Roman"/>
                <w:color w:val="000000"/>
                <w:sz w:val="20"/>
                <w:szCs w:val="20"/>
              </w:rPr>
              <w:br/>
              <w:t>25 million international units/2.5 mL injection, 1 x 2.5 mL vial</w:t>
            </w:r>
          </w:p>
        </w:tc>
        <w:tc>
          <w:tcPr>
            <w:tcW w:w="950" w:type="dxa"/>
            <w:tcBorders>
              <w:top w:val="nil"/>
              <w:left w:val="nil"/>
              <w:bottom w:val="single" w:sz="8" w:space="0" w:color="auto"/>
              <w:right w:val="single" w:sz="8" w:space="0" w:color="auto"/>
            </w:tcBorders>
            <w:shd w:val="clear" w:color="auto" w:fill="auto"/>
            <w:vAlign w:val="center"/>
            <w:hideMark/>
          </w:tcPr>
          <w:p w14:paraId="60E91F7C"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15</w:t>
            </w:r>
          </w:p>
        </w:tc>
        <w:tc>
          <w:tcPr>
            <w:tcW w:w="941" w:type="dxa"/>
            <w:tcBorders>
              <w:top w:val="nil"/>
              <w:left w:val="nil"/>
              <w:bottom w:val="single" w:sz="8" w:space="0" w:color="auto"/>
              <w:right w:val="single" w:sz="8" w:space="0" w:color="auto"/>
            </w:tcBorders>
            <w:shd w:val="clear" w:color="auto" w:fill="auto"/>
            <w:vAlign w:val="center"/>
            <w:hideMark/>
          </w:tcPr>
          <w:p w14:paraId="6A69C298"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765B264B"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$3,723.75</w:t>
            </w:r>
          </w:p>
        </w:tc>
        <w:tc>
          <w:tcPr>
            <w:tcW w:w="3021" w:type="dxa"/>
            <w:vMerge/>
            <w:tcBorders>
              <w:top w:val="nil"/>
              <w:left w:val="single" w:sz="8" w:space="0" w:color="auto"/>
              <w:bottom w:val="single" w:sz="8" w:space="0" w:color="000000"/>
              <w:right w:val="single" w:sz="8" w:space="0" w:color="auto"/>
            </w:tcBorders>
            <w:vAlign w:val="center"/>
            <w:hideMark/>
          </w:tcPr>
          <w:p w14:paraId="21D90CB9"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4DA0AC34"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432C794F"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5768N</w:t>
            </w:r>
          </w:p>
        </w:tc>
        <w:tc>
          <w:tcPr>
            <w:tcW w:w="2642" w:type="dxa"/>
            <w:tcBorders>
              <w:top w:val="nil"/>
              <w:left w:val="nil"/>
              <w:bottom w:val="single" w:sz="8" w:space="0" w:color="auto"/>
              <w:right w:val="single" w:sz="8" w:space="0" w:color="auto"/>
            </w:tcBorders>
            <w:shd w:val="clear" w:color="auto" w:fill="auto"/>
            <w:vAlign w:val="center"/>
            <w:hideMark/>
          </w:tcPr>
          <w:p w14:paraId="1C36A04C"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r w:rsidRPr="005D6F2E">
              <w:rPr>
                <w:rFonts w:ascii="Calibri" w:eastAsia="Times New Roman" w:hAnsi="Calibri" w:cs="Times New Roman"/>
                <w:color w:val="000000"/>
                <w:sz w:val="20"/>
                <w:szCs w:val="20"/>
              </w:rPr>
              <w:br/>
              <w:t>10 million international units/mL injection, 5 x 1 mL vials</w:t>
            </w:r>
          </w:p>
        </w:tc>
        <w:tc>
          <w:tcPr>
            <w:tcW w:w="950" w:type="dxa"/>
            <w:tcBorders>
              <w:top w:val="nil"/>
              <w:left w:val="nil"/>
              <w:bottom w:val="single" w:sz="8" w:space="0" w:color="auto"/>
              <w:right w:val="single" w:sz="8" w:space="0" w:color="auto"/>
            </w:tcBorders>
            <w:shd w:val="clear" w:color="auto" w:fill="auto"/>
            <w:vAlign w:val="center"/>
            <w:hideMark/>
          </w:tcPr>
          <w:p w14:paraId="76B039DB"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w:t>
            </w:r>
          </w:p>
        </w:tc>
        <w:tc>
          <w:tcPr>
            <w:tcW w:w="941" w:type="dxa"/>
            <w:tcBorders>
              <w:top w:val="nil"/>
              <w:left w:val="nil"/>
              <w:bottom w:val="single" w:sz="8" w:space="0" w:color="auto"/>
              <w:right w:val="single" w:sz="8" w:space="0" w:color="auto"/>
            </w:tcBorders>
            <w:shd w:val="clear" w:color="auto" w:fill="auto"/>
            <w:vAlign w:val="center"/>
            <w:hideMark/>
          </w:tcPr>
          <w:p w14:paraId="61A873E1"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1672592E"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$1,489.50</w:t>
            </w:r>
          </w:p>
        </w:tc>
        <w:tc>
          <w:tcPr>
            <w:tcW w:w="3021" w:type="dxa"/>
            <w:vMerge/>
            <w:tcBorders>
              <w:top w:val="nil"/>
              <w:left w:val="single" w:sz="8" w:space="0" w:color="auto"/>
              <w:bottom w:val="single" w:sz="8" w:space="0" w:color="000000"/>
              <w:right w:val="single" w:sz="8" w:space="0" w:color="auto"/>
            </w:tcBorders>
            <w:vAlign w:val="center"/>
            <w:hideMark/>
          </w:tcPr>
          <w:p w14:paraId="3BD3F667"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58C5D8BE"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7FB181D"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6218G</w:t>
            </w:r>
          </w:p>
        </w:tc>
        <w:tc>
          <w:tcPr>
            <w:tcW w:w="2642" w:type="dxa"/>
            <w:tcBorders>
              <w:top w:val="nil"/>
              <w:left w:val="nil"/>
              <w:bottom w:val="single" w:sz="8" w:space="0" w:color="auto"/>
              <w:right w:val="single" w:sz="8" w:space="0" w:color="auto"/>
            </w:tcBorders>
            <w:shd w:val="clear" w:color="auto" w:fill="auto"/>
            <w:vAlign w:val="center"/>
            <w:hideMark/>
          </w:tcPr>
          <w:p w14:paraId="66D8E67A"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r w:rsidRPr="005D6F2E">
              <w:rPr>
                <w:rFonts w:ascii="Calibri" w:eastAsia="Times New Roman" w:hAnsi="Calibri" w:cs="Times New Roman"/>
                <w:color w:val="000000"/>
                <w:sz w:val="20"/>
                <w:szCs w:val="20"/>
              </w:rPr>
              <w:br/>
              <w:t>18 million international units/3 mL injection, 1 x 3 mL vial</w:t>
            </w:r>
          </w:p>
        </w:tc>
        <w:tc>
          <w:tcPr>
            <w:tcW w:w="950" w:type="dxa"/>
            <w:tcBorders>
              <w:top w:val="nil"/>
              <w:left w:val="nil"/>
              <w:bottom w:val="single" w:sz="8" w:space="0" w:color="auto"/>
              <w:right w:val="single" w:sz="8" w:space="0" w:color="auto"/>
            </w:tcBorders>
            <w:shd w:val="clear" w:color="auto" w:fill="auto"/>
            <w:vAlign w:val="center"/>
            <w:hideMark/>
          </w:tcPr>
          <w:p w14:paraId="2A0EBD46"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15</w:t>
            </w:r>
          </w:p>
        </w:tc>
        <w:tc>
          <w:tcPr>
            <w:tcW w:w="941" w:type="dxa"/>
            <w:tcBorders>
              <w:top w:val="nil"/>
              <w:left w:val="nil"/>
              <w:bottom w:val="single" w:sz="8" w:space="0" w:color="auto"/>
              <w:right w:val="single" w:sz="8" w:space="0" w:color="auto"/>
            </w:tcBorders>
            <w:shd w:val="clear" w:color="auto" w:fill="auto"/>
            <w:vAlign w:val="center"/>
            <w:hideMark/>
          </w:tcPr>
          <w:p w14:paraId="127FEFF0"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512484EE"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$2,727.91</w:t>
            </w:r>
          </w:p>
        </w:tc>
        <w:tc>
          <w:tcPr>
            <w:tcW w:w="3021" w:type="dxa"/>
            <w:vMerge/>
            <w:tcBorders>
              <w:top w:val="nil"/>
              <w:left w:val="single" w:sz="8" w:space="0" w:color="auto"/>
              <w:bottom w:val="single" w:sz="8" w:space="0" w:color="000000"/>
              <w:right w:val="single" w:sz="8" w:space="0" w:color="auto"/>
            </w:tcBorders>
            <w:vAlign w:val="center"/>
            <w:hideMark/>
          </w:tcPr>
          <w:p w14:paraId="010C87E4"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52C1177C"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3918E397"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6219H</w:t>
            </w:r>
          </w:p>
        </w:tc>
        <w:tc>
          <w:tcPr>
            <w:tcW w:w="2642" w:type="dxa"/>
            <w:tcBorders>
              <w:top w:val="nil"/>
              <w:left w:val="nil"/>
              <w:bottom w:val="single" w:sz="8" w:space="0" w:color="auto"/>
              <w:right w:val="single" w:sz="8" w:space="0" w:color="auto"/>
            </w:tcBorders>
            <w:shd w:val="clear" w:color="auto" w:fill="auto"/>
            <w:vAlign w:val="center"/>
            <w:hideMark/>
          </w:tcPr>
          <w:p w14:paraId="0ADFF2BF"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r w:rsidRPr="005D6F2E">
              <w:rPr>
                <w:rFonts w:ascii="Calibri" w:eastAsia="Times New Roman" w:hAnsi="Calibri" w:cs="Times New Roman"/>
                <w:color w:val="000000"/>
                <w:sz w:val="20"/>
                <w:szCs w:val="20"/>
              </w:rPr>
              <w:br/>
              <w:t>25 million international units/2.5 mL injection, 1 x 2.5 mL vial</w:t>
            </w:r>
          </w:p>
        </w:tc>
        <w:tc>
          <w:tcPr>
            <w:tcW w:w="950" w:type="dxa"/>
            <w:tcBorders>
              <w:top w:val="nil"/>
              <w:left w:val="nil"/>
              <w:bottom w:val="single" w:sz="8" w:space="0" w:color="auto"/>
              <w:right w:val="single" w:sz="8" w:space="0" w:color="auto"/>
            </w:tcBorders>
            <w:shd w:val="clear" w:color="auto" w:fill="auto"/>
            <w:vAlign w:val="center"/>
            <w:hideMark/>
          </w:tcPr>
          <w:p w14:paraId="4C704986"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15</w:t>
            </w:r>
          </w:p>
        </w:tc>
        <w:tc>
          <w:tcPr>
            <w:tcW w:w="941" w:type="dxa"/>
            <w:tcBorders>
              <w:top w:val="nil"/>
              <w:left w:val="nil"/>
              <w:bottom w:val="single" w:sz="8" w:space="0" w:color="auto"/>
              <w:right w:val="single" w:sz="8" w:space="0" w:color="auto"/>
            </w:tcBorders>
            <w:shd w:val="clear" w:color="auto" w:fill="auto"/>
            <w:vAlign w:val="center"/>
            <w:hideMark/>
          </w:tcPr>
          <w:p w14:paraId="0AC1861B"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3D4266EA"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$3,770.56</w:t>
            </w:r>
          </w:p>
        </w:tc>
        <w:tc>
          <w:tcPr>
            <w:tcW w:w="3021" w:type="dxa"/>
            <w:vMerge/>
            <w:tcBorders>
              <w:top w:val="nil"/>
              <w:left w:val="single" w:sz="8" w:space="0" w:color="auto"/>
              <w:bottom w:val="single" w:sz="8" w:space="0" w:color="000000"/>
              <w:right w:val="single" w:sz="8" w:space="0" w:color="auto"/>
            </w:tcBorders>
            <w:vAlign w:val="center"/>
            <w:hideMark/>
          </w:tcPr>
          <w:p w14:paraId="3773062F" w14:textId="77777777" w:rsidR="00757713" w:rsidRPr="005D6F2E" w:rsidRDefault="00757713" w:rsidP="00B935C3">
            <w:pPr>
              <w:spacing w:after="0"/>
              <w:rPr>
                <w:rFonts w:ascii="Calibri" w:eastAsia="Times New Roman" w:hAnsi="Calibri" w:cs="Times New Roman"/>
                <w:color w:val="000000"/>
                <w:sz w:val="20"/>
                <w:szCs w:val="20"/>
              </w:rPr>
            </w:pPr>
          </w:p>
        </w:tc>
      </w:tr>
      <w:tr w:rsidR="00757713" w:rsidRPr="005D6F2E" w14:paraId="0A5924EA" w14:textId="77777777" w:rsidTr="00B935C3">
        <w:trPr>
          <w:trHeight w:val="69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54AEC4CA"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6246R</w:t>
            </w:r>
          </w:p>
        </w:tc>
        <w:tc>
          <w:tcPr>
            <w:tcW w:w="2642" w:type="dxa"/>
            <w:tcBorders>
              <w:top w:val="nil"/>
              <w:left w:val="nil"/>
              <w:bottom w:val="single" w:sz="8" w:space="0" w:color="auto"/>
              <w:right w:val="single" w:sz="8" w:space="0" w:color="auto"/>
            </w:tcBorders>
            <w:shd w:val="clear" w:color="auto" w:fill="auto"/>
            <w:vAlign w:val="center"/>
            <w:hideMark/>
          </w:tcPr>
          <w:p w14:paraId="4FC063EE" w14:textId="77777777" w:rsidR="00757713" w:rsidRPr="005D6F2E" w:rsidRDefault="00757713" w:rsidP="00B935C3">
            <w:pPr>
              <w:spacing w:after="0"/>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INTERFERON ALFA-2B</w:t>
            </w:r>
            <w:r w:rsidRPr="005D6F2E">
              <w:rPr>
                <w:rFonts w:ascii="Calibri" w:eastAsia="Times New Roman" w:hAnsi="Calibri" w:cs="Times New Roman"/>
                <w:color w:val="000000"/>
                <w:sz w:val="20"/>
                <w:szCs w:val="20"/>
              </w:rPr>
              <w:br/>
              <w:t>10 million international units/mL injection, 5 x 1 mL vials</w:t>
            </w:r>
          </w:p>
        </w:tc>
        <w:tc>
          <w:tcPr>
            <w:tcW w:w="950" w:type="dxa"/>
            <w:tcBorders>
              <w:top w:val="nil"/>
              <w:left w:val="nil"/>
              <w:bottom w:val="single" w:sz="8" w:space="0" w:color="auto"/>
              <w:right w:val="single" w:sz="8" w:space="0" w:color="auto"/>
            </w:tcBorders>
            <w:shd w:val="clear" w:color="auto" w:fill="auto"/>
            <w:vAlign w:val="center"/>
            <w:hideMark/>
          </w:tcPr>
          <w:p w14:paraId="22C6868B"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3</w:t>
            </w:r>
          </w:p>
        </w:tc>
        <w:tc>
          <w:tcPr>
            <w:tcW w:w="941" w:type="dxa"/>
            <w:tcBorders>
              <w:top w:val="nil"/>
              <w:left w:val="nil"/>
              <w:bottom w:val="single" w:sz="8" w:space="0" w:color="auto"/>
              <w:right w:val="single" w:sz="8" w:space="0" w:color="auto"/>
            </w:tcBorders>
            <w:shd w:val="clear" w:color="auto" w:fill="auto"/>
            <w:vAlign w:val="center"/>
            <w:hideMark/>
          </w:tcPr>
          <w:p w14:paraId="3524373F"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5</w:t>
            </w:r>
          </w:p>
        </w:tc>
        <w:tc>
          <w:tcPr>
            <w:tcW w:w="1026" w:type="dxa"/>
            <w:tcBorders>
              <w:top w:val="nil"/>
              <w:left w:val="nil"/>
              <w:bottom w:val="single" w:sz="8" w:space="0" w:color="auto"/>
              <w:right w:val="single" w:sz="8" w:space="0" w:color="auto"/>
            </w:tcBorders>
            <w:shd w:val="clear" w:color="auto" w:fill="auto"/>
            <w:vAlign w:val="center"/>
            <w:hideMark/>
          </w:tcPr>
          <w:p w14:paraId="496840EE" w14:textId="77777777" w:rsidR="00757713" w:rsidRPr="005D6F2E" w:rsidRDefault="00757713" w:rsidP="00B935C3">
            <w:pPr>
              <w:spacing w:after="0"/>
              <w:jc w:val="right"/>
              <w:rPr>
                <w:rFonts w:ascii="Calibri" w:eastAsia="Times New Roman" w:hAnsi="Calibri" w:cs="Times New Roman"/>
                <w:color w:val="000000"/>
                <w:sz w:val="20"/>
                <w:szCs w:val="20"/>
              </w:rPr>
            </w:pPr>
            <w:r w:rsidRPr="005D6F2E">
              <w:rPr>
                <w:rFonts w:ascii="Calibri" w:eastAsia="Times New Roman" w:hAnsi="Calibri" w:cs="Times New Roman"/>
                <w:color w:val="000000"/>
                <w:sz w:val="20"/>
                <w:szCs w:val="20"/>
              </w:rPr>
              <w:t>$1,536.25</w:t>
            </w:r>
          </w:p>
        </w:tc>
        <w:tc>
          <w:tcPr>
            <w:tcW w:w="3021" w:type="dxa"/>
            <w:vMerge/>
            <w:tcBorders>
              <w:top w:val="nil"/>
              <w:left w:val="single" w:sz="8" w:space="0" w:color="auto"/>
              <w:bottom w:val="single" w:sz="8" w:space="0" w:color="000000"/>
              <w:right w:val="single" w:sz="8" w:space="0" w:color="auto"/>
            </w:tcBorders>
            <w:vAlign w:val="center"/>
            <w:hideMark/>
          </w:tcPr>
          <w:p w14:paraId="3F8FCA85" w14:textId="77777777" w:rsidR="00757713" w:rsidRPr="005D6F2E" w:rsidRDefault="00757713" w:rsidP="00B935C3">
            <w:pPr>
              <w:spacing w:after="0"/>
              <w:rPr>
                <w:rFonts w:ascii="Calibri" w:eastAsia="Times New Roman" w:hAnsi="Calibri" w:cs="Times New Roman"/>
                <w:color w:val="000000"/>
                <w:sz w:val="20"/>
                <w:szCs w:val="20"/>
              </w:rPr>
            </w:pPr>
          </w:p>
        </w:tc>
      </w:tr>
    </w:tbl>
    <w:p w14:paraId="5E8D39EF" w14:textId="29D83060" w:rsidR="00757713" w:rsidRPr="005D6F2E" w:rsidRDefault="00757713" w:rsidP="00757713">
      <w:pPr>
        <w:pStyle w:val="Notes"/>
      </w:pPr>
      <w:r w:rsidRPr="005D6F2E">
        <w:t>Source: pbs.gov.au</w:t>
      </w:r>
    </w:p>
    <w:p w14:paraId="3C1AED86" w14:textId="77777777" w:rsidR="00757713" w:rsidRDefault="00757713" w:rsidP="00757713">
      <w:pPr>
        <w:pStyle w:val="Heading4"/>
      </w:pPr>
      <w:r w:rsidRPr="005D6F2E">
        <w:t>Changes to listing</w:t>
      </w:r>
    </w:p>
    <w:p w14:paraId="12937C9D" w14:textId="4DFE0D0A" w:rsidR="00774ED0" w:rsidRPr="00774ED0" w:rsidRDefault="00774ED0" w:rsidP="00774ED0">
      <w:pPr>
        <w:pStyle w:val="Tableheading"/>
      </w:pPr>
      <w:r w:rsidRPr="005D6F2E">
        <w:t xml:space="preserve">Table </w:t>
      </w:r>
      <w:r>
        <w:t>8</w:t>
      </w:r>
      <w:r w:rsidRPr="005D6F2E">
        <w:t xml:space="preserve">: </w:t>
      </w:r>
      <w:r>
        <w:t xml:space="preserve">Changes to the </w:t>
      </w:r>
      <w:r w:rsidRPr="005D6F2E">
        <w:t>PBS listing of medicines to treat hepatitis B</w:t>
      </w:r>
    </w:p>
    <w:tbl>
      <w:tblPr>
        <w:tblW w:w="8946" w:type="dxa"/>
        <w:tblCellMar>
          <w:left w:w="0" w:type="dxa"/>
          <w:right w:w="0" w:type="dxa"/>
        </w:tblCellMar>
        <w:tblLook w:val="04A0" w:firstRow="1" w:lastRow="0" w:firstColumn="1" w:lastColumn="0" w:noHBand="0" w:noVBand="1"/>
      </w:tblPr>
      <w:tblGrid>
        <w:gridCol w:w="1858"/>
        <w:gridCol w:w="5528"/>
        <w:gridCol w:w="1560"/>
      </w:tblGrid>
      <w:tr w:rsidR="00757713" w:rsidRPr="005D6F2E" w14:paraId="057D81F0" w14:textId="77777777" w:rsidTr="00B935C3">
        <w:trPr>
          <w:cantSplit/>
          <w:trHeight w:val="361"/>
          <w:tblHeader/>
        </w:trPr>
        <w:tc>
          <w:tcPr>
            <w:tcW w:w="1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hideMark/>
          </w:tcPr>
          <w:p w14:paraId="701710A8" w14:textId="77777777" w:rsidR="00757713" w:rsidRPr="005D6F2E" w:rsidRDefault="00757713" w:rsidP="00B935C3">
            <w:pPr>
              <w:spacing w:after="0"/>
              <w:rPr>
                <w:rFonts w:ascii="Calibri" w:hAnsi="Calibri"/>
                <w:b/>
                <w:color w:val="000000"/>
                <w:sz w:val="20"/>
                <w:szCs w:val="20"/>
              </w:rPr>
            </w:pPr>
            <w:r w:rsidRPr="005D6F2E">
              <w:rPr>
                <w:rFonts w:ascii="Calibri" w:hAnsi="Calibri"/>
                <w:b/>
                <w:color w:val="000000"/>
                <w:sz w:val="20"/>
                <w:szCs w:val="20"/>
              </w:rPr>
              <w:t>Drug</w:t>
            </w:r>
          </w:p>
        </w:tc>
        <w:tc>
          <w:tcPr>
            <w:tcW w:w="5528" w:type="dxa"/>
            <w:tcBorders>
              <w:top w:val="single" w:sz="4" w:space="0" w:color="auto"/>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3FE6FB36" w14:textId="77777777" w:rsidR="00757713" w:rsidRPr="005D6F2E" w:rsidRDefault="00757713" w:rsidP="00B935C3">
            <w:pPr>
              <w:spacing w:after="0"/>
              <w:rPr>
                <w:rFonts w:ascii="Calibri" w:hAnsi="Calibri"/>
                <w:b/>
                <w:color w:val="000000"/>
                <w:sz w:val="20"/>
                <w:szCs w:val="20"/>
              </w:rPr>
            </w:pPr>
            <w:r w:rsidRPr="005D6F2E">
              <w:rPr>
                <w:rFonts w:ascii="Calibri" w:hAnsi="Calibri"/>
                <w:b/>
                <w:color w:val="000000"/>
                <w:sz w:val="20"/>
                <w:szCs w:val="20"/>
              </w:rPr>
              <w:t>Comment</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hideMark/>
          </w:tcPr>
          <w:p w14:paraId="1B401BF7" w14:textId="77777777" w:rsidR="00757713" w:rsidRPr="005D6F2E" w:rsidRDefault="00757713" w:rsidP="00B935C3">
            <w:pPr>
              <w:spacing w:after="0"/>
              <w:jc w:val="center"/>
              <w:rPr>
                <w:rFonts w:ascii="Calibri" w:hAnsi="Calibri"/>
                <w:b/>
                <w:color w:val="000000"/>
                <w:sz w:val="20"/>
                <w:szCs w:val="20"/>
              </w:rPr>
            </w:pPr>
            <w:r w:rsidRPr="005D6F2E">
              <w:rPr>
                <w:rFonts w:ascii="Calibri" w:hAnsi="Calibri"/>
                <w:b/>
                <w:color w:val="000000"/>
                <w:sz w:val="20"/>
                <w:szCs w:val="20"/>
              </w:rPr>
              <w:t>Date</w:t>
            </w:r>
          </w:p>
        </w:tc>
      </w:tr>
      <w:tr w:rsidR="00757713" w:rsidRPr="005D6F2E" w14:paraId="7C1E3F02"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EE984C"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interferon alfa-2a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579B8"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First PBS listed</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B6713"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November 2001</w:t>
            </w:r>
          </w:p>
        </w:tc>
      </w:tr>
      <w:tr w:rsidR="00757713" w:rsidRPr="005D6F2E" w14:paraId="789790A5"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641A47"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interferon alfa-2b</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0D482"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First PBS listed</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F55A56"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November 2001</w:t>
            </w:r>
          </w:p>
        </w:tc>
      </w:tr>
      <w:tr w:rsidR="00757713" w:rsidRPr="005D6F2E" w14:paraId="71D3113E"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95106F"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lamivudine</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47454"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First PBS listed</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0F739D"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November 2001</w:t>
            </w:r>
          </w:p>
        </w:tc>
      </w:tr>
      <w:tr w:rsidR="00757713" w:rsidRPr="005D6F2E" w14:paraId="1D04EB23"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49751A"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adefovir</w:t>
            </w:r>
            <w:proofErr w:type="spellEnd"/>
            <w:r w:rsidRPr="005D6F2E">
              <w:rPr>
                <w:rFonts w:ascii="Calibri" w:hAnsi="Calibri"/>
                <w:color w:val="000000"/>
                <w:sz w:val="20"/>
                <w:szCs w:val="20"/>
              </w:rPr>
              <w:t xml:space="preserve"> </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E50C5"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First PBS listed</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0D65BE"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December 2004</w:t>
            </w:r>
          </w:p>
        </w:tc>
      </w:tr>
      <w:tr w:rsidR="00757713" w:rsidRPr="005D6F2E" w14:paraId="52D40974"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BD71A2"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peginterferon</w:t>
            </w:r>
            <w:proofErr w:type="spellEnd"/>
            <w:r w:rsidRPr="005D6F2E">
              <w:rPr>
                <w:rFonts w:ascii="Calibri" w:hAnsi="Calibri"/>
                <w:color w:val="000000"/>
                <w:sz w:val="20"/>
                <w:szCs w:val="20"/>
              </w:rPr>
              <w:t xml:space="preserve"> alfa-2a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D4C1C"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First PBS listed</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1DBC78"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October 2006</w:t>
            </w:r>
          </w:p>
        </w:tc>
      </w:tr>
      <w:tr w:rsidR="00757713" w:rsidRPr="005D6F2E" w14:paraId="1D4A0D3E"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B9A62"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entecavir</w:t>
            </w:r>
            <w:proofErr w:type="spellEnd"/>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E6304"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First PBS listed</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8959E2"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December 2006</w:t>
            </w:r>
          </w:p>
        </w:tc>
      </w:tr>
      <w:tr w:rsidR="00757713" w:rsidRPr="005D6F2E" w14:paraId="1E2133EE" w14:textId="77777777" w:rsidTr="00B935C3">
        <w:trPr>
          <w:cantSplit/>
          <w:trHeight w:val="6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EACAB5"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lastRenderedPageBreak/>
              <w:t>adefovir</w:t>
            </w:r>
            <w:proofErr w:type="spellEnd"/>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6F4AA9"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 xml:space="preserve">The original restriction included a note which stated patients may receive treatment in combination with lamivudine for three months and immunocompromised patients may receive combination therapy for 12 months. The note was changed to “Patients may receive treatment in combination with lamivudine but not with other PBS-subsidised </w:t>
            </w:r>
            <w:proofErr w:type="spellStart"/>
            <w:r w:rsidRPr="005D6F2E">
              <w:rPr>
                <w:rFonts w:ascii="Calibri" w:hAnsi="Calibri"/>
                <w:color w:val="000000"/>
                <w:sz w:val="20"/>
                <w:szCs w:val="20"/>
              </w:rPr>
              <w:t>antihepadnaviral</w:t>
            </w:r>
            <w:proofErr w:type="spellEnd"/>
            <w:r w:rsidRPr="005D6F2E">
              <w:rPr>
                <w:rFonts w:ascii="Calibri" w:hAnsi="Calibri"/>
                <w:color w:val="000000"/>
                <w:sz w:val="20"/>
                <w:szCs w:val="20"/>
              </w:rPr>
              <w:t xml:space="preserve"> therapy.”</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90051E"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March 2008</w:t>
            </w:r>
          </w:p>
        </w:tc>
      </w:tr>
      <w:tr w:rsidR="00757713" w:rsidRPr="005D6F2E" w14:paraId="64C7B70D"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D1F7BE"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entecavir</w:t>
            </w:r>
            <w:proofErr w:type="spellEnd"/>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A1C66"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Requirement removed that patients must be 16 years or older</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C04FF1"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July 2008</w:t>
            </w:r>
          </w:p>
        </w:tc>
      </w:tr>
      <w:tr w:rsidR="00757713" w:rsidRPr="005D6F2E" w14:paraId="7B92D3B2"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C65A24"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telbivudine</w:t>
            </w:r>
            <w:proofErr w:type="spellEnd"/>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D10E9"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First PBS listed</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FEA1D3"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August 2008</w:t>
            </w:r>
          </w:p>
        </w:tc>
      </w:tr>
      <w:tr w:rsidR="00757713" w:rsidRPr="005D6F2E" w14:paraId="23BF6B0A"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D04EC5"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tenofovir</w:t>
            </w:r>
            <w:proofErr w:type="spellEnd"/>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AC631"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First PBS listed</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420B7B"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December 2009</w:t>
            </w:r>
          </w:p>
        </w:tc>
      </w:tr>
      <w:tr w:rsidR="00757713" w:rsidRPr="005D6F2E" w14:paraId="26BC194C" w14:textId="77777777" w:rsidTr="00B935C3">
        <w:trPr>
          <w:cantSplit/>
          <w:trHeight w:val="677"/>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A3421"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interferon alfa-2a</w:t>
            </w:r>
          </w:p>
        </w:tc>
        <w:tc>
          <w:tcPr>
            <w:tcW w:w="5528" w:type="dxa"/>
            <w:vMerge w:val="restart"/>
            <w:tcBorders>
              <w:top w:val="nil"/>
              <w:left w:val="nil"/>
              <w:right w:val="single" w:sz="4" w:space="0" w:color="auto"/>
            </w:tcBorders>
            <w:shd w:val="clear" w:color="auto" w:fill="auto"/>
            <w:tcMar>
              <w:top w:w="15" w:type="dxa"/>
              <w:left w:w="15" w:type="dxa"/>
              <w:bottom w:w="0" w:type="dxa"/>
              <w:right w:w="15" w:type="dxa"/>
            </w:tcMar>
            <w:vAlign w:val="center"/>
            <w:hideMark/>
          </w:tcPr>
          <w:p w14:paraId="482E9321"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Current specified levels of HBV elevation are included in the restriction</w:t>
            </w:r>
          </w:p>
        </w:tc>
        <w:tc>
          <w:tcPr>
            <w:tcW w:w="1560" w:type="dxa"/>
            <w:vMerge w:val="restart"/>
            <w:tcBorders>
              <w:top w:val="nil"/>
              <w:left w:val="nil"/>
              <w:right w:val="single" w:sz="4" w:space="0" w:color="auto"/>
            </w:tcBorders>
            <w:shd w:val="clear" w:color="auto" w:fill="auto"/>
            <w:noWrap/>
            <w:tcMar>
              <w:top w:w="15" w:type="dxa"/>
              <w:left w:w="15" w:type="dxa"/>
              <w:bottom w:w="0" w:type="dxa"/>
              <w:right w:w="15" w:type="dxa"/>
            </w:tcMar>
            <w:vAlign w:val="center"/>
            <w:hideMark/>
          </w:tcPr>
          <w:p w14:paraId="3DCF3B39"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November 2011</w:t>
            </w:r>
          </w:p>
          <w:p w14:paraId="521FBDAB" w14:textId="77777777" w:rsidR="00757713" w:rsidRPr="005D6F2E" w:rsidRDefault="00757713" w:rsidP="00B935C3">
            <w:pPr>
              <w:spacing w:after="0"/>
              <w:jc w:val="right"/>
              <w:rPr>
                <w:rFonts w:ascii="Calibri" w:hAnsi="Calibri"/>
                <w:color w:val="000000"/>
                <w:sz w:val="20"/>
                <w:szCs w:val="20"/>
              </w:rPr>
            </w:pPr>
          </w:p>
        </w:tc>
      </w:tr>
      <w:tr w:rsidR="00757713" w:rsidRPr="005D6F2E" w14:paraId="04B14D03"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2339BA"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interferon alfa-2b</w:t>
            </w:r>
          </w:p>
        </w:tc>
        <w:tc>
          <w:tcPr>
            <w:tcW w:w="5528" w:type="dxa"/>
            <w:vMerge/>
            <w:tcBorders>
              <w:left w:val="nil"/>
              <w:right w:val="single" w:sz="4" w:space="0" w:color="auto"/>
            </w:tcBorders>
            <w:shd w:val="clear" w:color="auto" w:fill="auto"/>
            <w:tcMar>
              <w:top w:w="15" w:type="dxa"/>
              <w:left w:w="15" w:type="dxa"/>
              <w:bottom w:w="0" w:type="dxa"/>
              <w:right w:w="15" w:type="dxa"/>
            </w:tcMar>
            <w:vAlign w:val="center"/>
            <w:hideMark/>
          </w:tcPr>
          <w:p w14:paraId="776A4220" w14:textId="77777777" w:rsidR="00757713" w:rsidRPr="005D6F2E" w:rsidRDefault="00757713" w:rsidP="00B935C3">
            <w:pPr>
              <w:spacing w:after="0"/>
              <w:rPr>
                <w:rFonts w:ascii="Calibri" w:hAnsi="Calibri"/>
                <w:color w:val="000000"/>
                <w:sz w:val="20"/>
                <w:szCs w:val="20"/>
              </w:rPr>
            </w:pPr>
          </w:p>
        </w:tc>
        <w:tc>
          <w:tcPr>
            <w:tcW w:w="1560" w:type="dxa"/>
            <w:vMerge/>
            <w:tcBorders>
              <w:left w:val="nil"/>
              <w:right w:val="single" w:sz="4" w:space="0" w:color="auto"/>
            </w:tcBorders>
            <w:shd w:val="clear" w:color="auto" w:fill="auto"/>
            <w:noWrap/>
            <w:tcMar>
              <w:top w:w="15" w:type="dxa"/>
              <w:left w:w="15" w:type="dxa"/>
              <w:bottom w:w="0" w:type="dxa"/>
              <w:right w:w="15" w:type="dxa"/>
            </w:tcMar>
            <w:vAlign w:val="center"/>
            <w:hideMark/>
          </w:tcPr>
          <w:p w14:paraId="4277B040" w14:textId="77777777" w:rsidR="00757713" w:rsidRPr="005D6F2E" w:rsidRDefault="00757713" w:rsidP="00B935C3">
            <w:pPr>
              <w:spacing w:after="0"/>
              <w:jc w:val="right"/>
              <w:rPr>
                <w:rFonts w:ascii="Calibri" w:hAnsi="Calibri"/>
                <w:color w:val="000000"/>
                <w:sz w:val="20"/>
                <w:szCs w:val="20"/>
              </w:rPr>
            </w:pPr>
          </w:p>
        </w:tc>
      </w:tr>
      <w:tr w:rsidR="00757713" w:rsidRPr="005D6F2E" w14:paraId="39335C96"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E423B0"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lamivudine</w:t>
            </w:r>
          </w:p>
        </w:tc>
        <w:tc>
          <w:tcPr>
            <w:tcW w:w="5528" w:type="dxa"/>
            <w:vMerge/>
            <w:tcBorders>
              <w:left w:val="nil"/>
              <w:right w:val="single" w:sz="4" w:space="0" w:color="auto"/>
            </w:tcBorders>
            <w:shd w:val="clear" w:color="auto" w:fill="auto"/>
            <w:tcMar>
              <w:top w:w="15" w:type="dxa"/>
              <w:left w:w="15" w:type="dxa"/>
              <w:bottom w:w="0" w:type="dxa"/>
              <w:right w:w="15" w:type="dxa"/>
            </w:tcMar>
            <w:vAlign w:val="center"/>
            <w:hideMark/>
          </w:tcPr>
          <w:p w14:paraId="6B39E83B" w14:textId="77777777" w:rsidR="00757713" w:rsidRPr="005D6F2E" w:rsidRDefault="00757713" w:rsidP="00B935C3">
            <w:pPr>
              <w:spacing w:after="0"/>
              <w:rPr>
                <w:rFonts w:ascii="Calibri" w:hAnsi="Calibri"/>
                <w:color w:val="000000"/>
                <w:sz w:val="20"/>
                <w:szCs w:val="20"/>
              </w:rPr>
            </w:pPr>
          </w:p>
        </w:tc>
        <w:tc>
          <w:tcPr>
            <w:tcW w:w="1560" w:type="dxa"/>
            <w:vMerge/>
            <w:tcBorders>
              <w:left w:val="nil"/>
              <w:right w:val="single" w:sz="4" w:space="0" w:color="auto"/>
            </w:tcBorders>
            <w:shd w:val="clear" w:color="auto" w:fill="auto"/>
            <w:noWrap/>
            <w:tcMar>
              <w:top w:w="15" w:type="dxa"/>
              <w:left w:w="15" w:type="dxa"/>
              <w:bottom w:w="0" w:type="dxa"/>
              <w:right w:w="15" w:type="dxa"/>
            </w:tcMar>
            <w:vAlign w:val="center"/>
            <w:hideMark/>
          </w:tcPr>
          <w:p w14:paraId="278F22B6" w14:textId="77777777" w:rsidR="00757713" w:rsidRPr="005D6F2E" w:rsidRDefault="00757713" w:rsidP="00B935C3">
            <w:pPr>
              <w:spacing w:after="0"/>
              <w:jc w:val="right"/>
              <w:rPr>
                <w:rFonts w:ascii="Calibri" w:hAnsi="Calibri"/>
                <w:color w:val="000000"/>
                <w:sz w:val="20"/>
                <w:szCs w:val="20"/>
              </w:rPr>
            </w:pPr>
          </w:p>
        </w:tc>
      </w:tr>
      <w:tr w:rsidR="00757713" w:rsidRPr="005D6F2E" w14:paraId="1442C114"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3B060"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entecavir</w:t>
            </w:r>
            <w:proofErr w:type="spellEnd"/>
          </w:p>
        </w:tc>
        <w:tc>
          <w:tcPr>
            <w:tcW w:w="5528" w:type="dxa"/>
            <w:vMerge/>
            <w:tcBorders>
              <w:left w:val="nil"/>
              <w:right w:val="single" w:sz="4" w:space="0" w:color="auto"/>
            </w:tcBorders>
            <w:shd w:val="clear" w:color="auto" w:fill="auto"/>
            <w:tcMar>
              <w:top w:w="15" w:type="dxa"/>
              <w:left w:w="15" w:type="dxa"/>
              <w:bottom w:w="0" w:type="dxa"/>
              <w:right w:w="15" w:type="dxa"/>
            </w:tcMar>
            <w:vAlign w:val="center"/>
            <w:hideMark/>
          </w:tcPr>
          <w:p w14:paraId="2B420A19" w14:textId="77777777" w:rsidR="00757713" w:rsidRPr="005D6F2E" w:rsidRDefault="00757713" w:rsidP="00B935C3">
            <w:pPr>
              <w:spacing w:after="0"/>
              <w:rPr>
                <w:rFonts w:ascii="Calibri" w:hAnsi="Calibri"/>
                <w:color w:val="000000"/>
                <w:sz w:val="20"/>
                <w:szCs w:val="20"/>
              </w:rPr>
            </w:pPr>
          </w:p>
        </w:tc>
        <w:tc>
          <w:tcPr>
            <w:tcW w:w="1560" w:type="dxa"/>
            <w:vMerge/>
            <w:tcBorders>
              <w:left w:val="nil"/>
              <w:right w:val="single" w:sz="4" w:space="0" w:color="auto"/>
            </w:tcBorders>
            <w:shd w:val="clear" w:color="auto" w:fill="auto"/>
            <w:noWrap/>
            <w:tcMar>
              <w:top w:w="15" w:type="dxa"/>
              <w:left w:w="15" w:type="dxa"/>
              <w:bottom w:w="0" w:type="dxa"/>
              <w:right w:w="15" w:type="dxa"/>
            </w:tcMar>
            <w:vAlign w:val="center"/>
            <w:hideMark/>
          </w:tcPr>
          <w:p w14:paraId="1F8A35E8" w14:textId="77777777" w:rsidR="00757713" w:rsidRPr="005D6F2E" w:rsidRDefault="00757713" w:rsidP="00B935C3">
            <w:pPr>
              <w:spacing w:after="0"/>
              <w:jc w:val="right"/>
              <w:rPr>
                <w:rFonts w:ascii="Calibri" w:hAnsi="Calibri"/>
                <w:color w:val="000000"/>
                <w:sz w:val="20"/>
                <w:szCs w:val="20"/>
              </w:rPr>
            </w:pPr>
          </w:p>
        </w:tc>
      </w:tr>
      <w:tr w:rsidR="00757713" w:rsidRPr="005D6F2E" w14:paraId="0C20951E"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F5CDCB"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telbivudine</w:t>
            </w:r>
            <w:proofErr w:type="spellEnd"/>
          </w:p>
        </w:tc>
        <w:tc>
          <w:tcPr>
            <w:tcW w:w="5528" w:type="dxa"/>
            <w:vMerge/>
            <w:tcBorders>
              <w:left w:val="nil"/>
              <w:right w:val="single" w:sz="4" w:space="0" w:color="auto"/>
            </w:tcBorders>
            <w:shd w:val="clear" w:color="auto" w:fill="auto"/>
            <w:tcMar>
              <w:top w:w="15" w:type="dxa"/>
              <w:left w:w="15" w:type="dxa"/>
              <w:bottom w:w="0" w:type="dxa"/>
              <w:right w:w="15" w:type="dxa"/>
            </w:tcMar>
            <w:vAlign w:val="center"/>
            <w:hideMark/>
          </w:tcPr>
          <w:p w14:paraId="73E4C10E" w14:textId="77777777" w:rsidR="00757713" w:rsidRPr="005D6F2E" w:rsidRDefault="00757713" w:rsidP="00B935C3">
            <w:pPr>
              <w:spacing w:after="0"/>
              <w:rPr>
                <w:rFonts w:ascii="Calibri" w:hAnsi="Calibri"/>
                <w:color w:val="000000"/>
                <w:sz w:val="20"/>
                <w:szCs w:val="20"/>
              </w:rPr>
            </w:pPr>
          </w:p>
        </w:tc>
        <w:tc>
          <w:tcPr>
            <w:tcW w:w="1560" w:type="dxa"/>
            <w:vMerge/>
            <w:tcBorders>
              <w:left w:val="nil"/>
              <w:right w:val="single" w:sz="4" w:space="0" w:color="auto"/>
            </w:tcBorders>
            <w:shd w:val="clear" w:color="auto" w:fill="auto"/>
            <w:noWrap/>
            <w:tcMar>
              <w:top w:w="15" w:type="dxa"/>
              <w:left w:w="15" w:type="dxa"/>
              <w:bottom w:w="0" w:type="dxa"/>
              <w:right w:w="15" w:type="dxa"/>
            </w:tcMar>
            <w:vAlign w:val="center"/>
            <w:hideMark/>
          </w:tcPr>
          <w:p w14:paraId="29CF2DE6" w14:textId="77777777" w:rsidR="00757713" w:rsidRPr="005D6F2E" w:rsidRDefault="00757713" w:rsidP="00B935C3">
            <w:pPr>
              <w:spacing w:after="0"/>
              <w:jc w:val="right"/>
              <w:rPr>
                <w:rFonts w:ascii="Calibri" w:hAnsi="Calibri"/>
                <w:color w:val="000000"/>
                <w:sz w:val="20"/>
                <w:szCs w:val="20"/>
              </w:rPr>
            </w:pPr>
          </w:p>
        </w:tc>
      </w:tr>
      <w:tr w:rsidR="00757713" w:rsidRPr="005D6F2E" w14:paraId="483F215C"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055B17"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peginterferon</w:t>
            </w:r>
            <w:proofErr w:type="spellEnd"/>
            <w:r w:rsidRPr="005D6F2E">
              <w:rPr>
                <w:rFonts w:ascii="Calibri" w:hAnsi="Calibri"/>
                <w:color w:val="000000"/>
                <w:sz w:val="20"/>
                <w:szCs w:val="20"/>
              </w:rPr>
              <w:t xml:space="preserve"> alfa-2a</w:t>
            </w:r>
          </w:p>
        </w:tc>
        <w:tc>
          <w:tcPr>
            <w:tcW w:w="5528"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46E3A" w14:textId="77777777" w:rsidR="00757713" w:rsidRPr="005D6F2E" w:rsidRDefault="00757713" w:rsidP="00B935C3">
            <w:pPr>
              <w:spacing w:after="0"/>
              <w:rPr>
                <w:rFonts w:ascii="Calibri" w:hAnsi="Calibri"/>
                <w:color w:val="000000"/>
                <w:sz w:val="20"/>
                <w:szCs w:val="20"/>
              </w:rPr>
            </w:pPr>
          </w:p>
        </w:tc>
        <w:tc>
          <w:tcPr>
            <w:tcW w:w="1560" w:type="dxa"/>
            <w:vMerge/>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857DFD" w14:textId="77777777" w:rsidR="00757713" w:rsidRPr="005D6F2E" w:rsidRDefault="00757713" w:rsidP="00B935C3">
            <w:pPr>
              <w:spacing w:after="0"/>
              <w:jc w:val="right"/>
              <w:rPr>
                <w:rFonts w:ascii="Calibri" w:hAnsi="Calibri"/>
                <w:color w:val="000000"/>
                <w:sz w:val="20"/>
                <w:szCs w:val="20"/>
              </w:rPr>
            </w:pPr>
          </w:p>
        </w:tc>
      </w:tr>
      <w:tr w:rsidR="00757713" w:rsidRPr="005D6F2E" w14:paraId="0F69375D" w14:textId="77777777" w:rsidTr="00B935C3">
        <w:trPr>
          <w:cantSplit/>
          <w:trHeight w:val="493"/>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FA715"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tenofovir</w:t>
            </w:r>
            <w:proofErr w:type="spellEnd"/>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9903E"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Current specified levels of HBV elevation are included in the restriction for patients who are nucleoside analogue naive</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4F7C89"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November 2011</w:t>
            </w:r>
          </w:p>
        </w:tc>
      </w:tr>
      <w:tr w:rsidR="00757713" w:rsidRPr="005D6F2E" w14:paraId="031F77E9" w14:textId="77777777" w:rsidTr="00B935C3">
        <w:trPr>
          <w:cantSplit/>
          <w:trHeight w:val="711"/>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7DA8FA"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adefovir</w:t>
            </w:r>
            <w:proofErr w:type="spellEnd"/>
            <w:r w:rsidRPr="005D6F2E">
              <w:rPr>
                <w:rFonts w:ascii="Calibri" w:hAnsi="Calibri"/>
                <w:color w:val="000000"/>
                <w:sz w:val="20"/>
                <w:szCs w:val="20"/>
              </w:rPr>
              <w:t xml:space="preserve"> </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84F85"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Requirement removed that "women of child bearing age are not pregnant, not breast-feeding, and are using an effective form of contraception"</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F6CD8"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November 2011</w:t>
            </w:r>
          </w:p>
        </w:tc>
      </w:tr>
      <w:tr w:rsidR="00757713" w:rsidRPr="005D6F2E" w14:paraId="2FC8E635" w14:textId="77777777" w:rsidTr="00B935C3">
        <w:trPr>
          <w:cantSplit/>
          <w:trHeight w:val="491"/>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47C629"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peginterferon</w:t>
            </w:r>
            <w:proofErr w:type="spellEnd"/>
            <w:r w:rsidRPr="005D6F2E">
              <w:rPr>
                <w:rFonts w:ascii="Calibri" w:hAnsi="Calibri"/>
                <w:color w:val="000000"/>
                <w:sz w:val="20"/>
                <w:szCs w:val="20"/>
              </w:rPr>
              <w:t xml:space="preserve"> alfa-2a</w:t>
            </w:r>
          </w:p>
        </w:tc>
        <w:tc>
          <w:tcPr>
            <w:tcW w:w="55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A0CA9"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Requirement removed for the patient to have chronic hepatitis B and compensated liver disease</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1459E1"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March 2012</w:t>
            </w:r>
          </w:p>
        </w:tc>
      </w:tr>
      <w:tr w:rsidR="00757713" w:rsidRPr="005D6F2E" w14:paraId="0DBD6BD2"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343996"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interferon alfa-2a</w:t>
            </w:r>
          </w:p>
        </w:tc>
        <w:tc>
          <w:tcPr>
            <w:tcW w:w="5528" w:type="dxa"/>
            <w:vMerge w:val="restart"/>
            <w:tcBorders>
              <w:top w:val="nil"/>
              <w:left w:val="nil"/>
              <w:right w:val="single" w:sz="4" w:space="0" w:color="auto"/>
            </w:tcBorders>
            <w:shd w:val="clear" w:color="auto" w:fill="auto"/>
            <w:tcMar>
              <w:top w:w="15" w:type="dxa"/>
              <w:left w:w="15" w:type="dxa"/>
              <w:bottom w:w="0" w:type="dxa"/>
              <w:right w:w="15" w:type="dxa"/>
            </w:tcMar>
            <w:vAlign w:val="center"/>
            <w:hideMark/>
          </w:tcPr>
          <w:p w14:paraId="739205C5"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Restrictions split into patients with and without cirrhosis</w:t>
            </w:r>
          </w:p>
        </w:tc>
        <w:tc>
          <w:tcPr>
            <w:tcW w:w="1560" w:type="dxa"/>
            <w:vMerge w:val="restart"/>
            <w:tcBorders>
              <w:top w:val="nil"/>
              <w:left w:val="nil"/>
              <w:right w:val="single" w:sz="4" w:space="0" w:color="auto"/>
            </w:tcBorders>
            <w:shd w:val="clear" w:color="auto" w:fill="auto"/>
            <w:noWrap/>
            <w:tcMar>
              <w:top w:w="15" w:type="dxa"/>
              <w:left w:w="15" w:type="dxa"/>
              <w:bottom w:w="0" w:type="dxa"/>
              <w:right w:w="15" w:type="dxa"/>
            </w:tcMar>
            <w:vAlign w:val="center"/>
            <w:hideMark/>
          </w:tcPr>
          <w:p w14:paraId="43F449BB" w14:textId="77777777" w:rsidR="00757713" w:rsidRPr="005D6F2E" w:rsidRDefault="00757713" w:rsidP="00B935C3">
            <w:pPr>
              <w:spacing w:after="0"/>
              <w:jc w:val="right"/>
              <w:rPr>
                <w:rFonts w:ascii="Calibri" w:hAnsi="Calibri"/>
                <w:color w:val="000000"/>
                <w:sz w:val="20"/>
                <w:szCs w:val="20"/>
              </w:rPr>
            </w:pPr>
            <w:r w:rsidRPr="005D6F2E">
              <w:rPr>
                <w:rFonts w:ascii="Calibri" w:hAnsi="Calibri"/>
                <w:color w:val="000000"/>
                <w:sz w:val="20"/>
                <w:szCs w:val="20"/>
              </w:rPr>
              <w:t>1 March 2012</w:t>
            </w:r>
          </w:p>
        </w:tc>
      </w:tr>
      <w:tr w:rsidR="00757713" w:rsidRPr="005D6F2E" w14:paraId="064E5309"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DE0572"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interferon alfa-2b</w:t>
            </w:r>
          </w:p>
        </w:tc>
        <w:tc>
          <w:tcPr>
            <w:tcW w:w="5528" w:type="dxa"/>
            <w:vMerge/>
            <w:tcBorders>
              <w:left w:val="nil"/>
              <w:right w:val="single" w:sz="4" w:space="0" w:color="auto"/>
            </w:tcBorders>
            <w:shd w:val="clear" w:color="auto" w:fill="auto"/>
            <w:tcMar>
              <w:top w:w="15" w:type="dxa"/>
              <w:left w:w="15" w:type="dxa"/>
              <w:bottom w:w="0" w:type="dxa"/>
              <w:right w:w="15" w:type="dxa"/>
            </w:tcMar>
            <w:vAlign w:val="center"/>
            <w:hideMark/>
          </w:tcPr>
          <w:p w14:paraId="7E83BC0E" w14:textId="77777777" w:rsidR="00757713" w:rsidRPr="005D6F2E" w:rsidRDefault="00757713" w:rsidP="00B935C3">
            <w:pPr>
              <w:spacing w:after="0"/>
              <w:rPr>
                <w:rFonts w:ascii="Calibri" w:hAnsi="Calibri"/>
                <w:color w:val="000000"/>
                <w:sz w:val="20"/>
                <w:szCs w:val="20"/>
              </w:rPr>
            </w:pPr>
          </w:p>
        </w:tc>
        <w:tc>
          <w:tcPr>
            <w:tcW w:w="1560" w:type="dxa"/>
            <w:vMerge/>
            <w:tcBorders>
              <w:left w:val="nil"/>
              <w:right w:val="single" w:sz="4" w:space="0" w:color="auto"/>
            </w:tcBorders>
            <w:shd w:val="clear" w:color="auto" w:fill="auto"/>
            <w:noWrap/>
            <w:tcMar>
              <w:top w:w="15" w:type="dxa"/>
              <w:left w:w="15" w:type="dxa"/>
              <w:bottom w:w="0" w:type="dxa"/>
              <w:right w:w="15" w:type="dxa"/>
            </w:tcMar>
            <w:vAlign w:val="center"/>
            <w:hideMark/>
          </w:tcPr>
          <w:p w14:paraId="1ED25688" w14:textId="77777777" w:rsidR="00757713" w:rsidRPr="005D6F2E" w:rsidRDefault="00757713" w:rsidP="00B935C3">
            <w:pPr>
              <w:spacing w:after="0"/>
              <w:jc w:val="right"/>
              <w:rPr>
                <w:rFonts w:ascii="Calibri" w:hAnsi="Calibri"/>
                <w:color w:val="000000"/>
                <w:sz w:val="20"/>
                <w:szCs w:val="20"/>
              </w:rPr>
            </w:pPr>
          </w:p>
        </w:tc>
      </w:tr>
      <w:tr w:rsidR="00757713" w:rsidRPr="005D6F2E" w14:paraId="542095F1"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D43985" w14:textId="77777777" w:rsidR="00757713" w:rsidRPr="005D6F2E" w:rsidRDefault="00757713" w:rsidP="00B935C3">
            <w:pPr>
              <w:spacing w:after="0"/>
              <w:rPr>
                <w:rFonts w:ascii="Calibri" w:hAnsi="Calibri"/>
                <w:color w:val="000000"/>
                <w:sz w:val="20"/>
                <w:szCs w:val="20"/>
              </w:rPr>
            </w:pPr>
            <w:r w:rsidRPr="005D6F2E">
              <w:rPr>
                <w:rFonts w:ascii="Calibri" w:hAnsi="Calibri"/>
                <w:color w:val="000000"/>
                <w:sz w:val="20"/>
                <w:szCs w:val="20"/>
              </w:rPr>
              <w:t>lamivudine</w:t>
            </w:r>
          </w:p>
        </w:tc>
        <w:tc>
          <w:tcPr>
            <w:tcW w:w="5528" w:type="dxa"/>
            <w:vMerge/>
            <w:tcBorders>
              <w:left w:val="nil"/>
              <w:right w:val="single" w:sz="4" w:space="0" w:color="auto"/>
            </w:tcBorders>
            <w:shd w:val="clear" w:color="auto" w:fill="auto"/>
            <w:tcMar>
              <w:top w:w="15" w:type="dxa"/>
              <w:left w:w="15" w:type="dxa"/>
              <w:bottom w:w="0" w:type="dxa"/>
              <w:right w:w="15" w:type="dxa"/>
            </w:tcMar>
            <w:vAlign w:val="center"/>
            <w:hideMark/>
          </w:tcPr>
          <w:p w14:paraId="39AF4E1A" w14:textId="77777777" w:rsidR="00757713" w:rsidRPr="005D6F2E" w:rsidRDefault="00757713" w:rsidP="00B935C3">
            <w:pPr>
              <w:spacing w:after="0"/>
              <w:rPr>
                <w:rFonts w:ascii="Calibri" w:hAnsi="Calibri"/>
                <w:color w:val="000000"/>
                <w:sz w:val="20"/>
                <w:szCs w:val="20"/>
              </w:rPr>
            </w:pPr>
          </w:p>
        </w:tc>
        <w:tc>
          <w:tcPr>
            <w:tcW w:w="1560" w:type="dxa"/>
            <w:vMerge/>
            <w:tcBorders>
              <w:left w:val="nil"/>
              <w:right w:val="single" w:sz="4" w:space="0" w:color="auto"/>
            </w:tcBorders>
            <w:shd w:val="clear" w:color="auto" w:fill="auto"/>
            <w:noWrap/>
            <w:tcMar>
              <w:top w:w="15" w:type="dxa"/>
              <w:left w:w="15" w:type="dxa"/>
              <w:bottom w:w="0" w:type="dxa"/>
              <w:right w:w="15" w:type="dxa"/>
            </w:tcMar>
            <w:vAlign w:val="center"/>
            <w:hideMark/>
          </w:tcPr>
          <w:p w14:paraId="15540A6C" w14:textId="77777777" w:rsidR="00757713" w:rsidRPr="005D6F2E" w:rsidRDefault="00757713" w:rsidP="00B935C3">
            <w:pPr>
              <w:spacing w:after="0"/>
              <w:jc w:val="right"/>
              <w:rPr>
                <w:rFonts w:ascii="Calibri" w:hAnsi="Calibri"/>
                <w:color w:val="000000"/>
                <w:sz w:val="20"/>
                <w:szCs w:val="20"/>
              </w:rPr>
            </w:pPr>
          </w:p>
        </w:tc>
      </w:tr>
      <w:tr w:rsidR="00757713" w:rsidRPr="005D6F2E" w14:paraId="5A876BA7"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252E0C"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adefovir</w:t>
            </w:r>
            <w:proofErr w:type="spellEnd"/>
            <w:r w:rsidRPr="005D6F2E">
              <w:rPr>
                <w:rFonts w:ascii="Calibri" w:hAnsi="Calibri"/>
                <w:color w:val="000000"/>
                <w:sz w:val="20"/>
                <w:szCs w:val="20"/>
              </w:rPr>
              <w:t xml:space="preserve"> </w:t>
            </w:r>
          </w:p>
        </w:tc>
        <w:tc>
          <w:tcPr>
            <w:tcW w:w="5528" w:type="dxa"/>
            <w:vMerge/>
            <w:tcBorders>
              <w:left w:val="nil"/>
              <w:right w:val="single" w:sz="4" w:space="0" w:color="auto"/>
            </w:tcBorders>
            <w:shd w:val="clear" w:color="auto" w:fill="auto"/>
            <w:tcMar>
              <w:top w:w="15" w:type="dxa"/>
              <w:left w:w="15" w:type="dxa"/>
              <w:bottom w:w="0" w:type="dxa"/>
              <w:right w:w="15" w:type="dxa"/>
            </w:tcMar>
            <w:vAlign w:val="center"/>
            <w:hideMark/>
          </w:tcPr>
          <w:p w14:paraId="0A6440A1" w14:textId="77777777" w:rsidR="00757713" w:rsidRPr="005D6F2E" w:rsidRDefault="00757713" w:rsidP="00B935C3">
            <w:pPr>
              <w:spacing w:after="0"/>
              <w:rPr>
                <w:rFonts w:ascii="Calibri" w:hAnsi="Calibri"/>
                <w:color w:val="000000"/>
                <w:sz w:val="20"/>
                <w:szCs w:val="20"/>
              </w:rPr>
            </w:pPr>
          </w:p>
        </w:tc>
        <w:tc>
          <w:tcPr>
            <w:tcW w:w="1560" w:type="dxa"/>
            <w:vMerge/>
            <w:tcBorders>
              <w:left w:val="nil"/>
              <w:right w:val="single" w:sz="4" w:space="0" w:color="auto"/>
            </w:tcBorders>
            <w:shd w:val="clear" w:color="auto" w:fill="auto"/>
            <w:noWrap/>
            <w:tcMar>
              <w:top w:w="15" w:type="dxa"/>
              <w:left w:w="15" w:type="dxa"/>
              <w:bottom w:w="0" w:type="dxa"/>
              <w:right w:w="15" w:type="dxa"/>
            </w:tcMar>
            <w:vAlign w:val="center"/>
            <w:hideMark/>
          </w:tcPr>
          <w:p w14:paraId="431011CB" w14:textId="77777777" w:rsidR="00757713" w:rsidRPr="005D6F2E" w:rsidRDefault="00757713" w:rsidP="00B935C3">
            <w:pPr>
              <w:spacing w:after="0"/>
              <w:jc w:val="right"/>
              <w:rPr>
                <w:rFonts w:ascii="Calibri" w:hAnsi="Calibri"/>
                <w:color w:val="000000"/>
                <w:sz w:val="20"/>
                <w:szCs w:val="20"/>
              </w:rPr>
            </w:pPr>
          </w:p>
        </w:tc>
      </w:tr>
      <w:tr w:rsidR="00757713" w:rsidRPr="005D6F2E" w14:paraId="124B8BA2"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39D22B"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entecavir</w:t>
            </w:r>
            <w:proofErr w:type="spellEnd"/>
          </w:p>
        </w:tc>
        <w:tc>
          <w:tcPr>
            <w:tcW w:w="5528" w:type="dxa"/>
            <w:vMerge/>
            <w:tcBorders>
              <w:left w:val="nil"/>
              <w:right w:val="single" w:sz="4" w:space="0" w:color="auto"/>
            </w:tcBorders>
            <w:shd w:val="clear" w:color="auto" w:fill="auto"/>
            <w:tcMar>
              <w:top w:w="15" w:type="dxa"/>
              <w:left w:w="15" w:type="dxa"/>
              <w:bottom w:w="0" w:type="dxa"/>
              <w:right w:w="15" w:type="dxa"/>
            </w:tcMar>
            <w:vAlign w:val="center"/>
            <w:hideMark/>
          </w:tcPr>
          <w:p w14:paraId="7D406FB1" w14:textId="77777777" w:rsidR="00757713" w:rsidRPr="005D6F2E" w:rsidRDefault="00757713" w:rsidP="00B935C3">
            <w:pPr>
              <w:spacing w:after="0"/>
              <w:rPr>
                <w:rFonts w:ascii="Calibri" w:hAnsi="Calibri"/>
                <w:color w:val="000000"/>
                <w:sz w:val="20"/>
                <w:szCs w:val="20"/>
              </w:rPr>
            </w:pPr>
          </w:p>
        </w:tc>
        <w:tc>
          <w:tcPr>
            <w:tcW w:w="1560" w:type="dxa"/>
            <w:vMerge/>
            <w:tcBorders>
              <w:left w:val="nil"/>
              <w:right w:val="single" w:sz="4" w:space="0" w:color="auto"/>
            </w:tcBorders>
            <w:shd w:val="clear" w:color="auto" w:fill="auto"/>
            <w:noWrap/>
            <w:tcMar>
              <w:top w:w="15" w:type="dxa"/>
              <w:left w:w="15" w:type="dxa"/>
              <w:bottom w:w="0" w:type="dxa"/>
              <w:right w:w="15" w:type="dxa"/>
            </w:tcMar>
            <w:vAlign w:val="center"/>
            <w:hideMark/>
          </w:tcPr>
          <w:p w14:paraId="2C09E2B9" w14:textId="77777777" w:rsidR="00757713" w:rsidRPr="005D6F2E" w:rsidRDefault="00757713" w:rsidP="00B935C3">
            <w:pPr>
              <w:spacing w:after="0"/>
              <w:jc w:val="right"/>
              <w:rPr>
                <w:rFonts w:ascii="Calibri" w:hAnsi="Calibri"/>
                <w:color w:val="000000"/>
                <w:sz w:val="20"/>
                <w:szCs w:val="20"/>
              </w:rPr>
            </w:pPr>
          </w:p>
        </w:tc>
      </w:tr>
      <w:tr w:rsidR="00757713" w:rsidRPr="005D6F2E" w14:paraId="3E0812CB"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3870B5"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telbivudine</w:t>
            </w:r>
            <w:proofErr w:type="spellEnd"/>
          </w:p>
        </w:tc>
        <w:tc>
          <w:tcPr>
            <w:tcW w:w="5528" w:type="dxa"/>
            <w:vMerge/>
            <w:tcBorders>
              <w:left w:val="nil"/>
              <w:right w:val="single" w:sz="4" w:space="0" w:color="auto"/>
            </w:tcBorders>
            <w:shd w:val="clear" w:color="auto" w:fill="auto"/>
            <w:tcMar>
              <w:top w:w="15" w:type="dxa"/>
              <w:left w:w="15" w:type="dxa"/>
              <w:bottom w:w="0" w:type="dxa"/>
              <w:right w:w="15" w:type="dxa"/>
            </w:tcMar>
            <w:vAlign w:val="center"/>
            <w:hideMark/>
          </w:tcPr>
          <w:p w14:paraId="4B48CC0F" w14:textId="77777777" w:rsidR="00757713" w:rsidRPr="005D6F2E" w:rsidRDefault="00757713" w:rsidP="00B935C3">
            <w:pPr>
              <w:spacing w:after="0"/>
              <w:rPr>
                <w:rFonts w:ascii="Calibri" w:hAnsi="Calibri"/>
                <w:color w:val="000000"/>
                <w:sz w:val="20"/>
                <w:szCs w:val="20"/>
              </w:rPr>
            </w:pPr>
          </w:p>
        </w:tc>
        <w:tc>
          <w:tcPr>
            <w:tcW w:w="1560" w:type="dxa"/>
            <w:vMerge/>
            <w:tcBorders>
              <w:left w:val="nil"/>
              <w:right w:val="single" w:sz="4" w:space="0" w:color="auto"/>
            </w:tcBorders>
            <w:shd w:val="clear" w:color="auto" w:fill="auto"/>
            <w:noWrap/>
            <w:tcMar>
              <w:top w:w="15" w:type="dxa"/>
              <w:left w:w="15" w:type="dxa"/>
              <w:bottom w:w="0" w:type="dxa"/>
              <w:right w:w="15" w:type="dxa"/>
            </w:tcMar>
            <w:vAlign w:val="center"/>
            <w:hideMark/>
          </w:tcPr>
          <w:p w14:paraId="42C9427A" w14:textId="77777777" w:rsidR="00757713" w:rsidRPr="005D6F2E" w:rsidRDefault="00757713" w:rsidP="00B935C3">
            <w:pPr>
              <w:spacing w:after="0"/>
              <w:jc w:val="right"/>
              <w:rPr>
                <w:rFonts w:ascii="Calibri" w:hAnsi="Calibri"/>
                <w:color w:val="000000"/>
                <w:sz w:val="20"/>
                <w:szCs w:val="20"/>
              </w:rPr>
            </w:pPr>
          </w:p>
        </w:tc>
      </w:tr>
      <w:tr w:rsidR="00757713" w:rsidRPr="005D6F2E" w14:paraId="3D5EA21F"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C5D2BB"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peginterferon</w:t>
            </w:r>
            <w:proofErr w:type="spellEnd"/>
            <w:r w:rsidRPr="005D6F2E">
              <w:rPr>
                <w:rFonts w:ascii="Calibri" w:hAnsi="Calibri"/>
                <w:color w:val="000000"/>
                <w:sz w:val="20"/>
                <w:szCs w:val="20"/>
              </w:rPr>
              <w:t xml:space="preserve"> alfa-2a</w:t>
            </w:r>
          </w:p>
        </w:tc>
        <w:tc>
          <w:tcPr>
            <w:tcW w:w="5528" w:type="dxa"/>
            <w:vMerge/>
            <w:tcBorders>
              <w:left w:val="nil"/>
              <w:right w:val="single" w:sz="4" w:space="0" w:color="auto"/>
            </w:tcBorders>
            <w:shd w:val="clear" w:color="auto" w:fill="auto"/>
            <w:tcMar>
              <w:top w:w="15" w:type="dxa"/>
              <w:left w:w="15" w:type="dxa"/>
              <w:bottom w:w="0" w:type="dxa"/>
              <w:right w:w="15" w:type="dxa"/>
            </w:tcMar>
            <w:vAlign w:val="center"/>
            <w:hideMark/>
          </w:tcPr>
          <w:p w14:paraId="7E3239BB" w14:textId="77777777" w:rsidR="00757713" w:rsidRPr="005D6F2E" w:rsidRDefault="00757713" w:rsidP="00B935C3">
            <w:pPr>
              <w:spacing w:after="0"/>
              <w:rPr>
                <w:rFonts w:ascii="Calibri" w:hAnsi="Calibri"/>
                <w:color w:val="000000"/>
                <w:sz w:val="20"/>
                <w:szCs w:val="20"/>
              </w:rPr>
            </w:pPr>
          </w:p>
        </w:tc>
        <w:tc>
          <w:tcPr>
            <w:tcW w:w="1560" w:type="dxa"/>
            <w:vMerge/>
            <w:tcBorders>
              <w:left w:val="nil"/>
              <w:right w:val="single" w:sz="4" w:space="0" w:color="auto"/>
            </w:tcBorders>
            <w:shd w:val="clear" w:color="auto" w:fill="auto"/>
            <w:noWrap/>
            <w:tcMar>
              <w:top w:w="15" w:type="dxa"/>
              <w:left w:w="15" w:type="dxa"/>
              <w:bottom w:w="0" w:type="dxa"/>
              <w:right w:w="15" w:type="dxa"/>
            </w:tcMar>
            <w:vAlign w:val="center"/>
            <w:hideMark/>
          </w:tcPr>
          <w:p w14:paraId="67DDA70E" w14:textId="77777777" w:rsidR="00757713" w:rsidRPr="005D6F2E" w:rsidRDefault="00757713" w:rsidP="00B935C3">
            <w:pPr>
              <w:spacing w:after="0"/>
              <w:jc w:val="right"/>
              <w:rPr>
                <w:rFonts w:ascii="Calibri" w:hAnsi="Calibri"/>
                <w:color w:val="000000"/>
                <w:sz w:val="20"/>
                <w:szCs w:val="20"/>
              </w:rPr>
            </w:pPr>
          </w:p>
        </w:tc>
      </w:tr>
      <w:tr w:rsidR="00757713" w:rsidRPr="005D6F2E" w14:paraId="2B6F94CC" w14:textId="77777777" w:rsidTr="00B935C3">
        <w:trPr>
          <w:cantSplit/>
          <w:trHeight w:val="300"/>
          <w:tblHeader/>
        </w:trPr>
        <w:tc>
          <w:tcPr>
            <w:tcW w:w="185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7E5786" w14:textId="77777777" w:rsidR="00757713" w:rsidRPr="005D6F2E" w:rsidRDefault="00757713" w:rsidP="00B935C3">
            <w:pPr>
              <w:spacing w:after="0"/>
              <w:rPr>
                <w:rFonts w:ascii="Calibri" w:hAnsi="Calibri"/>
                <w:color w:val="000000"/>
                <w:sz w:val="20"/>
                <w:szCs w:val="20"/>
              </w:rPr>
            </w:pPr>
            <w:proofErr w:type="spellStart"/>
            <w:r w:rsidRPr="005D6F2E">
              <w:rPr>
                <w:rFonts w:ascii="Calibri" w:hAnsi="Calibri"/>
                <w:color w:val="000000"/>
                <w:sz w:val="20"/>
                <w:szCs w:val="20"/>
              </w:rPr>
              <w:t>tenofovir</w:t>
            </w:r>
            <w:proofErr w:type="spellEnd"/>
          </w:p>
        </w:tc>
        <w:tc>
          <w:tcPr>
            <w:tcW w:w="5528"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0AED5" w14:textId="77777777" w:rsidR="00757713" w:rsidRPr="005D6F2E" w:rsidRDefault="00757713" w:rsidP="00B935C3">
            <w:pPr>
              <w:spacing w:after="0"/>
              <w:rPr>
                <w:rFonts w:ascii="Calibri" w:hAnsi="Calibri"/>
                <w:color w:val="000000"/>
                <w:sz w:val="20"/>
                <w:szCs w:val="20"/>
              </w:rPr>
            </w:pPr>
          </w:p>
        </w:tc>
        <w:tc>
          <w:tcPr>
            <w:tcW w:w="1560" w:type="dxa"/>
            <w:vMerge/>
            <w:tcBorders>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7004A8" w14:textId="77777777" w:rsidR="00757713" w:rsidRPr="005D6F2E" w:rsidRDefault="00757713" w:rsidP="00B935C3">
            <w:pPr>
              <w:spacing w:after="0"/>
              <w:jc w:val="right"/>
              <w:rPr>
                <w:rFonts w:ascii="Calibri" w:hAnsi="Calibri"/>
                <w:color w:val="000000"/>
                <w:sz w:val="20"/>
                <w:szCs w:val="20"/>
              </w:rPr>
            </w:pPr>
          </w:p>
        </w:tc>
      </w:tr>
    </w:tbl>
    <w:p w14:paraId="72AC2202" w14:textId="77777777" w:rsidR="00757713" w:rsidRPr="002F61CA" w:rsidRDefault="00757713" w:rsidP="00757713">
      <w:r w:rsidRPr="005D6F2E">
        <w:t>Current PBS listing details are available from pbs.gov.au</w:t>
      </w:r>
    </w:p>
    <w:p w14:paraId="25D65B04" w14:textId="1B97A568" w:rsidR="00FE645A" w:rsidRDefault="00A4020E" w:rsidP="001B4788">
      <w:pPr>
        <w:pStyle w:val="Heading3"/>
      </w:pPr>
      <w:r w:rsidRPr="00A4020E">
        <w:t>Disclaimer</w:t>
      </w:r>
    </w:p>
    <w:p w14:paraId="477D7D94" w14:textId="739898AB" w:rsidR="000B268E" w:rsidRPr="000B268E" w:rsidRDefault="000B268E" w:rsidP="00125FC2">
      <w:r w:rsidRPr="000B268E">
        <w:t>The information provided in this report does not constitute medical advice and is not intended to take the place of profe</w:t>
      </w:r>
      <w:r w:rsidR="00F11CFC">
        <w:t xml:space="preserve">ssional medical advice or care.  </w:t>
      </w:r>
      <w:r w:rsidRPr="000B268E">
        <w:t>It is not intended to define what constitutes reasonable, appropriate or best care for any individual for any given health issue.</w:t>
      </w:r>
      <w:r w:rsidR="00E628EA">
        <w:t xml:space="preserve">  </w:t>
      </w:r>
      <w:r w:rsidRPr="000B268E">
        <w:t>The information should not be used as a substitute for the judgement and skill of a medical practitioner.</w:t>
      </w:r>
    </w:p>
    <w:p w14:paraId="34477926" w14:textId="601956EB" w:rsidR="000B268E" w:rsidRPr="000B268E" w:rsidRDefault="000B268E" w:rsidP="00125FC2">
      <w:r w:rsidRPr="000B268E">
        <w:t>The Department of Health (</w:t>
      </w:r>
      <w:proofErr w:type="spellStart"/>
      <w:r w:rsidRPr="000B268E">
        <w:t>DoH</w:t>
      </w:r>
      <w:proofErr w:type="spellEnd"/>
      <w:r w:rsidRPr="000B268E">
        <w:t>) has made all reasonable efforts to ensure that information provided in this report is accurate. The information provided in this report was up-to-date when it was considered by the Drug Utilisation Sub-committee of the Pharmaceutic</w:t>
      </w:r>
      <w:r w:rsidR="00F11CFC">
        <w:t xml:space="preserve">al Benefits Advisory Committee.  </w:t>
      </w:r>
      <w:r w:rsidRPr="000B268E">
        <w:t>The context for that information may have changed since publication.</w:t>
      </w:r>
    </w:p>
    <w:p w14:paraId="34FF6D3D" w14:textId="77777777" w:rsidR="000B268E" w:rsidRPr="000B268E" w:rsidRDefault="000B268E" w:rsidP="00125FC2">
      <w:r w:rsidRPr="000B268E">
        <w:lastRenderedPageBreak/>
        <w:t xml:space="preserve">To the extent provided by law, </w:t>
      </w:r>
      <w:proofErr w:type="spellStart"/>
      <w:r w:rsidRPr="000B268E">
        <w:t>DoH</w:t>
      </w:r>
      <w:proofErr w:type="spellEnd"/>
      <w:r w:rsidRPr="000B268E">
        <w:t xml:space="preserve"> makes no warranties or representations as to accuracy or completeness of information contained in this report. </w:t>
      </w:r>
    </w:p>
    <w:p w14:paraId="1F8EAE28" w14:textId="460E8D1C" w:rsidR="005C4023" w:rsidRPr="000B268E" w:rsidRDefault="000B268E" w:rsidP="00125FC2">
      <w:r w:rsidRPr="000B268E">
        <w:t xml:space="preserve">To the fullest extent permitted by law, neither the </w:t>
      </w:r>
      <w:proofErr w:type="spellStart"/>
      <w:r w:rsidRPr="000B268E">
        <w:t>DoH</w:t>
      </w:r>
      <w:proofErr w:type="spellEnd"/>
      <w:r w:rsidRPr="000B268E">
        <w:t xml:space="preserve"> nor any </w:t>
      </w:r>
      <w:proofErr w:type="spellStart"/>
      <w:r w:rsidRPr="000B268E">
        <w:t>DoH</w:t>
      </w:r>
      <w:proofErr w:type="spellEnd"/>
      <w:r w:rsidRPr="000B268E">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5C4023" w:rsidRPr="000B268E" w:rsidSect="00945324">
      <w:headerReference w:type="even" r:id="rId20"/>
      <w:headerReference w:type="default" r:id="rId21"/>
      <w:footerReference w:type="even" r:id="rId22"/>
      <w:footerReference w:type="default" r:id="rId23"/>
      <w:headerReference w:type="first" r:id="rId24"/>
      <w:footerReference w:type="first" r:id="rId25"/>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294FFC" w:rsidRDefault="00294FFC" w:rsidP="00A35800">
      <w:r>
        <w:separator/>
      </w:r>
    </w:p>
  </w:endnote>
  <w:endnote w:type="continuationSeparator" w:id="0">
    <w:p w14:paraId="45A4A8C8" w14:textId="77777777" w:rsidR="00294FFC" w:rsidRDefault="00294FFC"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294FFC" w:rsidRDefault="00294FFC"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94FFC" w:rsidRDefault="00294FFC"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14:paraId="2C33146D" w14:textId="4BF27473" w:rsidR="00294FFC" w:rsidRPr="00CB6ABE" w:rsidRDefault="00294FFC" w:rsidP="00CB6ABE">
            <w:pPr>
              <w:pStyle w:val="Footer"/>
              <w:jc w:val="center"/>
              <w:rPr>
                <w:i/>
                <w:sz w:val="20"/>
                <w:szCs w:val="20"/>
              </w:rPr>
            </w:pPr>
            <w:r>
              <w:rPr>
                <w:i/>
                <w:sz w:val="20"/>
                <w:szCs w:val="20"/>
              </w:rPr>
              <w:t>Public Release Document, February 2015 DUSC Meeting</w:t>
            </w:r>
          </w:p>
          <w:p w14:paraId="16541DE1" w14:textId="3EA36B32" w:rsidR="00294FFC" w:rsidRDefault="00294FFC" w:rsidP="00CB6AB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15162B">
              <w:rPr>
                <w:bCs/>
                <w:i/>
                <w:noProof/>
                <w:sz w:val="20"/>
                <w:szCs w:val="20"/>
              </w:rPr>
              <w:t>1</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15162B">
              <w:rPr>
                <w:bCs/>
                <w:i/>
                <w:noProof/>
                <w:sz w:val="20"/>
                <w:szCs w:val="20"/>
              </w:rPr>
              <w:t>19</w:t>
            </w:r>
            <w:r w:rsidRPr="00CB6ABE">
              <w:rPr>
                <w:bCs/>
                <w:i/>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8AF8" w14:textId="1896DD8B" w:rsidR="00294FFC" w:rsidRDefault="00294FFC">
    <w:pPr>
      <w:pStyle w:val="Footer"/>
    </w:pPr>
    <w:r>
      <w:t>Last updated 3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294FFC" w:rsidRDefault="00294FFC" w:rsidP="00A35800">
      <w:r>
        <w:separator/>
      </w:r>
    </w:p>
  </w:footnote>
  <w:footnote w:type="continuationSeparator" w:id="0">
    <w:p w14:paraId="7E2CA1E4" w14:textId="77777777" w:rsidR="00294FFC" w:rsidRDefault="00294FFC" w:rsidP="00A35800">
      <w:r>
        <w:continuationSeparator/>
      </w:r>
    </w:p>
  </w:footnote>
  <w:footnote w:id="1">
    <w:p w14:paraId="18DED6F1" w14:textId="56BC49A2" w:rsidR="00294FFC" w:rsidRPr="005D6F2E" w:rsidRDefault="00294FFC" w:rsidP="00BD0F9A">
      <w:pPr>
        <w:pStyle w:val="FootnoteText"/>
      </w:pPr>
      <w:r w:rsidRPr="005D6F2E">
        <w:rPr>
          <w:rStyle w:val="FootnoteReference"/>
        </w:rPr>
        <w:footnoteRef/>
      </w:r>
      <w:r w:rsidRPr="005D6F2E">
        <w:t xml:space="preserve"> </w:t>
      </w:r>
      <w:proofErr w:type="gramStart"/>
      <w:r>
        <w:t>Gastroenterological Society of Australia.</w:t>
      </w:r>
      <w:proofErr w:type="gramEnd"/>
      <w:r>
        <w:t xml:space="preserve"> </w:t>
      </w:r>
      <w:r w:rsidRPr="005D6F2E">
        <w:t>Chronic Hepatitis B (CHB) Recommendations</w:t>
      </w:r>
      <w:r>
        <w:t xml:space="preserve"> – Australia and New Zealand (2010):</w:t>
      </w:r>
      <w:r w:rsidRPr="005D6F2E">
        <w:t xml:space="preserve"> Gastroenterological Society of Australia</w:t>
      </w:r>
      <w:proofErr w:type="gramStart"/>
      <w:r>
        <w:t>;</w:t>
      </w:r>
      <w:r w:rsidRPr="005D6F2E">
        <w:t xml:space="preserve">  2009</w:t>
      </w:r>
      <w:proofErr w:type="gramEnd"/>
      <w:r>
        <w:t xml:space="preserve">. </w:t>
      </w:r>
      <w:proofErr w:type="gramStart"/>
      <w:r>
        <w:t>Available from &lt;</w:t>
      </w:r>
      <w:r w:rsidRPr="005D6F2E">
        <w:t>http://www.gesa.org.au/professional.asp?cid=9&amp;id=109</w:t>
      </w:r>
      <w:r>
        <w:t>&gt;.</w:t>
      </w:r>
      <w:proofErr w:type="gramEnd"/>
    </w:p>
  </w:footnote>
  <w:footnote w:id="2">
    <w:p w14:paraId="6D2CA1EA" w14:textId="3353C5B2" w:rsidR="00294FFC" w:rsidRDefault="00294FFC" w:rsidP="00DD259F">
      <w:pPr>
        <w:pStyle w:val="FootnoteText"/>
      </w:pPr>
      <w:r>
        <w:rPr>
          <w:rStyle w:val="FootnoteReference"/>
        </w:rPr>
        <w:footnoteRef/>
      </w:r>
      <w:r>
        <w:t xml:space="preserve"> </w:t>
      </w:r>
      <w:proofErr w:type="spellStart"/>
      <w:proofErr w:type="gramStart"/>
      <w:r>
        <w:t>Hepsera</w:t>
      </w:r>
      <w:proofErr w:type="spellEnd"/>
      <w:r>
        <w:t xml:space="preserve"> (</w:t>
      </w:r>
      <w:proofErr w:type="spellStart"/>
      <w:r>
        <w:t>adefovir</w:t>
      </w:r>
      <w:proofErr w:type="spellEnd"/>
      <w:r>
        <w:t>).</w:t>
      </w:r>
      <w:proofErr w:type="gramEnd"/>
      <w:r>
        <w:t xml:space="preserve"> Consumer Medicine Information</w:t>
      </w:r>
      <w:proofErr w:type="gramStart"/>
      <w:r>
        <w:t>..</w:t>
      </w:r>
      <w:proofErr w:type="gramEnd"/>
      <w:r>
        <w:t xml:space="preserve"> Melbourne: Gilead Sciences Pty Ltd. Prepared 5 September 2014.  </w:t>
      </w:r>
      <w:proofErr w:type="gramStart"/>
      <w:r>
        <w:t>Available from &lt;</w:t>
      </w:r>
      <w:r w:rsidRPr="000E18DB">
        <w:t>https://www.ebs.tga.gov.au/ebs/picmi/picmirepository.nsf/pdf?OpenAgent&amp;id=CP-2010-CMI-03993-3</w:t>
      </w:r>
      <w:r>
        <w:t>&gt;.</w:t>
      </w:r>
      <w:proofErr w:type="gramEnd"/>
    </w:p>
  </w:footnote>
  <w:footnote w:id="3">
    <w:p w14:paraId="644C8A03" w14:textId="2FD41AA7" w:rsidR="00294FFC" w:rsidRDefault="00294FFC" w:rsidP="00DD259F">
      <w:pPr>
        <w:pStyle w:val="FootnoteText"/>
      </w:pPr>
      <w:r>
        <w:rPr>
          <w:rStyle w:val="FootnoteReference"/>
        </w:rPr>
        <w:footnoteRef/>
      </w:r>
      <w:r>
        <w:t xml:space="preserve"> </w:t>
      </w:r>
      <w:proofErr w:type="spellStart"/>
      <w:proofErr w:type="gramStart"/>
      <w:r>
        <w:t>Pegasys</w:t>
      </w:r>
      <w:proofErr w:type="spellEnd"/>
      <w:r>
        <w:t xml:space="preserve"> (</w:t>
      </w:r>
      <w:proofErr w:type="spellStart"/>
      <w:r>
        <w:t>peginterferon</w:t>
      </w:r>
      <w:proofErr w:type="spellEnd"/>
      <w:r>
        <w:t>).</w:t>
      </w:r>
      <w:proofErr w:type="gramEnd"/>
      <w:r>
        <w:t xml:space="preserve"> </w:t>
      </w:r>
      <w:proofErr w:type="gramStart"/>
      <w:r>
        <w:t>Consumer Medicine Information.</w:t>
      </w:r>
      <w:proofErr w:type="gramEnd"/>
      <w:r>
        <w:t xml:space="preserve"> Sydney: Roche Products Pty Ltd. Prepared 28 July 2014. </w:t>
      </w:r>
      <w:proofErr w:type="gramStart"/>
      <w:r>
        <w:t>Available from &lt;</w:t>
      </w:r>
      <w:r>
        <w:br/>
      </w:r>
      <w:r w:rsidRPr="007A7431">
        <w:t>https://www.ebs.tga.gov.au/ebs/picmi/picmirepository.nsf/pdf?OpenAgent&amp;id=CP-2010-CMI-01159-3</w:t>
      </w:r>
      <w:r>
        <w:t>&gt;.</w:t>
      </w:r>
      <w:proofErr w:type="gramEnd"/>
    </w:p>
  </w:footnote>
  <w:footnote w:id="4">
    <w:p w14:paraId="10C47977" w14:textId="1E819D92" w:rsidR="00294FFC" w:rsidRPr="005D6F2E" w:rsidRDefault="00294FFC" w:rsidP="00DD259F">
      <w:pPr>
        <w:pStyle w:val="FootnoteText"/>
        <w:rPr>
          <w:szCs w:val="18"/>
        </w:rPr>
      </w:pPr>
      <w:r w:rsidRPr="005D6F2E">
        <w:rPr>
          <w:rStyle w:val="FootnoteReference"/>
          <w:szCs w:val="18"/>
        </w:rPr>
        <w:footnoteRef/>
      </w:r>
      <w:r w:rsidRPr="005D6F2E">
        <w:rPr>
          <w:szCs w:val="18"/>
        </w:rPr>
        <w:t xml:space="preserve"> </w:t>
      </w:r>
      <w:proofErr w:type="gramStart"/>
      <w:r>
        <w:rPr>
          <w:szCs w:val="18"/>
        </w:rPr>
        <w:t>Australian Government Department of Health.</w:t>
      </w:r>
      <w:proofErr w:type="gramEnd"/>
      <w:r>
        <w:rPr>
          <w:szCs w:val="18"/>
        </w:rPr>
        <w:t xml:space="preserve"> </w:t>
      </w:r>
      <w:r w:rsidRPr="005D6F2E">
        <w:t>Second National Hepatitis B Strategy 2014–2017</w:t>
      </w:r>
      <w:r>
        <w:t>.</w:t>
      </w:r>
      <w:r w:rsidRPr="005D6F2E">
        <w:t xml:space="preserve"> </w:t>
      </w:r>
      <w:r>
        <w:t xml:space="preserve">Canberra: </w:t>
      </w:r>
      <w:r w:rsidRPr="005D6F2E">
        <w:t>Department of Health</w:t>
      </w:r>
      <w:r>
        <w:t xml:space="preserve">; 2014. </w:t>
      </w:r>
      <w:proofErr w:type="gramStart"/>
      <w:r>
        <w:t>Available from &lt;</w:t>
      </w:r>
      <w:r w:rsidRPr="005D6F2E">
        <w:t>http://www.health.gov.au/internet/main/publishing.nsf/Content/ohp-bbvs-hepb</w:t>
      </w:r>
      <w:r>
        <w:t>&gt;.</w:t>
      </w:r>
      <w:proofErr w:type="gramEnd"/>
    </w:p>
  </w:footnote>
  <w:footnote w:id="5">
    <w:p w14:paraId="5C747CA8" w14:textId="6FB3D764" w:rsidR="00294FFC" w:rsidRDefault="00294FFC" w:rsidP="00DD259F">
      <w:pPr>
        <w:pStyle w:val="FootnoteText"/>
      </w:pPr>
      <w:r w:rsidRPr="005D6F2E">
        <w:rPr>
          <w:rStyle w:val="FootnoteReference"/>
        </w:rPr>
        <w:footnoteRef/>
      </w:r>
      <w:r w:rsidRPr="005D6F2E">
        <w:t xml:space="preserve"> </w:t>
      </w:r>
      <w:proofErr w:type="gramStart"/>
      <w:r w:rsidRPr="005D6F2E">
        <w:t>Australian Medicines Handbook</w:t>
      </w:r>
      <w:r>
        <w:t>.</w:t>
      </w:r>
      <w:proofErr w:type="gramEnd"/>
      <w:r>
        <w:t xml:space="preserve"> Adelaide: </w:t>
      </w:r>
      <w:r w:rsidRPr="00F1169C">
        <w:t>Australian Medicines Handbook Pty Ltd;</w:t>
      </w:r>
      <w:r w:rsidRPr="005D6F2E">
        <w:t xml:space="preserve"> 2013</w:t>
      </w:r>
      <w:r>
        <w:t>.</w:t>
      </w:r>
    </w:p>
  </w:footnote>
  <w:footnote w:id="6">
    <w:p w14:paraId="69F53DBC" w14:textId="77777777" w:rsidR="00294FFC" w:rsidRDefault="00294FFC" w:rsidP="005E50E4">
      <w:pPr>
        <w:pStyle w:val="FootnoteText"/>
      </w:pPr>
      <w:r>
        <w:rPr>
          <w:rStyle w:val="FootnoteReference"/>
        </w:rPr>
        <w:footnoteRef/>
      </w:r>
      <w:r>
        <w:t xml:space="preserve"> </w:t>
      </w:r>
      <w:proofErr w:type="gramStart"/>
      <w:r>
        <w:t>The Kirby Institute.</w:t>
      </w:r>
      <w:proofErr w:type="gramEnd"/>
      <w:r>
        <w:t xml:space="preserve"> HIV, viral hepatitis and sexually transmissible infections in Australia Annual Surveillance</w:t>
      </w:r>
    </w:p>
    <w:p w14:paraId="004E4073" w14:textId="7A4A2020" w:rsidR="00294FFC" w:rsidRDefault="00294FFC" w:rsidP="005E50E4">
      <w:pPr>
        <w:pStyle w:val="FootnoteText"/>
      </w:pPr>
      <w:proofErr w:type="gramStart"/>
      <w:r>
        <w:t>Report 2014.</w:t>
      </w:r>
      <w:proofErr w:type="gramEnd"/>
      <w:r>
        <w:t xml:space="preserve"> Sydney; </w:t>
      </w:r>
      <w:proofErr w:type="gramStart"/>
      <w:r>
        <w:t>The</w:t>
      </w:r>
      <w:proofErr w:type="gramEnd"/>
      <w:r>
        <w:t xml:space="preserve"> Kirby Institute; 2014. </w:t>
      </w:r>
      <w:proofErr w:type="gramStart"/>
      <w:r>
        <w:t>Available from &lt;</w:t>
      </w:r>
      <w:r w:rsidRPr="00BA6007">
        <w:t xml:space="preserve"> https://kirby.unsw.edu.au/surveillance/2014-annual-surveillance-report-hiv-viral-hepatitis-stis</w:t>
      </w:r>
      <w:r>
        <w:t>&gt;.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4416A" w14:textId="77777777" w:rsidR="00330B9D" w:rsidRDefault="00330B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2A45F" w14:textId="77777777" w:rsidR="00330B9D" w:rsidRDefault="00330B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FA6C8" w14:textId="77777777" w:rsidR="00330B9D" w:rsidRDefault="00330B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62FB"/>
    <w:rsid w:val="0001288E"/>
    <w:rsid w:val="00022617"/>
    <w:rsid w:val="000403DB"/>
    <w:rsid w:val="000444CD"/>
    <w:rsid w:val="00046D7D"/>
    <w:rsid w:val="0005619F"/>
    <w:rsid w:val="00071EA0"/>
    <w:rsid w:val="000933D3"/>
    <w:rsid w:val="00094DCF"/>
    <w:rsid w:val="00095D51"/>
    <w:rsid w:val="000B25B6"/>
    <w:rsid w:val="000B268E"/>
    <w:rsid w:val="000B71ED"/>
    <w:rsid w:val="000B796C"/>
    <w:rsid w:val="000C6E5D"/>
    <w:rsid w:val="000C7D8B"/>
    <w:rsid w:val="000E295D"/>
    <w:rsid w:val="000E485D"/>
    <w:rsid w:val="000E5482"/>
    <w:rsid w:val="000F22BC"/>
    <w:rsid w:val="000F2F51"/>
    <w:rsid w:val="000F75DC"/>
    <w:rsid w:val="000F760B"/>
    <w:rsid w:val="0010126A"/>
    <w:rsid w:val="00112FB2"/>
    <w:rsid w:val="00113D74"/>
    <w:rsid w:val="00117C5C"/>
    <w:rsid w:val="00125FC2"/>
    <w:rsid w:val="00130892"/>
    <w:rsid w:val="001327FB"/>
    <w:rsid w:val="001354DE"/>
    <w:rsid w:val="001420B3"/>
    <w:rsid w:val="0014260F"/>
    <w:rsid w:val="0014500B"/>
    <w:rsid w:val="0015162B"/>
    <w:rsid w:val="0015691C"/>
    <w:rsid w:val="001577A1"/>
    <w:rsid w:val="00166B50"/>
    <w:rsid w:val="001714FD"/>
    <w:rsid w:val="001725DD"/>
    <w:rsid w:val="00174183"/>
    <w:rsid w:val="001759EC"/>
    <w:rsid w:val="001B1A3A"/>
    <w:rsid w:val="001B4788"/>
    <w:rsid w:val="001B50CA"/>
    <w:rsid w:val="001B5D37"/>
    <w:rsid w:val="001C2785"/>
    <w:rsid w:val="001C4016"/>
    <w:rsid w:val="001D1A35"/>
    <w:rsid w:val="001D2DCB"/>
    <w:rsid w:val="001D390D"/>
    <w:rsid w:val="001D60D0"/>
    <w:rsid w:val="001E31A6"/>
    <w:rsid w:val="001F2C97"/>
    <w:rsid w:val="001F2F3E"/>
    <w:rsid w:val="001F41D4"/>
    <w:rsid w:val="001F7C68"/>
    <w:rsid w:val="002104AA"/>
    <w:rsid w:val="00214013"/>
    <w:rsid w:val="00215730"/>
    <w:rsid w:val="00226AB4"/>
    <w:rsid w:val="00236433"/>
    <w:rsid w:val="0024294B"/>
    <w:rsid w:val="002509D5"/>
    <w:rsid w:val="00252D19"/>
    <w:rsid w:val="00275D5A"/>
    <w:rsid w:val="002801FD"/>
    <w:rsid w:val="0028594C"/>
    <w:rsid w:val="00294FFC"/>
    <w:rsid w:val="002C4942"/>
    <w:rsid w:val="002C6E0C"/>
    <w:rsid w:val="002D472A"/>
    <w:rsid w:val="002E3337"/>
    <w:rsid w:val="002F49A8"/>
    <w:rsid w:val="002F61CA"/>
    <w:rsid w:val="002F63ED"/>
    <w:rsid w:val="0030749C"/>
    <w:rsid w:val="00307EEF"/>
    <w:rsid w:val="00313B8D"/>
    <w:rsid w:val="00330B9D"/>
    <w:rsid w:val="003370D0"/>
    <w:rsid w:val="00340F95"/>
    <w:rsid w:val="00341FCC"/>
    <w:rsid w:val="00343204"/>
    <w:rsid w:val="00347CBC"/>
    <w:rsid w:val="003529E0"/>
    <w:rsid w:val="003531ED"/>
    <w:rsid w:val="0038097B"/>
    <w:rsid w:val="00380CAD"/>
    <w:rsid w:val="003811C7"/>
    <w:rsid w:val="0039017F"/>
    <w:rsid w:val="003D6756"/>
    <w:rsid w:val="003F2C10"/>
    <w:rsid w:val="00400B39"/>
    <w:rsid w:val="00426AA4"/>
    <w:rsid w:val="004524FE"/>
    <w:rsid w:val="00462FF4"/>
    <w:rsid w:val="00481108"/>
    <w:rsid w:val="0049042B"/>
    <w:rsid w:val="00492D55"/>
    <w:rsid w:val="00493EA7"/>
    <w:rsid w:val="004A458E"/>
    <w:rsid w:val="004B23E7"/>
    <w:rsid w:val="004B306F"/>
    <w:rsid w:val="004B552B"/>
    <w:rsid w:val="004C3186"/>
    <w:rsid w:val="004C5042"/>
    <w:rsid w:val="004C7C9E"/>
    <w:rsid w:val="004D14BD"/>
    <w:rsid w:val="004D2FF4"/>
    <w:rsid w:val="004E4FE2"/>
    <w:rsid w:val="004E7C51"/>
    <w:rsid w:val="004F1E15"/>
    <w:rsid w:val="00503998"/>
    <w:rsid w:val="0050623B"/>
    <w:rsid w:val="00513949"/>
    <w:rsid w:val="005339F6"/>
    <w:rsid w:val="00541402"/>
    <w:rsid w:val="00561CB4"/>
    <w:rsid w:val="00585DF4"/>
    <w:rsid w:val="00591512"/>
    <w:rsid w:val="00591899"/>
    <w:rsid w:val="005C25A2"/>
    <w:rsid w:val="005C2AE7"/>
    <w:rsid w:val="005C4023"/>
    <w:rsid w:val="005C55C6"/>
    <w:rsid w:val="005C597F"/>
    <w:rsid w:val="005C636E"/>
    <w:rsid w:val="005D436A"/>
    <w:rsid w:val="005E147D"/>
    <w:rsid w:val="005E22C2"/>
    <w:rsid w:val="005E50E4"/>
    <w:rsid w:val="00606906"/>
    <w:rsid w:val="0063021F"/>
    <w:rsid w:val="00630CA0"/>
    <w:rsid w:val="00635817"/>
    <w:rsid w:val="0063631C"/>
    <w:rsid w:val="00645D51"/>
    <w:rsid w:val="006537D9"/>
    <w:rsid w:val="00665DEF"/>
    <w:rsid w:val="00675812"/>
    <w:rsid w:val="00675BB1"/>
    <w:rsid w:val="0068037A"/>
    <w:rsid w:val="0069451E"/>
    <w:rsid w:val="006A44F5"/>
    <w:rsid w:val="006B4537"/>
    <w:rsid w:val="006B709B"/>
    <w:rsid w:val="006C4620"/>
    <w:rsid w:val="006D7B0B"/>
    <w:rsid w:val="006E0181"/>
    <w:rsid w:val="006F4851"/>
    <w:rsid w:val="00705309"/>
    <w:rsid w:val="00705DAD"/>
    <w:rsid w:val="007072FB"/>
    <w:rsid w:val="00717ED3"/>
    <w:rsid w:val="007247B9"/>
    <w:rsid w:val="00727D85"/>
    <w:rsid w:val="007346C7"/>
    <w:rsid w:val="00736041"/>
    <w:rsid w:val="007408C7"/>
    <w:rsid w:val="0075110A"/>
    <w:rsid w:val="00752C7F"/>
    <w:rsid w:val="00752EE4"/>
    <w:rsid w:val="00757713"/>
    <w:rsid w:val="00774ED0"/>
    <w:rsid w:val="00776598"/>
    <w:rsid w:val="00796B2F"/>
    <w:rsid w:val="00796E84"/>
    <w:rsid w:val="007A6F6A"/>
    <w:rsid w:val="007B3C3F"/>
    <w:rsid w:val="007D2B3D"/>
    <w:rsid w:val="007E5CE8"/>
    <w:rsid w:val="00800C2D"/>
    <w:rsid w:val="00802788"/>
    <w:rsid w:val="008142B4"/>
    <w:rsid w:val="00832324"/>
    <w:rsid w:val="0085256D"/>
    <w:rsid w:val="00852A4C"/>
    <w:rsid w:val="00856BB4"/>
    <w:rsid w:val="00857E6D"/>
    <w:rsid w:val="00862D64"/>
    <w:rsid w:val="00887EFB"/>
    <w:rsid w:val="00896025"/>
    <w:rsid w:val="00896403"/>
    <w:rsid w:val="00897097"/>
    <w:rsid w:val="008A5BAD"/>
    <w:rsid w:val="008A61D6"/>
    <w:rsid w:val="008C57BE"/>
    <w:rsid w:val="008E597A"/>
    <w:rsid w:val="008F3085"/>
    <w:rsid w:val="00902FD0"/>
    <w:rsid w:val="009053D3"/>
    <w:rsid w:val="00905AB4"/>
    <w:rsid w:val="00917613"/>
    <w:rsid w:val="0093111F"/>
    <w:rsid w:val="00935689"/>
    <w:rsid w:val="009379BA"/>
    <w:rsid w:val="0094366B"/>
    <w:rsid w:val="00945324"/>
    <w:rsid w:val="00957837"/>
    <w:rsid w:val="00957D11"/>
    <w:rsid w:val="0096189A"/>
    <w:rsid w:val="009663B6"/>
    <w:rsid w:val="00980286"/>
    <w:rsid w:val="00980972"/>
    <w:rsid w:val="009A4CD6"/>
    <w:rsid w:val="009A52BD"/>
    <w:rsid w:val="009C0886"/>
    <w:rsid w:val="009C35F2"/>
    <w:rsid w:val="009C7C43"/>
    <w:rsid w:val="009D2BB9"/>
    <w:rsid w:val="009D402C"/>
    <w:rsid w:val="009D41C8"/>
    <w:rsid w:val="009E2173"/>
    <w:rsid w:val="009E21A7"/>
    <w:rsid w:val="009E3ED0"/>
    <w:rsid w:val="00A01D31"/>
    <w:rsid w:val="00A06BD0"/>
    <w:rsid w:val="00A103ED"/>
    <w:rsid w:val="00A108F9"/>
    <w:rsid w:val="00A13C60"/>
    <w:rsid w:val="00A35800"/>
    <w:rsid w:val="00A36FA8"/>
    <w:rsid w:val="00A3777D"/>
    <w:rsid w:val="00A4020E"/>
    <w:rsid w:val="00A54DDE"/>
    <w:rsid w:val="00A55579"/>
    <w:rsid w:val="00A57B00"/>
    <w:rsid w:val="00A84CAD"/>
    <w:rsid w:val="00A9121C"/>
    <w:rsid w:val="00AB3733"/>
    <w:rsid w:val="00AC7503"/>
    <w:rsid w:val="00AE46EC"/>
    <w:rsid w:val="00AE4EAB"/>
    <w:rsid w:val="00AF6BB9"/>
    <w:rsid w:val="00AF6DE8"/>
    <w:rsid w:val="00B02AB9"/>
    <w:rsid w:val="00B05310"/>
    <w:rsid w:val="00B22AE8"/>
    <w:rsid w:val="00B34032"/>
    <w:rsid w:val="00B8222C"/>
    <w:rsid w:val="00B9120F"/>
    <w:rsid w:val="00B924A4"/>
    <w:rsid w:val="00B935C3"/>
    <w:rsid w:val="00B95FB9"/>
    <w:rsid w:val="00BA021B"/>
    <w:rsid w:val="00BA6007"/>
    <w:rsid w:val="00BB0D1A"/>
    <w:rsid w:val="00BB1D3B"/>
    <w:rsid w:val="00BC35ED"/>
    <w:rsid w:val="00BC55C3"/>
    <w:rsid w:val="00BD0F9A"/>
    <w:rsid w:val="00BD3CAF"/>
    <w:rsid w:val="00BD62F0"/>
    <w:rsid w:val="00BE5D65"/>
    <w:rsid w:val="00BF238E"/>
    <w:rsid w:val="00BF6D5C"/>
    <w:rsid w:val="00C0076F"/>
    <w:rsid w:val="00C26824"/>
    <w:rsid w:val="00C30B32"/>
    <w:rsid w:val="00C3580B"/>
    <w:rsid w:val="00C41246"/>
    <w:rsid w:val="00C45E5F"/>
    <w:rsid w:val="00C471DD"/>
    <w:rsid w:val="00C47938"/>
    <w:rsid w:val="00C60DA4"/>
    <w:rsid w:val="00C672F4"/>
    <w:rsid w:val="00C675DB"/>
    <w:rsid w:val="00C714D0"/>
    <w:rsid w:val="00C74999"/>
    <w:rsid w:val="00C75822"/>
    <w:rsid w:val="00C81F99"/>
    <w:rsid w:val="00C934D2"/>
    <w:rsid w:val="00C97AFA"/>
    <w:rsid w:val="00CA2E99"/>
    <w:rsid w:val="00CB16A9"/>
    <w:rsid w:val="00CB4FDE"/>
    <w:rsid w:val="00CB6ABE"/>
    <w:rsid w:val="00CE001C"/>
    <w:rsid w:val="00CE17E6"/>
    <w:rsid w:val="00CE2CDF"/>
    <w:rsid w:val="00CE417B"/>
    <w:rsid w:val="00CF4E29"/>
    <w:rsid w:val="00CF6DBB"/>
    <w:rsid w:val="00CF6FB3"/>
    <w:rsid w:val="00D03B37"/>
    <w:rsid w:val="00D12E1C"/>
    <w:rsid w:val="00D13C41"/>
    <w:rsid w:val="00D151EB"/>
    <w:rsid w:val="00D24DFD"/>
    <w:rsid w:val="00D30378"/>
    <w:rsid w:val="00D344EC"/>
    <w:rsid w:val="00D4433A"/>
    <w:rsid w:val="00D460A0"/>
    <w:rsid w:val="00D56BB9"/>
    <w:rsid w:val="00D6439E"/>
    <w:rsid w:val="00D650CE"/>
    <w:rsid w:val="00D72000"/>
    <w:rsid w:val="00D72EF7"/>
    <w:rsid w:val="00D7509B"/>
    <w:rsid w:val="00D8758B"/>
    <w:rsid w:val="00D93E1E"/>
    <w:rsid w:val="00D941CD"/>
    <w:rsid w:val="00D963BE"/>
    <w:rsid w:val="00DA5626"/>
    <w:rsid w:val="00DA7D09"/>
    <w:rsid w:val="00DC49E9"/>
    <w:rsid w:val="00DD259F"/>
    <w:rsid w:val="00DD70ED"/>
    <w:rsid w:val="00DE0B96"/>
    <w:rsid w:val="00DE260E"/>
    <w:rsid w:val="00DF0B13"/>
    <w:rsid w:val="00DF4A94"/>
    <w:rsid w:val="00E0451C"/>
    <w:rsid w:val="00E066C3"/>
    <w:rsid w:val="00E06753"/>
    <w:rsid w:val="00E11A6D"/>
    <w:rsid w:val="00E1353A"/>
    <w:rsid w:val="00E14D65"/>
    <w:rsid w:val="00E153FC"/>
    <w:rsid w:val="00E1564B"/>
    <w:rsid w:val="00E208A0"/>
    <w:rsid w:val="00E376AA"/>
    <w:rsid w:val="00E40D7C"/>
    <w:rsid w:val="00E41C8B"/>
    <w:rsid w:val="00E55D60"/>
    <w:rsid w:val="00E628EA"/>
    <w:rsid w:val="00E677DD"/>
    <w:rsid w:val="00E83681"/>
    <w:rsid w:val="00E85C2B"/>
    <w:rsid w:val="00E86A15"/>
    <w:rsid w:val="00EA17B6"/>
    <w:rsid w:val="00EB3DBB"/>
    <w:rsid w:val="00EB6C07"/>
    <w:rsid w:val="00EC028D"/>
    <w:rsid w:val="00EC57FC"/>
    <w:rsid w:val="00EC5E13"/>
    <w:rsid w:val="00ED06CD"/>
    <w:rsid w:val="00ED41B9"/>
    <w:rsid w:val="00ED633B"/>
    <w:rsid w:val="00ED69B1"/>
    <w:rsid w:val="00EE478C"/>
    <w:rsid w:val="00F00207"/>
    <w:rsid w:val="00F056F1"/>
    <w:rsid w:val="00F1169C"/>
    <w:rsid w:val="00F11CFC"/>
    <w:rsid w:val="00F11DA1"/>
    <w:rsid w:val="00F125AF"/>
    <w:rsid w:val="00F1736D"/>
    <w:rsid w:val="00F43923"/>
    <w:rsid w:val="00F56DB9"/>
    <w:rsid w:val="00F61326"/>
    <w:rsid w:val="00F66BF2"/>
    <w:rsid w:val="00F71E6D"/>
    <w:rsid w:val="00FB4EDD"/>
    <w:rsid w:val="00FC4A73"/>
    <w:rsid w:val="00FD13CD"/>
    <w:rsid w:val="00FE64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D1A35"/>
    <w:pPr>
      <w:autoSpaceDE w:val="0"/>
      <w:autoSpaceDN w:val="0"/>
      <w:adjustRightInd w:val="0"/>
      <w:spacing w:before="60" w:after="60"/>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customStyle="1" w:styleId="PBACBullets">
    <w:name w:val="PBAC Bullets"/>
    <w:basedOn w:val="Normal"/>
    <w:qFormat/>
    <w:rsid w:val="00675812"/>
    <w:pPr>
      <w:numPr>
        <w:numId w:val="2"/>
      </w:numPr>
      <w:spacing w:before="240" w:after="60"/>
      <w:ind w:left="357" w:hanging="357"/>
    </w:pPr>
    <w:rPr>
      <w:rFonts w:ascii="Calibri" w:eastAsia="Calibri" w:hAnsi="Calibri" w:cs="Times New Roman"/>
      <w:sz w:val="22"/>
      <w:szCs w:val="22"/>
      <w:lang w:eastAsia="en-US"/>
    </w:rPr>
  </w:style>
  <w:style w:type="character" w:styleId="FollowedHyperlink">
    <w:name w:val="FollowedHyperlink"/>
    <w:basedOn w:val="DefaultParagraphFont"/>
    <w:uiPriority w:val="99"/>
    <w:semiHidden/>
    <w:unhideWhenUsed/>
    <w:rsid w:val="00CA2E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D1A35"/>
    <w:pPr>
      <w:autoSpaceDE w:val="0"/>
      <w:autoSpaceDN w:val="0"/>
      <w:adjustRightInd w:val="0"/>
      <w:spacing w:before="60" w:after="60"/>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customStyle="1" w:styleId="PBACBullets">
    <w:name w:val="PBAC Bullets"/>
    <w:basedOn w:val="Normal"/>
    <w:qFormat/>
    <w:rsid w:val="00675812"/>
    <w:pPr>
      <w:numPr>
        <w:numId w:val="2"/>
      </w:numPr>
      <w:spacing w:before="240" w:after="60"/>
      <w:ind w:left="357" w:hanging="357"/>
    </w:pPr>
    <w:rPr>
      <w:rFonts w:ascii="Calibri" w:eastAsia="Calibri" w:hAnsi="Calibri" w:cs="Times New Roman"/>
      <w:sz w:val="22"/>
      <w:szCs w:val="22"/>
      <w:lang w:eastAsia="en-US"/>
    </w:rPr>
  </w:style>
  <w:style w:type="character" w:styleId="FollowedHyperlink">
    <w:name w:val="FollowedHyperlink"/>
    <w:basedOn w:val="DefaultParagraphFont"/>
    <w:uiPriority w:val="99"/>
    <w:semiHidden/>
    <w:unhideWhenUsed/>
    <w:rsid w:val="00CA2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entral.health\DFSGroupData\Sites\CO1\CO\PBD\PEB\EVAL\DUSC\DUSC%20policy\PvA%20transparency%20project\Management%20and%20templates\Template%20and%20SOP\pbs.gov.au" TargetMode="Externa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tga.gov.au/consumers/information-medicines-cmi.htm" TargetMode="External"/><Relationship Id="rId17" Type="http://schemas.openxmlformats.org/officeDocument/2006/relationships/hyperlink" Target="http://www.pbs.gov.au/info/industry/listing/elements/pbac-meetings/psd/2009-07/pbac-psd-tenofovir-jul0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pbs.gov.au/info/industry/listing/elements/pbac-meetings/psd/2008-11/pbac-psd-tenofovir-nov0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entral.health\DFSGroupData\Sites\CO1\CO\PBD\PEB\EVAL\DUSC\DUSC%20policy\PvA%20transparency%20project\DUSC%20utilisation%20analysis%20reports%20public%20release%20documents\Hepatitis%20B%202015%20Feb\the%20TGA%20(Product%20Information)"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pbs.gov.au/info/industry/listing/elements/pbac-meetings/psd/2006-07/entecavir" TargetMode="External"/><Relationship Id="rId23" Type="http://schemas.openxmlformats.org/officeDocument/2006/relationships/footer" Target="footer2.xml"/><Relationship Id="rId10" Type="http://schemas.openxmlformats.org/officeDocument/2006/relationships/hyperlink" Target="http://tga.gov.au/hp/information-medicines-pi.htm" TargetMode="Externa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yperlink" Target="http://www.gesa.org.au/professional.asp?cid=9&amp;id=109" TargetMode="External"/><Relationship Id="rId14" Type="http://schemas.openxmlformats.org/officeDocument/2006/relationships/hyperlink" Target="file:///\\central.health\DFSGroupData\Sites\CO1\CO\PBD\PEB\EVAL\DUSC\DUSC%20policy\PvA%20transparency%20project\Management%20and%20templates\Template%20and%20SOP\pbs.gov.au"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Feb\Hepatitis%20B\HSD%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Sheet7!$B$3</c:f>
              <c:strCache>
                <c:ptCount val="1"/>
                <c:pt idx="0">
                  <c:v>TENOFOVIR</c:v>
                </c:pt>
              </c:strCache>
            </c:strRef>
          </c:tx>
          <c:cat>
            <c:strRef>
              <c:f>Sheet7!$A$4:$A$47</c:f>
              <c:strCache>
                <c:ptCount val="44"/>
                <c:pt idx="0">
                  <c:v>2003Q3</c:v>
                </c:pt>
                <c:pt idx="1">
                  <c:v>2003Q4</c:v>
                </c:pt>
                <c:pt idx="2">
                  <c:v>2004Q1</c:v>
                </c:pt>
                <c:pt idx="3">
                  <c:v>2004Q2</c:v>
                </c:pt>
                <c:pt idx="4">
                  <c:v>2004Q3</c:v>
                </c:pt>
                <c:pt idx="5">
                  <c:v>2004Q4</c:v>
                </c:pt>
                <c:pt idx="6">
                  <c:v>2005Q1</c:v>
                </c:pt>
                <c:pt idx="7">
                  <c:v>2005Q2</c:v>
                </c:pt>
                <c:pt idx="8">
                  <c:v>2005Q3</c:v>
                </c:pt>
                <c:pt idx="9">
                  <c:v>2005Q4</c:v>
                </c:pt>
                <c:pt idx="10">
                  <c:v>2006Q1</c:v>
                </c:pt>
                <c:pt idx="11">
                  <c:v>2006Q2</c:v>
                </c:pt>
                <c:pt idx="12">
                  <c:v>2006Q3</c:v>
                </c:pt>
                <c:pt idx="13">
                  <c:v>2006Q4</c:v>
                </c:pt>
                <c:pt idx="14">
                  <c:v>2007Q1</c:v>
                </c:pt>
                <c:pt idx="15">
                  <c:v>2007Q2</c:v>
                </c:pt>
                <c:pt idx="16">
                  <c:v>2007Q3</c:v>
                </c:pt>
                <c:pt idx="17">
                  <c:v>2007Q4</c:v>
                </c:pt>
                <c:pt idx="18">
                  <c:v>2008Q1</c:v>
                </c:pt>
                <c:pt idx="19">
                  <c:v>2008Q2</c:v>
                </c:pt>
                <c:pt idx="20">
                  <c:v>2008Q3</c:v>
                </c:pt>
                <c:pt idx="21">
                  <c:v>2008Q4</c:v>
                </c:pt>
                <c:pt idx="22">
                  <c:v>2009Q1</c:v>
                </c:pt>
                <c:pt idx="23">
                  <c:v>2009Q2</c:v>
                </c:pt>
                <c:pt idx="24">
                  <c:v>2009Q3</c:v>
                </c:pt>
                <c:pt idx="25">
                  <c:v>2009Q4</c:v>
                </c:pt>
                <c:pt idx="26">
                  <c:v>2010Q1</c:v>
                </c:pt>
                <c:pt idx="27">
                  <c:v>2010Q2</c:v>
                </c:pt>
                <c:pt idx="28">
                  <c:v>2010Q3</c:v>
                </c:pt>
                <c:pt idx="29">
                  <c:v>2010Q4</c:v>
                </c:pt>
                <c:pt idx="30">
                  <c:v>2011Q1</c:v>
                </c:pt>
                <c:pt idx="31">
                  <c:v>2011Q2</c:v>
                </c:pt>
                <c:pt idx="32">
                  <c:v>2011Q3</c:v>
                </c:pt>
                <c:pt idx="33">
                  <c:v>2011Q4</c:v>
                </c:pt>
                <c:pt idx="34">
                  <c:v>2012Q1</c:v>
                </c:pt>
                <c:pt idx="35">
                  <c:v>2012Q2</c:v>
                </c:pt>
                <c:pt idx="36">
                  <c:v>2012Q3</c:v>
                </c:pt>
                <c:pt idx="37">
                  <c:v>2012Q4</c:v>
                </c:pt>
                <c:pt idx="38">
                  <c:v>2013Q1</c:v>
                </c:pt>
                <c:pt idx="39">
                  <c:v>2013Q2</c:v>
                </c:pt>
                <c:pt idx="40">
                  <c:v>2013Q3</c:v>
                </c:pt>
                <c:pt idx="41">
                  <c:v>2013Q4</c:v>
                </c:pt>
                <c:pt idx="42">
                  <c:v>2014Q1</c:v>
                </c:pt>
                <c:pt idx="43">
                  <c:v>2014Q2</c:v>
                </c:pt>
              </c:strCache>
            </c:strRef>
          </c:cat>
          <c:val>
            <c:numRef>
              <c:f>Sheet7!$B$4:$B$47</c:f>
              <c:numCache>
                <c:formatCode>General</c:formatCode>
                <c:ptCount val="44"/>
                <c:pt idx="0">
                  <c:v>4908.4893000000002</c:v>
                </c:pt>
                <c:pt idx="1">
                  <c:v>5557.0634</c:v>
                </c:pt>
                <c:pt idx="2">
                  <c:v>5498.6870000000008</c:v>
                </c:pt>
                <c:pt idx="3">
                  <c:v>6079.3303000000005</c:v>
                </c:pt>
                <c:pt idx="4">
                  <c:v>6452.3230000000003</c:v>
                </c:pt>
                <c:pt idx="5">
                  <c:v>6960.0634</c:v>
                </c:pt>
                <c:pt idx="6">
                  <c:v>6889.84</c:v>
                </c:pt>
                <c:pt idx="7">
                  <c:v>8418.1699999999983</c:v>
                </c:pt>
                <c:pt idx="8">
                  <c:v>9020.098</c:v>
                </c:pt>
                <c:pt idx="9">
                  <c:v>9835.380000000001</c:v>
                </c:pt>
                <c:pt idx="10">
                  <c:v>8348.6839999999993</c:v>
                </c:pt>
                <c:pt idx="11">
                  <c:v>8679.0330000000013</c:v>
                </c:pt>
                <c:pt idx="12">
                  <c:v>5946.6967000000004</c:v>
                </c:pt>
                <c:pt idx="13">
                  <c:v>5525.16</c:v>
                </c:pt>
                <c:pt idx="14">
                  <c:v>4683.88</c:v>
                </c:pt>
                <c:pt idx="15">
                  <c:v>4670.33</c:v>
                </c:pt>
                <c:pt idx="16">
                  <c:v>4304.1342999999997</c:v>
                </c:pt>
                <c:pt idx="17">
                  <c:v>4349.2033000000001</c:v>
                </c:pt>
                <c:pt idx="18">
                  <c:v>3895.6763000000005</c:v>
                </c:pt>
                <c:pt idx="19">
                  <c:v>3961.8967000000002</c:v>
                </c:pt>
                <c:pt idx="20">
                  <c:v>3635.3630000000003</c:v>
                </c:pt>
                <c:pt idx="21">
                  <c:v>3824.8970000000004</c:v>
                </c:pt>
                <c:pt idx="22">
                  <c:v>3359.1233000000002</c:v>
                </c:pt>
                <c:pt idx="23">
                  <c:v>3443.7569999999996</c:v>
                </c:pt>
                <c:pt idx="24">
                  <c:v>3328.3060000003002</c:v>
                </c:pt>
                <c:pt idx="25">
                  <c:v>3671.1866633332997</c:v>
                </c:pt>
                <c:pt idx="26">
                  <c:v>4489.2366366666993</c:v>
                </c:pt>
                <c:pt idx="27">
                  <c:v>5338.59</c:v>
                </c:pt>
                <c:pt idx="28">
                  <c:v>6552.66</c:v>
                </c:pt>
                <c:pt idx="29">
                  <c:v>7214.99</c:v>
                </c:pt>
                <c:pt idx="30">
                  <c:v>7235.44</c:v>
                </c:pt>
                <c:pt idx="31">
                  <c:v>7812.5033333330011</c:v>
                </c:pt>
                <c:pt idx="32">
                  <c:v>8793.01333333</c:v>
                </c:pt>
                <c:pt idx="33">
                  <c:v>9555.92</c:v>
                </c:pt>
                <c:pt idx="34">
                  <c:v>10128.90333334</c:v>
                </c:pt>
                <c:pt idx="35">
                  <c:v>10494.496666663301</c:v>
                </c:pt>
                <c:pt idx="36">
                  <c:v>11309.426666669999</c:v>
                </c:pt>
                <c:pt idx="37">
                  <c:v>11904.346666663001</c:v>
                </c:pt>
                <c:pt idx="38">
                  <c:v>11526.406666663001</c:v>
                </c:pt>
                <c:pt idx="39">
                  <c:v>12262.789999997</c:v>
                </c:pt>
                <c:pt idx="40">
                  <c:v>13181.100000004</c:v>
                </c:pt>
                <c:pt idx="41">
                  <c:v>13874.433333337</c:v>
                </c:pt>
                <c:pt idx="42">
                  <c:v>13301.06666667</c:v>
                </c:pt>
                <c:pt idx="43">
                  <c:v>14044.86666666</c:v>
                </c:pt>
              </c:numCache>
            </c:numRef>
          </c:val>
          <c:smooth val="0"/>
        </c:ser>
        <c:ser>
          <c:idx val="1"/>
          <c:order val="1"/>
          <c:tx>
            <c:strRef>
              <c:f>Sheet7!$C$3</c:f>
              <c:strCache>
                <c:ptCount val="1"/>
                <c:pt idx="0">
                  <c:v>Hepatitis B (actual)</c:v>
                </c:pt>
              </c:strCache>
            </c:strRef>
          </c:tx>
          <c:cat>
            <c:strRef>
              <c:f>Sheet7!$A$4:$A$47</c:f>
              <c:strCache>
                <c:ptCount val="44"/>
                <c:pt idx="0">
                  <c:v>2003Q3</c:v>
                </c:pt>
                <c:pt idx="1">
                  <c:v>2003Q4</c:v>
                </c:pt>
                <c:pt idx="2">
                  <c:v>2004Q1</c:v>
                </c:pt>
                <c:pt idx="3">
                  <c:v>2004Q2</c:v>
                </c:pt>
                <c:pt idx="4">
                  <c:v>2004Q3</c:v>
                </c:pt>
                <c:pt idx="5">
                  <c:v>2004Q4</c:v>
                </c:pt>
                <c:pt idx="6">
                  <c:v>2005Q1</c:v>
                </c:pt>
                <c:pt idx="7">
                  <c:v>2005Q2</c:v>
                </c:pt>
                <c:pt idx="8">
                  <c:v>2005Q3</c:v>
                </c:pt>
                <c:pt idx="9">
                  <c:v>2005Q4</c:v>
                </c:pt>
                <c:pt idx="10">
                  <c:v>2006Q1</c:v>
                </c:pt>
                <c:pt idx="11">
                  <c:v>2006Q2</c:v>
                </c:pt>
                <c:pt idx="12">
                  <c:v>2006Q3</c:v>
                </c:pt>
                <c:pt idx="13">
                  <c:v>2006Q4</c:v>
                </c:pt>
                <c:pt idx="14">
                  <c:v>2007Q1</c:v>
                </c:pt>
                <c:pt idx="15">
                  <c:v>2007Q2</c:v>
                </c:pt>
                <c:pt idx="16">
                  <c:v>2007Q3</c:v>
                </c:pt>
                <c:pt idx="17">
                  <c:v>2007Q4</c:v>
                </c:pt>
                <c:pt idx="18">
                  <c:v>2008Q1</c:v>
                </c:pt>
                <c:pt idx="19">
                  <c:v>2008Q2</c:v>
                </c:pt>
                <c:pt idx="20">
                  <c:v>2008Q3</c:v>
                </c:pt>
                <c:pt idx="21">
                  <c:v>2008Q4</c:v>
                </c:pt>
                <c:pt idx="22">
                  <c:v>2009Q1</c:v>
                </c:pt>
                <c:pt idx="23">
                  <c:v>2009Q2</c:v>
                </c:pt>
                <c:pt idx="24">
                  <c:v>2009Q3</c:v>
                </c:pt>
                <c:pt idx="25">
                  <c:v>2009Q4</c:v>
                </c:pt>
                <c:pt idx="26">
                  <c:v>2010Q1</c:v>
                </c:pt>
                <c:pt idx="27">
                  <c:v>2010Q2</c:v>
                </c:pt>
                <c:pt idx="28">
                  <c:v>2010Q3</c:v>
                </c:pt>
                <c:pt idx="29">
                  <c:v>2010Q4</c:v>
                </c:pt>
                <c:pt idx="30">
                  <c:v>2011Q1</c:v>
                </c:pt>
                <c:pt idx="31">
                  <c:v>2011Q2</c:v>
                </c:pt>
                <c:pt idx="32">
                  <c:v>2011Q3</c:v>
                </c:pt>
                <c:pt idx="33">
                  <c:v>2011Q4</c:v>
                </c:pt>
                <c:pt idx="34">
                  <c:v>2012Q1</c:v>
                </c:pt>
                <c:pt idx="35">
                  <c:v>2012Q2</c:v>
                </c:pt>
                <c:pt idx="36">
                  <c:v>2012Q3</c:v>
                </c:pt>
                <c:pt idx="37">
                  <c:v>2012Q4</c:v>
                </c:pt>
                <c:pt idx="38">
                  <c:v>2013Q1</c:v>
                </c:pt>
                <c:pt idx="39">
                  <c:v>2013Q2</c:v>
                </c:pt>
                <c:pt idx="40">
                  <c:v>2013Q3</c:v>
                </c:pt>
                <c:pt idx="41">
                  <c:v>2013Q4</c:v>
                </c:pt>
                <c:pt idx="42">
                  <c:v>2014Q1</c:v>
                </c:pt>
                <c:pt idx="43">
                  <c:v>2014Q2</c:v>
                </c:pt>
              </c:strCache>
            </c:strRef>
          </c:cat>
          <c:val>
            <c:numRef>
              <c:f>Sheet7!$C$4:$C$47</c:f>
              <c:numCache>
                <c:formatCode>General</c:formatCode>
                <c:ptCount val="44"/>
                <c:pt idx="40">
                  <c:v>11054</c:v>
                </c:pt>
                <c:pt idx="41">
                  <c:v>11684</c:v>
                </c:pt>
                <c:pt idx="42">
                  <c:v>11214</c:v>
                </c:pt>
                <c:pt idx="43">
                  <c:v>12232</c:v>
                </c:pt>
              </c:numCache>
            </c:numRef>
          </c:val>
          <c:smooth val="0"/>
        </c:ser>
        <c:ser>
          <c:idx val="2"/>
          <c:order val="2"/>
          <c:tx>
            <c:strRef>
              <c:f>Sheet7!$D$3</c:f>
              <c:strCache>
                <c:ptCount val="1"/>
                <c:pt idx="0">
                  <c:v>Hepatitis B (estimate)</c:v>
                </c:pt>
              </c:strCache>
            </c:strRef>
          </c:tx>
          <c:cat>
            <c:strRef>
              <c:f>Sheet7!$A$4:$A$47</c:f>
              <c:strCache>
                <c:ptCount val="44"/>
                <c:pt idx="0">
                  <c:v>2003Q3</c:v>
                </c:pt>
                <c:pt idx="1">
                  <c:v>2003Q4</c:v>
                </c:pt>
                <c:pt idx="2">
                  <c:v>2004Q1</c:v>
                </c:pt>
                <c:pt idx="3">
                  <c:v>2004Q2</c:v>
                </c:pt>
                <c:pt idx="4">
                  <c:v>2004Q3</c:v>
                </c:pt>
                <c:pt idx="5">
                  <c:v>2004Q4</c:v>
                </c:pt>
                <c:pt idx="6">
                  <c:v>2005Q1</c:v>
                </c:pt>
                <c:pt idx="7">
                  <c:v>2005Q2</c:v>
                </c:pt>
                <c:pt idx="8">
                  <c:v>2005Q3</c:v>
                </c:pt>
                <c:pt idx="9">
                  <c:v>2005Q4</c:v>
                </c:pt>
                <c:pt idx="10">
                  <c:v>2006Q1</c:v>
                </c:pt>
                <c:pt idx="11">
                  <c:v>2006Q2</c:v>
                </c:pt>
                <c:pt idx="12">
                  <c:v>2006Q3</c:v>
                </c:pt>
                <c:pt idx="13">
                  <c:v>2006Q4</c:v>
                </c:pt>
                <c:pt idx="14">
                  <c:v>2007Q1</c:v>
                </c:pt>
                <c:pt idx="15">
                  <c:v>2007Q2</c:v>
                </c:pt>
                <c:pt idx="16">
                  <c:v>2007Q3</c:v>
                </c:pt>
                <c:pt idx="17">
                  <c:v>2007Q4</c:v>
                </c:pt>
                <c:pt idx="18">
                  <c:v>2008Q1</c:v>
                </c:pt>
                <c:pt idx="19">
                  <c:v>2008Q2</c:v>
                </c:pt>
                <c:pt idx="20">
                  <c:v>2008Q3</c:v>
                </c:pt>
                <c:pt idx="21">
                  <c:v>2008Q4</c:v>
                </c:pt>
                <c:pt idx="22">
                  <c:v>2009Q1</c:v>
                </c:pt>
                <c:pt idx="23">
                  <c:v>2009Q2</c:v>
                </c:pt>
                <c:pt idx="24">
                  <c:v>2009Q3</c:v>
                </c:pt>
                <c:pt idx="25">
                  <c:v>2009Q4</c:v>
                </c:pt>
                <c:pt idx="26">
                  <c:v>2010Q1</c:v>
                </c:pt>
                <c:pt idx="27">
                  <c:v>2010Q2</c:v>
                </c:pt>
                <c:pt idx="28">
                  <c:v>2010Q3</c:v>
                </c:pt>
                <c:pt idx="29">
                  <c:v>2010Q4</c:v>
                </c:pt>
                <c:pt idx="30">
                  <c:v>2011Q1</c:v>
                </c:pt>
                <c:pt idx="31">
                  <c:v>2011Q2</c:v>
                </c:pt>
                <c:pt idx="32">
                  <c:v>2011Q3</c:v>
                </c:pt>
                <c:pt idx="33">
                  <c:v>2011Q4</c:v>
                </c:pt>
                <c:pt idx="34">
                  <c:v>2012Q1</c:v>
                </c:pt>
                <c:pt idx="35">
                  <c:v>2012Q2</c:v>
                </c:pt>
                <c:pt idx="36">
                  <c:v>2012Q3</c:v>
                </c:pt>
                <c:pt idx="37">
                  <c:v>2012Q4</c:v>
                </c:pt>
                <c:pt idx="38">
                  <c:v>2013Q1</c:v>
                </c:pt>
                <c:pt idx="39">
                  <c:v>2013Q2</c:v>
                </c:pt>
                <c:pt idx="40">
                  <c:v>2013Q3</c:v>
                </c:pt>
                <c:pt idx="41">
                  <c:v>2013Q4</c:v>
                </c:pt>
                <c:pt idx="42">
                  <c:v>2014Q1</c:v>
                </c:pt>
                <c:pt idx="43">
                  <c:v>2014Q2</c:v>
                </c:pt>
              </c:strCache>
            </c:strRef>
          </c:cat>
          <c:val>
            <c:numRef>
              <c:f>Sheet7!$D$4:$D$47</c:f>
              <c:numCache>
                <c:formatCode>General</c:formatCode>
                <c:ptCount val="44"/>
                <c:pt idx="26">
                  <c:v>566.49001975842566</c:v>
                </c:pt>
                <c:pt idx="27">
                  <c:v>1590.0165964577873</c:v>
                </c:pt>
                <c:pt idx="28">
                  <c:v>3053.0506699282932</c:v>
                </c:pt>
                <c:pt idx="29">
                  <c:v>3851.2018126809508</c:v>
                </c:pt>
                <c:pt idx="30">
                  <c:v>3875.8454055565453</c:v>
                </c:pt>
                <c:pt idx="31">
                  <c:v>4571.2446158299626</c:v>
                </c:pt>
                <c:pt idx="32">
                  <c:v>5752.8235522785817</c:v>
                </c:pt>
                <c:pt idx="33">
                  <c:v>6672.1761828649705</c:v>
                </c:pt>
                <c:pt idx="34">
                  <c:v>7362.6587252283662</c:v>
                </c:pt>
                <c:pt idx="35">
                  <c:v>7803.2226990401305</c:v>
                </c:pt>
                <c:pt idx="36">
                  <c:v>8785.2668624764392</c:v>
                </c:pt>
                <c:pt idx="37">
                  <c:v>9502.1845286561784</c:v>
                </c:pt>
                <c:pt idx="38">
                  <c:v>9046.7420107392172</c:v>
                </c:pt>
                <c:pt idx="39">
                  <c:v>9934.1322829668734</c:v>
                </c:pt>
              </c:numCache>
            </c:numRef>
          </c:val>
          <c:smooth val="0"/>
        </c:ser>
        <c:ser>
          <c:idx val="3"/>
          <c:order val="3"/>
          <c:tx>
            <c:strRef>
              <c:f>Sheet7!$E$3</c:f>
              <c:strCache>
                <c:ptCount val="1"/>
                <c:pt idx="0">
                  <c:v>HIV</c:v>
                </c:pt>
              </c:strCache>
            </c:strRef>
          </c:tx>
          <c:cat>
            <c:strRef>
              <c:f>Sheet7!$A$4:$A$47</c:f>
              <c:strCache>
                <c:ptCount val="44"/>
                <c:pt idx="0">
                  <c:v>2003Q3</c:v>
                </c:pt>
                <c:pt idx="1">
                  <c:v>2003Q4</c:v>
                </c:pt>
                <c:pt idx="2">
                  <c:v>2004Q1</c:v>
                </c:pt>
                <c:pt idx="3">
                  <c:v>2004Q2</c:v>
                </c:pt>
                <c:pt idx="4">
                  <c:v>2004Q3</c:v>
                </c:pt>
                <c:pt idx="5">
                  <c:v>2004Q4</c:v>
                </c:pt>
                <c:pt idx="6">
                  <c:v>2005Q1</c:v>
                </c:pt>
                <c:pt idx="7">
                  <c:v>2005Q2</c:v>
                </c:pt>
                <c:pt idx="8">
                  <c:v>2005Q3</c:v>
                </c:pt>
                <c:pt idx="9">
                  <c:v>2005Q4</c:v>
                </c:pt>
                <c:pt idx="10">
                  <c:v>2006Q1</c:v>
                </c:pt>
                <c:pt idx="11">
                  <c:v>2006Q2</c:v>
                </c:pt>
                <c:pt idx="12">
                  <c:v>2006Q3</c:v>
                </c:pt>
                <c:pt idx="13">
                  <c:v>2006Q4</c:v>
                </c:pt>
                <c:pt idx="14">
                  <c:v>2007Q1</c:v>
                </c:pt>
                <c:pt idx="15">
                  <c:v>2007Q2</c:v>
                </c:pt>
                <c:pt idx="16">
                  <c:v>2007Q3</c:v>
                </c:pt>
                <c:pt idx="17">
                  <c:v>2007Q4</c:v>
                </c:pt>
                <c:pt idx="18">
                  <c:v>2008Q1</c:v>
                </c:pt>
                <c:pt idx="19">
                  <c:v>2008Q2</c:v>
                </c:pt>
                <c:pt idx="20">
                  <c:v>2008Q3</c:v>
                </c:pt>
                <c:pt idx="21">
                  <c:v>2008Q4</c:v>
                </c:pt>
                <c:pt idx="22">
                  <c:v>2009Q1</c:v>
                </c:pt>
                <c:pt idx="23">
                  <c:v>2009Q2</c:v>
                </c:pt>
                <c:pt idx="24">
                  <c:v>2009Q3</c:v>
                </c:pt>
                <c:pt idx="25">
                  <c:v>2009Q4</c:v>
                </c:pt>
                <c:pt idx="26">
                  <c:v>2010Q1</c:v>
                </c:pt>
                <c:pt idx="27">
                  <c:v>2010Q2</c:v>
                </c:pt>
                <c:pt idx="28">
                  <c:v>2010Q3</c:v>
                </c:pt>
                <c:pt idx="29">
                  <c:v>2010Q4</c:v>
                </c:pt>
                <c:pt idx="30">
                  <c:v>2011Q1</c:v>
                </c:pt>
                <c:pt idx="31">
                  <c:v>2011Q2</c:v>
                </c:pt>
                <c:pt idx="32">
                  <c:v>2011Q3</c:v>
                </c:pt>
                <c:pt idx="33">
                  <c:v>2011Q4</c:v>
                </c:pt>
                <c:pt idx="34">
                  <c:v>2012Q1</c:v>
                </c:pt>
                <c:pt idx="35">
                  <c:v>2012Q2</c:v>
                </c:pt>
                <c:pt idx="36">
                  <c:v>2012Q3</c:v>
                </c:pt>
                <c:pt idx="37">
                  <c:v>2012Q4</c:v>
                </c:pt>
                <c:pt idx="38">
                  <c:v>2013Q1</c:v>
                </c:pt>
                <c:pt idx="39">
                  <c:v>2013Q2</c:v>
                </c:pt>
                <c:pt idx="40">
                  <c:v>2013Q3</c:v>
                </c:pt>
                <c:pt idx="41">
                  <c:v>2013Q4</c:v>
                </c:pt>
                <c:pt idx="42">
                  <c:v>2014Q1</c:v>
                </c:pt>
                <c:pt idx="43">
                  <c:v>2014Q2</c:v>
                </c:pt>
              </c:strCache>
            </c:strRef>
          </c:cat>
          <c:val>
            <c:numRef>
              <c:f>Sheet7!$E$4:$E$47</c:f>
              <c:numCache>
                <c:formatCode>General</c:formatCode>
                <c:ptCount val="44"/>
                <c:pt idx="0">
                  <c:v>4908.4893000000002</c:v>
                </c:pt>
                <c:pt idx="1">
                  <c:v>5557.0634</c:v>
                </c:pt>
                <c:pt idx="2">
                  <c:v>5498.6870000000008</c:v>
                </c:pt>
                <c:pt idx="3">
                  <c:v>6079.3303000000005</c:v>
                </c:pt>
                <c:pt idx="4">
                  <c:v>6452.3230000000003</c:v>
                </c:pt>
                <c:pt idx="5">
                  <c:v>6960.0634</c:v>
                </c:pt>
                <c:pt idx="6">
                  <c:v>6889.84</c:v>
                </c:pt>
                <c:pt idx="7">
                  <c:v>8418.1699999999983</c:v>
                </c:pt>
                <c:pt idx="8">
                  <c:v>9020.098</c:v>
                </c:pt>
                <c:pt idx="9">
                  <c:v>9835.380000000001</c:v>
                </c:pt>
                <c:pt idx="10">
                  <c:v>8348.6839999999993</c:v>
                </c:pt>
                <c:pt idx="11">
                  <c:v>8679.0330000000013</c:v>
                </c:pt>
                <c:pt idx="12">
                  <c:v>5946.6967000000004</c:v>
                </c:pt>
                <c:pt idx="13">
                  <c:v>5525.16</c:v>
                </c:pt>
                <c:pt idx="14">
                  <c:v>4683.88</c:v>
                </c:pt>
                <c:pt idx="15">
                  <c:v>4670.33</c:v>
                </c:pt>
                <c:pt idx="16">
                  <c:v>4304.1342999999997</c:v>
                </c:pt>
                <c:pt idx="17">
                  <c:v>4349.2033000000001</c:v>
                </c:pt>
                <c:pt idx="18">
                  <c:v>3895.6763000000005</c:v>
                </c:pt>
                <c:pt idx="19">
                  <c:v>3961.8967000000002</c:v>
                </c:pt>
                <c:pt idx="20">
                  <c:v>3635.3630000000003</c:v>
                </c:pt>
                <c:pt idx="21">
                  <c:v>3824.8970000000004</c:v>
                </c:pt>
                <c:pt idx="22">
                  <c:v>3359.1233000000002</c:v>
                </c:pt>
                <c:pt idx="23">
                  <c:v>3443.7569999999996</c:v>
                </c:pt>
                <c:pt idx="24">
                  <c:v>3328.3060000003002</c:v>
                </c:pt>
                <c:pt idx="25">
                  <c:v>3671.1866633332997</c:v>
                </c:pt>
                <c:pt idx="26">
                  <c:v>3922.7466169082736</c:v>
                </c:pt>
                <c:pt idx="27">
                  <c:v>3748.5734035422129</c:v>
                </c:pt>
                <c:pt idx="28">
                  <c:v>3499.6093300717066</c:v>
                </c:pt>
                <c:pt idx="29">
                  <c:v>3363.788187319049</c:v>
                </c:pt>
                <c:pt idx="30">
                  <c:v>3359.5945944434543</c:v>
                </c:pt>
                <c:pt idx="31">
                  <c:v>3241.2587175030385</c:v>
                </c:pt>
                <c:pt idx="32">
                  <c:v>3040.1897810514183</c:v>
                </c:pt>
                <c:pt idx="33">
                  <c:v>2883.7438171350295</c:v>
                </c:pt>
                <c:pt idx="34">
                  <c:v>2766.2446081116341</c:v>
                </c:pt>
                <c:pt idx="35">
                  <c:v>2691.2739676231704</c:v>
                </c:pt>
                <c:pt idx="36">
                  <c:v>2524.1598041935595</c:v>
                </c:pt>
                <c:pt idx="37">
                  <c:v>2402.1621380068227</c:v>
                </c:pt>
                <c:pt idx="38">
                  <c:v>2479.6646559237834</c:v>
                </c:pt>
                <c:pt idx="39">
                  <c:v>2328.6577170301262</c:v>
                </c:pt>
                <c:pt idx="40">
                  <c:v>2127.1000000040003</c:v>
                </c:pt>
                <c:pt idx="41">
                  <c:v>2190.4333333369996</c:v>
                </c:pt>
                <c:pt idx="42">
                  <c:v>2087.0666666699999</c:v>
                </c:pt>
                <c:pt idx="43">
                  <c:v>1812.8666666600002</c:v>
                </c:pt>
              </c:numCache>
            </c:numRef>
          </c:val>
          <c:smooth val="0"/>
        </c:ser>
        <c:dLbls>
          <c:showLegendKey val="0"/>
          <c:showVal val="0"/>
          <c:showCatName val="0"/>
          <c:showSerName val="0"/>
          <c:showPercent val="0"/>
          <c:showBubbleSize val="0"/>
        </c:dLbls>
        <c:marker val="1"/>
        <c:smooth val="0"/>
        <c:axId val="36923648"/>
        <c:axId val="36929536"/>
      </c:lineChart>
      <c:catAx>
        <c:axId val="36923648"/>
        <c:scaling>
          <c:orientation val="minMax"/>
        </c:scaling>
        <c:delete val="0"/>
        <c:axPos val="b"/>
        <c:majorTickMark val="out"/>
        <c:minorTickMark val="none"/>
        <c:tickLblPos val="nextTo"/>
        <c:crossAx val="36929536"/>
        <c:crosses val="autoZero"/>
        <c:auto val="1"/>
        <c:lblAlgn val="ctr"/>
        <c:lblOffset val="100"/>
        <c:noMultiLvlLbl val="0"/>
      </c:catAx>
      <c:valAx>
        <c:axId val="36929536"/>
        <c:scaling>
          <c:orientation val="minMax"/>
        </c:scaling>
        <c:delete val="0"/>
        <c:axPos val="l"/>
        <c:majorGridlines/>
        <c:title>
          <c:tx>
            <c:rich>
              <a:bodyPr rot="-5400000" vert="horz"/>
              <a:lstStyle/>
              <a:p>
                <a:pPr>
                  <a:defRPr/>
                </a:pPr>
                <a:r>
                  <a:rPr lang="en-AU"/>
                  <a:t>Packs</a:t>
                </a:r>
              </a:p>
            </c:rich>
          </c:tx>
          <c:layout/>
          <c:overlay val="0"/>
        </c:title>
        <c:numFmt formatCode="#,##0" sourceLinked="0"/>
        <c:majorTickMark val="out"/>
        <c:minorTickMark val="none"/>
        <c:tickLblPos val="nextTo"/>
        <c:crossAx val="3692364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'all drugs packs adj tenofovir'!$B$4</c:f>
              <c:strCache>
                <c:ptCount val="1"/>
                <c:pt idx="0">
                  <c:v>ENTECAVIR</c:v>
                </c:pt>
              </c:strCache>
            </c:strRef>
          </c:tx>
          <c:cat>
            <c:strRef>
              <c:f>'all drugs packs adj tenofovir'!$A$5:$A$50</c:f>
              <c:strCache>
                <c:ptCount val="46"/>
                <c:pt idx="0">
                  <c:v>2003Q1</c:v>
                </c:pt>
                <c:pt idx="1">
                  <c:v>2003Q2</c:v>
                </c:pt>
                <c:pt idx="2">
                  <c:v>2003Q3</c:v>
                </c:pt>
                <c:pt idx="3">
                  <c:v>2003Q4</c:v>
                </c:pt>
                <c:pt idx="4">
                  <c:v>2004Q1</c:v>
                </c:pt>
                <c:pt idx="5">
                  <c:v>2004Q2</c:v>
                </c:pt>
                <c:pt idx="6">
                  <c:v>2004Q3</c:v>
                </c:pt>
                <c:pt idx="7">
                  <c:v>2004Q4</c:v>
                </c:pt>
                <c:pt idx="8">
                  <c:v>2005Q1</c:v>
                </c:pt>
                <c:pt idx="9">
                  <c:v>2005Q2</c:v>
                </c:pt>
                <c:pt idx="10">
                  <c:v>2005Q3</c:v>
                </c:pt>
                <c:pt idx="11">
                  <c:v>2005Q4</c:v>
                </c:pt>
                <c:pt idx="12">
                  <c:v>2006Q1</c:v>
                </c:pt>
                <c:pt idx="13">
                  <c:v>2006Q2</c:v>
                </c:pt>
                <c:pt idx="14">
                  <c:v>2006Q3</c:v>
                </c:pt>
                <c:pt idx="15">
                  <c:v>2006Q4</c:v>
                </c:pt>
                <c:pt idx="16">
                  <c:v>2007Q1</c:v>
                </c:pt>
                <c:pt idx="17">
                  <c:v>2007Q2</c:v>
                </c:pt>
                <c:pt idx="18">
                  <c:v>2007Q3</c:v>
                </c:pt>
                <c:pt idx="19">
                  <c:v>2007Q4</c:v>
                </c:pt>
                <c:pt idx="20">
                  <c:v>2008Q1</c:v>
                </c:pt>
                <c:pt idx="21">
                  <c:v>2008Q2</c:v>
                </c:pt>
                <c:pt idx="22">
                  <c:v>2008Q3</c:v>
                </c:pt>
                <c:pt idx="23">
                  <c:v>2008Q4</c:v>
                </c:pt>
                <c:pt idx="24">
                  <c:v>2009Q1</c:v>
                </c:pt>
                <c:pt idx="25">
                  <c:v>2009Q2</c:v>
                </c:pt>
                <c:pt idx="26">
                  <c:v>2009Q3</c:v>
                </c:pt>
                <c:pt idx="27">
                  <c:v>2009Q4</c:v>
                </c:pt>
                <c:pt idx="28">
                  <c:v>2010Q1</c:v>
                </c:pt>
                <c:pt idx="29">
                  <c:v>2010Q2</c:v>
                </c:pt>
                <c:pt idx="30">
                  <c:v>2010Q3</c:v>
                </c:pt>
                <c:pt idx="31">
                  <c:v>2010Q4</c:v>
                </c:pt>
                <c:pt idx="32">
                  <c:v>2011Q1</c:v>
                </c:pt>
                <c:pt idx="33">
                  <c:v>2011Q2</c:v>
                </c:pt>
                <c:pt idx="34">
                  <c:v>2011Q3</c:v>
                </c:pt>
                <c:pt idx="35">
                  <c:v>2011Q4</c:v>
                </c:pt>
                <c:pt idx="36">
                  <c:v>2012Q1</c:v>
                </c:pt>
                <c:pt idx="37">
                  <c:v>2012Q2</c:v>
                </c:pt>
                <c:pt idx="38">
                  <c:v>2012Q3</c:v>
                </c:pt>
                <c:pt idx="39">
                  <c:v>2012Q4</c:v>
                </c:pt>
                <c:pt idx="40">
                  <c:v>2013Q1</c:v>
                </c:pt>
                <c:pt idx="41">
                  <c:v>2013Q2</c:v>
                </c:pt>
                <c:pt idx="42">
                  <c:v>2013Q3</c:v>
                </c:pt>
                <c:pt idx="43">
                  <c:v>2013Q4</c:v>
                </c:pt>
                <c:pt idx="44">
                  <c:v>2014Q1</c:v>
                </c:pt>
                <c:pt idx="45">
                  <c:v>2014Q2</c:v>
                </c:pt>
              </c:strCache>
            </c:strRef>
          </c:cat>
          <c:val>
            <c:numRef>
              <c:f>'all drugs packs adj tenofovir'!$B$5:$B$50</c:f>
              <c:numCache>
                <c:formatCode>General</c:formatCode>
                <c:ptCount val="46"/>
                <c:pt idx="15" formatCode="_-* #,##0_-;\-* #,##0_-;_-* &quot;-&quot;??_-;_-@_-">
                  <c:v>602.29999999999995</c:v>
                </c:pt>
                <c:pt idx="16" formatCode="_-* #,##0_-;\-* #,##0_-;_-* &quot;-&quot;??_-;_-@_-">
                  <c:v>2423.3667</c:v>
                </c:pt>
                <c:pt idx="17" formatCode="_-* #,##0_-;\-* #,##0_-;_-* &quot;-&quot;??_-;_-@_-">
                  <c:v>3235.2166333327</c:v>
                </c:pt>
                <c:pt idx="18" formatCode="_-* #,##0_-;\-* #,##0_-;_-* &quot;-&quot;??_-;_-@_-">
                  <c:v>3794.5533299999997</c:v>
                </c:pt>
                <c:pt idx="19" formatCode="_-* #,##0_-;\-* #,##0_-;_-* &quot;-&quot;??_-;_-@_-">
                  <c:v>4548.7898999999998</c:v>
                </c:pt>
                <c:pt idx="20" formatCode="_-* #,##0_-;\-* #,##0_-;_-* &quot;-&quot;??_-;_-@_-">
                  <c:v>4463.8366700000006</c:v>
                </c:pt>
                <c:pt idx="21" formatCode="_-* #,##0_-;\-* #,##0_-;_-* &quot;-&quot;??_-;_-@_-">
                  <c:v>5830.1166999999996</c:v>
                </c:pt>
                <c:pt idx="22" formatCode="_-* #,##0_-;\-* #,##0_-;_-* &quot;-&quot;??_-;_-@_-">
                  <c:v>6689.8069999999998</c:v>
                </c:pt>
                <c:pt idx="23" formatCode="_-* #,##0_-;\-* #,##0_-;_-* &quot;-&quot;??_-;_-@_-">
                  <c:v>7933.7330000000002</c:v>
                </c:pt>
                <c:pt idx="24" formatCode="_-* #,##0_-;\-* #,##0_-;_-* &quot;-&quot;??_-;_-@_-">
                  <c:v>7880.2169999999996</c:v>
                </c:pt>
                <c:pt idx="25" formatCode="_-* #,##0_-;\-* #,##0_-;_-* &quot;-&quot;??_-;_-@_-">
                  <c:v>8954.03299333</c:v>
                </c:pt>
                <c:pt idx="26" formatCode="_-* #,##0_-;\-* #,##0_-;_-* &quot;-&quot;??_-;_-@_-">
                  <c:v>10074.27976334</c:v>
                </c:pt>
                <c:pt idx="27" formatCode="_-* #,##0_-;\-* #,##0_-;_-* &quot;-&quot;??_-;_-@_-">
                  <c:v>10922.860030006997</c:v>
                </c:pt>
                <c:pt idx="28" formatCode="_-* #,##0_-;\-* #,##0_-;_-* &quot;-&quot;??_-;_-@_-">
                  <c:v>10601.593296674</c:v>
                </c:pt>
                <c:pt idx="29" formatCode="_-* #,##0_-;\-* #,##0_-;_-* &quot;-&quot;??_-;_-@_-">
                  <c:v>11159.083333299999</c:v>
                </c:pt>
                <c:pt idx="30" formatCode="_-* #,##0_-;\-* #,##0_-;_-* &quot;-&quot;??_-;_-@_-">
                  <c:v>12241.88</c:v>
                </c:pt>
                <c:pt idx="31" formatCode="_-* #,##0_-;\-* #,##0_-;_-* &quot;-&quot;??_-;_-@_-">
                  <c:v>12936.41</c:v>
                </c:pt>
                <c:pt idx="32" formatCode="_-* #,##0_-;\-* #,##0_-;_-* &quot;-&quot;??_-;_-@_-">
                  <c:v>12123.423333300001</c:v>
                </c:pt>
                <c:pt idx="33" formatCode="_-* #,##0_-;\-* #,##0_-;_-* &quot;-&quot;??_-;_-@_-">
                  <c:v>12890.693333333002</c:v>
                </c:pt>
                <c:pt idx="34" formatCode="_-* #,##0_-;\-* #,##0_-;_-* &quot;-&quot;??_-;_-@_-">
                  <c:v>13596.31</c:v>
                </c:pt>
                <c:pt idx="35" formatCode="_-* #,##0_-;\-* #,##0_-;_-* &quot;-&quot;??_-;_-@_-">
                  <c:v>14278.1833333</c:v>
                </c:pt>
                <c:pt idx="36" formatCode="_-* #,##0_-;\-* #,##0_-;_-* &quot;-&quot;??_-;_-@_-">
                  <c:v>14399.539999999999</c:v>
                </c:pt>
                <c:pt idx="37" formatCode="_-* #,##0_-;\-* #,##0_-;_-* &quot;-&quot;??_-;_-@_-">
                  <c:v>14815.71666667</c:v>
                </c:pt>
                <c:pt idx="38" formatCode="_-* #,##0_-;\-* #,##0_-;_-* &quot;-&quot;??_-;_-@_-">
                  <c:v>15991.7</c:v>
                </c:pt>
                <c:pt idx="39" formatCode="_-* #,##0_-;\-* #,##0_-;_-* &quot;-&quot;??_-;_-@_-">
                  <c:v>17415.016666670002</c:v>
                </c:pt>
                <c:pt idx="40" formatCode="_-* #,##0_-;\-* #,##0_-;_-* &quot;-&quot;??_-;_-@_-">
                  <c:v>16030.643333346999</c:v>
                </c:pt>
                <c:pt idx="41" formatCode="_-* #,##0_-;\-* #,##0_-;_-* &quot;-&quot;??_-;_-@_-">
                  <c:v>17367.416666712998</c:v>
                </c:pt>
                <c:pt idx="42" formatCode="_-* #,##0_-;\-* #,##0_-;_-* &quot;-&quot;??_-;_-@_-">
                  <c:v>18520.399999993399</c:v>
                </c:pt>
                <c:pt idx="43" formatCode="_-* #,##0_-;\-* #,##0_-;_-* &quot;-&quot;??_-;_-@_-">
                  <c:v>19206.066666689698</c:v>
                </c:pt>
                <c:pt idx="44" formatCode="_-* #,##0_-;\-* #,##0_-;_-* &quot;-&quot;??_-;_-@_-">
                  <c:v>18077.899999953403</c:v>
                </c:pt>
                <c:pt idx="45" formatCode="_-* #,##0_-;\-* #,##0_-;_-* &quot;-&quot;??_-;_-@_-">
                  <c:v>18836.033333375701</c:v>
                </c:pt>
              </c:numCache>
            </c:numRef>
          </c:val>
          <c:smooth val="0"/>
        </c:ser>
        <c:ser>
          <c:idx val="1"/>
          <c:order val="1"/>
          <c:tx>
            <c:strRef>
              <c:f>'all drugs packs adj tenofovir'!$C$4</c:f>
              <c:strCache>
                <c:ptCount val="1"/>
                <c:pt idx="0">
                  <c:v>TENOFOVIR</c:v>
                </c:pt>
              </c:strCache>
            </c:strRef>
          </c:tx>
          <c:cat>
            <c:strRef>
              <c:f>'all drugs packs adj tenofovir'!$A$5:$A$50</c:f>
              <c:strCache>
                <c:ptCount val="46"/>
                <c:pt idx="0">
                  <c:v>2003Q1</c:v>
                </c:pt>
                <c:pt idx="1">
                  <c:v>2003Q2</c:v>
                </c:pt>
                <c:pt idx="2">
                  <c:v>2003Q3</c:v>
                </c:pt>
                <c:pt idx="3">
                  <c:v>2003Q4</c:v>
                </c:pt>
                <c:pt idx="4">
                  <c:v>2004Q1</c:v>
                </c:pt>
                <c:pt idx="5">
                  <c:v>2004Q2</c:v>
                </c:pt>
                <c:pt idx="6">
                  <c:v>2004Q3</c:v>
                </c:pt>
                <c:pt idx="7">
                  <c:v>2004Q4</c:v>
                </c:pt>
                <c:pt idx="8">
                  <c:v>2005Q1</c:v>
                </c:pt>
                <c:pt idx="9">
                  <c:v>2005Q2</c:v>
                </c:pt>
                <c:pt idx="10">
                  <c:v>2005Q3</c:v>
                </c:pt>
                <c:pt idx="11">
                  <c:v>2005Q4</c:v>
                </c:pt>
                <c:pt idx="12">
                  <c:v>2006Q1</c:v>
                </c:pt>
                <c:pt idx="13">
                  <c:v>2006Q2</c:v>
                </c:pt>
                <c:pt idx="14">
                  <c:v>2006Q3</c:v>
                </c:pt>
                <c:pt idx="15">
                  <c:v>2006Q4</c:v>
                </c:pt>
                <c:pt idx="16">
                  <c:v>2007Q1</c:v>
                </c:pt>
                <c:pt idx="17">
                  <c:v>2007Q2</c:v>
                </c:pt>
                <c:pt idx="18">
                  <c:v>2007Q3</c:v>
                </c:pt>
                <c:pt idx="19">
                  <c:v>2007Q4</c:v>
                </c:pt>
                <c:pt idx="20">
                  <c:v>2008Q1</c:v>
                </c:pt>
                <c:pt idx="21">
                  <c:v>2008Q2</c:v>
                </c:pt>
                <c:pt idx="22">
                  <c:v>2008Q3</c:v>
                </c:pt>
                <c:pt idx="23">
                  <c:v>2008Q4</c:v>
                </c:pt>
                <c:pt idx="24">
                  <c:v>2009Q1</c:v>
                </c:pt>
                <c:pt idx="25">
                  <c:v>2009Q2</c:v>
                </c:pt>
                <c:pt idx="26">
                  <c:v>2009Q3</c:v>
                </c:pt>
                <c:pt idx="27">
                  <c:v>2009Q4</c:v>
                </c:pt>
                <c:pt idx="28">
                  <c:v>2010Q1</c:v>
                </c:pt>
                <c:pt idx="29">
                  <c:v>2010Q2</c:v>
                </c:pt>
                <c:pt idx="30">
                  <c:v>2010Q3</c:v>
                </c:pt>
                <c:pt idx="31">
                  <c:v>2010Q4</c:v>
                </c:pt>
                <c:pt idx="32">
                  <c:v>2011Q1</c:v>
                </c:pt>
                <c:pt idx="33">
                  <c:v>2011Q2</c:v>
                </c:pt>
                <c:pt idx="34">
                  <c:v>2011Q3</c:v>
                </c:pt>
                <c:pt idx="35">
                  <c:v>2011Q4</c:v>
                </c:pt>
                <c:pt idx="36">
                  <c:v>2012Q1</c:v>
                </c:pt>
                <c:pt idx="37">
                  <c:v>2012Q2</c:v>
                </c:pt>
                <c:pt idx="38">
                  <c:v>2012Q3</c:v>
                </c:pt>
                <c:pt idx="39">
                  <c:v>2012Q4</c:v>
                </c:pt>
                <c:pt idx="40">
                  <c:v>2013Q1</c:v>
                </c:pt>
                <c:pt idx="41">
                  <c:v>2013Q2</c:v>
                </c:pt>
                <c:pt idx="42">
                  <c:v>2013Q3</c:v>
                </c:pt>
                <c:pt idx="43">
                  <c:v>2013Q4</c:v>
                </c:pt>
                <c:pt idx="44">
                  <c:v>2014Q1</c:v>
                </c:pt>
                <c:pt idx="45">
                  <c:v>2014Q2</c:v>
                </c:pt>
              </c:strCache>
            </c:strRef>
          </c:cat>
          <c:val>
            <c:numRef>
              <c:f>'all drugs packs adj tenofovir'!$C$5:$C$50</c:f>
              <c:numCache>
                <c:formatCode>General</c:formatCode>
                <c:ptCount val="46"/>
                <c:pt idx="28" formatCode="_-* #,##0_-;\-* #,##0_-;_-* &quot;-&quot;??_-;_-@_-">
                  <c:v>566.49001975842566</c:v>
                </c:pt>
                <c:pt idx="29" formatCode="_-* #,##0_-;\-* #,##0_-;_-* &quot;-&quot;??_-;_-@_-">
                  <c:v>1590.0165964577873</c:v>
                </c:pt>
                <c:pt idx="30" formatCode="_-* #,##0_-;\-* #,##0_-;_-* &quot;-&quot;??_-;_-@_-">
                  <c:v>3053.0506699282932</c:v>
                </c:pt>
                <c:pt idx="31" formatCode="_-* #,##0_-;\-* #,##0_-;_-* &quot;-&quot;??_-;_-@_-">
                  <c:v>3851.2018126809508</c:v>
                </c:pt>
                <c:pt idx="32" formatCode="_-* #,##0_-;\-* #,##0_-;_-* &quot;-&quot;??_-;_-@_-">
                  <c:v>3875.8454055565453</c:v>
                </c:pt>
                <c:pt idx="33" formatCode="_-* #,##0_-;\-* #,##0_-;_-* &quot;-&quot;??_-;_-@_-">
                  <c:v>4571.2446158299626</c:v>
                </c:pt>
                <c:pt idx="34" formatCode="_-* #,##0_-;\-* #,##0_-;_-* &quot;-&quot;??_-;_-@_-">
                  <c:v>5752.8235522785817</c:v>
                </c:pt>
                <c:pt idx="35" formatCode="_-* #,##0_-;\-* #,##0_-;_-* &quot;-&quot;??_-;_-@_-">
                  <c:v>6672.1761828649705</c:v>
                </c:pt>
                <c:pt idx="36" formatCode="_-* #,##0_-;\-* #,##0_-;_-* &quot;-&quot;??_-;_-@_-">
                  <c:v>7362.6587252283662</c:v>
                </c:pt>
                <c:pt idx="37" formatCode="_-* #,##0_-;\-* #,##0_-;_-* &quot;-&quot;??_-;_-@_-">
                  <c:v>7803.2226990401305</c:v>
                </c:pt>
                <c:pt idx="38" formatCode="_-* #,##0_-;\-* #,##0_-;_-* &quot;-&quot;??_-;_-@_-">
                  <c:v>8785.2668624764392</c:v>
                </c:pt>
                <c:pt idx="39" formatCode="_-* #,##0_-;\-* #,##0_-;_-* &quot;-&quot;??_-;_-@_-">
                  <c:v>9502.1845286561784</c:v>
                </c:pt>
                <c:pt idx="40" formatCode="_-* #,##0_-;\-* #,##0_-;_-* &quot;-&quot;??_-;_-@_-">
                  <c:v>9046.7420107392172</c:v>
                </c:pt>
                <c:pt idx="41" formatCode="_-* #,##0_-;\-* #,##0_-;_-* &quot;-&quot;??_-;_-@_-">
                  <c:v>9934.1322829668734</c:v>
                </c:pt>
                <c:pt idx="42" formatCode="_-* #,##0_-;\-* #,##0_-;_-* &quot;-&quot;??_-;_-@_-">
                  <c:v>11054</c:v>
                </c:pt>
                <c:pt idx="43" formatCode="_-* #,##0_-;\-* #,##0_-;_-* &quot;-&quot;??_-;_-@_-">
                  <c:v>11684</c:v>
                </c:pt>
                <c:pt idx="44" formatCode="_-* #,##0_-;\-* #,##0_-;_-* &quot;-&quot;??_-;_-@_-">
                  <c:v>11214</c:v>
                </c:pt>
                <c:pt idx="45" formatCode="_-* #,##0_-;\-* #,##0_-;_-* &quot;-&quot;??_-;_-@_-">
                  <c:v>12232</c:v>
                </c:pt>
              </c:numCache>
            </c:numRef>
          </c:val>
          <c:smooth val="0"/>
        </c:ser>
        <c:ser>
          <c:idx val="2"/>
          <c:order val="2"/>
          <c:tx>
            <c:strRef>
              <c:f>'all drugs packs adj tenofovir'!$D$4</c:f>
              <c:strCache>
                <c:ptCount val="1"/>
                <c:pt idx="0">
                  <c:v>LAMIVUDINE</c:v>
                </c:pt>
              </c:strCache>
            </c:strRef>
          </c:tx>
          <c:cat>
            <c:strRef>
              <c:f>'all drugs packs adj tenofovir'!$A$5:$A$50</c:f>
              <c:strCache>
                <c:ptCount val="46"/>
                <c:pt idx="0">
                  <c:v>2003Q1</c:v>
                </c:pt>
                <c:pt idx="1">
                  <c:v>2003Q2</c:v>
                </c:pt>
                <c:pt idx="2">
                  <c:v>2003Q3</c:v>
                </c:pt>
                <c:pt idx="3">
                  <c:v>2003Q4</c:v>
                </c:pt>
                <c:pt idx="4">
                  <c:v>2004Q1</c:v>
                </c:pt>
                <c:pt idx="5">
                  <c:v>2004Q2</c:v>
                </c:pt>
                <c:pt idx="6">
                  <c:v>2004Q3</c:v>
                </c:pt>
                <c:pt idx="7">
                  <c:v>2004Q4</c:v>
                </c:pt>
                <c:pt idx="8">
                  <c:v>2005Q1</c:v>
                </c:pt>
                <c:pt idx="9">
                  <c:v>2005Q2</c:v>
                </c:pt>
                <c:pt idx="10">
                  <c:v>2005Q3</c:v>
                </c:pt>
                <c:pt idx="11">
                  <c:v>2005Q4</c:v>
                </c:pt>
                <c:pt idx="12">
                  <c:v>2006Q1</c:v>
                </c:pt>
                <c:pt idx="13">
                  <c:v>2006Q2</c:v>
                </c:pt>
                <c:pt idx="14">
                  <c:v>2006Q3</c:v>
                </c:pt>
                <c:pt idx="15">
                  <c:v>2006Q4</c:v>
                </c:pt>
                <c:pt idx="16">
                  <c:v>2007Q1</c:v>
                </c:pt>
                <c:pt idx="17">
                  <c:v>2007Q2</c:v>
                </c:pt>
                <c:pt idx="18">
                  <c:v>2007Q3</c:v>
                </c:pt>
                <c:pt idx="19">
                  <c:v>2007Q4</c:v>
                </c:pt>
                <c:pt idx="20">
                  <c:v>2008Q1</c:v>
                </c:pt>
                <c:pt idx="21">
                  <c:v>2008Q2</c:v>
                </c:pt>
                <c:pt idx="22">
                  <c:v>2008Q3</c:v>
                </c:pt>
                <c:pt idx="23">
                  <c:v>2008Q4</c:v>
                </c:pt>
                <c:pt idx="24">
                  <c:v>2009Q1</c:v>
                </c:pt>
                <c:pt idx="25">
                  <c:v>2009Q2</c:v>
                </c:pt>
                <c:pt idx="26">
                  <c:v>2009Q3</c:v>
                </c:pt>
                <c:pt idx="27">
                  <c:v>2009Q4</c:v>
                </c:pt>
                <c:pt idx="28">
                  <c:v>2010Q1</c:v>
                </c:pt>
                <c:pt idx="29">
                  <c:v>2010Q2</c:v>
                </c:pt>
                <c:pt idx="30">
                  <c:v>2010Q3</c:v>
                </c:pt>
                <c:pt idx="31">
                  <c:v>2010Q4</c:v>
                </c:pt>
                <c:pt idx="32">
                  <c:v>2011Q1</c:v>
                </c:pt>
                <c:pt idx="33">
                  <c:v>2011Q2</c:v>
                </c:pt>
                <c:pt idx="34">
                  <c:v>2011Q3</c:v>
                </c:pt>
                <c:pt idx="35">
                  <c:v>2011Q4</c:v>
                </c:pt>
                <c:pt idx="36">
                  <c:v>2012Q1</c:v>
                </c:pt>
                <c:pt idx="37">
                  <c:v>2012Q2</c:v>
                </c:pt>
                <c:pt idx="38">
                  <c:v>2012Q3</c:v>
                </c:pt>
                <c:pt idx="39">
                  <c:v>2012Q4</c:v>
                </c:pt>
                <c:pt idx="40">
                  <c:v>2013Q1</c:v>
                </c:pt>
                <c:pt idx="41">
                  <c:v>2013Q2</c:v>
                </c:pt>
                <c:pt idx="42">
                  <c:v>2013Q3</c:v>
                </c:pt>
                <c:pt idx="43">
                  <c:v>2013Q4</c:v>
                </c:pt>
                <c:pt idx="44">
                  <c:v>2014Q1</c:v>
                </c:pt>
                <c:pt idx="45">
                  <c:v>2014Q2</c:v>
                </c:pt>
              </c:strCache>
            </c:strRef>
          </c:cat>
          <c:val>
            <c:numRef>
              <c:f>'all drugs packs adj tenofovir'!$D$5:$D$50</c:f>
              <c:numCache>
                <c:formatCode>_-* #,##0_-;\-* #,##0_-;_-* "-"??_-;_-@_-</c:formatCode>
                <c:ptCount val="46"/>
                <c:pt idx="0">
                  <c:v>1431</c:v>
                </c:pt>
                <c:pt idx="1">
                  <c:v>1595</c:v>
                </c:pt>
                <c:pt idx="2">
                  <c:v>5242.3914000000004</c:v>
                </c:pt>
                <c:pt idx="3">
                  <c:v>5751.1403</c:v>
                </c:pt>
                <c:pt idx="4">
                  <c:v>5427.9814142899995</c:v>
                </c:pt>
                <c:pt idx="5">
                  <c:v>5777.7513999999992</c:v>
                </c:pt>
                <c:pt idx="6">
                  <c:v>6104.2058285710009</c:v>
                </c:pt>
                <c:pt idx="7">
                  <c:v>6412.0731285709999</c:v>
                </c:pt>
                <c:pt idx="8">
                  <c:v>5857.60712857</c:v>
                </c:pt>
                <c:pt idx="9">
                  <c:v>6090.9541285710002</c:v>
                </c:pt>
                <c:pt idx="10">
                  <c:v>6235.6799857130009</c:v>
                </c:pt>
                <c:pt idx="11">
                  <c:v>6753.1928857130006</c:v>
                </c:pt>
                <c:pt idx="12">
                  <c:v>6243.5457285699995</c:v>
                </c:pt>
                <c:pt idx="13">
                  <c:v>8014.4771428700005</c:v>
                </c:pt>
                <c:pt idx="14">
                  <c:v>7098.4202999999998</c:v>
                </c:pt>
                <c:pt idx="15">
                  <c:v>7012.5129000000006</c:v>
                </c:pt>
                <c:pt idx="16">
                  <c:v>5821.2273999999998</c:v>
                </c:pt>
                <c:pt idx="17">
                  <c:v>6377.2088187130012</c:v>
                </c:pt>
                <c:pt idx="18">
                  <c:v>6605.9703439999994</c:v>
                </c:pt>
                <c:pt idx="19">
                  <c:v>6858.2018409999991</c:v>
                </c:pt>
                <c:pt idx="20">
                  <c:v>6781.5206509999989</c:v>
                </c:pt>
                <c:pt idx="21">
                  <c:v>7044.0855165699995</c:v>
                </c:pt>
                <c:pt idx="22">
                  <c:v>7003.583375709999</c:v>
                </c:pt>
                <c:pt idx="23">
                  <c:v>7230.1334244300006</c:v>
                </c:pt>
                <c:pt idx="24">
                  <c:v>6110.8996985800004</c:v>
                </c:pt>
                <c:pt idx="25">
                  <c:v>6506.7195600000005</c:v>
                </c:pt>
                <c:pt idx="26">
                  <c:v>6381.1028857139991</c:v>
                </c:pt>
                <c:pt idx="27">
                  <c:v>6317.2542285680001</c:v>
                </c:pt>
                <c:pt idx="28">
                  <c:v>5829.9114284130001</c:v>
                </c:pt>
                <c:pt idx="29">
                  <c:v>5503.7699999999995</c:v>
                </c:pt>
                <c:pt idx="30">
                  <c:v>5781.4514285700006</c:v>
                </c:pt>
                <c:pt idx="31">
                  <c:v>5774.8142857100001</c:v>
                </c:pt>
                <c:pt idx="32">
                  <c:v>5191.1528571410008</c:v>
                </c:pt>
                <c:pt idx="33">
                  <c:v>5306.6414285743995</c:v>
                </c:pt>
                <c:pt idx="34">
                  <c:v>5256.8628571448007</c:v>
                </c:pt>
                <c:pt idx="35">
                  <c:v>5249.0642857124003</c:v>
                </c:pt>
                <c:pt idx="36">
                  <c:v>5033.5671428610003</c:v>
                </c:pt>
                <c:pt idx="37">
                  <c:v>4948.5071428600004</c:v>
                </c:pt>
                <c:pt idx="38">
                  <c:v>5078.5328571400005</c:v>
                </c:pt>
                <c:pt idx="39">
                  <c:v>5233.3357142799996</c:v>
                </c:pt>
                <c:pt idx="40">
                  <c:v>4588.1485714199998</c:v>
                </c:pt>
                <c:pt idx="41">
                  <c:v>4663.3885714200005</c:v>
                </c:pt>
                <c:pt idx="42">
                  <c:v>4522.6842857103993</c:v>
                </c:pt>
                <c:pt idx="43">
                  <c:v>4584.6785714263997</c:v>
                </c:pt>
                <c:pt idx="44">
                  <c:v>4152.4642857082999</c:v>
                </c:pt>
                <c:pt idx="45">
                  <c:v>4049.1071428538003</c:v>
                </c:pt>
              </c:numCache>
            </c:numRef>
          </c:val>
          <c:smooth val="0"/>
        </c:ser>
        <c:ser>
          <c:idx val="3"/>
          <c:order val="3"/>
          <c:tx>
            <c:strRef>
              <c:f>'all drugs packs adj tenofovir'!$E$4</c:f>
              <c:strCache>
                <c:ptCount val="1"/>
                <c:pt idx="0">
                  <c:v>ADEFOVIR DIPIVOXIL</c:v>
                </c:pt>
              </c:strCache>
            </c:strRef>
          </c:tx>
          <c:cat>
            <c:strRef>
              <c:f>'all drugs packs adj tenofovir'!$A$5:$A$50</c:f>
              <c:strCache>
                <c:ptCount val="46"/>
                <c:pt idx="0">
                  <c:v>2003Q1</c:v>
                </c:pt>
                <c:pt idx="1">
                  <c:v>2003Q2</c:v>
                </c:pt>
                <c:pt idx="2">
                  <c:v>2003Q3</c:v>
                </c:pt>
                <c:pt idx="3">
                  <c:v>2003Q4</c:v>
                </c:pt>
                <c:pt idx="4">
                  <c:v>2004Q1</c:v>
                </c:pt>
                <c:pt idx="5">
                  <c:v>2004Q2</c:v>
                </c:pt>
                <c:pt idx="6">
                  <c:v>2004Q3</c:v>
                </c:pt>
                <c:pt idx="7">
                  <c:v>2004Q4</c:v>
                </c:pt>
                <c:pt idx="8">
                  <c:v>2005Q1</c:v>
                </c:pt>
                <c:pt idx="9">
                  <c:v>2005Q2</c:v>
                </c:pt>
                <c:pt idx="10">
                  <c:v>2005Q3</c:v>
                </c:pt>
                <c:pt idx="11">
                  <c:v>2005Q4</c:v>
                </c:pt>
                <c:pt idx="12">
                  <c:v>2006Q1</c:v>
                </c:pt>
                <c:pt idx="13">
                  <c:v>2006Q2</c:v>
                </c:pt>
                <c:pt idx="14">
                  <c:v>2006Q3</c:v>
                </c:pt>
                <c:pt idx="15">
                  <c:v>2006Q4</c:v>
                </c:pt>
                <c:pt idx="16">
                  <c:v>2007Q1</c:v>
                </c:pt>
                <c:pt idx="17">
                  <c:v>2007Q2</c:v>
                </c:pt>
                <c:pt idx="18">
                  <c:v>2007Q3</c:v>
                </c:pt>
                <c:pt idx="19">
                  <c:v>2007Q4</c:v>
                </c:pt>
                <c:pt idx="20">
                  <c:v>2008Q1</c:v>
                </c:pt>
                <c:pt idx="21">
                  <c:v>2008Q2</c:v>
                </c:pt>
                <c:pt idx="22">
                  <c:v>2008Q3</c:v>
                </c:pt>
                <c:pt idx="23">
                  <c:v>2008Q4</c:v>
                </c:pt>
                <c:pt idx="24">
                  <c:v>2009Q1</c:v>
                </c:pt>
                <c:pt idx="25">
                  <c:v>2009Q2</c:v>
                </c:pt>
                <c:pt idx="26">
                  <c:v>2009Q3</c:v>
                </c:pt>
                <c:pt idx="27">
                  <c:v>2009Q4</c:v>
                </c:pt>
                <c:pt idx="28">
                  <c:v>2010Q1</c:v>
                </c:pt>
                <c:pt idx="29">
                  <c:v>2010Q2</c:v>
                </c:pt>
                <c:pt idx="30">
                  <c:v>2010Q3</c:v>
                </c:pt>
                <c:pt idx="31">
                  <c:v>2010Q4</c:v>
                </c:pt>
                <c:pt idx="32">
                  <c:v>2011Q1</c:v>
                </c:pt>
                <c:pt idx="33">
                  <c:v>2011Q2</c:v>
                </c:pt>
                <c:pt idx="34">
                  <c:v>2011Q3</c:v>
                </c:pt>
                <c:pt idx="35">
                  <c:v>2011Q4</c:v>
                </c:pt>
                <c:pt idx="36">
                  <c:v>2012Q1</c:v>
                </c:pt>
                <c:pt idx="37">
                  <c:v>2012Q2</c:v>
                </c:pt>
                <c:pt idx="38">
                  <c:v>2012Q3</c:v>
                </c:pt>
                <c:pt idx="39">
                  <c:v>2012Q4</c:v>
                </c:pt>
                <c:pt idx="40">
                  <c:v>2013Q1</c:v>
                </c:pt>
                <c:pt idx="41">
                  <c:v>2013Q2</c:v>
                </c:pt>
                <c:pt idx="42">
                  <c:v>2013Q3</c:v>
                </c:pt>
                <c:pt idx="43">
                  <c:v>2013Q4</c:v>
                </c:pt>
                <c:pt idx="44">
                  <c:v>2014Q1</c:v>
                </c:pt>
                <c:pt idx="45">
                  <c:v>2014Q2</c:v>
                </c:pt>
              </c:strCache>
            </c:strRef>
          </c:cat>
          <c:val>
            <c:numRef>
              <c:f>'all drugs packs adj tenofovir'!$E$5:$E$50</c:f>
              <c:numCache>
                <c:formatCode>General</c:formatCode>
                <c:ptCount val="46"/>
                <c:pt idx="7" formatCode="_-* #,##0_-;\-* #,##0_-;_-* &quot;-&quot;??_-;_-@_-">
                  <c:v>574.1</c:v>
                </c:pt>
                <c:pt idx="8" formatCode="_-* #,##0_-;\-* #,##0_-;_-* &quot;-&quot;??_-;_-@_-">
                  <c:v>1613.13</c:v>
                </c:pt>
                <c:pt idx="9" formatCode="_-* #,##0_-;\-* #,##0_-;_-* &quot;-&quot;??_-;_-@_-">
                  <c:v>2046.2666999999999</c:v>
                </c:pt>
                <c:pt idx="10" formatCode="_-* #,##0_-;\-* #,##0_-;_-* &quot;-&quot;??_-;_-@_-">
                  <c:v>2161.3266999999996</c:v>
                </c:pt>
                <c:pt idx="11" formatCode="_-* #,##0_-;\-* #,##0_-;_-* &quot;-&quot;??_-;_-@_-">
                  <c:v>2494.036636666</c:v>
                </c:pt>
                <c:pt idx="12" formatCode="_-* #,##0_-;\-* #,##0_-;_-* &quot;-&quot;??_-;_-@_-">
                  <c:v>2419.59337</c:v>
                </c:pt>
                <c:pt idx="13" formatCode="_-* #,##0_-;\-* #,##0_-;_-* &quot;-&quot;??_-;_-@_-">
                  <c:v>3266.6</c:v>
                </c:pt>
                <c:pt idx="14" formatCode="_-* #,##0_-;\-* #,##0_-;_-* &quot;-&quot;??_-;_-@_-">
                  <c:v>2839.1332999959996</c:v>
                </c:pt>
                <c:pt idx="15" formatCode="_-* #,##0_-;\-* #,##0_-;_-* &quot;-&quot;??_-;_-@_-">
                  <c:v>3048.5333333300005</c:v>
                </c:pt>
                <c:pt idx="16" formatCode="_-* #,##0_-;\-* #,##0_-;_-* &quot;-&quot;??_-;_-@_-">
                  <c:v>2822.6399333300001</c:v>
                </c:pt>
                <c:pt idx="17" formatCode="_-* #,##0_-;\-* #,##0_-;_-* &quot;-&quot;??_-;_-@_-">
                  <c:v>2935.59</c:v>
                </c:pt>
                <c:pt idx="18" formatCode="_-* #,##0_-;\-* #,##0_-;_-* &quot;-&quot;??_-;_-@_-">
                  <c:v>3136.62</c:v>
                </c:pt>
                <c:pt idx="19" formatCode="_-* #,##0_-;\-* #,##0_-;_-* &quot;-&quot;??_-;_-@_-">
                  <c:v>3338.6600000000003</c:v>
                </c:pt>
                <c:pt idx="20" formatCode="_-* #,##0_-;\-* #,##0_-;_-* &quot;-&quot;??_-;_-@_-">
                  <c:v>3326.5</c:v>
                </c:pt>
                <c:pt idx="21" formatCode="_-* #,##0_-;\-* #,##0_-;_-* &quot;-&quot;??_-;_-@_-">
                  <c:v>3768.73333</c:v>
                </c:pt>
                <c:pt idx="22" formatCode="_-* #,##0_-;\-* #,##0_-;_-* &quot;-&quot;??_-;_-@_-">
                  <c:v>3787.2393999999999</c:v>
                </c:pt>
                <c:pt idx="23" formatCode="_-* #,##0_-;\-* #,##0_-;_-* &quot;-&quot;??_-;_-@_-">
                  <c:v>4195.1066300000002</c:v>
                </c:pt>
                <c:pt idx="24" formatCode="_-* #,##0_-;\-* #,##0_-;_-* &quot;-&quot;??_-;_-@_-">
                  <c:v>3809.5967000000001</c:v>
                </c:pt>
                <c:pt idx="25" formatCode="_-* #,##0_-;\-* #,##0_-;_-* &quot;-&quot;??_-;_-@_-">
                  <c:v>4208.4233000000004</c:v>
                </c:pt>
                <c:pt idx="26" formatCode="_-* #,##0_-;\-* #,##0_-;_-* &quot;-&quot;??_-;_-@_-">
                  <c:v>4174.3196700000008</c:v>
                </c:pt>
                <c:pt idx="27" formatCode="_-* #,##0_-;\-* #,##0_-;_-* &quot;-&quot;??_-;_-@_-">
                  <c:v>4073.8463333330001</c:v>
                </c:pt>
                <c:pt idx="28" formatCode="_-* #,##0_-;\-* #,##0_-;_-* &quot;-&quot;??_-;_-@_-">
                  <c:v>3463.9132366667</c:v>
                </c:pt>
                <c:pt idx="29" formatCode="_-* #,##0_-;\-* #,##0_-;_-* &quot;-&quot;??_-;_-@_-">
                  <c:v>3131.08</c:v>
                </c:pt>
                <c:pt idx="30" formatCode="_-* #,##0_-;\-* #,##0_-;_-* &quot;-&quot;??_-;_-@_-">
                  <c:v>3098.45</c:v>
                </c:pt>
                <c:pt idx="31" formatCode="_-* #,##0_-;\-* #,##0_-;_-* &quot;-&quot;??_-;_-@_-">
                  <c:v>2900.803333333</c:v>
                </c:pt>
                <c:pt idx="32" formatCode="_-* #,##0_-;\-* #,##0_-;_-* &quot;-&quot;??_-;_-@_-">
                  <c:v>2535.5833333329997</c:v>
                </c:pt>
                <c:pt idx="33" formatCode="_-* #,##0_-;\-* #,##0_-;_-* &quot;-&quot;??_-;_-@_-">
                  <c:v>2568.289999997</c:v>
                </c:pt>
                <c:pt idx="34" formatCode="_-* #,##0_-;\-* #,##0_-;_-* &quot;-&quot;??_-;_-@_-">
                  <c:v>2434.17</c:v>
                </c:pt>
                <c:pt idx="35" formatCode="_-* #,##0_-;\-* #,##0_-;_-* &quot;-&quot;??_-;_-@_-">
                  <c:v>2381.3833333399998</c:v>
                </c:pt>
                <c:pt idx="36" formatCode="_-* #,##0_-;\-* #,##0_-;_-* &quot;-&quot;??_-;_-@_-">
                  <c:v>2010.1799999999998</c:v>
                </c:pt>
                <c:pt idx="37" formatCode="_-* #,##0_-;\-* #,##0_-;_-* &quot;-&quot;??_-;_-@_-">
                  <c:v>2091.7400000000002</c:v>
                </c:pt>
                <c:pt idx="38" formatCode="_-* #,##0_-;\-* #,##0_-;_-* &quot;-&quot;??_-;_-@_-">
                  <c:v>2064.2600000000002</c:v>
                </c:pt>
                <c:pt idx="39" formatCode="_-* #,##0_-;\-* #,##0_-;_-* &quot;-&quot;??_-;_-@_-">
                  <c:v>2177.56</c:v>
                </c:pt>
                <c:pt idx="40" formatCode="_-* #,##0_-;\-* #,##0_-;_-* &quot;-&quot;??_-;_-@_-">
                  <c:v>1866.3933333299999</c:v>
                </c:pt>
                <c:pt idx="41" formatCode="_-* #,##0_-;\-* #,##0_-;_-* &quot;-&quot;??_-;_-@_-">
                  <c:v>1906.196666673</c:v>
                </c:pt>
                <c:pt idx="42" formatCode="_-* #,##0_-;\-* #,##0_-;_-* &quot;-&quot;??_-;_-@_-">
                  <c:v>1705.5</c:v>
                </c:pt>
                <c:pt idx="43" formatCode="_-* #,##0_-;\-* #,##0_-;_-* &quot;-&quot;??_-;_-@_-">
                  <c:v>1638.7333333360002</c:v>
                </c:pt>
                <c:pt idx="44" formatCode="_-* #,##0_-;\-* #,##0_-;_-* &quot;-&quot;??_-;_-@_-">
                  <c:v>1434.6</c:v>
                </c:pt>
                <c:pt idx="45" formatCode="_-* #,##0_-;\-* #,##0_-;_-* &quot;-&quot;??_-;_-@_-">
                  <c:v>1422.1999999929999</c:v>
                </c:pt>
              </c:numCache>
            </c:numRef>
          </c:val>
          <c:smooth val="0"/>
        </c:ser>
        <c:ser>
          <c:idx val="4"/>
          <c:order val="4"/>
          <c:tx>
            <c:strRef>
              <c:f>'all drugs packs adj tenofovir'!$F$4</c:f>
              <c:strCache>
                <c:ptCount val="1"/>
                <c:pt idx="0">
                  <c:v>INTERFERON-ALFA-2b</c:v>
                </c:pt>
              </c:strCache>
            </c:strRef>
          </c:tx>
          <c:cat>
            <c:strRef>
              <c:f>'all drugs packs adj tenofovir'!$A$5:$A$50</c:f>
              <c:strCache>
                <c:ptCount val="46"/>
                <c:pt idx="0">
                  <c:v>2003Q1</c:v>
                </c:pt>
                <c:pt idx="1">
                  <c:v>2003Q2</c:v>
                </c:pt>
                <c:pt idx="2">
                  <c:v>2003Q3</c:v>
                </c:pt>
                <c:pt idx="3">
                  <c:v>2003Q4</c:v>
                </c:pt>
                <c:pt idx="4">
                  <c:v>2004Q1</c:v>
                </c:pt>
                <c:pt idx="5">
                  <c:v>2004Q2</c:v>
                </c:pt>
                <c:pt idx="6">
                  <c:v>2004Q3</c:v>
                </c:pt>
                <c:pt idx="7">
                  <c:v>2004Q4</c:v>
                </c:pt>
                <c:pt idx="8">
                  <c:v>2005Q1</c:v>
                </c:pt>
                <c:pt idx="9">
                  <c:v>2005Q2</c:v>
                </c:pt>
                <c:pt idx="10">
                  <c:v>2005Q3</c:v>
                </c:pt>
                <c:pt idx="11">
                  <c:v>2005Q4</c:v>
                </c:pt>
                <c:pt idx="12">
                  <c:v>2006Q1</c:v>
                </c:pt>
                <c:pt idx="13">
                  <c:v>2006Q2</c:v>
                </c:pt>
                <c:pt idx="14">
                  <c:v>2006Q3</c:v>
                </c:pt>
                <c:pt idx="15">
                  <c:v>2006Q4</c:v>
                </c:pt>
                <c:pt idx="16">
                  <c:v>2007Q1</c:v>
                </c:pt>
                <c:pt idx="17">
                  <c:v>2007Q2</c:v>
                </c:pt>
                <c:pt idx="18">
                  <c:v>2007Q3</c:v>
                </c:pt>
                <c:pt idx="19">
                  <c:v>2007Q4</c:v>
                </c:pt>
                <c:pt idx="20">
                  <c:v>2008Q1</c:v>
                </c:pt>
                <c:pt idx="21">
                  <c:v>2008Q2</c:v>
                </c:pt>
                <c:pt idx="22">
                  <c:v>2008Q3</c:v>
                </c:pt>
                <c:pt idx="23">
                  <c:v>2008Q4</c:v>
                </c:pt>
                <c:pt idx="24">
                  <c:v>2009Q1</c:v>
                </c:pt>
                <c:pt idx="25">
                  <c:v>2009Q2</c:v>
                </c:pt>
                <c:pt idx="26">
                  <c:v>2009Q3</c:v>
                </c:pt>
                <c:pt idx="27">
                  <c:v>2009Q4</c:v>
                </c:pt>
                <c:pt idx="28">
                  <c:v>2010Q1</c:v>
                </c:pt>
                <c:pt idx="29">
                  <c:v>2010Q2</c:v>
                </c:pt>
                <c:pt idx="30">
                  <c:v>2010Q3</c:v>
                </c:pt>
                <c:pt idx="31">
                  <c:v>2010Q4</c:v>
                </c:pt>
                <c:pt idx="32">
                  <c:v>2011Q1</c:v>
                </c:pt>
                <c:pt idx="33">
                  <c:v>2011Q2</c:v>
                </c:pt>
                <c:pt idx="34">
                  <c:v>2011Q3</c:v>
                </c:pt>
                <c:pt idx="35">
                  <c:v>2011Q4</c:v>
                </c:pt>
                <c:pt idx="36">
                  <c:v>2012Q1</c:v>
                </c:pt>
                <c:pt idx="37">
                  <c:v>2012Q2</c:v>
                </c:pt>
                <c:pt idx="38">
                  <c:v>2012Q3</c:v>
                </c:pt>
                <c:pt idx="39">
                  <c:v>2012Q4</c:v>
                </c:pt>
                <c:pt idx="40">
                  <c:v>2013Q1</c:v>
                </c:pt>
                <c:pt idx="41">
                  <c:v>2013Q2</c:v>
                </c:pt>
                <c:pt idx="42">
                  <c:v>2013Q3</c:v>
                </c:pt>
                <c:pt idx="43">
                  <c:v>2013Q4</c:v>
                </c:pt>
                <c:pt idx="44">
                  <c:v>2014Q1</c:v>
                </c:pt>
                <c:pt idx="45">
                  <c:v>2014Q2</c:v>
                </c:pt>
              </c:strCache>
            </c:strRef>
          </c:cat>
          <c:val>
            <c:numRef>
              <c:f>'all drugs packs adj tenofovir'!$F$5:$F$50</c:f>
              <c:numCache>
                <c:formatCode>_-* #,##0_-;\-* #,##0_-;_-* "-"??_-;_-@_-</c:formatCode>
                <c:ptCount val="46"/>
                <c:pt idx="0">
                  <c:v>351.2</c:v>
                </c:pt>
                <c:pt idx="1">
                  <c:v>441.4</c:v>
                </c:pt>
                <c:pt idx="2">
                  <c:v>1724.8</c:v>
                </c:pt>
                <c:pt idx="3">
                  <c:v>1398.6000013</c:v>
                </c:pt>
                <c:pt idx="4">
                  <c:v>1122.8</c:v>
                </c:pt>
                <c:pt idx="5">
                  <c:v>1123.8000019999999</c:v>
                </c:pt>
                <c:pt idx="6">
                  <c:v>1166</c:v>
                </c:pt>
                <c:pt idx="7">
                  <c:v>882.8</c:v>
                </c:pt>
                <c:pt idx="8">
                  <c:v>1081.2</c:v>
                </c:pt>
                <c:pt idx="9">
                  <c:v>1081</c:v>
                </c:pt>
                <c:pt idx="10">
                  <c:v>1069.2</c:v>
                </c:pt>
                <c:pt idx="11">
                  <c:v>1014.0586599999999</c:v>
                </c:pt>
                <c:pt idx="12">
                  <c:v>924.8</c:v>
                </c:pt>
                <c:pt idx="13">
                  <c:v>1174.1199999999999</c:v>
                </c:pt>
                <c:pt idx="14">
                  <c:v>808.59998900000005</c:v>
                </c:pt>
                <c:pt idx="15">
                  <c:v>591</c:v>
                </c:pt>
                <c:pt idx="16">
                  <c:v>613.79999999999995</c:v>
                </c:pt>
                <c:pt idx="17">
                  <c:v>800.6</c:v>
                </c:pt>
                <c:pt idx="18">
                  <c:v>1062.8</c:v>
                </c:pt>
                <c:pt idx="19">
                  <c:v>1145.4000000000001</c:v>
                </c:pt>
                <c:pt idx="20">
                  <c:v>930.8</c:v>
                </c:pt>
                <c:pt idx="21">
                  <c:v>867</c:v>
                </c:pt>
                <c:pt idx="22">
                  <c:v>995</c:v>
                </c:pt>
                <c:pt idx="23">
                  <c:v>899.4</c:v>
                </c:pt>
                <c:pt idx="24">
                  <c:v>678.6</c:v>
                </c:pt>
                <c:pt idx="25">
                  <c:v>704.4</c:v>
                </c:pt>
                <c:pt idx="26">
                  <c:v>739</c:v>
                </c:pt>
                <c:pt idx="27">
                  <c:v>557.79999999999995</c:v>
                </c:pt>
                <c:pt idx="28">
                  <c:v>780.2</c:v>
                </c:pt>
                <c:pt idx="29">
                  <c:v>707.8</c:v>
                </c:pt>
                <c:pt idx="30">
                  <c:v>769.2</c:v>
                </c:pt>
                <c:pt idx="31">
                  <c:v>788.6</c:v>
                </c:pt>
                <c:pt idx="32">
                  <c:v>717.4</c:v>
                </c:pt>
                <c:pt idx="33">
                  <c:v>698.2</c:v>
                </c:pt>
                <c:pt idx="34">
                  <c:v>604.20000000000005</c:v>
                </c:pt>
                <c:pt idx="35">
                  <c:v>802.8</c:v>
                </c:pt>
                <c:pt idx="36">
                  <c:v>641.20000000000005</c:v>
                </c:pt>
                <c:pt idx="37">
                  <c:v>577.4</c:v>
                </c:pt>
                <c:pt idx="38">
                  <c:v>682.8</c:v>
                </c:pt>
                <c:pt idx="39">
                  <c:v>463.8</c:v>
                </c:pt>
                <c:pt idx="40">
                  <c:v>559</c:v>
                </c:pt>
                <c:pt idx="41">
                  <c:v>489.2</c:v>
                </c:pt>
                <c:pt idx="42">
                  <c:v>575.20000000000005</c:v>
                </c:pt>
                <c:pt idx="43">
                  <c:v>506</c:v>
                </c:pt>
                <c:pt idx="44">
                  <c:v>416.2</c:v>
                </c:pt>
                <c:pt idx="45">
                  <c:v>642.6</c:v>
                </c:pt>
              </c:numCache>
            </c:numRef>
          </c:val>
          <c:smooth val="0"/>
        </c:ser>
        <c:ser>
          <c:idx val="5"/>
          <c:order val="5"/>
          <c:tx>
            <c:strRef>
              <c:f>'all drugs packs adj tenofovir'!$G$4</c:f>
              <c:strCache>
                <c:ptCount val="1"/>
                <c:pt idx="0">
                  <c:v>INTERFERON-ALFA-2a</c:v>
                </c:pt>
              </c:strCache>
            </c:strRef>
          </c:tx>
          <c:cat>
            <c:strRef>
              <c:f>'all drugs packs adj tenofovir'!$A$5:$A$50</c:f>
              <c:strCache>
                <c:ptCount val="46"/>
                <c:pt idx="0">
                  <c:v>2003Q1</c:v>
                </c:pt>
                <c:pt idx="1">
                  <c:v>2003Q2</c:v>
                </c:pt>
                <c:pt idx="2">
                  <c:v>2003Q3</c:v>
                </c:pt>
                <c:pt idx="3">
                  <c:v>2003Q4</c:v>
                </c:pt>
                <c:pt idx="4">
                  <c:v>2004Q1</c:v>
                </c:pt>
                <c:pt idx="5">
                  <c:v>2004Q2</c:v>
                </c:pt>
                <c:pt idx="6">
                  <c:v>2004Q3</c:v>
                </c:pt>
                <c:pt idx="7">
                  <c:v>2004Q4</c:v>
                </c:pt>
                <c:pt idx="8">
                  <c:v>2005Q1</c:v>
                </c:pt>
                <c:pt idx="9">
                  <c:v>2005Q2</c:v>
                </c:pt>
                <c:pt idx="10">
                  <c:v>2005Q3</c:v>
                </c:pt>
                <c:pt idx="11">
                  <c:v>2005Q4</c:v>
                </c:pt>
                <c:pt idx="12">
                  <c:v>2006Q1</c:v>
                </c:pt>
                <c:pt idx="13">
                  <c:v>2006Q2</c:v>
                </c:pt>
                <c:pt idx="14">
                  <c:v>2006Q3</c:v>
                </c:pt>
                <c:pt idx="15">
                  <c:v>2006Q4</c:v>
                </c:pt>
                <c:pt idx="16">
                  <c:v>2007Q1</c:v>
                </c:pt>
                <c:pt idx="17">
                  <c:v>2007Q2</c:v>
                </c:pt>
                <c:pt idx="18">
                  <c:v>2007Q3</c:v>
                </c:pt>
                <c:pt idx="19">
                  <c:v>2007Q4</c:v>
                </c:pt>
                <c:pt idx="20">
                  <c:v>2008Q1</c:v>
                </c:pt>
                <c:pt idx="21">
                  <c:v>2008Q2</c:v>
                </c:pt>
                <c:pt idx="22">
                  <c:v>2008Q3</c:v>
                </c:pt>
                <c:pt idx="23">
                  <c:v>2008Q4</c:v>
                </c:pt>
                <c:pt idx="24">
                  <c:v>2009Q1</c:v>
                </c:pt>
                <c:pt idx="25">
                  <c:v>2009Q2</c:v>
                </c:pt>
                <c:pt idx="26">
                  <c:v>2009Q3</c:v>
                </c:pt>
                <c:pt idx="27">
                  <c:v>2009Q4</c:v>
                </c:pt>
                <c:pt idx="28">
                  <c:v>2010Q1</c:v>
                </c:pt>
                <c:pt idx="29">
                  <c:v>2010Q2</c:v>
                </c:pt>
                <c:pt idx="30">
                  <c:v>2010Q3</c:v>
                </c:pt>
                <c:pt idx="31">
                  <c:v>2010Q4</c:v>
                </c:pt>
                <c:pt idx="32">
                  <c:v>2011Q1</c:v>
                </c:pt>
                <c:pt idx="33">
                  <c:v>2011Q2</c:v>
                </c:pt>
                <c:pt idx="34">
                  <c:v>2011Q3</c:v>
                </c:pt>
                <c:pt idx="35">
                  <c:v>2011Q4</c:v>
                </c:pt>
                <c:pt idx="36">
                  <c:v>2012Q1</c:v>
                </c:pt>
                <c:pt idx="37">
                  <c:v>2012Q2</c:v>
                </c:pt>
                <c:pt idx="38">
                  <c:v>2012Q3</c:v>
                </c:pt>
                <c:pt idx="39">
                  <c:v>2012Q4</c:v>
                </c:pt>
                <c:pt idx="40">
                  <c:v>2013Q1</c:v>
                </c:pt>
                <c:pt idx="41">
                  <c:v>2013Q2</c:v>
                </c:pt>
                <c:pt idx="42">
                  <c:v>2013Q3</c:v>
                </c:pt>
                <c:pt idx="43">
                  <c:v>2013Q4</c:v>
                </c:pt>
                <c:pt idx="44">
                  <c:v>2014Q1</c:v>
                </c:pt>
                <c:pt idx="45">
                  <c:v>2014Q2</c:v>
                </c:pt>
              </c:strCache>
            </c:strRef>
          </c:cat>
          <c:val>
            <c:numRef>
              <c:f>'all drugs packs adj tenofovir'!$G$5:$G$50</c:f>
              <c:numCache>
                <c:formatCode>_-* #,##0_-;\-* #,##0_-;_-* "-"??_-;_-@_-</c:formatCode>
                <c:ptCount val="46"/>
                <c:pt idx="0">
                  <c:v>313</c:v>
                </c:pt>
                <c:pt idx="1">
                  <c:v>237</c:v>
                </c:pt>
                <c:pt idx="2">
                  <c:v>1390</c:v>
                </c:pt>
                <c:pt idx="3">
                  <c:v>1068</c:v>
                </c:pt>
                <c:pt idx="4">
                  <c:v>913</c:v>
                </c:pt>
                <c:pt idx="5">
                  <c:v>1152</c:v>
                </c:pt>
                <c:pt idx="6">
                  <c:v>942</c:v>
                </c:pt>
                <c:pt idx="7">
                  <c:v>1032</c:v>
                </c:pt>
                <c:pt idx="8">
                  <c:v>836.61</c:v>
                </c:pt>
                <c:pt idx="9">
                  <c:v>663</c:v>
                </c:pt>
                <c:pt idx="10">
                  <c:v>697</c:v>
                </c:pt>
                <c:pt idx="11">
                  <c:v>520.06807000000003</c:v>
                </c:pt>
                <c:pt idx="12">
                  <c:v>437</c:v>
                </c:pt>
                <c:pt idx="13">
                  <c:v>566</c:v>
                </c:pt>
                <c:pt idx="14">
                  <c:v>461</c:v>
                </c:pt>
                <c:pt idx="15">
                  <c:v>520</c:v>
                </c:pt>
                <c:pt idx="16">
                  <c:v>286</c:v>
                </c:pt>
                <c:pt idx="17">
                  <c:v>384</c:v>
                </c:pt>
                <c:pt idx="18">
                  <c:v>535</c:v>
                </c:pt>
                <c:pt idx="19">
                  <c:v>630</c:v>
                </c:pt>
                <c:pt idx="20">
                  <c:v>566</c:v>
                </c:pt>
                <c:pt idx="21">
                  <c:v>581</c:v>
                </c:pt>
                <c:pt idx="22">
                  <c:v>433</c:v>
                </c:pt>
                <c:pt idx="23">
                  <c:v>532</c:v>
                </c:pt>
                <c:pt idx="24">
                  <c:v>431</c:v>
                </c:pt>
                <c:pt idx="25">
                  <c:v>526.11</c:v>
                </c:pt>
                <c:pt idx="26">
                  <c:v>451</c:v>
                </c:pt>
                <c:pt idx="27">
                  <c:v>683</c:v>
                </c:pt>
                <c:pt idx="28">
                  <c:v>468</c:v>
                </c:pt>
                <c:pt idx="29">
                  <c:v>429</c:v>
                </c:pt>
                <c:pt idx="30">
                  <c:v>623</c:v>
                </c:pt>
                <c:pt idx="31">
                  <c:v>507</c:v>
                </c:pt>
                <c:pt idx="32">
                  <c:v>843</c:v>
                </c:pt>
                <c:pt idx="33">
                  <c:v>480</c:v>
                </c:pt>
                <c:pt idx="34">
                  <c:v>517</c:v>
                </c:pt>
                <c:pt idx="35">
                  <c:v>649</c:v>
                </c:pt>
                <c:pt idx="36">
                  <c:v>418</c:v>
                </c:pt>
                <c:pt idx="37">
                  <c:v>513</c:v>
                </c:pt>
                <c:pt idx="38">
                  <c:v>441</c:v>
                </c:pt>
                <c:pt idx="39">
                  <c:v>468</c:v>
                </c:pt>
                <c:pt idx="40">
                  <c:v>455</c:v>
                </c:pt>
                <c:pt idx="41">
                  <c:v>390</c:v>
                </c:pt>
                <c:pt idx="42">
                  <c:v>435</c:v>
                </c:pt>
                <c:pt idx="43">
                  <c:v>375</c:v>
                </c:pt>
                <c:pt idx="44">
                  <c:v>315</c:v>
                </c:pt>
                <c:pt idx="45">
                  <c:v>300</c:v>
                </c:pt>
              </c:numCache>
            </c:numRef>
          </c:val>
          <c:smooth val="0"/>
        </c:ser>
        <c:ser>
          <c:idx val="6"/>
          <c:order val="6"/>
          <c:tx>
            <c:strRef>
              <c:f>'all drugs packs adj tenofovir'!$H$4</c:f>
              <c:strCache>
                <c:ptCount val="1"/>
                <c:pt idx="0">
                  <c:v>PEGINTERFERON ALFA-2a</c:v>
                </c:pt>
              </c:strCache>
            </c:strRef>
          </c:tx>
          <c:cat>
            <c:strRef>
              <c:f>'all drugs packs adj tenofovir'!$A$5:$A$50</c:f>
              <c:strCache>
                <c:ptCount val="46"/>
                <c:pt idx="0">
                  <c:v>2003Q1</c:v>
                </c:pt>
                <c:pt idx="1">
                  <c:v>2003Q2</c:v>
                </c:pt>
                <c:pt idx="2">
                  <c:v>2003Q3</c:v>
                </c:pt>
                <c:pt idx="3">
                  <c:v>2003Q4</c:v>
                </c:pt>
                <c:pt idx="4">
                  <c:v>2004Q1</c:v>
                </c:pt>
                <c:pt idx="5">
                  <c:v>2004Q2</c:v>
                </c:pt>
                <c:pt idx="6">
                  <c:v>2004Q3</c:v>
                </c:pt>
                <c:pt idx="7">
                  <c:v>2004Q4</c:v>
                </c:pt>
                <c:pt idx="8">
                  <c:v>2005Q1</c:v>
                </c:pt>
                <c:pt idx="9">
                  <c:v>2005Q2</c:v>
                </c:pt>
                <c:pt idx="10">
                  <c:v>2005Q3</c:v>
                </c:pt>
                <c:pt idx="11">
                  <c:v>2005Q4</c:v>
                </c:pt>
                <c:pt idx="12">
                  <c:v>2006Q1</c:v>
                </c:pt>
                <c:pt idx="13">
                  <c:v>2006Q2</c:v>
                </c:pt>
                <c:pt idx="14">
                  <c:v>2006Q3</c:v>
                </c:pt>
                <c:pt idx="15">
                  <c:v>2006Q4</c:v>
                </c:pt>
                <c:pt idx="16">
                  <c:v>2007Q1</c:v>
                </c:pt>
                <c:pt idx="17">
                  <c:v>2007Q2</c:v>
                </c:pt>
                <c:pt idx="18">
                  <c:v>2007Q3</c:v>
                </c:pt>
                <c:pt idx="19">
                  <c:v>2007Q4</c:v>
                </c:pt>
                <c:pt idx="20">
                  <c:v>2008Q1</c:v>
                </c:pt>
                <c:pt idx="21">
                  <c:v>2008Q2</c:v>
                </c:pt>
                <c:pt idx="22">
                  <c:v>2008Q3</c:v>
                </c:pt>
                <c:pt idx="23">
                  <c:v>2008Q4</c:v>
                </c:pt>
                <c:pt idx="24">
                  <c:v>2009Q1</c:v>
                </c:pt>
                <c:pt idx="25">
                  <c:v>2009Q2</c:v>
                </c:pt>
                <c:pt idx="26">
                  <c:v>2009Q3</c:v>
                </c:pt>
                <c:pt idx="27">
                  <c:v>2009Q4</c:v>
                </c:pt>
                <c:pt idx="28">
                  <c:v>2010Q1</c:v>
                </c:pt>
                <c:pt idx="29">
                  <c:v>2010Q2</c:v>
                </c:pt>
                <c:pt idx="30">
                  <c:v>2010Q3</c:v>
                </c:pt>
                <c:pt idx="31">
                  <c:v>2010Q4</c:v>
                </c:pt>
                <c:pt idx="32">
                  <c:v>2011Q1</c:v>
                </c:pt>
                <c:pt idx="33">
                  <c:v>2011Q2</c:v>
                </c:pt>
                <c:pt idx="34">
                  <c:v>2011Q3</c:v>
                </c:pt>
                <c:pt idx="35">
                  <c:v>2011Q4</c:v>
                </c:pt>
                <c:pt idx="36">
                  <c:v>2012Q1</c:v>
                </c:pt>
                <c:pt idx="37">
                  <c:v>2012Q2</c:v>
                </c:pt>
                <c:pt idx="38">
                  <c:v>2012Q3</c:v>
                </c:pt>
                <c:pt idx="39">
                  <c:v>2012Q4</c:v>
                </c:pt>
                <c:pt idx="40">
                  <c:v>2013Q1</c:v>
                </c:pt>
                <c:pt idx="41">
                  <c:v>2013Q2</c:v>
                </c:pt>
                <c:pt idx="42">
                  <c:v>2013Q3</c:v>
                </c:pt>
                <c:pt idx="43">
                  <c:v>2013Q4</c:v>
                </c:pt>
                <c:pt idx="44">
                  <c:v>2014Q1</c:v>
                </c:pt>
                <c:pt idx="45">
                  <c:v>2014Q2</c:v>
                </c:pt>
              </c:strCache>
            </c:strRef>
          </c:cat>
          <c:val>
            <c:numRef>
              <c:f>'all drugs packs adj tenofovir'!$H$5:$H$50</c:f>
              <c:numCache>
                <c:formatCode>General</c:formatCode>
                <c:ptCount val="46"/>
                <c:pt idx="7" formatCode="_-* #,##0_-;\-* #,##0_-;_-* &quot;-&quot;??_-;_-@_-">
                  <c:v>3</c:v>
                </c:pt>
                <c:pt idx="8" formatCode="_-* #,##0_-;\-* #,##0_-;_-* &quot;-&quot;??_-;_-@_-">
                  <c:v>21</c:v>
                </c:pt>
                <c:pt idx="9" formatCode="_-* #,##0_-;\-* #,##0_-;_-* &quot;-&quot;??_-;_-@_-">
                  <c:v>24</c:v>
                </c:pt>
                <c:pt idx="10" formatCode="_-* #,##0_-;\-* #,##0_-;_-* &quot;-&quot;??_-;_-@_-">
                  <c:v>36.25</c:v>
                </c:pt>
                <c:pt idx="11" formatCode="_-* #,##0_-;\-* #,##0_-;_-* &quot;-&quot;??_-;_-@_-">
                  <c:v>37</c:v>
                </c:pt>
                <c:pt idx="12" formatCode="_-* #,##0_-;\-* #,##0_-;_-* &quot;-&quot;??_-;_-@_-">
                  <c:v>71.75000399999999</c:v>
                </c:pt>
                <c:pt idx="13" formatCode="_-* #,##0_-;\-* #,##0_-;_-* &quot;-&quot;??_-;_-@_-">
                  <c:v>36</c:v>
                </c:pt>
                <c:pt idx="14" formatCode="_-* #,##0_-;\-* #,##0_-;_-* &quot;-&quot;??_-;_-@_-">
                  <c:v>41.75</c:v>
                </c:pt>
                <c:pt idx="15" formatCode="_-* #,##0_-;\-* #,##0_-;_-* &quot;-&quot;??_-;_-@_-">
                  <c:v>294.0000043</c:v>
                </c:pt>
                <c:pt idx="16" formatCode="_-* #,##0_-;\-* #,##0_-;_-* &quot;-&quot;??_-;_-@_-">
                  <c:v>467.25</c:v>
                </c:pt>
                <c:pt idx="17" formatCode="_-* #,##0_-;\-* #,##0_-;_-* &quot;-&quot;??_-;_-@_-">
                  <c:v>573.5</c:v>
                </c:pt>
                <c:pt idx="18" formatCode="_-* #,##0_-;\-* #,##0_-;_-* &quot;-&quot;??_-;_-@_-">
                  <c:v>776.5</c:v>
                </c:pt>
                <c:pt idx="19" formatCode="_-* #,##0_-;\-* #,##0_-;_-* &quot;-&quot;??_-;_-@_-">
                  <c:v>687.5</c:v>
                </c:pt>
                <c:pt idx="20" formatCode="_-* #,##0_-;\-* #,##0_-;_-* &quot;-&quot;??_-;_-@_-">
                  <c:v>674.25</c:v>
                </c:pt>
                <c:pt idx="21" formatCode="_-* #,##0_-;\-* #,##0_-;_-* &quot;-&quot;??_-;_-@_-">
                  <c:v>686.49000000000012</c:v>
                </c:pt>
                <c:pt idx="22" formatCode="_-* #,##0_-;\-* #,##0_-;_-* &quot;-&quot;??_-;_-@_-">
                  <c:v>559.25</c:v>
                </c:pt>
                <c:pt idx="23" formatCode="_-* #,##0_-;\-* #,##0_-;_-* &quot;-&quot;??_-;_-@_-">
                  <c:v>635.76959999999997</c:v>
                </c:pt>
                <c:pt idx="24" formatCode="_-* #,##0_-;\-* #,##0_-;_-* &quot;-&quot;??_-;_-@_-">
                  <c:v>554</c:v>
                </c:pt>
                <c:pt idx="25" formatCode="_-* #,##0_-;\-* #,##0_-;_-* &quot;-&quot;??_-;_-@_-">
                  <c:v>688</c:v>
                </c:pt>
                <c:pt idx="26" formatCode="_-* #,##0_-;\-* #,##0_-;_-* &quot;-&quot;??_-;_-@_-">
                  <c:v>661.25</c:v>
                </c:pt>
                <c:pt idx="27" formatCode="_-* #,##0_-;\-* #,##0_-;_-* &quot;-&quot;??_-;_-@_-">
                  <c:v>621</c:v>
                </c:pt>
                <c:pt idx="28" formatCode="_-* #,##0_-;\-* #,##0_-;_-* &quot;-&quot;??_-;_-@_-">
                  <c:v>546</c:v>
                </c:pt>
                <c:pt idx="29" formatCode="_-* #,##0_-;\-* #,##0_-;_-* &quot;-&quot;??_-;_-@_-">
                  <c:v>509.25</c:v>
                </c:pt>
                <c:pt idx="30" formatCode="_-* #,##0_-;\-* #,##0_-;_-* &quot;-&quot;??_-;_-@_-">
                  <c:v>501.75</c:v>
                </c:pt>
                <c:pt idx="31" formatCode="_-* #,##0_-;\-* #,##0_-;_-* &quot;-&quot;??_-;_-@_-">
                  <c:v>444.5</c:v>
                </c:pt>
                <c:pt idx="32" formatCode="_-* #,##0_-;\-* #,##0_-;_-* &quot;-&quot;??_-;_-@_-">
                  <c:v>390.5</c:v>
                </c:pt>
                <c:pt idx="33" formatCode="_-* #,##0_-;\-* #,##0_-;_-* &quot;-&quot;??_-;_-@_-">
                  <c:v>449.75</c:v>
                </c:pt>
                <c:pt idx="34" formatCode="_-* #,##0_-;\-* #,##0_-;_-* &quot;-&quot;??_-;_-@_-">
                  <c:v>411.5</c:v>
                </c:pt>
                <c:pt idx="35" formatCode="_-* #,##0_-;\-* #,##0_-;_-* &quot;-&quot;??_-;_-@_-">
                  <c:v>461.2</c:v>
                </c:pt>
                <c:pt idx="36" formatCode="_-* #,##0_-;\-* #,##0_-;_-* &quot;-&quot;??_-;_-@_-">
                  <c:v>530.75</c:v>
                </c:pt>
                <c:pt idx="37" formatCode="_-* #,##0_-;\-* #,##0_-;_-* &quot;-&quot;??_-;_-@_-">
                  <c:v>397</c:v>
                </c:pt>
                <c:pt idx="38" formatCode="_-* #,##0_-;\-* #,##0_-;_-* &quot;-&quot;??_-;_-@_-">
                  <c:v>325</c:v>
                </c:pt>
                <c:pt idx="39" formatCode="_-* #,##0_-;\-* #,##0_-;_-* &quot;-&quot;??_-;_-@_-">
                  <c:v>352.51</c:v>
                </c:pt>
                <c:pt idx="40" formatCode="_-* #,##0_-;\-* #,##0_-;_-* &quot;-&quot;??_-;_-@_-">
                  <c:v>313.39</c:v>
                </c:pt>
                <c:pt idx="41" formatCode="_-* #,##0_-;\-* #,##0_-;_-* &quot;-&quot;??_-;_-@_-">
                  <c:v>353</c:v>
                </c:pt>
                <c:pt idx="42" formatCode="_-* #,##0_-;\-* #,##0_-;_-* &quot;-&quot;??_-;_-@_-">
                  <c:v>344.25</c:v>
                </c:pt>
                <c:pt idx="43" formatCode="_-* #,##0_-;\-* #,##0_-;_-* &quot;-&quot;??_-;_-@_-">
                  <c:v>347.25</c:v>
                </c:pt>
                <c:pt idx="44" formatCode="_-* #,##0_-;\-* #,##0_-;_-* &quot;-&quot;??_-;_-@_-">
                  <c:v>302</c:v>
                </c:pt>
                <c:pt idx="45" formatCode="_-* #,##0_-;\-* #,##0_-;_-* &quot;-&quot;??_-;_-@_-">
                  <c:v>222</c:v>
                </c:pt>
              </c:numCache>
            </c:numRef>
          </c:val>
          <c:smooth val="0"/>
        </c:ser>
        <c:ser>
          <c:idx val="7"/>
          <c:order val="7"/>
          <c:tx>
            <c:strRef>
              <c:f>'all drugs packs adj tenofovir'!$I$4</c:f>
              <c:strCache>
                <c:ptCount val="1"/>
                <c:pt idx="0">
                  <c:v>TELBIVUDINE</c:v>
                </c:pt>
              </c:strCache>
            </c:strRef>
          </c:tx>
          <c:cat>
            <c:strRef>
              <c:f>'all drugs packs adj tenofovir'!$A$5:$A$50</c:f>
              <c:strCache>
                <c:ptCount val="46"/>
                <c:pt idx="0">
                  <c:v>2003Q1</c:v>
                </c:pt>
                <c:pt idx="1">
                  <c:v>2003Q2</c:v>
                </c:pt>
                <c:pt idx="2">
                  <c:v>2003Q3</c:v>
                </c:pt>
                <c:pt idx="3">
                  <c:v>2003Q4</c:v>
                </c:pt>
                <c:pt idx="4">
                  <c:v>2004Q1</c:v>
                </c:pt>
                <c:pt idx="5">
                  <c:v>2004Q2</c:v>
                </c:pt>
                <c:pt idx="6">
                  <c:v>2004Q3</c:v>
                </c:pt>
                <c:pt idx="7">
                  <c:v>2004Q4</c:v>
                </c:pt>
                <c:pt idx="8">
                  <c:v>2005Q1</c:v>
                </c:pt>
                <c:pt idx="9">
                  <c:v>2005Q2</c:v>
                </c:pt>
                <c:pt idx="10">
                  <c:v>2005Q3</c:v>
                </c:pt>
                <c:pt idx="11">
                  <c:v>2005Q4</c:v>
                </c:pt>
                <c:pt idx="12">
                  <c:v>2006Q1</c:v>
                </c:pt>
                <c:pt idx="13">
                  <c:v>2006Q2</c:v>
                </c:pt>
                <c:pt idx="14">
                  <c:v>2006Q3</c:v>
                </c:pt>
                <c:pt idx="15">
                  <c:v>2006Q4</c:v>
                </c:pt>
                <c:pt idx="16">
                  <c:v>2007Q1</c:v>
                </c:pt>
                <c:pt idx="17">
                  <c:v>2007Q2</c:v>
                </c:pt>
                <c:pt idx="18">
                  <c:v>2007Q3</c:v>
                </c:pt>
                <c:pt idx="19">
                  <c:v>2007Q4</c:v>
                </c:pt>
                <c:pt idx="20">
                  <c:v>2008Q1</c:v>
                </c:pt>
                <c:pt idx="21">
                  <c:v>2008Q2</c:v>
                </c:pt>
                <c:pt idx="22">
                  <c:v>2008Q3</c:v>
                </c:pt>
                <c:pt idx="23">
                  <c:v>2008Q4</c:v>
                </c:pt>
                <c:pt idx="24">
                  <c:v>2009Q1</c:v>
                </c:pt>
                <c:pt idx="25">
                  <c:v>2009Q2</c:v>
                </c:pt>
                <c:pt idx="26">
                  <c:v>2009Q3</c:v>
                </c:pt>
                <c:pt idx="27">
                  <c:v>2009Q4</c:v>
                </c:pt>
                <c:pt idx="28">
                  <c:v>2010Q1</c:v>
                </c:pt>
                <c:pt idx="29">
                  <c:v>2010Q2</c:v>
                </c:pt>
                <c:pt idx="30">
                  <c:v>2010Q3</c:v>
                </c:pt>
                <c:pt idx="31">
                  <c:v>2010Q4</c:v>
                </c:pt>
                <c:pt idx="32">
                  <c:v>2011Q1</c:v>
                </c:pt>
                <c:pt idx="33">
                  <c:v>2011Q2</c:v>
                </c:pt>
                <c:pt idx="34">
                  <c:v>2011Q3</c:v>
                </c:pt>
                <c:pt idx="35">
                  <c:v>2011Q4</c:v>
                </c:pt>
                <c:pt idx="36">
                  <c:v>2012Q1</c:v>
                </c:pt>
                <c:pt idx="37">
                  <c:v>2012Q2</c:v>
                </c:pt>
                <c:pt idx="38">
                  <c:v>2012Q3</c:v>
                </c:pt>
                <c:pt idx="39">
                  <c:v>2012Q4</c:v>
                </c:pt>
                <c:pt idx="40">
                  <c:v>2013Q1</c:v>
                </c:pt>
                <c:pt idx="41">
                  <c:v>2013Q2</c:v>
                </c:pt>
                <c:pt idx="42">
                  <c:v>2013Q3</c:v>
                </c:pt>
                <c:pt idx="43">
                  <c:v>2013Q4</c:v>
                </c:pt>
                <c:pt idx="44">
                  <c:v>2014Q1</c:v>
                </c:pt>
                <c:pt idx="45">
                  <c:v>2014Q2</c:v>
                </c:pt>
              </c:strCache>
            </c:strRef>
          </c:cat>
          <c:val>
            <c:numRef>
              <c:f>'all drugs packs adj tenofovir'!$I$5:$I$50</c:f>
              <c:numCache>
                <c:formatCode>General</c:formatCode>
                <c:ptCount val="46"/>
                <c:pt idx="22" formatCode="_-* #,##0_-;\-* #,##0_-;_-* &quot;-&quot;??_-;_-@_-">
                  <c:v>3</c:v>
                </c:pt>
                <c:pt idx="23" formatCode="_-* #,##0_-;\-* #,##0_-;_-* &quot;-&quot;??_-;_-@_-">
                  <c:v>17.216667000000001</c:v>
                </c:pt>
                <c:pt idx="24" formatCode="_-* #,##0_-;\-* #,##0_-;_-* &quot;-&quot;??_-;_-@_-">
                  <c:v>31</c:v>
                </c:pt>
                <c:pt idx="25" formatCode="_-* #,##0_-;\-* #,##0_-;_-* &quot;-&quot;??_-;_-@_-">
                  <c:v>32</c:v>
                </c:pt>
                <c:pt idx="26" formatCode="_-* #,##0_-;\-* #,##0_-;_-* &quot;-&quot;??_-;_-@_-">
                  <c:v>38</c:v>
                </c:pt>
                <c:pt idx="27" formatCode="_-* #,##0_-;\-* #,##0_-;_-* &quot;-&quot;??_-;_-@_-">
                  <c:v>33</c:v>
                </c:pt>
                <c:pt idx="28" formatCode="_-* #,##0_-;\-* #,##0_-;_-* &quot;-&quot;??_-;_-@_-">
                  <c:v>36</c:v>
                </c:pt>
                <c:pt idx="29" formatCode="_-* #,##0_-;\-* #,##0_-;_-* &quot;-&quot;??_-;_-@_-">
                  <c:v>35</c:v>
                </c:pt>
                <c:pt idx="30" formatCode="_-* #,##0_-;\-* #,##0_-;_-* &quot;-&quot;??_-;_-@_-">
                  <c:v>19</c:v>
                </c:pt>
                <c:pt idx="31" formatCode="_-* #,##0_-;\-* #,##0_-;_-* &quot;-&quot;??_-;_-@_-">
                  <c:v>27</c:v>
                </c:pt>
                <c:pt idx="32" formatCode="_-* #,##0_-;\-* #,##0_-;_-* &quot;-&quot;??_-;_-@_-">
                  <c:v>22.11</c:v>
                </c:pt>
                <c:pt idx="33" formatCode="_-* #,##0_-;\-* #,##0_-;_-* &quot;-&quot;??_-;_-@_-">
                  <c:v>29</c:v>
                </c:pt>
                <c:pt idx="34" formatCode="_-* #,##0_-;\-* #,##0_-;_-* &quot;-&quot;??_-;_-@_-">
                  <c:v>18</c:v>
                </c:pt>
                <c:pt idx="35" formatCode="_-* #,##0_-;\-* #,##0_-;_-* &quot;-&quot;??_-;_-@_-">
                  <c:v>15</c:v>
                </c:pt>
                <c:pt idx="36" formatCode="_-* #,##0_-;\-* #,##0_-;_-* &quot;-&quot;??_-;_-@_-">
                  <c:v>21</c:v>
                </c:pt>
                <c:pt idx="37" formatCode="_-* #,##0_-;\-* #,##0_-;_-* &quot;-&quot;??_-;_-@_-">
                  <c:v>18</c:v>
                </c:pt>
                <c:pt idx="38" formatCode="_-* #,##0_-;\-* #,##0_-;_-* &quot;-&quot;??_-;_-@_-">
                  <c:v>17</c:v>
                </c:pt>
                <c:pt idx="39" formatCode="_-* #,##0_-;\-* #,##0_-;_-* &quot;-&quot;??_-;_-@_-">
                  <c:v>23.784285714300001</c:v>
                </c:pt>
                <c:pt idx="40" formatCode="_-* #,##0_-;\-* #,##0_-;_-* &quot;-&quot;??_-;_-@_-">
                  <c:v>16</c:v>
                </c:pt>
                <c:pt idx="41" formatCode="_-* #,##0_-;\-* #,##0_-;_-* &quot;-&quot;??_-;_-@_-">
                  <c:v>18</c:v>
                </c:pt>
                <c:pt idx="42" formatCode="_-* #,##0_-;\-* #,##0_-;_-* &quot;-&quot;??_-;_-@_-">
                  <c:v>8</c:v>
                </c:pt>
                <c:pt idx="43" formatCode="_-* #,##0_-;\-* #,##0_-;_-* &quot;-&quot;??_-;_-@_-">
                  <c:v>10</c:v>
                </c:pt>
                <c:pt idx="44" formatCode="_-* #,##0_-;\-* #,##0_-;_-* &quot;-&quot;??_-;_-@_-">
                  <c:v>16</c:v>
                </c:pt>
                <c:pt idx="45" formatCode="_-* #,##0_-;\-* #,##0_-;_-* &quot;-&quot;??_-;_-@_-">
                  <c:v>12</c:v>
                </c:pt>
              </c:numCache>
            </c:numRef>
          </c:val>
          <c:smooth val="0"/>
        </c:ser>
        <c:dLbls>
          <c:showLegendKey val="0"/>
          <c:showVal val="0"/>
          <c:showCatName val="0"/>
          <c:showSerName val="0"/>
          <c:showPercent val="0"/>
          <c:showBubbleSize val="0"/>
        </c:dLbls>
        <c:marker val="1"/>
        <c:smooth val="0"/>
        <c:axId val="93312512"/>
        <c:axId val="93314048"/>
      </c:lineChart>
      <c:catAx>
        <c:axId val="93312512"/>
        <c:scaling>
          <c:orientation val="minMax"/>
        </c:scaling>
        <c:delete val="0"/>
        <c:axPos val="b"/>
        <c:majorTickMark val="out"/>
        <c:minorTickMark val="none"/>
        <c:tickLblPos val="nextTo"/>
        <c:crossAx val="93314048"/>
        <c:crosses val="autoZero"/>
        <c:auto val="1"/>
        <c:lblAlgn val="ctr"/>
        <c:lblOffset val="100"/>
        <c:noMultiLvlLbl val="0"/>
      </c:catAx>
      <c:valAx>
        <c:axId val="93314048"/>
        <c:scaling>
          <c:orientation val="minMax"/>
        </c:scaling>
        <c:delete val="0"/>
        <c:axPos val="l"/>
        <c:majorGridlines/>
        <c:title>
          <c:tx>
            <c:rich>
              <a:bodyPr rot="-5400000" vert="horz"/>
              <a:lstStyle/>
              <a:p>
                <a:pPr>
                  <a:defRPr/>
                </a:pPr>
                <a:r>
                  <a:rPr lang="en-AU"/>
                  <a:t>Packs</a:t>
                </a:r>
              </a:p>
            </c:rich>
          </c:tx>
          <c:layout/>
          <c:overlay val="0"/>
        </c:title>
        <c:numFmt formatCode="#,##0" sourceLinked="0"/>
        <c:majorTickMark val="out"/>
        <c:minorTickMark val="none"/>
        <c:tickLblPos val="nextTo"/>
        <c:crossAx val="93312512"/>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32083-E397-48A7-86C4-98C60989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4704</Words>
  <Characters>26818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2015-06-25T00:14:00Z</dcterms:created>
  <dcterms:modified xsi:type="dcterms:W3CDTF">2015-06-25T00:21:00Z</dcterms:modified>
</cp:coreProperties>
</file>