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BB14B" w14:textId="13F9284C" w:rsidR="00FD07C9" w:rsidRPr="00F13644" w:rsidRDefault="0041099E" w:rsidP="00F13644">
      <w:pPr>
        <w:pStyle w:val="Heading1"/>
      </w:pPr>
      <w:bookmarkStart w:id="0" w:name="_GoBack"/>
      <w:bookmarkEnd w:id="0"/>
      <w:r w:rsidRPr="00F13644">
        <w:t>Tyrosine kinase inhibitors for the treatment of Chronic Myeloid Leukaemia (CML)</w:t>
      </w:r>
    </w:p>
    <w:p w14:paraId="06C8BF9F" w14:textId="5E6BEB36" w:rsidR="00FD07C9" w:rsidRPr="00902FD3" w:rsidRDefault="000E1F26" w:rsidP="00902FD3">
      <w:pPr>
        <w:pStyle w:val="Heading2"/>
      </w:pPr>
      <w:r w:rsidRPr="00902FD3">
        <w:t>Drug utilisation sub-committee (DUSC)</w:t>
      </w:r>
    </w:p>
    <w:p w14:paraId="1F68A785" w14:textId="334F417D" w:rsidR="008C1874" w:rsidRPr="003B5174" w:rsidRDefault="0041099E" w:rsidP="003B5174">
      <w:pPr>
        <w:rPr>
          <w:rFonts w:asciiTheme="minorHAnsi" w:hAnsiTheme="minorHAnsi"/>
          <w:b/>
          <w:i/>
        </w:rPr>
      </w:pPr>
      <w:r w:rsidRPr="003B5174">
        <w:rPr>
          <w:rFonts w:asciiTheme="minorHAnsi" w:hAnsiTheme="minorHAnsi"/>
          <w:b/>
          <w:i/>
        </w:rPr>
        <w:t>February</w:t>
      </w:r>
      <w:r w:rsidR="000E1F26" w:rsidRPr="003B5174">
        <w:rPr>
          <w:rFonts w:asciiTheme="minorHAnsi" w:hAnsiTheme="minorHAnsi"/>
          <w:b/>
          <w:i/>
        </w:rPr>
        <w:t xml:space="preserve"> 201</w:t>
      </w:r>
      <w:r w:rsidRPr="003B5174">
        <w:rPr>
          <w:rFonts w:asciiTheme="minorHAnsi" w:hAnsiTheme="minorHAnsi"/>
          <w:b/>
          <w:i/>
        </w:rPr>
        <w:t>4</w:t>
      </w:r>
    </w:p>
    <w:p w14:paraId="1E745CFF" w14:textId="44D2DAEC" w:rsidR="0029761C" w:rsidRPr="0061610C" w:rsidRDefault="001C1FC3" w:rsidP="008C1874">
      <w:pPr>
        <w:pStyle w:val="Heading3"/>
        <w:spacing w:before="480" w:after="240"/>
      </w:pPr>
      <w:r w:rsidRPr="0061610C">
        <w:t>Abstract</w:t>
      </w:r>
    </w:p>
    <w:p w14:paraId="66EBCE85" w14:textId="707261D3" w:rsidR="005F51D3" w:rsidRPr="00D8420F" w:rsidRDefault="005F51D3" w:rsidP="00D8420F">
      <w:pPr>
        <w:pStyle w:val="Heading4"/>
      </w:pPr>
      <w:r w:rsidRPr="00D8420F">
        <w:t>Purpose</w:t>
      </w:r>
    </w:p>
    <w:p w14:paraId="71205789" w14:textId="5029072F" w:rsidR="0029761C" w:rsidRPr="00A63B82" w:rsidRDefault="00EB290B" w:rsidP="0029761C">
      <w:pPr>
        <w:pStyle w:val="NoSpacing"/>
      </w:pPr>
      <w:r>
        <w:t xml:space="preserve">The </w:t>
      </w:r>
      <w:r w:rsidR="0029761C" w:rsidRPr="003F3347">
        <w:t>DUSC request</w:t>
      </w:r>
      <w:r w:rsidR="0029761C">
        <w:t>ed</w:t>
      </w:r>
      <w:r w:rsidR="0029761C" w:rsidRPr="003F3347">
        <w:t xml:space="preserve"> an analysis of </w:t>
      </w:r>
      <w:r w:rsidR="0029761C">
        <w:t xml:space="preserve">the utilisation of PBS-listed </w:t>
      </w:r>
      <w:r w:rsidR="00F715B1">
        <w:t>t</w:t>
      </w:r>
      <w:r w:rsidR="0029761C">
        <w:t xml:space="preserve">yrosine </w:t>
      </w:r>
      <w:r w:rsidR="00F715B1">
        <w:t>k</w:t>
      </w:r>
      <w:r w:rsidR="0029761C">
        <w:t xml:space="preserve">inase </w:t>
      </w:r>
      <w:r w:rsidR="00F715B1">
        <w:t>i</w:t>
      </w:r>
      <w:r w:rsidR="0029761C">
        <w:t>nhibitors</w:t>
      </w:r>
      <w:r w:rsidR="0029761C" w:rsidRPr="003F3347">
        <w:t xml:space="preserve"> </w:t>
      </w:r>
      <w:r w:rsidR="0029761C">
        <w:t>(TKIs)</w:t>
      </w:r>
      <w:r w:rsidR="00A63B82">
        <w:t>, imatinib, dasatinib and nilotinib,</w:t>
      </w:r>
      <w:r w:rsidR="0029761C">
        <w:t xml:space="preserve"> </w:t>
      </w:r>
      <w:r w:rsidR="0029761C" w:rsidRPr="003F3347">
        <w:t>for the treatment of CML</w:t>
      </w:r>
      <w:r w:rsidR="0029761C">
        <w:t>.</w:t>
      </w:r>
      <w:r w:rsidR="00A63B82">
        <w:t xml:space="preserve"> </w:t>
      </w:r>
      <w:r w:rsidR="00A63B82" w:rsidRPr="00A63B82">
        <w:t>Th</w:t>
      </w:r>
      <w:r w:rsidR="00A63B82">
        <w:t xml:space="preserve">is </w:t>
      </w:r>
      <w:r w:rsidR="00A63B82" w:rsidRPr="003E2C2A">
        <w:t>analys</w:t>
      </w:r>
      <w:r w:rsidR="00A63B82">
        <w:t>i</w:t>
      </w:r>
      <w:r w:rsidR="00A63B82" w:rsidRPr="003E2C2A">
        <w:t xml:space="preserve">s </w:t>
      </w:r>
      <w:r w:rsidR="00A63B82">
        <w:t xml:space="preserve">is a </w:t>
      </w:r>
      <w:r w:rsidR="00A63B82" w:rsidRPr="003E2C2A">
        <w:t xml:space="preserve">part of </w:t>
      </w:r>
      <w:r w:rsidR="00A63B82">
        <w:t>the routine analys</w:t>
      </w:r>
      <w:r w:rsidR="00EC621D">
        <w:t>e</w:t>
      </w:r>
      <w:r w:rsidR="00A63B82">
        <w:t xml:space="preserve">s conducted by the DUSC investigating </w:t>
      </w:r>
      <w:r w:rsidR="00A63B82" w:rsidRPr="00A63B82">
        <w:t>how the current utilisation of PBS medicines compares with the use as recommended by the PBAC.</w:t>
      </w:r>
    </w:p>
    <w:p w14:paraId="12EF7A8D" w14:textId="77777777" w:rsidR="0061610C" w:rsidRPr="00D8420F" w:rsidRDefault="0029761C" w:rsidP="00D8420F">
      <w:pPr>
        <w:pStyle w:val="Heading4"/>
      </w:pPr>
      <w:r w:rsidRPr="00D8420F">
        <w:t>Background</w:t>
      </w:r>
    </w:p>
    <w:p w14:paraId="4D0D38F1" w14:textId="77777777" w:rsidR="009C32CE" w:rsidRPr="006B30FB" w:rsidRDefault="007C00F6" w:rsidP="006B30FB">
      <w:pPr>
        <w:rPr>
          <w:rFonts w:asciiTheme="minorHAnsi" w:hAnsiTheme="minorHAnsi"/>
          <w:b/>
        </w:rPr>
      </w:pPr>
      <w:r w:rsidRPr="006B30FB">
        <w:rPr>
          <w:rFonts w:asciiTheme="minorHAnsi" w:hAnsiTheme="minorHAnsi"/>
        </w:rPr>
        <w:t>Imatinib, dasatinib and nilotinib inhibit the activity of the abnormal tyrosine kinase created by the Philadelphia chromosome abnormality in patients with chronic myeloid leukaemia.</w:t>
      </w:r>
      <w:r w:rsidRPr="006B30FB">
        <w:rPr>
          <w:rFonts w:asciiTheme="minorHAnsi" w:hAnsiTheme="minorHAnsi"/>
          <w:highlight w:val="yellow"/>
        </w:rPr>
        <w:t xml:space="preserve"> </w:t>
      </w:r>
    </w:p>
    <w:p w14:paraId="07A86EA5" w14:textId="0F4E4FEB" w:rsidR="0029761C" w:rsidRPr="006B30FB" w:rsidRDefault="0029761C" w:rsidP="006B30FB">
      <w:pPr>
        <w:rPr>
          <w:rFonts w:asciiTheme="minorHAnsi" w:hAnsiTheme="minorHAnsi"/>
          <w:b/>
          <w:highlight w:val="yellow"/>
        </w:rPr>
      </w:pPr>
      <w:r w:rsidRPr="006B30FB">
        <w:rPr>
          <w:rFonts w:asciiTheme="minorHAnsi" w:hAnsiTheme="minorHAnsi"/>
        </w:rPr>
        <w:t xml:space="preserve">The PBS </w:t>
      </w:r>
      <w:r w:rsidR="00E57AB7" w:rsidRPr="006B30FB">
        <w:rPr>
          <w:rFonts w:asciiTheme="minorHAnsi" w:hAnsiTheme="minorHAnsi"/>
        </w:rPr>
        <w:t>r</w:t>
      </w:r>
      <w:r w:rsidRPr="006B30FB">
        <w:rPr>
          <w:rFonts w:asciiTheme="minorHAnsi" w:hAnsiTheme="minorHAnsi"/>
        </w:rPr>
        <w:t>estrictions for the TKIs for CML have evolved over time. The current PBS restrictions, when used in accordance with certain criteria, include:</w:t>
      </w:r>
    </w:p>
    <w:p w14:paraId="63A965E4" w14:textId="77777777" w:rsidR="0029761C" w:rsidRPr="003E2C2A" w:rsidRDefault="0029761C" w:rsidP="0029761C">
      <w:pPr>
        <w:pStyle w:val="ListParagraph"/>
        <w:numPr>
          <w:ilvl w:val="1"/>
          <w:numId w:val="13"/>
        </w:numPr>
        <w:spacing w:line="240" w:lineRule="auto"/>
        <w:rPr>
          <w:rFonts w:asciiTheme="minorHAnsi" w:hAnsiTheme="minorHAnsi"/>
        </w:rPr>
      </w:pPr>
      <w:r w:rsidRPr="003E2C2A">
        <w:rPr>
          <w:rFonts w:asciiTheme="minorHAnsi" w:hAnsiTheme="minorHAnsi"/>
        </w:rPr>
        <w:t>imatinib, dasatinib and nilotinib as first line therapy in the treatment of the chronic phase of CML. Patients can switch between the three drugs within first line if intolerant, but not if they have failed;</w:t>
      </w:r>
    </w:p>
    <w:p w14:paraId="74B6B8C6" w14:textId="77777777" w:rsidR="0029761C" w:rsidRPr="003E2C2A" w:rsidRDefault="0029761C" w:rsidP="0029761C">
      <w:pPr>
        <w:pStyle w:val="ListParagraph"/>
        <w:numPr>
          <w:ilvl w:val="1"/>
          <w:numId w:val="13"/>
        </w:numPr>
        <w:spacing w:line="240" w:lineRule="auto"/>
        <w:rPr>
          <w:rFonts w:asciiTheme="minorHAnsi" w:hAnsiTheme="minorHAnsi"/>
        </w:rPr>
      </w:pPr>
      <w:r w:rsidRPr="003E2C2A">
        <w:rPr>
          <w:rFonts w:asciiTheme="minorHAnsi" w:hAnsiTheme="minorHAnsi"/>
        </w:rPr>
        <w:t>imatinib in accelerated or blast phase;</w:t>
      </w:r>
    </w:p>
    <w:p w14:paraId="20DB7D77" w14:textId="77777777" w:rsidR="0029761C" w:rsidRPr="003E2C2A" w:rsidRDefault="0029761C" w:rsidP="0029761C">
      <w:pPr>
        <w:pStyle w:val="ListParagraph"/>
        <w:numPr>
          <w:ilvl w:val="1"/>
          <w:numId w:val="13"/>
        </w:numPr>
        <w:spacing w:line="240" w:lineRule="auto"/>
        <w:rPr>
          <w:rFonts w:asciiTheme="minorHAnsi" w:hAnsiTheme="minorHAnsi"/>
        </w:rPr>
      </w:pPr>
      <w:r w:rsidRPr="003E2C2A">
        <w:rPr>
          <w:rFonts w:asciiTheme="minorHAnsi" w:hAnsiTheme="minorHAnsi"/>
        </w:rPr>
        <w:t>dasatinib, after failure of first line imatinib or nilotinib, in any phase; and</w:t>
      </w:r>
    </w:p>
    <w:p w14:paraId="1F690989" w14:textId="0D16C836" w:rsidR="0029761C" w:rsidRPr="003E2C2A" w:rsidRDefault="0029761C" w:rsidP="0029761C">
      <w:pPr>
        <w:pStyle w:val="ListParagraph"/>
        <w:numPr>
          <w:ilvl w:val="1"/>
          <w:numId w:val="13"/>
        </w:numPr>
        <w:spacing w:line="240" w:lineRule="auto"/>
        <w:rPr>
          <w:rFonts w:asciiTheme="minorHAnsi" w:hAnsiTheme="minorHAnsi"/>
        </w:rPr>
      </w:pPr>
      <w:r w:rsidRPr="003E2C2A">
        <w:rPr>
          <w:rFonts w:asciiTheme="minorHAnsi" w:hAnsiTheme="minorHAnsi"/>
        </w:rPr>
        <w:t>nilotini</w:t>
      </w:r>
      <w:r w:rsidR="00B76EC8">
        <w:rPr>
          <w:rFonts w:asciiTheme="minorHAnsi" w:hAnsiTheme="minorHAnsi"/>
        </w:rPr>
        <w:t xml:space="preserve">b, after failure of first line </w:t>
      </w:r>
      <w:r w:rsidRPr="003E2C2A">
        <w:rPr>
          <w:rFonts w:asciiTheme="minorHAnsi" w:hAnsiTheme="minorHAnsi"/>
        </w:rPr>
        <w:t>imatinib or dasatinib, in the chronic or accelerated phase.</w:t>
      </w:r>
    </w:p>
    <w:p w14:paraId="20D5BD35" w14:textId="77777777" w:rsidR="00E41CEC" w:rsidRPr="000E3823" w:rsidRDefault="0029761C" w:rsidP="000E3823">
      <w:pPr>
        <w:rPr>
          <w:rFonts w:asciiTheme="minorHAnsi" w:hAnsiTheme="minorHAnsi"/>
          <w:b/>
        </w:rPr>
      </w:pPr>
      <w:r w:rsidRPr="000E3823">
        <w:rPr>
          <w:rFonts w:asciiTheme="minorHAnsi" w:hAnsiTheme="minorHAnsi"/>
        </w:rPr>
        <w:t>Authority applications are managed by the Department of Human Services (DHS) Medicare Specialised Drugs area. Initial applications require prior written approval. Subsequent applications for imatinib can be made by telephone.</w:t>
      </w:r>
    </w:p>
    <w:p w14:paraId="110B9B9D" w14:textId="42C85AEB" w:rsidR="005C4D8E" w:rsidRPr="00E05D90" w:rsidRDefault="00411CC4" w:rsidP="00BF0390">
      <w:pPr>
        <w:pStyle w:val="Heading4"/>
      </w:pPr>
      <w:r w:rsidRPr="00E05D90">
        <w:t xml:space="preserve">Date of </w:t>
      </w:r>
      <w:r w:rsidR="00F11944" w:rsidRPr="00E05D90">
        <w:t xml:space="preserve">listing on </w:t>
      </w:r>
      <w:r w:rsidRPr="00E05D90">
        <w:t>PBS</w:t>
      </w:r>
    </w:p>
    <w:p w14:paraId="1B54B9D9" w14:textId="77777777" w:rsidR="00E41CEC" w:rsidRDefault="00C63E5F" w:rsidP="003E2C2A">
      <w:pPr>
        <w:spacing w:after="0"/>
        <w:rPr>
          <w:rFonts w:asciiTheme="minorHAnsi" w:hAnsiTheme="minorHAnsi"/>
        </w:rPr>
      </w:pPr>
      <w:r>
        <w:rPr>
          <w:rFonts w:asciiTheme="minorHAnsi" w:hAnsiTheme="minorHAnsi"/>
        </w:rPr>
        <w:t>For CML:</w:t>
      </w:r>
    </w:p>
    <w:p w14:paraId="4F48389E" w14:textId="1C6A7075" w:rsidR="00C63E5F" w:rsidRDefault="006D2289" w:rsidP="003E2C2A">
      <w:pPr>
        <w:spacing w:after="0"/>
        <w:rPr>
          <w:rFonts w:asciiTheme="minorHAnsi" w:hAnsiTheme="minorHAnsi"/>
        </w:rPr>
      </w:pPr>
      <w:r w:rsidRPr="006D2289">
        <w:rPr>
          <w:rFonts w:asciiTheme="minorHAnsi" w:hAnsiTheme="minorHAnsi"/>
        </w:rPr>
        <w:t>Imatinib</w:t>
      </w:r>
      <w:r w:rsidR="00C63E5F">
        <w:rPr>
          <w:rFonts w:asciiTheme="minorHAnsi" w:hAnsiTheme="minorHAnsi"/>
        </w:rPr>
        <w:t>: December 2001;</w:t>
      </w:r>
      <w:r w:rsidRPr="006D2289">
        <w:rPr>
          <w:rFonts w:asciiTheme="minorHAnsi" w:hAnsiTheme="minorHAnsi"/>
        </w:rPr>
        <w:t xml:space="preserve"> </w:t>
      </w:r>
    </w:p>
    <w:p w14:paraId="7A694AEB" w14:textId="18F61314" w:rsidR="00C63E5F" w:rsidRDefault="00206AE7" w:rsidP="003E2C2A">
      <w:pPr>
        <w:spacing w:after="0"/>
        <w:rPr>
          <w:rFonts w:asciiTheme="minorHAnsi" w:hAnsiTheme="minorHAnsi"/>
        </w:rPr>
      </w:pPr>
      <w:r>
        <w:rPr>
          <w:rFonts w:asciiTheme="minorHAnsi" w:hAnsiTheme="minorHAnsi"/>
        </w:rPr>
        <w:lastRenderedPageBreak/>
        <w:t>d</w:t>
      </w:r>
      <w:r w:rsidR="006D2289" w:rsidRPr="00C63E5F">
        <w:rPr>
          <w:rFonts w:asciiTheme="minorHAnsi" w:hAnsiTheme="minorHAnsi"/>
        </w:rPr>
        <w:t>asatinib</w:t>
      </w:r>
      <w:r w:rsidR="00C63E5F">
        <w:rPr>
          <w:rFonts w:asciiTheme="minorHAnsi" w:hAnsiTheme="minorHAnsi"/>
        </w:rPr>
        <w:t xml:space="preserve">: </w:t>
      </w:r>
      <w:r w:rsidR="006D2289" w:rsidRPr="00C63E5F">
        <w:rPr>
          <w:rFonts w:asciiTheme="minorHAnsi" w:hAnsiTheme="minorHAnsi"/>
        </w:rPr>
        <w:t>August 2007</w:t>
      </w:r>
      <w:r w:rsidR="00C63E5F">
        <w:rPr>
          <w:rFonts w:asciiTheme="minorHAnsi" w:hAnsiTheme="minorHAnsi"/>
        </w:rPr>
        <w:t>;</w:t>
      </w:r>
    </w:p>
    <w:p w14:paraId="26163F97" w14:textId="1C9DE750" w:rsidR="006D2289" w:rsidRPr="00C63E5F" w:rsidRDefault="006D2289" w:rsidP="003E2C2A">
      <w:r w:rsidRPr="00C63E5F">
        <w:rPr>
          <w:rFonts w:asciiTheme="minorHAnsi" w:hAnsiTheme="minorHAnsi"/>
        </w:rPr>
        <w:t>nilotinib</w:t>
      </w:r>
      <w:r w:rsidR="00321022">
        <w:rPr>
          <w:rFonts w:asciiTheme="minorHAnsi" w:hAnsiTheme="minorHAnsi"/>
        </w:rPr>
        <w:t xml:space="preserve">: </w:t>
      </w:r>
      <w:r w:rsidRPr="00C63E5F">
        <w:rPr>
          <w:rFonts w:asciiTheme="minorHAnsi" w:hAnsiTheme="minorHAnsi"/>
        </w:rPr>
        <w:t>August 2008.</w:t>
      </w:r>
    </w:p>
    <w:p w14:paraId="542F7E38" w14:textId="77777777" w:rsidR="0029761C" w:rsidRPr="00F712E4" w:rsidRDefault="0029761C" w:rsidP="00BB498B">
      <w:pPr>
        <w:pStyle w:val="Heading4"/>
      </w:pPr>
      <w:r w:rsidRPr="00F712E4">
        <w:t>Data Source</w:t>
      </w:r>
    </w:p>
    <w:p w14:paraId="3D09FC9E" w14:textId="29C27B98" w:rsidR="0029761C" w:rsidRPr="00F712E4" w:rsidRDefault="0029761C" w:rsidP="00F712E4">
      <w:pPr>
        <w:rPr>
          <w:rFonts w:asciiTheme="minorHAnsi" w:hAnsiTheme="minorHAnsi"/>
          <w:b/>
        </w:rPr>
      </w:pPr>
      <w:r w:rsidRPr="00F712E4">
        <w:rPr>
          <w:rFonts w:asciiTheme="minorHAnsi" w:hAnsiTheme="minorHAnsi"/>
        </w:rPr>
        <w:t xml:space="preserve">The DHS Medicare prescription database provided supplied R/PBS prescription </w:t>
      </w:r>
      <w:r w:rsidR="00EA0570" w:rsidRPr="00F712E4">
        <w:rPr>
          <w:rFonts w:asciiTheme="minorHAnsi" w:hAnsiTheme="minorHAnsi"/>
        </w:rPr>
        <w:t xml:space="preserve">data </w:t>
      </w:r>
      <w:r w:rsidRPr="00F712E4">
        <w:rPr>
          <w:rFonts w:asciiTheme="minorHAnsi" w:hAnsiTheme="minorHAnsi"/>
        </w:rPr>
        <w:t>and associated expenditure. The DHS Medicare Authority Approval database provided supplementary data on the phase of the disease and whether use was initial or continuing treatment.</w:t>
      </w:r>
    </w:p>
    <w:p w14:paraId="432CFDCF" w14:textId="77777777" w:rsidR="0029761C" w:rsidRPr="00F712E4" w:rsidRDefault="0029761C" w:rsidP="00BB498B">
      <w:pPr>
        <w:pStyle w:val="Heading4"/>
      </w:pPr>
      <w:r w:rsidRPr="00F712E4">
        <w:t>Key Findings</w:t>
      </w:r>
    </w:p>
    <w:p w14:paraId="3011C1D2" w14:textId="77777777" w:rsidR="0029761C" w:rsidRDefault="0029761C" w:rsidP="0029761C">
      <w:pPr>
        <w:pStyle w:val="ListParagraph"/>
        <w:numPr>
          <w:ilvl w:val="0"/>
          <w:numId w:val="13"/>
        </w:numPr>
        <w:spacing w:line="240" w:lineRule="auto"/>
        <w:rPr>
          <w:rFonts w:asciiTheme="minorHAnsi" w:hAnsiTheme="minorHAnsi"/>
        </w:rPr>
      </w:pPr>
      <w:r w:rsidRPr="003E2C2A">
        <w:rPr>
          <w:rFonts w:asciiTheme="minorHAnsi" w:hAnsiTheme="minorHAnsi"/>
        </w:rPr>
        <w:t xml:space="preserve">The number of patients on treatment, number of prescriptions and expenditure of TKIs for CML has increased steadily (i.e. linear tread) over a 12 year period from 2001 to 2013. This reflects the increasing prevalence of CML as mortality from CML declines and patients continue on treatment. Utilisation is expected to continue to increase in the future. </w:t>
      </w:r>
    </w:p>
    <w:p w14:paraId="7E759510" w14:textId="05CC8CD5" w:rsidR="0064681E" w:rsidRPr="003E2C2A" w:rsidRDefault="0064681E" w:rsidP="0064681E">
      <w:pPr>
        <w:pStyle w:val="ListParagraph"/>
        <w:numPr>
          <w:ilvl w:val="0"/>
          <w:numId w:val="13"/>
        </w:numPr>
        <w:spacing w:line="240" w:lineRule="auto"/>
        <w:rPr>
          <w:rFonts w:asciiTheme="minorHAnsi" w:hAnsiTheme="minorHAnsi"/>
        </w:rPr>
      </w:pPr>
      <w:r w:rsidRPr="0064681E">
        <w:rPr>
          <w:rFonts w:asciiTheme="minorHAnsi" w:hAnsiTheme="minorHAnsi"/>
        </w:rPr>
        <w:t>The DUSC considered that the steadily increasing expenditure for TKIs in CML is explicable entirely on the basis of increased survival.</w:t>
      </w:r>
    </w:p>
    <w:p w14:paraId="3445640A" w14:textId="4D41C3B1" w:rsidR="0029761C" w:rsidRPr="003E2C2A" w:rsidRDefault="0029761C" w:rsidP="0029761C">
      <w:pPr>
        <w:pStyle w:val="ListParagraph"/>
        <w:numPr>
          <w:ilvl w:val="0"/>
          <w:numId w:val="13"/>
        </w:numPr>
        <w:spacing w:line="240" w:lineRule="auto"/>
        <w:rPr>
          <w:rFonts w:asciiTheme="minorHAnsi" w:hAnsiTheme="minorHAnsi"/>
        </w:rPr>
      </w:pPr>
      <w:r w:rsidRPr="003E2C2A">
        <w:rPr>
          <w:rFonts w:asciiTheme="minorHAnsi" w:hAnsiTheme="minorHAnsi"/>
        </w:rPr>
        <w:t xml:space="preserve">The number of new patients commencing treatment has remained stable. This trend is consistent with incidence of CML reported by </w:t>
      </w:r>
      <w:r w:rsidR="004F4531">
        <w:rPr>
          <w:rFonts w:asciiTheme="minorHAnsi" w:hAnsiTheme="minorHAnsi"/>
        </w:rPr>
        <w:t xml:space="preserve">the </w:t>
      </w:r>
      <w:r w:rsidRPr="003E2C2A">
        <w:rPr>
          <w:rFonts w:asciiTheme="minorHAnsi" w:hAnsiTheme="minorHAnsi"/>
        </w:rPr>
        <w:t>AIHW.</w:t>
      </w:r>
    </w:p>
    <w:p w14:paraId="651BA9CC" w14:textId="236463D2" w:rsidR="0029761C" w:rsidRPr="003E2C2A" w:rsidRDefault="0029761C" w:rsidP="0029761C">
      <w:pPr>
        <w:pStyle w:val="ListParagraph"/>
        <w:numPr>
          <w:ilvl w:val="0"/>
          <w:numId w:val="13"/>
        </w:numPr>
        <w:spacing w:line="240" w:lineRule="auto"/>
        <w:rPr>
          <w:rFonts w:asciiTheme="minorHAnsi" w:hAnsiTheme="minorHAnsi"/>
        </w:rPr>
      </w:pPr>
      <w:r w:rsidRPr="003E2C2A">
        <w:rPr>
          <w:rFonts w:asciiTheme="minorHAnsi" w:hAnsiTheme="minorHAnsi"/>
        </w:rPr>
        <w:t xml:space="preserve">Listing of dasatinib and nilotinib for chronic phase CML after failure of imatinib, and subsequently as first line therapy, has not had a noticeable impact on the steady upward trend in prevalent patients, </w:t>
      </w:r>
      <w:r w:rsidR="00A87045">
        <w:rPr>
          <w:rFonts w:asciiTheme="minorHAnsi" w:hAnsiTheme="minorHAnsi"/>
        </w:rPr>
        <w:t>pre</w:t>
      </w:r>
      <w:r w:rsidRPr="003E2C2A">
        <w:rPr>
          <w:rFonts w:asciiTheme="minorHAnsi" w:hAnsiTheme="minorHAnsi"/>
        </w:rPr>
        <w:t>script</w:t>
      </w:r>
      <w:r w:rsidR="00A87045">
        <w:rPr>
          <w:rFonts w:asciiTheme="minorHAnsi" w:hAnsiTheme="minorHAnsi"/>
        </w:rPr>
        <w:t>ion</w:t>
      </w:r>
      <w:r w:rsidRPr="003E2C2A">
        <w:rPr>
          <w:rFonts w:asciiTheme="minorHAnsi" w:hAnsiTheme="minorHAnsi"/>
        </w:rPr>
        <w:t xml:space="preserve"> utilisation and expenditure for CML drugs. </w:t>
      </w:r>
    </w:p>
    <w:p w14:paraId="125887E2" w14:textId="77777777" w:rsidR="007B6126" w:rsidRDefault="007B6126">
      <w:pPr>
        <w:rPr>
          <w:rFonts w:asciiTheme="minorHAnsi" w:eastAsiaTheme="majorEastAsia" w:hAnsiTheme="minorHAnsi" w:cstheme="majorBidi"/>
          <w:b/>
          <w:bCs/>
          <w:sz w:val="28"/>
          <w:szCs w:val="28"/>
        </w:rPr>
      </w:pPr>
      <w:r>
        <w:rPr>
          <w:rFonts w:asciiTheme="minorHAnsi" w:hAnsiTheme="minorHAnsi"/>
          <w:sz w:val="28"/>
          <w:szCs w:val="28"/>
        </w:rPr>
        <w:br w:type="page"/>
      </w:r>
    </w:p>
    <w:p w14:paraId="5B262047" w14:textId="3C6BE5B8" w:rsidR="00E677DD" w:rsidRPr="00BF0390" w:rsidRDefault="00E677DD" w:rsidP="00BF0390">
      <w:pPr>
        <w:pStyle w:val="Heading3"/>
      </w:pPr>
      <w:r w:rsidRPr="00BF0390">
        <w:lastRenderedPageBreak/>
        <w:t xml:space="preserve">Purpose of </w:t>
      </w:r>
      <w:r w:rsidR="00D151EB" w:rsidRPr="00BF0390">
        <w:t>analysis</w:t>
      </w:r>
    </w:p>
    <w:p w14:paraId="3C37C2EC" w14:textId="2AC2AC5F" w:rsidR="009B2FB9" w:rsidRPr="00A63B82" w:rsidRDefault="009B2FB9" w:rsidP="004874F4">
      <w:pPr>
        <w:pStyle w:val="NoSpacing"/>
        <w:spacing w:after="200"/>
      </w:pPr>
      <w:r>
        <w:t xml:space="preserve">The </w:t>
      </w:r>
      <w:r w:rsidRPr="003F3347">
        <w:t>DUSC request</w:t>
      </w:r>
      <w:r>
        <w:t>ed</w:t>
      </w:r>
      <w:r w:rsidRPr="003F3347">
        <w:t xml:space="preserve"> an analysis of </w:t>
      </w:r>
      <w:r>
        <w:t>the utilisation of PBS-listed tyrosine kinase inhibitors</w:t>
      </w:r>
      <w:r w:rsidRPr="003F3347">
        <w:t xml:space="preserve"> </w:t>
      </w:r>
      <w:r>
        <w:t xml:space="preserve">(TKIs), imatinib, dasatinib and nilotinib, </w:t>
      </w:r>
      <w:r w:rsidRPr="003F3347">
        <w:t>for the treatment of CML</w:t>
      </w:r>
      <w:r>
        <w:t xml:space="preserve">. </w:t>
      </w:r>
      <w:r w:rsidRPr="00A63B82">
        <w:t>Th</w:t>
      </w:r>
      <w:r>
        <w:t xml:space="preserve">is </w:t>
      </w:r>
      <w:r w:rsidRPr="00920762">
        <w:t>analys</w:t>
      </w:r>
      <w:r>
        <w:t>i</w:t>
      </w:r>
      <w:r w:rsidRPr="00920762">
        <w:t xml:space="preserve">s </w:t>
      </w:r>
      <w:r>
        <w:t xml:space="preserve">is a </w:t>
      </w:r>
      <w:r w:rsidRPr="00920762">
        <w:t xml:space="preserve">part of </w:t>
      </w:r>
      <w:r>
        <w:t xml:space="preserve">the routine analyses conducted by the DUSC investigating </w:t>
      </w:r>
      <w:r w:rsidRPr="00A63B82">
        <w:t>how the current utilisation of PBS medicines compares with the use as recommended by the PBAC.</w:t>
      </w:r>
    </w:p>
    <w:p w14:paraId="0A7F0B57" w14:textId="2BFEFDCC" w:rsidR="006537D9" w:rsidRPr="008A4430" w:rsidRDefault="00736041" w:rsidP="00C91CA3">
      <w:pPr>
        <w:pStyle w:val="Heading3"/>
      </w:pPr>
      <w:r w:rsidRPr="008A4430">
        <w:t>Background</w:t>
      </w:r>
    </w:p>
    <w:p w14:paraId="0183A567" w14:textId="2367EF77" w:rsidR="007247B9" w:rsidRPr="00C91CA3" w:rsidRDefault="007247B9" w:rsidP="002E6F36">
      <w:pPr>
        <w:pStyle w:val="Heading4"/>
      </w:pPr>
      <w:r w:rsidRPr="00C91CA3">
        <w:t>Pharmacology</w:t>
      </w:r>
    </w:p>
    <w:p w14:paraId="13A4FA2D" w14:textId="3697BE39" w:rsidR="00163AA9" w:rsidRPr="00B24DAA" w:rsidRDefault="00163AA9" w:rsidP="00B24DAA">
      <w:pPr>
        <w:rPr>
          <w:rFonts w:asciiTheme="minorHAnsi" w:hAnsiTheme="minorHAnsi"/>
          <w:b/>
          <w:vertAlign w:val="superscript"/>
        </w:rPr>
      </w:pPr>
      <w:r w:rsidRPr="00B24DAA">
        <w:rPr>
          <w:rFonts w:asciiTheme="minorHAnsi" w:hAnsiTheme="minorHAnsi"/>
        </w:rPr>
        <w:t>Imatinib, dasatinib and nilotini</w:t>
      </w:r>
      <w:r w:rsidR="000A201E" w:rsidRPr="00B24DAA">
        <w:rPr>
          <w:rFonts w:asciiTheme="minorHAnsi" w:hAnsiTheme="minorHAnsi"/>
        </w:rPr>
        <w:t>b</w:t>
      </w:r>
      <w:r w:rsidRPr="00B24DAA">
        <w:rPr>
          <w:rFonts w:asciiTheme="minorHAnsi" w:hAnsiTheme="minorHAnsi"/>
        </w:rPr>
        <w:t xml:space="preserve"> are protein-tyrosine kinase inhibitors that inhibit the activity of the BCR-ABL tyrosine kinase, the constitutive abnormal tyrosine kinase created by the Philadelphia chromosome abnormality in </w:t>
      </w:r>
      <w:r w:rsidR="008A44DE" w:rsidRPr="00B24DAA">
        <w:rPr>
          <w:rFonts w:asciiTheme="minorHAnsi" w:hAnsiTheme="minorHAnsi"/>
        </w:rPr>
        <w:t xml:space="preserve">patients with </w:t>
      </w:r>
      <w:r w:rsidRPr="00B24DAA">
        <w:rPr>
          <w:rFonts w:asciiTheme="minorHAnsi" w:hAnsiTheme="minorHAnsi"/>
        </w:rPr>
        <w:t>CML.</w:t>
      </w:r>
      <w:r w:rsidR="009156D8" w:rsidRPr="00B24DAA">
        <w:rPr>
          <w:rStyle w:val="FootnoteReference"/>
          <w:rFonts w:asciiTheme="minorHAnsi" w:hAnsiTheme="minorHAnsi"/>
        </w:rPr>
        <w:footnoteReference w:id="1"/>
      </w:r>
      <w:r w:rsidR="00EF6209" w:rsidRPr="00B24DAA">
        <w:rPr>
          <w:rFonts w:asciiTheme="minorHAnsi" w:hAnsiTheme="minorHAnsi"/>
          <w:vertAlign w:val="superscript"/>
        </w:rPr>
        <w:t>,</w:t>
      </w:r>
      <w:r w:rsidR="00EF6209" w:rsidRPr="00B24DAA">
        <w:rPr>
          <w:rStyle w:val="FootnoteReference"/>
          <w:rFonts w:asciiTheme="minorHAnsi" w:hAnsiTheme="minorHAnsi"/>
        </w:rPr>
        <w:footnoteReference w:id="2"/>
      </w:r>
      <w:r w:rsidR="00547883" w:rsidRPr="00B24DAA">
        <w:rPr>
          <w:rFonts w:asciiTheme="minorHAnsi" w:hAnsiTheme="minorHAnsi"/>
          <w:vertAlign w:val="superscript"/>
        </w:rPr>
        <w:t>,</w:t>
      </w:r>
      <w:r w:rsidR="00547883" w:rsidRPr="00B24DAA">
        <w:rPr>
          <w:rStyle w:val="FootnoteReference"/>
          <w:rFonts w:asciiTheme="minorHAnsi" w:hAnsiTheme="minorHAnsi"/>
        </w:rPr>
        <w:footnoteReference w:id="3"/>
      </w:r>
    </w:p>
    <w:p w14:paraId="6AC18C88" w14:textId="232100E3" w:rsidR="001420B3" w:rsidRPr="007D306C" w:rsidRDefault="001420B3" w:rsidP="007D306C">
      <w:pPr>
        <w:pStyle w:val="Heading4"/>
      </w:pPr>
      <w:r w:rsidRPr="007D306C">
        <w:t>TGA approved indications</w:t>
      </w:r>
    </w:p>
    <w:p w14:paraId="5D87F00E" w14:textId="77777777" w:rsidR="00163AA9" w:rsidRPr="00163AA9" w:rsidRDefault="00163AA9" w:rsidP="00163AA9">
      <w:pPr>
        <w:spacing w:line="240" w:lineRule="auto"/>
        <w:rPr>
          <w:rFonts w:asciiTheme="minorHAnsi" w:hAnsiTheme="minorHAnsi"/>
        </w:rPr>
      </w:pPr>
      <w:r w:rsidRPr="00163AA9">
        <w:rPr>
          <w:rFonts w:asciiTheme="minorHAnsi" w:hAnsiTheme="minorHAnsi"/>
          <w:b/>
        </w:rPr>
        <w:t>Imatinib (Glivec®)</w:t>
      </w:r>
      <w:r w:rsidRPr="00163AA9">
        <w:rPr>
          <w:rFonts w:asciiTheme="minorHAnsi" w:hAnsiTheme="minorHAnsi"/>
        </w:rPr>
        <w:t xml:space="preserve"> is indicated for the treatment of patients with CML.</w:t>
      </w:r>
    </w:p>
    <w:p w14:paraId="43113103" w14:textId="77777777" w:rsidR="00163AA9" w:rsidRPr="00163AA9" w:rsidRDefault="00163AA9" w:rsidP="00163AA9">
      <w:pPr>
        <w:spacing w:line="240" w:lineRule="auto"/>
        <w:rPr>
          <w:rFonts w:asciiTheme="minorHAnsi" w:hAnsiTheme="minorHAnsi"/>
        </w:rPr>
      </w:pPr>
      <w:r w:rsidRPr="00163AA9">
        <w:rPr>
          <w:rFonts w:asciiTheme="minorHAnsi" w:hAnsiTheme="minorHAnsi"/>
          <w:b/>
        </w:rPr>
        <w:t>Dasatinib (Sprycel®)</w:t>
      </w:r>
      <w:r w:rsidRPr="00163AA9">
        <w:rPr>
          <w:rFonts w:asciiTheme="minorHAnsi" w:hAnsiTheme="minorHAnsi"/>
        </w:rPr>
        <w:t xml:space="preserve"> is indicated for the treatment of:</w:t>
      </w:r>
    </w:p>
    <w:p w14:paraId="05921776" w14:textId="77777777" w:rsidR="00163AA9" w:rsidRPr="00163AA9" w:rsidRDefault="00163AA9" w:rsidP="00163AA9">
      <w:pPr>
        <w:numPr>
          <w:ilvl w:val="0"/>
          <w:numId w:val="10"/>
        </w:numPr>
        <w:spacing w:line="240" w:lineRule="auto"/>
        <w:contextualSpacing/>
        <w:rPr>
          <w:rFonts w:asciiTheme="minorHAnsi" w:hAnsiTheme="minorHAnsi"/>
        </w:rPr>
      </w:pPr>
      <w:r w:rsidRPr="00163AA9">
        <w:rPr>
          <w:rFonts w:asciiTheme="minorHAnsi" w:hAnsiTheme="minorHAnsi"/>
        </w:rPr>
        <w:t>adults aged 18 years or over with newly diagnosed Philadelphia chromosome positive (Ph+) CML in the chronic phase; and</w:t>
      </w:r>
    </w:p>
    <w:p w14:paraId="509AB566" w14:textId="5998A263" w:rsidR="00163AA9" w:rsidRDefault="00B76EC8" w:rsidP="00163AA9">
      <w:pPr>
        <w:numPr>
          <w:ilvl w:val="0"/>
          <w:numId w:val="10"/>
        </w:numPr>
        <w:spacing w:line="240" w:lineRule="auto"/>
        <w:contextualSpacing/>
        <w:rPr>
          <w:rFonts w:asciiTheme="minorHAnsi" w:hAnsiTheme="minorHAnsi"/>
        </w:rPr>
      </w:pPr>
      <w:r>
        <w:rPr>
          <w:rFonts w:asciiTheme="minorHAnsi" w:hAnsiTheme="minorHAnsi"/>
        </w:rPr>
        <w:t xml:space="preserve">adults aged 18 years or over </w:t>
      </w:r>
      <w:r w:rsidRPr="00163AA9">
        <w:rPr>
          <w:rFonts w:asciiTheme="minorHAnsi" w:hAnsiTheme="minorHAnsi"/>
        </w:rPr>
        <w:t>with chronic, accelerated or myeloid or lymphoid blast phase CML with resistance or intolerance to prior therapy including imatinib.</w:t>
      </w:r>
    </w:p>
    <w:p w14:paraId="2984C693" w14:textId="77777777" w:rsidR="00473642" w:rsidRPr="00163AA9" w:rsidRDefault="00473642" w:rsidP="003E2C2A">
      <w:pPr>
        <w:spacing w:line="240" w:lineRule="auto"/>
        <w:contextualSpacing/>
        <w:rPr>
          <w:rFonts w:asciiTheme="minorHAnsi" w:hAnsiTheme="minorHAnsi"/>
        </w:rPr>
      </w:pPr>
    </w:p>
    <w:p w14:paraId="5A2DF859" w14:textId="77777777" w:rsidR="00163AA9" w:rsidRPr="00163AA9" w:rsidRDefault="00163AA9" w:rsidP="00163AA9">
      <w:pPr>
        <w:spacing w:before="240" w:line="240" w:lineRule="auto"/>
        <w:rPr>
          <w:rFonts w:asciiTheme="minorHAnsi" w:hAnsiTheme="minorHAnsi"/>
        </w:rPr>
      </w:pPr>
      <w:r w:rsidRPr="00163AA9">
        <w:rPr>
          <w:rFonts w:asciiTheme="minorHAnsi" w:eastAsia="MS Mincho" w:hAnsiTheme="minorHAnsi"/>
          <w:b/>
          <w:lang w:eastAsia="ja-JP"/>
        </w:rPr>
        <w:t>Nilotinib (Tasigna®)</w:t>
      </w:r>
      <w:r w:rsidRPr="00163AA9">
        <w:rPr>
          <w:rFonts w:asciiTheme="minorHAnsi" w:hAnsiTheme="minorHAnsi"/>
        </w:rPr>
        <w:t xml:space="preserve"> is indicated for the treatment of:</w:t>
      </w:r>
    </w:p>
    <w:p w14:paraId="309D568F" w14:textId="77777777" w:rsidR="00163AA9" w:rsidRPr="00163AA9" w:rsidRDefault="00163AA9" w:rsidP="00163AA9">
      <w:pPr>
        <w:numPr>
          <w:ilvl w:val="0"/>
          <w:numId w:val="11"/>
        </w:numPr>
        <w:spacing w:line="240" w:lineRule="auto"/>
        <w:contextualSpacing/>
        <w:rPr>
          <w:rFonts w:asciiTheme="minorHAnsi" w:hAnsiTheme="minorHAnsi"/>
        </w:rPr>
      </w:pPr>
      <w:r w:rsidRPr="00163AA9">
        <w:rPr>
          <w:rFonts w:asciiTheme="minorHAnsi" w:hAnsiTheme="minorHAnsi"/>
        </w:rPr>
        <w:t>adult patients with newly diagnosed Ph+ CML in chronic phase; and</w:t>
      </w:r>
    </w:p>
    <w:p w14:paraId="1F0E78D4" w14:textId="79AD9296" w:rsidR="00163AA9" w:rsidRPr="00163AA9" w:rsidRDefault="00163AA9" w:rsidP="00FD5B8A">
      <w:pPr>
        <w:numPr>
          <w:ilvl w:val="0"/>
          <w:numId w:val="11"/>
        </w:numPr>
        <w:spacing w:line="240" w:lineRule="auto"/>
        <w:contextualSpacing/>
        <w:rPr>
          <w:rFonts w:asciiTheme="minorHAnsi" w:hAnsiTheme="minorHAnsi"/>
        </w:rPr>
      </w:pPr>
      <w:r w:rsidRPr="00163AA9">
        <w:rPr>
          <w:rFonts w:asciiTheme="minorHAnsi" w:hAnsiTheme="minorHAnsi"/>
        </w:rPr>
        <w:t xml:space="preserve">adults with chronic phase and accelerated phase Ph+ CML resistant to or intolerant </w:t>
      </w:r>
      <w:r w:rsidR="00B76EC8" w:rsidRPr="00163AA9">
        <w:rPr>
          <w:rFonts w:asciiTheme="minorHAnsi" w:hAnsiTheme="minorHAnsi"/>
        </w:rPr>
        <w:t>of prior</w:t>
      </w:r>
      <w:r w:rsidRPr="00163AA9">
        <w:rPr>
          <w:rFonts w:asciiTheme="minorHAnsi" w:hAnsiTheme="minorHAnsi"/>
        </w:rPr>
        <w:t xml:space="preserve"> therapy including imatinib.</w:t>
      </w:r>
    </w:p>
    <w:p w14:paraId="093E1E6F" w14:textId="31B2811D" w:rsidR="00163AA9" w:rsidRPr="00257E23" w:rsidRDefault="00163AA9" w:rsidP="00257E23">
      <w:pPr>
        <w:rPr>
          <w:rFonts w:asciiTheme="minorHAnsi" w:hAnsiTheme="minorHAnsi"/>
        </w:rPr>
      </w:pPr>
      <w:r w:rsidRPr="00257E23">
        <w:rPr>
          <w:rFonts w:asciiTheme="minorHAnsi" w:hAnsiTheme="minorHAnsi"/>
        </w:rPr>
        <w:t xml:space="preserve">Imatinib and dasatinib are registered for indications other than CML. </w:t>
      </w:r>
      <w:r w:rsidR="008A44DE" w:rsidRPr="00257E23">
        <w:rPr>
          <w:rFonts w:asciiTheme="minorHAnsi" w:hAnsiTheme="minorHAnsi"/>
        </w:rPr>
        <w:t>For more information, see the</w:t>
      </w:r>
      <w:r w:rsidRPr="00257E23">
        <w:rPr>
          <w:rFonts w:asciiTheme="minorHAnsi" w:hAnsiTheme="minorHAnsi"/>
        </w:rPr>
        <w:t xml:space="preserve"> Product Information for details (</w:t>
      </w:r>
      <w:r w:rsidR="00F741A3" w:rsidRPr="00257E23">
        <w:rPr>
          <w:rFonts w:asciiTheme="minorHAnsi" w:hAnsiTheme="minorHAnsi"/>
        </w:rPr>
        <w:t>http://tga.gov.au/hp/information-medicines-pi.htm</w:t>
      </w:r>
      <w:r w:rsidRPr="00257E23">
        <w:rPr>
          <w:rFonts w:asciiTheme="minorHAnsi" w:hAnsiTheme="minorHAnsi"/>
        </w:rPr>
        <w:t xml:space="preserve">). </w:t>
      </w:r>
    </w:p>
    <w:p w14:paraId="6CE633CA" w14:textId="77777777" w:rsidR="00DE7D87" w:rsidRDefault="00DE7D87">
      <w:pPr>
        <w:rPr>
          <w:rFonts w:asciiTheme="minorHAnsi" w:eastAsiaTheme="majorEastAsia" w:hAnsiTheme="minorHAnsi" w:cstheme="majorBidi"/>
          <w:b/>
          <w:bCs/>
          <w:sz w:val="28"/>
          <w:szCs w:val="32"/>
        </w:rPr>
      </w:pPr>
      <w:r>
        <w:br w:type="page"/>
      </w:r>
    </w:p>
    <w:p w14:paraId="15E919C1" w14:textId="0463349E" w:rsidR="006B709B" w:rsidRPr="00250284" w:rsidRDefault="006B709B" w:rsidP="001828AC">
      <w:pPr>
        <w:pStyle w:val="Heading4"/>
      </w:pPr>
      <w:r w:rsidRPr="00250284">
        <w:t>Dosage and administration</w:t>
      </w:r>
    </w:p>
    <w:p w14:paraId="4E4F99E7" w14:textId="77777777" w:rsidR="00337078" w:rsidRDefault="00337078" w:rsidP="00337078">
      <w:pPr>
        <w:spacing w:line="240" w:lineRule="auto"/>
        <w:rPr>
          <w:rFonts w:asciiTheme="minorHAnsi" w:hAnsiTheme="minorHAnsi"/>
        </w:rPr>
      </w:pPr>
      <w:r w:rsidRPr="00337078">
        <w:rPr>
          <w:rFonts w:asciiTheme="minorHAnsi" w:hAnsiTheme="minorHAnsi"/>
        </w:rPr>
        <w:t>Table 1: TGA approved doses of TKIs for CML</w:t>
      </w:r>
    </w:p>
    <w:tbl>
      <w:tblPr>
        <w:tblStyle w:val="TableGrid1"/>
        <w:tblW w:w="5000" w:type="pct"/>
        <w:tblLook w:val="04A0" w:firstRow="1" w:lastRow="0" w:firstColumn="1" w:lastColumn="0" w:noHBand="0" w:noVBand="1"/>
        <w:tblCaption w:val="Table 1: TGA approved doses of TKIs for CML"/>
        <w:tblDescription w:val="The doses of TKIs for the treatment of CML in the product information apprved by the Therapeutic Goods Administration"/>
      </w:tblPr>
      <w:tblGrid>
        <w:gridCol w:w="1539"/>
        <w:gridCol w:w="1274"/>
        <w:gridCol w:w="6429"/>
      </w:tblGrid>
      <w:tr w:rsidR="009156D8" w:rsidRPr="00391B61" w14:paraId="22646572" w14:textId="77777777" w:rsidTr="00830293">
        <w:trPr>
          <w:tblHeader/>
        </w:trPr>
        <w:tc>
          <w:tcPr>
            <w:tcW w:w="833" w:type="pct"/>
            <w:shd w:val="clear" w:color="auto" w:fill="BFBFBF" w:themeFill="background1" w:themeFillShade="BF"/>
          </w:tcPr>
          <w:p w14:paraId="29F7A463" w14:textId="77777777" w:rsidR="009156D8" w:rsidRPr="00391B61" w:rsidRDefault="009156D8" w:rsidP="00C10671">
            <w:pPr>
              <w:rPr>
                <w:rFonts w:ascii="Calibri" w:hAnsi="Calibri" w:cs="Times New Roman"/>
                <w:b/>
                <w:sz w:val="20"/>
                <w:szCs w:val="20"/>
              </w:rPr>
            </w:pPr>
            <w:r w:rsidRPr="00391B61">
              <w:rPr>
                <w:rFonts w:ascii="Calibri" w:hAnsi="Calibri" w:cs="Times New Roman"/>
                <w:b/>
                <w:sz w:val="20"/>
                <w:szCs w:val="20"/>
              </w:rPr>
              <w:t>Phase</w:t>
            </w:r>
          </w:p>
        </w:tc>
        <w:tc>
          <w:tcPr>
            <w:tcW w:w="689" w:type="pct"/>
            <w:shd w:val="clear" w:color="auto" w:fill="BFBFBF" w:themeFill="background1" w:themeFillShade="BF"/>
          </w:tcPr>
          <w:p w14:paraId="1C6A412F" w14:textId="77777777" w:rsidR="009156D8" w:rsidRPr="00391B61" w:rsidRDefault="009156D8" w:rsidP="00C10671">
            <w:pPr>
              <w:rPr>
                <w:rFonts w:ascii="Calibri" w:hAnsi="Calibri" w:cs="Times New Roman"/>
                <w:b/>
                <w:sz w:val="20"/>
                <w:szCs w:val="20"/>
              </w:rPr>
            </w:pPr>
            <w:r w:rsidRPr="00391B61">
              <w:rPr>
                <w:rFonts w:ascii="Calibri" w:hAnsi="Calibri" w:cs="Times New Roman"/>
                <w:b/>
                <w:sz w:val="20"/>
                <w:szCs w:val="20"/>
              </w:rPr>
              <w:t>Drug</w:t>
            </w:r>
          </w:p>
        </w:tc>
        <w:tc>
          <w:tcPr>
            <w:tcW w:w="3478" w:type="pct"/>
            <w:shd w:val="clear" w:color="auto" w:fill="BFBFBF" w:themeFill="background1" w:themeFillShade="BF"/>
          </w:tcPr>
          <w:p w14:paraId="33536C09" w14:textId="77777777" w:rsidR="009156D8" w:rsidRPr="00391B61" w:rsidRDefault="009156D8" w:rsidP="00C10671">
            <w:pPr>
              <w:rPr>
                <w:rFonts w:ascii="Calibri" w:hAnsi="Calibri" w:cs="Times New Roman"/>
                <w:b/>
                <w:sz w:val="20"/>
                <w:szCs w:val="20"/>
              </w:rPr>
            </w:pPr>
            <w:r w:rsidRPr="00391B61">
              <w:rPr>
                <w:rFonts w:ascii="Calibri" w:hAnsi="Calibri" w:cs="Times New Roman"/>
                <w:b/>
                <w:sz w:val="20"/>
                <w:szCs w:val="20"/>
              </w:rPr>
              <w:t>Dose</w:t>
            </w:r>
          </w:p>
        </w:tc>
      </w:tr>
      <w:tr w:rsidR="009156D8" w:rsidRPr="00391B61" w14:paraId="1D277736" w14:textId="77777777" w:rsidTr="00C10671">
        <w:tc>
          <w:tcPr>
            <w:tcW w:w="833" w:type="pct"/>
          </w:tcPr>
          <w:p w14:paraId="00948788"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Chronic</w:t>
            </w:r>
          </w:p>
        </w:tc>
        <w:tc>
          <w:tcPr>
            <w:tcW w:w="689" w:type="pct"/>
          </w:tcPr>
          <w:p w14:paraId="5D2019F6"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Imatinib</w:t>
            </w:r>
          </w:p>
        </w:tc>
        <w:tc>
          <w:tcPr>
            <w:tcW w:w="3478" w:type="pct"/>
          </w:tcPr>
          <w:p w14:paraId="3390DCFE"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Standard: 400 mg/day</w:t>
            </w:r>
          </w:p>
          <w:p w14:paraId="577ACD6B"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Increased dose: 600–800 mg/day (disease progression, lack of response, loss of previous response)</w:t>
            </w:r>
          </w:p>
        </w:tc>
      </w:tr>
      <w:tr w:rsidR="009156D8" w:rsidRPr="00391B61" w14:paraId="18736F2A" w14:textId="77777777" w:rsidTr="00C10671">
        <w:tc>
          <w:tcPr>
            <w:tcW w:w="833" w:type="pct"/>
          </w:tcPr>
          <w:p w14:paraId="0E151754" w14:textId="77777777" w:rsidR="009156D8" w:rsidRPr="00391B61" w:rsidRDefault="009156D8" w:rsidP="00C10671">
            <w:pPr>
              <w:rPr>
                <w:rFonts w:ascii="Calibri" w:hAnsi="Calibri" w:cs="Times New Roman"/>
                <w:sz w:val="20"/>
                <w:szCs w:val="20"/>
              </w:rPr>
            </w:pPr>
          </w:p>
        </w:tc>
        <w:tc>
          <w:tcPr>
            <w:tcW w:w="689" w:type="pct"/>
          </w:tcPr>
          <w:p w14:paraId="5A2CBAA5"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Dasatinib</w:t>
            </w:r>
          </w:p>
        </w:tc>
        <w:tc>
          <w:tcPr>
            <w:tcW w:w="3478" w:type="pct"/>
          </w:tcPr>
          <w:p w14:paraId="01013093"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100 mg/day</w:t>
            </w:r>
          </w:p>
          <w:p w14:paraId="25B128B5"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 xml:space="preserve">Increased dose: 140 mg/day (lack of haematological or cytogenic response) </w:t>
            </w:r>
          </w:p>
        </w:tc>
      </w:tr>
      <w:tr w:rsidR="009156D8" w:rsidRPr="00391B61" w14:paraId="67F37261" w14:textId="77777777" w:rsidTr="00C10671">
        <w:tc>
          <w:tcPr>
            <w:tcW w:w="833" w:type="pct"/>
          </w:tcPr>
          <w:p w14:paraId="1F7C6135" w14:textId="77777777" w:rsidR="009156D8" w:rsidRPr="00391B61" w:rsidRDefault="009156D8" w:rsidP="00C10671">
            <w:pPr>
              <w:rPr>
                <w:rFonts w:ascii="Calibri" w:hAnsi="Calibri" w:cs="Times New Roman"/>
                <w:sz w:val="20"/>
                <w:szCs w:val="20"/>
              </w:rPr>
            </w:pPr>
          </w:p>
        </w:tc>
        <w:tc>
          <w:tcPr>
            <w:tcW w:w="689" w:type="pct"/>
          </w:tcPr>
          <w:p w14:paraId="01AA0044"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Nilotinib</w:t>
            </w:r>
          </w:p>
        </w:tc>
        <w:tc>
          <w:tcPr>
            <w:tcW w:w="3478" w:type="pct"/>
          </w:tcPr>
          <w:p w14:paraId="71D8EFE7"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Newly diagnosed: 300 mg twice daily</w:t>
            </w:r>
          </w:p>
          <w:p w14:paraId="2A786625"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Resistant or intolerant to prior therapy: 400 mg twice daily</w:t>
            </w:r>
          </w:p>
        </w:tc>
      </w:tr>
      <w:tr w:rsidR="009156D8" w:rsidRPr="00391B61" w14:paraId="224617DF" w14:textId="77777777" w:rsidTr="00C10671">
        <w:tc>
          <w:tcPr>
            <w:tcW w:w="833" w:type="pct"/>
          </w:tcPr>
          <w:p w14:paraId="0177E462"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 xml:space="preserve">Accelerated </w:t>
            </w:r>
          </w:p>
        </w:tc>
        <w:tc>
          <w:tcPr>
            <w:tcW w:w="689" w:type="pct"/>
          </w:tcPr>
          <w:p w14:paraId="6F8141B7"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Imatinib</w:t>
            </w:r>
          </w:p>
        </w:tc>
        <w:tc>
          <w:tcPr>
            <w:tcW w:w="3478" w:type="pct"/>
          </w:tcPr>
          <w:p w14:paraId="4CC2F993"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Standard: 600 mg/day</w:t>
            </w:r>
          </w:p>
          <w:p w14:paraId="6EED5796"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Increased dose: 400 mg twice daily</w:t>
            </w:r>
          </w:p>
        </w:tc>
      </w:tr>
      <w:tr w:rsidR="009156D8" w:rsidRPr="00391B61" w14:paraId="4DBF08B8" w14:textId="77777777" w:rsidTr="00C10671">
        <w:tc>
          <w:tcPr>
            <w:tcW w:w="833" w:type="pct"/>
          </w:tcPr>
          <w:p w14:paraId="760E7B95" w14:textId="77777777" w:rsidR="009156D8" w:rsidRPr="00391B61" w:rsidRDefault="009156D8" w:rsidP="00C10671">
            <w:pPr>
              <w:rPr>
                <w:rFonts w:ascii="Calibri" w:hAnsi="Calibri" w:cs="Times New Roman"/>
                <w:sz w:val="20"/>
                <w:szCs w:val="20"/>
              </w:rPr>
            </w:pPr>
          </w:p>
        </w:tc>
        <w:tc>
          <w:tcPr>
            <w:tcW w:w="689" w:type="pct"/>
          </w:tcPr>
          <w:p w14:paraId="24A7FE76"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Dasatinib</w:t>
            </w:r>
          </w:p>
        </w:tc>
        <w:tc>
          <w:tcPr>
            <w:tcW w:w="3478" w:type="pct"/>
          </w:tcPr>
          <w:p w14:paraId="5BD9CDF5"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Standard dose: 140 mg/day</w:t>
            </w:r>
            <w:r w:rsidRPr="00391B61">
              <w:rPr>
                <w:rFonts w:ascii="Calibri" w:hAnsi="Calibri" w:cs="Times New Roman"/>
                <w:sz w:val="20"/>
                <w:szCs w:val="20"/>
              </w:rPr>
              <w:br/>
              <w:t>Increased dose: 180 mg/day (lack of haematological or cytogenic response)</w:t>
            </w:r>
          </w:p>
        </w:tc>
      </w:tr>
      <w:tr w:rsidR="009156D8" w:rsidRPr="00391B61" w14:paraId="79D4A181" w14:textId="77777777" w:rsidTr="00C10671">
        <w:tc>
          <w:tcPr>
            <w:tcW w:w="833" w:type="pct"/>
          </w:tcPr>
          <w:p w14:paraId="34BE5715" w14:textId="77777777" w:rsidR="009156D8" w:rsidRPr="00391B61" w:rsidRDefault="009156D8" w:rsidP="00C10671">
            <w:pPr>
              <w:rPr>
                <w:rFonts w:ascii="Calibri" w:hAnsi="Calibri" w:cs="Times New Roman"/>
                <w:sz w:val="20"/>
                <w:szCs w:val="20"/>
              </w:rPr>
            </w:pPr>
          </w:p>
        </w:tc>
        <w:tc>
          <w:tcPr>
            <w:tcW w:w="689" w:type="pct"/>
          </w:tcPr>
          <w:p w14:paraId="051F8B1D"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Nilotinib</w:t>
            </w:r>
          </w:p>
        </w:tc>
        <w:tc>
          <w:tcPr>
            <w:tcW w:w="3478" w:type="pct"/>
          </w:tcPr>
          <w:p w14:paraId="262879C7"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400 mg twice daily</w:t>
            </w:r>
          </w:p>
        </w:tc>
      </w:tr>
      <w:tr w:rsidR="009156D8" w:rsidRPr="00391B61" w14:paraId="5038391C" w14:textId="77777777" w:rsidTr="00C10671">
        <w:tc>
          <w:tcPr>
            <w:tcW w:w="833" w:type="pct"/>
          </w:tcPr>
          <w:p w14:paraId="6D44C660"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Blast</w:t>
            </w:r>
          </w:p>
        </w:tc>
        <w:tc>
          <w:tcPr>
            <w:tcW w:w="689" w:type="pct"/>
          </w:tcPr>
          <w:p w14:paraId="027B3C1A"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Imatinib</w:t>
            </w:r>
          </w:p>
        </w:tc>
        <w:tc>
          <w:tcPr>
            <w:tcW w:w="3478" w:type="pct"/>
          </w:tcPr>
          <w:p w14:paraId="4CBD6239"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600 mg/day</w:t>
            </w:r>
          </w:p>
          <w:p w14:paraId="186E0811"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Increased dose: 400 mg twice daily</w:t>
            </w:r>
          </w:p>
        </w:tc>
      </w:tr>
      <w:tr w:rsidR="009156D8" w:rsidRPr="00391B61" w14:paraId="2EE4E417" w14:textId="77777777" w:rsidTr="00C10671">
        <w:tc>
          <w:tcPr>
            <w:tcW w:w="833" w:type="pct"/>
          </w:tcPr>
          <w:p w14:paraId="17F3C536" w14:textId="77777777" w:rsidR="009156D8" w:rsidRPr="00391B61" w:rsidRDefault="009156D8" w:rsidP="00C10671">
            <w:pPr>
              <w:rPr>
                <w:rFonts w:ascii="Calibri" w:hAnsi="Calibri" w:cs="Times New Roman"/>
                <w:sz w:val="20"/>
                <w:szCs w:val="20"/>
              </w:rPr>
            </w:pPr>
          </w:p>
        </w:tc>
        <w:tc>
          <w:tcPr>
            <w:tcW w:w="689" w:type="pct"/>
          </w:tcPr>
          <w:p w14:paraId="7DE15A84"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Dasatinib</w:t>
            </w:r>
          </w:p>
        </w:tc>
        <w:tc>
          <w:tcPr>
            <w:tcW w:w="3478" w:type="pct"/>
          </w:tcPr>
          <w:p w14:paraId="495A791B"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140 mg/day</w:t>
            </w:r>
          </w:p>
        </w:tc>
      </w:tr>
      <w:tr w:rsidR="009156D8" w:rsidRPr="00391B61" w14:paraId="780D9AB6" w14:textId="77777777" w:rsidTr="00C10671">
        <w:tc>
          <w:tcPr>
            <w:tcW w:w="833" w:type="pct"/>
          </w:tcPr>
          <w:p w14:paraId="1E0F13AF" w14:textId="77777777" w:rsidR="009156D8" w:rsidRPr="00391B61" w:rsidRDefault="009156D8" w:rsidP="00C10671">
            <w:pPr>
              <w:rPr>
                <w:rFonts w:ascii="Calibri" w:hAnsi="Calibri" w:cs="Times New Roman"/>
                <w:sz w:val="20"/>
                <w:szCs w:val="20"/>
              </w:rPr>
            </w:pPr>
          </w:p>
        </w:tc>
        <w:tc>
          <w:tcPr>
            <w:tcW w:w="689" w:type="pct"/>
          </w:tcPr>
          <w:p w14:paraId="4372E56F"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Nilotinib</w:t>
            </w:r>
          </w:p>
        </w:tc>
        <w:tc>
          <w:tcPr>
            <w:tcW w:w="3478" w:type="pct"/>
          </w:tcPr>
          <w:p w14:paraId="29D8AA64" w14:textId="77777777" w:rsidR="009156D8" w:rsidRPr="00391B61" w:rsidRDefault="009156D8" w:rsidP="00C10671">
            <w:pPr>
              <w:rPr>
                <w:rFonts w:ascii="Calibri" w:hAnsi="Calibri" w:cs="Times New Roman"/>
                <w:sz w:val="20"/>
                <w:szCs w:val="20"/>
              </w:rPr>
            </w:pPr>
            <w:r w:rsidRPr="00391B61">
              <w:rPr>
                <w:rFonts w:ascii="Calibri" w:hAnsi="Calibri" w:cs="Times New Roman"/>
                <w:sz w:val="20"/>
                <w:szCs w:val="20"/>
              </w:rPr>
              <w:t>-</w:t>
            </w:r>
          </w:p>
        </w:tc>
      </w:tr>
    </w:tbl>
    <w:p w14:paraId="5AF61489" w14:textId="77777777" w:rsidR="009E49D9" w:rsidRDefault="009E49D9" w:rsidP="003E2C2A">
      <w:pPr>
        <w:spacing w:after="0"/>
        <w:rPr>
          <w:rFonts w:asciiTheme="minorHAnsi" w:hAnsiTheme="minorHAnsi"/>
        </w:rPr>
      </w:pPr>
    </w:p>
    <w:p w14:paraId="46D7AA9F" w14:textId="4BB88D7D" w:rsidR="00337078" w:rsidRPr="00337078" w:rsidRDefault="00337078" w:rsidP="003E2C2A">
      <w:pPr>
        <w:spacing w:after="0"/>
        <w:rPr>
          <w:rFonts w:asciiTheme="minorHAnsi" w:hAnsiTheme="minorHAnsi"/>
        </w:rPr>
      </w:pPr>
      <w:r w:rsidRPr="00337078">
        <w:rPr>
          <w:rFonts w:asciiTheme="minorHAnsi" w:hAnsiTheme="minorHAnsi"/>
        </w:rPr>
        <w:t>*On 1/4/2012 the PBS wording of the first</w:t>
      </w:r>
      <w:r w:rsidR="008A44DE">
        <w:rPr>
          <w:rFonts w:asciiTheme="minorHAnsi" w:hAnsiTheme="minorHAnsi"/>
        </w:rPr>
        <w:t>-</w:t>
      </w:r>
      <w:r w:rsidRPr="00337078">
        <w:rPr>
          <w:rFonts w:asciiTheme="minorHAnsi" w:hAnsiTheme="minorHAnsi"/>
        </w:rPr>
        <w:t>line restrictions was mo</w:t>
      </w:r>
      <w:r w:rsidR="008A44DE">
        <w:rPr>
          <w:rFonts w:asciiTheme="minorHAnsi" w:hAnsiTheme="minorHAnsi"/>
        </w:rPr>
        <w:t>dified to include dose guidance</w:t>
      </w:r>
      <w:r w:rsidRPr="00337078">
        <w:rPr>
          <w:rFonts w:asciiTheme="minorHAnsi" w:hAnsiTheme="minorHAnsi"/>
        </w:rPr>
        <w:t>.</w:t>
      </w:r>
      <w:r w:rsidR="00626FAD">
        <w:rPr>
          <w:rFonts w:asciiTheme="minorHAnsi" w:hAnsiTheme="minorHAnsi"/>
        </w:rPr>
        <w:t xml:space="preserve"> </w:t>
      </w:r>
      <w:r w:rsidR="00626FAD" w:rsidRPr="003E2C2A">
        <w:rPr>
          <w:rFonts w:asciiTheme="minorHAnsi" w:hAnsiTheme="minorHAnsi"/>
        </w:rPr>
        <w:t>Patients should be commenced on a dose of imatinib mesylate 400mg (base) daily, dasatinib of at least 100mg (base) daily and nilotinib of 300mg twice daily.</w:t>
      </w:r>
    </w:p>
    <w:p w14:paraId="337D0FBB" w14:textId="3AFD970A" w:rsidR="006B709B" w:rsidRDefault="006B709B" w:rsidP="00F479D1">
      <w:pPr>
        <w:spacing w:after="240" w:line="240" w:lineRule="auto"/>
        <w:rPr>
          <w:rFonts w:asciiTheme="minorHAnsi" w:hAnsiTheme="minorHAnsi"/>
        </w:rPr>
      </w:pPr>
      <w:r w:rsidRPr="0092516A">
        <w:rPr>
          <w:rFonts w:asciiTheme="minorHAnsi" w:hAnsiTheme="minorHAnsi"/>
        </w:rPr>
        <w:t xml:space="preserve">The current Product Information (PI) and Consumer Medicine Information (CMI) are available from </w:t>
      </w:r>
      <w:r w:rsidR="002352C8" w:rsidRPr="00145517">
        <w:rPr>
          <w:rFonts w:asciiTheme="minorHAnsi" w:hAnsiTheme="minorHAnsi"/>
        </w:rPr>
        <w:t>http://tga.gov.au/hp/information-medicines-pi.htm</w:t>
      </w:r>
      <w:r w:rsidR="002352C8" w:rsidRPr="002352C8">
        <w:rPr>
          <w:rFonts w:asciiTheme="minorHAnsi" w:hAnsiTheme="minorHAnsi"/>
        </w:rPr>
        <w:t xml:space="preserve"> and </w:t>
      </w:r>
      <w:r w:rsidR="002352C8" w:rsidRPr="00145517">
        <w:rPr>
          <w:rFonts w:asciiTheme="minorHAnsi" w:hAnsiTheme="minorHAnsi"/>
        </w:rPr>
        <w:t>http://www.tga.gov.au/consumers/information-medicines-cmi.htm</w:t>
      </w:r>
      <w:r w:rsidR="002352C8" w:rsidRPr="002352C8">
        <w:rPr>
          <w:rFonts w:asciiTheme="minorHAnsi" w:hAnsiTheme="minorHAnsi"/>
        </w:rPr>
        <w:t>.</w:t>
      </w:r>
    </w:p>
    <w:p w14:paraId="46E2BB42" w14:textId="0218CD5B" w:rsidR="00DF0B13" w:rsidRPr="001828AC" w:rsidRDefault="00DF0B13" w:rsidP="001828AC">
      <w:pPr>
        <w:pStyle w:val="Heading4"/>
      </w:pPr>
      <w:r w:rsidRPr="001828AC">
        <w:t>PBS listing details</w:t>
      </w:r>
      <w:r w:rsidR="00D151EB" w:rsidRPr="001828AC">
        <w:t xml:space="preserve"> (as at </w:t>
      </w:r>
      <w:r w:rsidR="009904FF" w:rsidRPr="001828AC">
        <w:t xml:space="preserve">1 </w:t>
      </w:r>
      <w:r w:rsidR="00F53FF4" w:rsidRPr="001828AC">
        <w:t xml:space="preserve">November </w:t>
      </w:r>
      <w:r w:rsidR="00D62733" w:rsidRPr="001828AC">
        <w:t>2013)</w:t>
      </w:r>
    </w:p>
    <w:p w14:paraId="2C5A8E63" w14:textId="13485975" w:rsidR="00337078" w:rsidRPr="008C1802" w:rsidDel="00283EE6" w:rsidRDefault="00337078" w:rsidP="008C1802">
      <w:pPr>
        <w:rPr>
          <w:rFonts w:asciiTheme="minorHAnsi" w:hAnsiTheme="minorHAnsi"/>
        </w:rPr>
      </w:pPr>
      <w:r w:rsidRPr="008C1802">
        <w:rPr>
          <w:rFonts w:asciiTheme="minorHAnsi" w:hAnsiTheme="minorHAnsi"/>
        </w:rPr>
        <w:t xml:space="preserve">The PBS restrictions for the TKIs for CML are complex and have evolved over time.  </w:t>
      </w:r>
      <w:r w:rsidR="005B6739" w:rsidRPr="008C1802">
        <w:rPr>
          <w:rFonts w:asciiTheme="minorHAnsi" w:hAnsiTheme="minorHAnsi"/>
        </w:rPr>
        <w:t xml:space="preserve">The full restriction wording is available at pbs.gov.au.  </w:t>
      </w:r>
      <w:r w:rsidRPr="008C1802">
        <w:rPr>
          <w:rFonts w:asciiTheme="minorHAnsi" w:hAnsiTheme="minorHAnsi"/>
        </w:rPr>
        <w:t>The restriction his</w:t>
      </w:r>
      <w:r w:rsidR="005B6739" w:rsidRPr="008C1802">
        <w:rPr>
          <w:rFonts w:asciiTheme="minorHAnsi" w:hAnsiTheme="minorHAnsi"/>
        </w:rPr>
        <w:t>tory is summarised in Appendix A</w:t>
      </w:r>
      <w:r w:rsidRPr="008C1802">
        <w:rPr>
          <w:rFonts w:asciiTheme="minorHAnsi" w:hAnsiTheme="minorHAnsi"/>
        </w:rPr>
        <w:t>.</w:t>
      </w:r>
    </w:p>
    <w:p w14:paraId="29153A0B" w14:textId="77777777" w:rsidR="00337078" w:rsidRPr="008C1802" w:rsidRDefault="00337078" w:rsidP="008C1802">
      <w:pPr>
        <w:rPr>
          <w:rFonts w:asciiTheme="minorHAnsi" w:hAnsiTheme="minorHAnsi"/>
        </w:rPr>
      </w:pPr>
      <w:r w:rsidRPr="008C1802">
        <w:rPr>
          <w:rFonts w:asciiTheme="minorHAnsi" w:hAnsiTheme="minorHAnsi"/>
        </w:rPr>
        <w:t xml:space="preserve">PBS item codes for CML are shown in Table 2, Table 3 and Table 4. Some item codes have been superseded over time. </w:t>
      </w:r>
    </w:p>
    <w:p w14:paraId="6C2662C9" w14:textId="77777777" w:rsidR="009E52F3" w:rsidRDefault="009E52F3">
      <w:pPr>
        <w:rPr>
          <w:rFonts w:asciiTheme="minorHAnsi" w:eastAsiaTheme="majorEastAsia" w:hAnsiTheme="minorHAnsi" w:cstheme="majorBidi"/>
          <w:b/>
          <w:bCs/>
          <w:iCs/>
        </w:rPr>
      </w:pPr>
      <w:r>
        <w:rPr>
          <w:rFonts w:asciiTheme="minorHAnsi" w:eastAsiaTheme="majorEastAsia" w:hAnsiTheme="minorHAnsi" w:cstheme="majorBidi"/>
          <w:b/>
          <w:bCs/>
          <w:iCs/>
        </w:rPr>
        <w:br w:type="page"/>
      </w:r>
    </w:p>
    <w:p w14:paraId="2E6075D0" w14:textId="1FB1340C" w:rsidR="00337078" w:rsidRPr="00337078" w:rsidRDefault="00337078" w:rsidP="00337078">
      <w:pPr>
        <w:keepNext/>
        <w:keepLines/>
        <w:spacing w:before="240" w:after="20" w:line="240" w:lineRule="auto"/>
        <w:outlineLvl w:val="3"/>
        <w:rPr>
          <w:rFonts w:asciiTheme="minorHAnsi" w:eastAsiaTheme="majorEastAsia" w:hAnsiTheme="minorHAnsi" w:cstheme="majorBidi"/>
          <w:b/>
          <w:bCs/>
          <w:iCs/>
        </w:rPr>
      </w:pPr>
      <w:r w:rsidRPr="00337078">
        <w:rPr>
          <w:rFonts w:asciiTheme="minorHAnsi" w:eastAsiaTheme="majorEastAsia" w:hAnsiTheme="minorHAnsi" w:cstheme="majorBidi"/>
          <w:b/>
          <w:bCs/>
          <w:iCs/>
        </w:rPr>
        <w:t>Table 2: PBS item listing history for imatinib for CML</w:t>
      </w:r>
    </w:p>
    <w:tbl>
      <w:tblPr>
        <w:tblStyle w:val="TableGrid1"/>
        <w:tblW w:w="5120" w:type="pct"/>
        <w:tblLayout w:type="fixed"/>
        <w:tblLook w:val="04A0" w:firstRow="1" w:lastRow="0" w:firstColumn="1" w:lastColumn="0" w:noHBand="0" w:noVBand="1"/>
        <w:tblCaption w:val="Table 2: PBS item history for imatinib for CML."/>
        <w:tblDescription w:val="Table 2: PBS item history for imatinib for CML."/>
      </w:tblPr>
      <w:tblGrid>
        <w:gridCol w:w="1101"/>
        <w:gridCol w:w="1052"/>
        <w:gridCol w:w="2493"/>
        <w:gridCol w:w="994"/>
        <w:gridCol w:w="850"/>
        <w:gridCol w:w="992"/>
        <w:gridCol w:w="801"/>
        <w:gridCol w:w="1181"/>
      </w:tblGrid>
      <w:tr w:rsidR="008A44DE" w:rsidRPr="00337078" w14:paraId="1171E071" w14:textId="77777777" w:rsidTr="00C10671">
        <w:trPr>
          <w:trHeight w:val="510"/>
          <w:tblHeader/>
        </w:trPr>
        <w:tc>
          <w:tcPr>
            <w:tcW w:w="582" w:type="pct"/>
            <w:hideMark/>
          </w:tcPr>
          <w:p w14:paraId="459480C8"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Item Listing Date</w:t>
            </w:r>
          </w:p>
        </w:tc>
        <w:tc>
          <w:tcPr>
            <w:tcW w:w="556" w:type="pct"/>
            <w:hideMark/>
          </w:tcPr>
          <w:p w14:paraId="6D1D58C9"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PBS item code (stage)</w:t>
            </w:r>
          </w:p>
        </w:tc>
        <w:tc>
          <w:tcPr>
            <w:tcW w:w="1317" w:type="pct"/>
            <w:hideMark/>
          </w:tcPr>
          <w:p w14:paraId="19E418F3"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Form and Strength</w:t>
            </w:r>
          </w:p>
        </w:tc>
        <w:tc>
          <w:tcPr>
            <w:tcW w:w="525" w:type="pct"/>
            <w:hideMark/>
          </w:tcPr>
          <w:p w14:paraId="5E9DD467"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Maximum Quantity</w:t>
            </w:r>
          </w:p>
        </w:tc>
        <w:tc>
          <w:tcPr>
            <w:tcW w:w="449" w:type="pct"/>
            <w:hideMark/>
          </w:tcPr>
          <w:p w14:paraId="67EA611C"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Max. Repeats</w:t>
            </w:r>
          </w:p>
        </w:tc>
        <w:tc>
          <w:tcPr>
            <w:tcW w:w="524" w:type="pct"/>
            <w:hideMark/>
          </w:tcPr>
          <w:p w14:paraId="259C6C61"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DPMQ</w:t>
            </w:r>
          </w:p>
        </w:tc>
        <w:tc>
          <w:tcPr>
            <w:tcW w:w="423" w:type="pct"/>
            <w:hideMark/>
          </w:tcPr>
          <w:p w14:paraId="7CF68CB7"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Brand Name</w:t>
            </w:r>
          </w:p>
        </w:tc>
        <w:tc>
          <w:tcPr>
            <w:tcW w:w="626" w:type="pct"/>
            <w:hideMark/>
          </w:tcPr>
          <w:p w14:paraId="198153A0"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Item End Date</w:t>
            </w:r>
          </w:p>
        </w:tc>
      </w:tr>
      <w:tr w:rsidR="008A44DE" w:rsidRPr="00337078" w14:paraId="4AB4C6FC" w14:textId="77777777" w:rsidTr="00C10671">
        <w:trPr>
          <w:trHeight w:val="255"/>
        </w:trPr>
        <w:tc>
          <w:tcPr>
            <w:tcW w:w="582" w:type="pct"/>
            <w:noWrap/>
            <w:hideMark/>
          </w:tcPr>
          <w:p w14:paraId="58BC152F"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1/12/2001</w:t>
            </w:r>
          </w:p>
        </w:tc>
        <w:tc>
          <w:tcPr>
            <w:tcW w:w="556" w:type="pct"/>
            <w:noWrap/>
            <w:hideMark/>
          </w:tcPr>
          <w:p w14:paraId="4285868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8549Y (AP/BP)</w:t>
            </w:r>
          </w:p>
        </w:tc>
        <w:tc>
          <w:tcPr>
            <w:tcW w:w="1317" w:type="pct"/>
            <w:noWrap/>
            <w:hideMark/>
          </w:tcPr>
          <w:p w14:paraId="178632A6"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Capsules equivalent to 100 mg imatinib, 120</w:t>
            </w:r>
          </w:p>
        </w:tc>
        <w:tc>
          <w:tcPr>
            <w:tcW w:w="525" w:type="pct"/>
            <w:noWrap/>
            <w:hideMark/>
          </w:tcPr>
          <w:p w14:paraId="1251C2B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w:t>
            </w:r>
          </w:p>
        </w:tc>
        <w:tc>
          <w:tcPr>
            <w:tcW w:w="449" w:type="pct"/>
            <w:noWrap/>
            <w:hideMark/>
          </w:tcPr>
          <w:p w14:paraId="65A82AC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7F7E83AF"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$ 4,363.76 </w:t>
            </w:r>
          </w:p>
        </w:tc>
        <w:tc>
          <w:tcPr>
            <w:tcW w:w="423" w:type="pct"/>
            <w:noWrap/>
            <w:hideMark/>
          </w:tcPr>
          <w:p w14:paraId="338EDDE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0AE33D5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31/01/2003</w:t>
            </w:r>
          </w:p>
        </w:tc>
      </w:tr>
      <w:tr w:rsidR="008A44DE" w:rsidRPr="00337078" w14:paraId="12B1FBD7" w14:textId="77777777" w:rsidTr="00C10671">
        <w:trPr>
          <w:trHeight w:val="255"/>
        </w:trPr>
        <w:tc>
          <w:tcPr>
            <w:tcW w:w="582" w:type="pct"/>
            <w:noWrap/>
            <w:hideMark/>
          </w:tcPr>
          <w:p w14:paraId="14429AF9"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5A400BB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8550B (AP/BP)</w:t>
            </w:r>
          </w:p>
        </w:tc>
        <w:tc>
          <w:tcPr>
            <w:tcW w:w="1317" w:type="pct"/>
            <w:noWrap/>
            <w:hideMark/>
          </w:tcPr>
          <w:p w14:paraId="660F1DDC"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Capsules equivalent to 100 mg imatinib, 180</w:t>
            </w:r>
          </w:p>
        </w:tc>
        <w:tc>
          <w:tcPr>
            <w:tcW w:w="525" w:type="pct"/>
            <w:noWrap/>
            <w:hideMark/>
          </w:tcPr>
          <w:p w14:paraId="6CF976B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w:t>
            </w:r>
          </w:p>
        </w:tc>
        <w:tc>
          <w:tcPr>
            <w:tcW w:w="449" w:type="pct"/>
            <w:noWrap/>
            <w:hideMark/>
          </w:tcPr>
          <w:p w14:paraId="394BEC4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30B41046"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$ 6,543.33 </w:t>
            </w:r>
          </w:p>
        </w:tc>
        <w:tc>
          <w:tcPr>
            <w:tcW w:w="423" w:type="pct"/>
            <w:noWrap/>
            <w:hideMark/>
          </w:tcPr>
          <w:p w14:paraId="06E114E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03EC136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31/01/2003</w:t>
            </w:r>
          </w:p>
        </w:tc>
      </w:tr>
      <w:tr w:rsidR="008A44DE" w:rsidRPr="00337078" w14:paraId="44CE0CC8" w14:textId="77777777" w:rsidTr="00C10671">
        <w:trPr>
          <w:trHeight w:val="255"/>
        </w:trPr>
        <w:tc>
          <w:tcPr>
            <w:tcW w:w="582" w:type="pct"/>
            <w:noWrap/>
            <w:hideMark/>
          </w:tcPr>
          <w:p w14:paraId="51172645"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21/10/2002</w:t>
            </w:r>
          </w:p>
        </w:tc>
        <w:tc>
          <w:tcPr>
            <w:tcW w:w="556" w:type="pct"/>
            <w:noWrap/>
            <w:hideMark/>
          </w:tcPr>
          <w:p w14:paraId="002403A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6359Q (CP)</w:t>
            </w:r>
          </w:p>
        </w:tc>
        <w:tc>
          <w:tcPr>
            <w:tcW w:w="1317" w:type="pct"/>
            <w:noWrap/>
            <w:hideMark/>
          </w:tcPr>
          <w:p w14:paraId="00ABF3CF"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Capsules equivalent to 100 mg imatinib, 120</w:t>
            </w:r>
          </w:p>
        </w:tc>
        <w:tc>
          <w:tcPr>
            <w:tcW w:w="525" w:type="pct"/>
            <w:noWrap/>
            <w:hideMark/>
          </w:tcPr>
          <w:p w14:paraId="5FB5082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w:t>
            </w:r>
          </w:p>
        </w:tc>
        <w:tc>
          <w:tcPr>
            <w:tcW w:w="449" w:type="pct"/>
            <w:noWrap/>
            <w:hideMark/>
          </w:tcPr>
          <w:p w14:paraId="3F06414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6E0330CF"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$ 3,772.33 </w:t>
            </w:r>
          </w:p>
        </w:tc>
        <w:tc>
          <w:tcPr>
            <w:tcW w:w="423" w:type="pct"/>
            <w:noWrap/>
            <w:hideMark/>
          </w:tcPr>
          <w:p w14:paraId="0B74643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0B367FB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30/11/2004</w:t>
            </w:r>
          </w:p>
        </w:tc>
      </w:tr>
      <w:tr w:rsidR="008A44DE" w:rsidRPr="00337078" w14:paraId="6681457D" w14:textId="77777777" w:rsidTr="00C10671">
        <w:trPr>
          <w:trHeight w:val="255"/>
        </w:trPr>
        <w:tc>
          <w:tcPr>
            <w:tcW w:w="582" w:type="pct"/>
            <w:noWrap/>
            <w:hideMark/>
          </w:tcPr>
          <w:p w14:paraId="2FCD402E"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7023F14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6360R (CP)</w:t>
            </w:r>
          </w:p>
        </w:tc>
        <w:tc>
          <w:tcPr>
            <w:tcW w:w="1317" w:type="pct"/>
            <w:noWrap/>
            <w:hideMark/>
          </w:tcPr>
          <w:p w14:paraId="2DEC6FC9"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Capsules equivalent to 100 mg imatinib, 180</w:t>
            </w:r>
          </w:p>
        </w:tc>
        <w:tc>
          <w:tcPr>
            <w:tcW w:w="525" w:type="pct"/>
            <w:noWrap/>
            <w:hideMark/>
          </w:tcPr>
          <w:p w14:paraId="62894C0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w:t>
            </w:r>
          </w:p>
        </w:tc>
        <w:tc>
          <w:tcPr>
            <w:tcW w:w="449" w:type="pct"/>
            <w:noWrap/>
            <w:hideMark/>
          </w:tcPr>
          <w:p w14:paraId="4835C85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52535C64"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$ 5,658.50 </w:t>
            </w:r>
          </w:p>
        </w:tc>
        <w:tc>
          <w:tcPr>
            <w:tcW w:w="423" w:type="pct"/>
            <w:noWrap/>
            <w:hideMark/>
          </w:tcPr>
          <w:p w14:paraId="630C374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66B2700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30/11/2004</w:t>
            </w:r>
          </w:p>
        </w:tc>
      </w:tr>
      <w:tr w:rsidR="008A44DE" w:rsidRPr="00337078" w14:paraId="7F70756E" w14:textId="77777777" w:rsidTr="00C10671">
        <w:trPr>
          <w:trHeight w:val="255"/>
        </w:trPr>
        <w:tc>
          <w:tcPr>
            <w:tcW w:w="582" w:type="pct"/>
            <w:noWrap/>
            <w:hideMark/>
          </w:tcPr>
          <w:p w14:paraId="0853B10B"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0DBBA44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6361T (AP/BP)</w:t>
            </w:r>
          </w:p>
        </w:tc>
        <w:tc>
          <w:tcPr>
            <w:tcW w:w="1317" w:type="pct"/>
            <w:noWrap/>
            <w:hideMark/>
          </w:tcPr>
          <w:p w14:paraId="729AE560"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Capsules equivalent to 100 mg imatinib, 120</w:t>
            </w:r>
          </w:p>
        </w:tc>
        <w:tc>
          <w:tcPr>
            <w:tcW w:w="525" w:type="pct"/>
            <w:noWrap/>
            <w:hideMark/>
          </w:tcPr>
          <w:p w14:paraId="3B5E980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w:t>
            </w:r>
          </w:p>
        </w:tc>
        <w:tc>
          <w:tcPr>
            <w:tcW w:w="449" w:type="pct"/>
            <w:noWrap/>
            <w:hideMark/>
          </w:tcPr>
          <w:p w14:paraId="36FBEE1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79E980C7"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$ 3,772.33 </w:t>
            </w:r>
          </w:p>
        </w:tc>
        <w:tc>
          <w:tcPr>
            <w:tcW w:w="423" w:type="pct"/>
            <w:noWrap/>
            <w:hideMark/>
          </w:tcPr>
          <w:p w14:paraId="0DFE5AB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71EBD5A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30/11/2004</w:t>
            </w:r>
          </w:p>
        </w:tc>
      </w:tr>
      <w:tr w:rsidR="008A44DE" w:rsidRPr="00337078" w14:paraId="4FF9B39C" w14:textId="77777777" w:rsidTr="00C10671">
        <w:trPr>
          <w:trHeight w:val="255"/>
        </w:trPr>
        <w:tc>
          <w:tcPr>
            <w:tcW w:w="582" w:type="pct"/>
            <w:noWrap/>
            <w:hideMark/>
          </w:tcPr>
          <w:p w14:paraId="1855F047"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33EF9C4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6362W (AP/BP)</w:t>
            </w:r>
          </w:p>
        </w:tc>
        <w:tc>
          <w:tcPr>
            <w:tcW w:w="1317" w:type="pct"/>
            <w:noWrap/>
            <w:hideMark/>
          </w:tcPr>
          <w:p w14:paraId="0A4A0F88"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Capsules equivalent to 100 mg imatinib, 180</w:t>
            </w:r>
          </w:p>
        </w:tc>
        <w:tc>
          <w:tcPr>
            <w:tcW w:w="525" w:type="pct"/>
            <w:noWrap/>
            <w:hideMark/>
          </w:tcPr>
          <w:p w14:paraId="5642846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w:t>
            </w:r>
          </w:p>
        </w:tc>
        <w:tc>
          <w:tcPr>
            <w:tcW w:w="449" w:type="pct"/>
            <w:noWrap/>
            <w:hideMark/>
          </w:tcPr>
          <w:p w14:paraId="50DF80B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295A105A"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$ 5,658.50 </w:t>
            </w:r>
          </w:p>
        </w:tc>
        <w:tc>
          <w:tcPr>
            <w:tcW w:w="423" w:type="pct"/>
            <w:noWrap/>
            <w:hideMark/>
          </w:tcPr>
          <w:p w14:paraId="7F3209A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3DAA793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30/11/2004</w:t>
            </w:r>
          </w:p>
        </w:tc>
      </w:tr>
      <w:tr w:rsidR="008A44DE" w:rsidRPr="00337078" w14:paraId="5414418D" w14:textId="77777777" w:rsidTr="00C10671">
        <w:trPr>
          <w:trHeight w:val="255"/>
        </w:trPr>
        <w:tc>
          <w:tcPr>
            <w:tcW w:w="582" w:type="pct"/>
            <w:noWrap/>
            <w:hideMark/>
          </w:tcPr>
          <w:p w14:paraId="396C4615"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1/05/2004</w:t>
            </w:r>
          </w:p>
        </w:tc>
        <w:tc>
          <w:tcPr>
            <w:tcW w:w="556" w:type="pct"/>
            <w:noWrap/>
            <w:hideMark/>
          </w:tcPr>
          <w:p w14:paraId="09C9686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6444E (CP)</w:t>
            </w:r>
          </w:p>
        </w:tc>
        <w:tc>
          <w:tcPr>
            <w:tcW w:w="1317" w:type="pct"/>
            <w:noWrap/>
            <w:hideMark/>
          </w:tcPr>
          <w:p w14:paraId="0EB5EF10"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 (as mesylate)</w:t>
            </w:r>
          </w:p>
        </w:tc>
        <w:tc>
          <w:tcPr>
            <w:tcW w:w="525" w:type="pct"/>
            <w:noWrap/>
            <w:hideMark/>
          </w:tcPr>
          <w:p w14:paraId="74A0F78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5E44D12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1118C094"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$ 1,886.17 </w:t>
            </w:r>
          </w:p>
        </w:tc>
        <w:tc>
          <w:tcPr>
            <w:tcW w:w="423" w:type="pct"/>
            <w:noWrap/>
            <w:hideMark/>
          </w:tcPr>
          <w:p w14:paraId="7DA0A77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17452E7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31/10/2007</w:t>
            </w:r>
          </w:p>
        </w:tc>
      </w:tr>
      <w:tr w:rsidR="008A44DE" w:rsidRPr="00337078" w14:paraId="21049C7E" w14:textId="77777777" w:rsidTr="00C10671">
        <w:trPr>
          <w:trHeight w:val="255"/>
        </w:trPr>
        <w:tc>
          <w:tcPr>
            <w:tcW w:w="582" w:type="pct"/>
            <w:noWrap/>
            <w:hideMark/>
          </w:tcPr>
          <w:p w14:paraId="2823B283"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7C8421D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6445F (CP)</w:t>
            </w:r>
          </w:p>
        </w:tc>
        <w:tc>
          <w:tcPr>
            <w:tcW w:w="1317" w:type="pct"/>
            <w:noWrap/>
            <w:hideMark/>
          </w:tcPr>
          <w:p w14:paraId="7412C4D6"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400 mg (as mesylate)</w:t>
            </w:r>
          </w:p>
        </w:tc>
        <w:tc>
          <w:tcPr>
            <w:tcW w:w="525" w:type="pct"/>
            <w:noWrap/>
            <w:hideMark/>
          </w:tcPr>
          <w:p w14:paraId="0F164B7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655ADD1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69E09DA9"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$ 3,772.33 </w:t>
            </w:r>
          </w:p>
        </w:tc>
        <w:tc>
          <w:tcPr>
            <w:tcW w:w="423" w:type="pct"/>
            <w:noWrap/>
            <w:hideMark/>
          </w:tcPr>
          <w:p w14:paraId="690D423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3CB258C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31/10/2007</w:t>
            </w:r>
          </w:p>
        </w:tc>
      </w:tr>
      <w:tr w:rsidR="008A44DE" w:rsidRPr="00337078" w14:paraId="7E3930C8" w14:textId="77777777" w:rsidTr="00C10671">
        <w:trPr>
          <w:trHeight w:val="255"/>
        </w:trPr>
        <w:tc>
          <w:tcPr>
            <w:tcW w:w="582" w:type="pct"/>
            <w:noWrap/>
            <w:hideMark/>
          </w:tcPr>
          <w:p w14:paraId="48F44B37"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5EF654B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6446G (AP/BP)</w:t>
            </w:r>
          </w:p>
        </w:tc>
        <w:tc>
          <w:tcPr>
            <w:tcW w:w="1317" w:type="pct"/>
            <w:noWrap/>
            <w:hideMark/>
          </w:tcPr>
          <w:p w14:paraId="2B1D0B95"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 (as mesylate)</w:t>
            </w:r>
          </w:p>
        </w:tc>
        <w:tc>
          <w:tcPr>
            <w:tcW w:w="525" w:type="pct"/>
            <w:noWrap/>
            <w:hideMark/>
          </w:tcPr>
          <w:p w14:paraId="14522CD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2F8E380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7E081FCF"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$ 1,886.17 </w:t>
            </w:r>
          </w:p>
        </w:tc>
        <w:tc>
          <w:tcPr>
            <w:tcW w:w="423" w:type="pct"/>
            <w:noWrap/>
            <w:hideMark/>
          </w:tcPr>
          <w:p w14:paraId="18B93C0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15411E6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31/10/2007</w:t>
            </w:r>
          </w:p>
        </w:tc>
      </w:tr>
      <w:tr w:rsidR="008A44DE" w:rsidRPr="00337078" w14:paraId="537585DF" w14:textId="77777777" w:rsidTr="00C10671">
        <w:trPr>
          <w:trHeight w:val="255"/>
        </w:trPr>
        <w:tc>
          <w:tcPr>
            <w:tcW w:w="582" w:type="pct"/>
            <w:noWrap/>
            <w:hideMark/>
          </w:tcPr>
          <w:p w14:paraId="73116C27"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7E6F0BF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6447H (AP/BP)</w:t>
            </w:r>
          </w:p>
        </w:tc>
        <w:tc>
          <w:tcPr>
            <w:tcW w:w="1317" w:type="pct"/>
            <w:noWrap/>
            <w:hideMark/>
          </w:tcPr>
          <w:p w14:paraId="052B60BF"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400 mg (as mesylate)</w:t>
            </w:r>
          </w:p>
        </w:tc>
        <w:tc>
          <w:tcPr>
            <w:tcW w:w="525" w:type="pct"/>
            <w:noWrap/>
            <w:hideMark/>
          </w:tcPr>
          <w:p w14:paraId="6C2B3AA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51760C8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38CAAA06"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$ 3,772.33 </w:t>
            </w:r>
          </w:p>
        </w:tc>
        <w:tc>
          <w:tcPr>
            <w:tcW w:w="423" w:type="pct"/>
            <w:noWrap/>
            <w:hideMark/>
          </w:tcPr>
          <w:p w14:paraId="51E9770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04873E8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31/10/2007</w:t>
            </w:r>
          </w:p>
        </w:tc>
      </w:tr>
      <w:tr w:rsidR="008A44DE" w:rsidRPr="00337078" w14:paraId="25003B70" w14:textId="77777777" w:rsidTr="00C10671">
        <w:trPr>
          <w:trHeight w:val="255"/>
        </w:trPr>
        <w:tc>
          <w:tcPr>
            <w:tcW w:w="582" w:type="pct"/>
            <w:noWrap/>
            <w:hideMark/>
          </w:tcPr>
          <w:p w14:paraId="5E9D9FE4"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1/11/2007</w:t>
            </w:r>
          </w:p>
        </w:tc>
        <w:tc>
          <w:tcPr>
            <w:tcW w:w="556" w:type="pct"/>
            <w:noWrap/>
            <w:hideMark/>
          </w:tcPr>
          <w:p w14:paraId="600BCC8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9113P (CP)</w:t>
            </w:r>
          </w:p>
        </w:tc>
        <w:tc>
          <w:tcPr>
            <w:tcW w:w="1317" w:type="pct"/>
            <w:noWrap/>
            <w:hideMark/>
          </w:tcPr>
          <w:p w14:paraId="3FB29463"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 (as mesylate)</w:t>
            </w:r>
          </w:p>
        </w:tc>
        <w:tc>
          <w:tcPr>
            <w:tcW w:w="525" w:type="pct"/>
            <w:noWrap/>
            <w:hideMark/>
          </w:tcPr>
          <w:p w14:paraId="40F3740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56B7171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48FECD4A"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$ 2,005.19 </w:t>
            </w:r>
          </w:p>
        </w:tc>
        <w:tc>
          <w:tcPr>
            <w:tcW w:w="423" w:type="pct"/>
            <w:noWrap/>
            <w:hideMark/>
          </w:tcPr>
          <w:p w14:paraId="72165F3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5F5041F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8A44DE" w:rsidRPr="00337078" w14:paraId="2F6BCDAC" w14:textId="77777777" w:rsidTr="00C10671">
        <w:trPr>
          <w:trHeight w:val="255"/>
        </w:trPr>
        <w:tc>
          <w:tcPr>
            <w:tcW w:w="582" w:type="pct"/>
            <w:noWrap/>
            <w:hideMark/>
          </w:tcPr>
          <w:p w14:paraId="14F4F7D4"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14D4461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9114Q (CP)</w:t>
            </w:r>
          </w:p>
        </w:tc>
        <w:tc>
          <w:tcPr>
            <w:tcW w:w="1317" w:type="pct"/>
            <w:noWrap/>
            <w:hideMark/>
          </w:tcPr>
          <w:p w14:paraId="2E911A60"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400 mg (as mesylate)</w:t>
            </w:r>
          </w:p>
        </w:tc>
        <w:tc>
          <w:tcPr>
            <w:tcW w:w="525" w:type="pct"/>
            <w:noWrap/>
            <w:hideMark/>
          </w:tcPr>
          <w:p w14:paraId="0FAD95B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11545F5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6CDAAE13"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$ 3,863.81 </w:t>
            </w:r>
          </w:p>
        </w:tc>
        <w:tc>
          <w:tcPr>
            <w:tcW w:w="423" w:type="pct"/>
            <w:noWrap/>
            <w:hideMark/>
          </w:tcPr>
          <w:p w14:paraId="1C54F97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02F295D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8A44DE" w:rsidRPr="00337078" w14:paraId="0E085D33" w14:textId="77777777" w:rsidTr="00C10671">
        <w:trPr>
          <w:trHeight w:val="255"/>
        </w:trPr>
        <w:tc>
          <w:tcPr>
            <w:tcW w:w="582" w:type="pct"/>
            <w:noWrap/>
            <w:hideMark/>
          </w:tcPr>
          <w:p w14:paraId="55BE1488"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7826761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9115R (AP/BP)</w:t>
            </w:r>
          </w:p>
        </w:tc>
        <w:tc>
          <w:tcPr>
            <w:tcW w:w="1317" w:type="pct"/>
            <w:noWrap/>
            <w:hideMark/>
          </w:tcPr>
          <w:p w14:paraId="768DB555"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 (as mesylate)</w:t>
            </w:r>
          </w:p>
        </w:tc>
        <w:tc>
          <w:tcPr>
            <w:tcW w:w="525" w:type="pct"/>
            <w:noWrap/>
            <w:hideMark/>
          </w:tcPr>
          <w:p w14:paraId="357281A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04E5B72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7BB0C6FB"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$ 2,005.19 </w:t>
            </w:r>
          </w:p>
        </w:tc>
        <w:tc>
          <w:tcPr>
            <w:tcW w:w="423" w:type="pct"/>
            <w:noWrap/>
            <w:hideMark/>
          </w:tcPr>
          <w:p w14:paraId="47CE8DA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5A1C62D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8A44DE" w:rsidRPr="00337078" w14:paraId="31FA620E" w14:textId="77777777" w:rsidTr="00C10671">
        <w:trPr>
          <w:trHeight w:val="255"/>
        </w:trPr>
        <w:tc>
          <w:tcPr>
            <w:tcW w:w="582" w:type="pct"/>
            <w:noWrap/>
            <w:hideMark/>
          </w:tcPr>
          <w:p w14:paraId="71EC1C81"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w:t>
            </w:r>
          </w:p>
        </w:tc>
        <w:tc>
          <w:tcPr>
            <w:tcW w:w="556" w:type="pct"/>
            <w:noWrap/>
            <w:hideMark/>
          </w:tcPr>
          <w:p w14:paraId="0A0E7CC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9116T (AP/BP)</w:t>
            </w:r>
          </w:p>
        </w:tc>
        <w:tc>
          <w:tcPr>
            <w:tcW w:w="1317" w:type="pct"/>
            <w:noWrap/>
            <w:hideMark/>
          </w:tcPr>
          <w:p w14:paraId="68D66238"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400 mg (as mesylate)</w:t>
            </w:r>
          </w:p>
        </w:tc>
        <w:tc>
          <w:tcPr>
            <w:tcW w:w="525" w:type="pct"/>
            <w:noWrap/>
            <w:hideMark/>
          </w:tcPr>
          <w:p w14:paraId="0382DC7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4E502D6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74E9908B" w14:textId="77777777" w:rsidR="00337078" w:rsidRPr="00337078" w:rsidRDefault="00337078" w:rsidP="00337078">
            <w:pP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 $ 3,863.81 </w:t>
            </w:r>
          </w:p>
        </w:tc>
        <w:tc>
          <w:tcPr>
            <w:tcW w:w="423" w:type="pct"/>
            <w:noWrap/>
            <w:hideMark/>
          </w:tcPr>
          <w:p w14:paraId="3F5B081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Glivec</w:t>
            </w:r>
          </w:p>
        </w:tc>
        <w:tc>
          <w:tcPr>
            <w:tcW w:w="626" w:type="pct"/>
            <w:noWrap/>
            <w:hideMark/>
          </w:tcPr>
          <w:p w14:paraId="2251AA2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bl>
    <w:p w14:paraId="6D908787" w14:textId="77777777" w:rsidR="00337078" w:rsidRPr="00752FF0" w:rsidRDefault="00337078" w:rsidP="00752FF0">
      <w:pPr>
        <w:spacing w:after="0"/>
        <w:rPr>
          <w:rFonts w:asciiTheme="minorHAnsi" w:hAnsiTheme="minorHAnsi"/>
          <w:sz w:val="20"/>
          <w:szCs w:val="20"/>
        </w:rPr>
      </w:pPr>
      <w:r w:rsidRPr="00752FF0">
        <w:rPr>
          <w:rFonts w:asciiTheme="minorHAnsi" w:hAnsiTheme="minorHAnsi"/>
          <w:sz w:val="20"/>
          <w:szCs w:val="20"/>
        </w:rPr>
        <w:t xml:space="preserve">Source: PBS Item History file accessed 1 November 2013. </w:t>
      </w:r>
    </w:p>
    <w:p w14:paraId="5CAC3B14" w14:textId="77777777" w:rsidR="00337078" w:rsidRPr="00752FF0" w:rsidRDefault="00337078" w:rsidP="00752FF0">
      <w:pPr>
        <w:rPr>
          <w:rFonts w:asciiTheme="minorHAnsi" w:hAnsiTheme="minorHAnsi"/>
          <w:sz w:val="20"/>
          <w:szCs w:val="20"/>
        </w:rPr>
      </w:pPr>
      <w:r w:rsidRPr="00752FF0">
        <w:rPr>
          <w:rFonts w:asciiTheme="minorHAnsi" w:hAnsiTheme="minorHAnsi"/>
          <w:sz w:val="20"/>
          <w:szCs w:val="20"/>
        </w:rPr>
        <w:t>CP= chronic phase; AP = accelerated phase; BP = blast phase</w:t>
      </w:r>
    </w:p>
    <w:p w14:paraId="566363D4" w14:textId="77777777" w:rsidR="00337078" w:rsidRPr="00337078" w:rsidRDefault="00337078" w:rsidP="00337078">
      <w:pPr>
        <w:keepNext/>
        <w:keepLines/>
        <w:spacing w:before="240" w:after="20" w:line="240" w:lineRule="auto"/>
        <w:outlineLvl w:val="3"/>
        <w:rPr>
          <w:rFonts w:asciiTheme="minorHAnsi" w:eastAsiaTheme="majorEastAsia" w:hAnsiTheme="minorHAnsi" w:cstheme="majorBidi"/>
          <w:b/>
          <w:bCs/>
          <w:iCs/>
        </w:rPr>
      </w:pPr>
      <w:r w:rsidRPr="00337078">
        <w:rPr>
          <w:rFonts w:asciiTheme="minorHAnsi" w:eastAsiaTheme="majorEastAsia" w:hAnsiTheme="minorHAnsi" w:cstheme="majorBidi"/>
          <w:b/>
          <w:bCs/>
          <w:iCs/>
        </w:rPr>
        <w:t>Table 3: PBS item listing history for dasatinib for CML</w:t>
      </w:r>
    </w:p>
    <w:tbl>
      <w:tblPr>
        <w:tblStyle w:val="TableGrid1"/>
        <w:tblW w:w="5120" w:type="pct"/>
        <w:tblLook w:val="04A0" w:firstRow="1" w:lastRow="0" w:firstColumn="1" w:lastColumn="0" w:noHBand="0" w:noVBand="1"/>
        <w:tblCaption w:val="Table 3: PBS item history for dasatib for CML"/>
        <w:tblDescription w:val="Table 3: PBS item history for dasatib for CML"/>
      </w:tblPr>
      <w:tblGrid>
        <w:gridCol w:w="1101"/>
        <w:gridCol w:w="1092"/>
        <w:gridCol w:w="2451"/>
        <w:gridCol w:w="992"/>
        <w:gridCol w:w="850"/>
        <w:gridCol w:w="992"/>
        <w:gridCol w:w="852"/>
        <w:gridCol w:w="1134"/>
      </w:tblGrid>
      <w:tr w:rsidR="00337078" w:rsidRPr="00337078" w14:paraId="537F19D6" w14:textId="77777777" w:rsidTr="003147C5">
        <w:trPr>
          <w:trHeight w:val="510"/>
          <w:tblHeader/>
        </w:trPr>
        <w:tc>
          <w:tcPr>
            <w:tcW w:w="582" w:type="pct"/>
            <w:hideMark/>
          </w:tcPr>
          <w:p w14:paraId="3DF995A1"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Item Listing Date</w:t>
            </w:r>
          </w:p>
        </w:tc>
        <w:tc>
          <w:tcPr>
            <w:tcW w:w="577" w:type="pct"/>
            <w:hideMark/>
          </w:tcPr>
          <w:p w14:paraId="2AEE249F"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PBS item code</w:t>
            </w:r>
          </w:p>
        </w:tc>
        <w:tc>
          <w:tcPr>
            <w:tcW w:w="1295" w:type="pct"/>
            <w:hideMark/>
          </w:tcPr>
          <w:p w14:paraId="0CFFA728"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Form and Strength</w:t>
            </w:r>
          </w:p>
        </w:tc>
        <w:tc>
          <w:tcPr>
            <w:tcW w:w="524" w:type="pct"/>
            <w:hideMark/>
          </w:tcPr>
          <w:p w14:paraId="46BC5045"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Maximum Quantity</w:t>
            </w:r>
          </w:p>
        </w:tc>
        <w:tc>
          <w:tcPr>
            <w:tcW w:w="449" w:type="pct"/>
            <w:hideMark/>
          </w:tcPr>
          <w:p w14:paraId="41603D62"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Max. Repeats</w:t>
            </w:r>
          </w:p>
        </w:tc>
        <w:tc>
          <w:tcPr>
            <w:tcW w:w="524" w:type="pct"/>
            <w:hideMark/>
          </w:tcPr>
          <w:p w14:paraId="241FBC09"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DPMQ</w:t>
            </w:r>
          </w:p>
        </w:tc>
        <w:tc>
          <w:tcPr>
            <w:tcW w:w="450" w:type="pct"/>
            <w:hideMark/>
          </w:tcPr>
          <w:p w14:paraId="707D5A2B"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Brand Name</w:t>
            </w:r>
          </w:p>
        </w:tc>
        <w:tc>
          <w:tcPr>
            <w:tcW w:w="599" w:type="pct"/>
            <w:hideMark/>
          </w:tcPr>
          <w:p w14:paraId="13F9069B" w14:textId="77777777" w:rsidR="00337078" w:rsidRPr="00337078" w:rsidRDefault="00337078" w:rsidP="00337078">
            <w:pPr>
              <w:jc w:val="center"/>
              <w:rPr>
                <w:rFonts w:asciiTheme="minorHAnsi" w:eastAsia="Times New Roman" w:hAnsiTheme="minorHAnsi" w:cs="Times New Roman"/>
                <w:b/>
                <w:sz w:val="16"/>
                <w:szCs w:val="16"/>
              </w:rPr>
            </w:pPr>
            <w:r w:rsidRPr="00337078">
              <w:rPr>
                <w:rFonts w:asciiTheme="minorHAnsi" w:eastAsia="Times New Roman" w:hAnsiTheme="minorHAnsi" w:cs="Times New Roman"/>
                <w:b/>
                <w:sz w:val="16"/>
                <w:szCs w:val="16"/>
              </w:rPr>
              <w:t>Item End Date</w:t>
            </w:r>
          </w:p>
        </w:tc>
      </w:tr>
      <w:tr w:rsidR="00337078" w:rsidRPr="00337078" w14:paraId="10BE7976" w14:textId="77777777" w:rsidTr="00C10671">
        <w:trPr>
          <w:trHeight w:val="255"/>
        </w:trPr>
        <w:tc>
          <w:tcPr>
            <w:tcW w:w="582" w:type="pct"/>
            <w:noWrap/>
            <w:hideMark/>
          </w:tcPr>
          <w:p w14:paraId="4E0F030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1/08/2007</w:t>
            </w:r>
          </w:p>
        </w:tc>
        <w:tc>
          <w:tcPr>
            <w:tcW w:w="577" w:type="pct"/>
            <w:noWrap/>
            <w:hideMark/>
          </w:tcPr>
          <w:p w14:paraId="30F5018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2478K</w:t>
            </w:r>
          </w:p>
        </w:tc>
        <w:tc>
          <w:tcPr>
            <w:tcW w:w="1295" w:type="pct"/>
            <w:noWrap/>
            <w:hideMark/>
          </w:tcPr>
          <w:p w14:paraId="4248A94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20 mg</w:t>
            </w:r>
          </w:p>
        </w:tc>
        <w:tc>
          <w:tcPr>
            <w:tcW w:w="524" w:type="pct"/>
            <w:noWrap/>
            <w:hideMark/>
          </w:tcPr>
          <w:p w14:paraId="7891FD3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13AB7E8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35218AD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$ 3,095.66</w:t>
            </w:r>
          </w:p>
        </w:tc>
        <w:tc>
          <w:tcPr>
            <w:tcW w:w="450" w:type="pct"/>
            <w:noWrap/>
            <w:hideMark/>
          </w:tcPr>
          <w:p w14:paraId="62D8EBE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36DE7F1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6C66BD38" w14:textId="77777777" w:rsidTr="00C10671">
        <w:trPr>
          <w:trHeight w:val="255"/>
        </w:trPr>
        <w:tc>
          <w:tcPr>
            <w:tcW w:w="582" w:type="pct"/>
            <w:noWrap/>
            <w:hideMark/>
          </w:tcPr>
          <w:p w14:paraId="7646711E"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076E702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2482P</w:t>
            </w:r>
          </w:p>
        </w:tc>
        <w:tc>
          <w:tcPr>
            <w:tcW w:w="1295" w:type="pct"/>
            <w:noWrap/>
            <w:hideMark/>
          </w:tcPr>
          <w:p w14:paraId="32D1635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50 mg</w:t>
            </w:r>
          </w:p>
        </w:tc>
        <w:tc>
          <w:tcPr>
            <w:tcW w:w="524" w:type="pct"/>
            <w:noWrap/>
            <w:hideMark/>
          </w:tcPr>
          <w:p w14:paraId="25DD761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3C076C7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03D9594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$ 5,004.01</w:t>
            </w:r>
          </w:p>
        </w:tc>
        <w:tc>
          <w:tcPr>
            <w:tcW w:w="450" w:type="pct"/>
            <w:noWrap/>
            <w:hideMark/>
          </w:tcPr>
          <w:p w14:paraId="444344F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63B9DD2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3DA03C49" w14:textId="77777777" w:rsidTr="00C10671">
        <w:trPr>
          <w:trHeight w:val="255"/>
        </w:trPr>
        <w:tc>
          <w:tcPr>
            <w:tcW w:w="582" w:type="pct"/>
            <w:noWrap/>
            <w:hideMark/>
          </w:tcPr>
          <w:p w14:paraId="3C75FE30"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15A5400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2485T</w:t>
            </w:r>
          </w:p>
        </w:tc>
        <w:tc>
          <w:tcPr>
            <w:tcW w:w="1295" w:type="pct"/>
            <w:noWrap/>
            <w:hideMark/>
          </w:tcPr>
          <w:p w14:paraId="7F96C03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70 mg</w:t>
            </w:r>
          </w:p>
        </w:tc>
        <w:tc>
          <w:tcPr>
            <w:tcW w:w="524" w:type="pct"/>
            <w:noWrap/>
            <w:hideMark/>
          </w:tcPr>
          <w:p w14:paraId="5558A5C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44DC3B6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4FE09BA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$ 6,160.40</w:t>
            </w:r>
          </w:p>
        </w:tc>
        <w:tc>
          <w:tcPr>
            <w:tcW w:w="450" w:type="pct"/>
            <w:noWrap/>
            <w:hideMark/>
          </w:tcPr>
          <w:p w14:paraId="76C0A52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578C54D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45096B40" w14:textId="77777777" w:rsidTr="00C10671">
        <w:trPr>
          <w:trHeight w:val="255"/>
        </w:trPr>
        <w:tc>
          <w:tcPr>
            <w:tcW w:w="582" w:type="pct"/>
            <w:noWrap/>
            <w:hideMark/>
          </w:tcPr>
          <w:p w14:paraId="4735977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1/11/2008</w:t>
            </w:r>
          </w:p>
        </w:tc>
        <w:tc>
          <w:tcPr>
            <w:tcW w:w="577" w:type="pct"/>
            <w:noWrap/>
            <w:hideMark/>
          </w:tcPr>
          <w:p w14:paraId="6E01372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9282M</w:t>
            </w:r>
          </w:p>
        </w:tc>
        <w:tc>
          <w:tcPr>
            <w:tcW w:w="1295" w:type="pct"/>
            <w:noWrap/>
            <w:hideMark/>
          </w:tcPr>
          <w:p w14:paraId="3FADBB7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20 mg</w:t>
            </w:r>
          </w:p>
        </w:tc>
        <w:tc>
          <w:tcPr>
            <w:tcW w:w="524" w:type="pct"/>
            <w:noWrap/>
            <w:hideMark/>
          </w:tcPr>
          <w:p w14:paraId="06FDBE7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4F7FB25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70E9A3C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$ 3,246.36</w:t>
            </w:r>
          </w:p>
        </w:tc>
        <w:tc>
          <w:tcPr>
            <w:tcW w:w="450" w:type="pct"/>
            <w:noWrap/>
            <w:hideMark/>
          </w:tcPr>
          <w:p w14:paraId="4E3CB98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0AA708C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31/03/2012</w:t>
            </w:r>
          </w:p>
        </w:tc>
      </w:tr>
      <w:tr w:rsidR="00337078" w:rsidRPr="00337078" w14:paraId="2A3B022F" w14:textId="77777777" w:rsidTr="00C10671">
        <w:trPr>
          <w:trHeight w:val="255"/>
        </w:trPr>
        <w:tc>
          <w:tcPr>
            <w:tcW w:w="582" w:type="pct"/>
            <w:noWrap/>
            <w:hideMark/>
          </w:tcPr>
          <w:p w14:paraId="15645ABB"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45F981A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9283N</w:t>
            </w:r>
          </w:p>
        </w:tc>
        <w:tc>
          <w:tcPr>
            <w:tcW w:w="1295" w:type="pct"/>
            <w:noWrap/>
            <w:hideMark/>
          </w:tcPr>
          <w:p w14:paraId="0FF0266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50 mg</w:t>
            </w:r>
          </w:p>
        </w:tc>
        <w:tc>
          <w:tcPr>
            <w:tcW w:w="524" w:type="pct"/>
            <w:noWrap/>
            <w:hideMark/>
          </w:tcPr>
          <w:p w14:paraId="0AFE40D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570A68D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45661B0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$ 5,250.68</w:t>
            </w:r>
          </w:p>
        </w:tc>
        <w:tc>
          <w:tcPr>
            <w:tcW w:w="450" w:type="pct"/>
            <w:noWrap/>
            <w:hideMark/>
          </w:tcPr>
          <w:p w14:paraId="7927206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6D13C35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31/03/2012</w:t>
            </w:r>
          </w:p>
        </w:tc>
      </w:tr>
      <w:tr w:rsidR="00337078" w:rsidRPr="00337078" w14:paraId="133C9B96" w14:textId="77777777" w:rsidTr="00C10671">
        <w:trPr>
          <w:trHeight w:val="255"/>
        </w:trPr>
        <w:tc>
          <w:tcPr>
            <w:tcW w:w="582" w:type="pct"/>
            <w:noWrap/>
            <w:hideMark/>
          </w:tcPr>
          <w:p w14:paraId="34CF837E"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17F4380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9284P</w:t>
            </w:r>
          </w:p>
        </w:tc>
        <w:tc>
          <w:tcPr>
            <w:tcW w:w="1295" w:type="pct"/>
            <w:noWrap/>
            <w:hideMark/>
          </w:tcPr>
          <w:p w14:paraId="0F15B09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70 mg</w:t>
            </w:r>
          </w:p>
        </w:tc>
        <w:tc>
          <w:tcPr>
            <w:tcW w:w="524" w:type="pct"/>
            <w:noWrap/>
            <w:hideMark/>
          </w:tcPr>
          <w:p w14:paraId="4E257BF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0F1148B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251E43E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$ 6,465.01</w:t>
            </w:r>
          </w:p>
        </w:tc>
        <w:tc>
          <w:tcPr>
            <w:tcW w:w="450" w:type="pct"/>
            <w:noWrap/>
            <w:hideMark/>
          </w:tcPr>
          <w:p w14:paraId="151EF49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5F9932B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31/03/2012</w:t>
            </w:r>
          </w:p>
        </w:tc>
      </w:tr>
      <w:tr w:rsidR="00337078" w:rsidRPr="00337078" w14:paraId="230EFF82" w14:textId="77777777" w:rsidTr="00C10671">
        <w:trPr>
          <w:trHeight w:val="255"/>
        </w:trPr>
        <w:tc>
          <w:tcPr>
            <w:tcW w:w="582" w:type="pct"/>
            <w:noWrap/>
            <w:hideMark/>
          </w:tcPr>
          <w:p w14:paraId="172986F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1/05/2010</w:t>
            </w:r>
          </w:p>
        </w:tc>
        <w:tc>
          <w:tcPr>
            <w:tcW w:w="577" w:type="pct"/>
            <w:noWrap/>
            <w:hideMark/>
          </w:tcPr>
          <w:p w14:paraId="2F2A569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9341P</w:t>
            </w:r>
          </w:p>
        </w:tc>
        <w:tc>
          <w:tcPr>
            <w:tcW w:w="1295" w:type="pct"/>
            <w:noWrap/>
            <w:hideMark/>
          </w:tcPr>
          <w:p w14:paraId="0647C70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w:t>
            </w:r>
          </w:p>
        </w:tc>
        <w:tc>
          <w:tcPr>
            <w:tcW w:w="524" w:type="pct"/>
            <w:noWrap/>
            <w:hideMark/>
          </w:tcPr>
          <w:p w14:paraId="0AAC176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070B013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524" w:type="pct"/>
            <w:noWrap/>
            <w:hideMark/>
          </w:tcPr>
          <w:p w14:paraId="4C3B892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$ 5,250.68</w:t>
            </w:r>
          </w:p>
        </w:tc>
        <w:tc>
          <w:tcPr>
            <w:tcW w:w="450" w:type="pct"/>
            <w:noWrap/>
            <w:hideMark/>
          </w:tcPr>
          <w:p w14:paraId="2309910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410CCC8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31/03/2012</w:t>
            </w:r>
          </w:p>
        </w:tc>
      </w:tr>
      <w:tr w:rsidR="00337078" w:rsidRPr="00337078" w14:paraId="17F605BC" w14:textId="77777777" w:rsidTr="00C10671">
        <w:trPr>
          <w:trHeight w:val="255"/>
        </w:trPr>
        <w:tc>
          <w:tcPr>
            <w:tcW w:w="582" w:type="pct"/>
            <w:noWrap/>
            <w:hideMark/>
          </w:tcPr>
          <w:p w14:paraId="116CD501"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1734326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xml:space="preserve">9342Q </w:t>
            </w:r>
          </w:p>
        </w:tc>
        <w:tc>
          <w:tcPr>
            <w:tcW w:w="1295" w:type="pct"/>
            <w:noWrap/>
            <w:hideMark/>
          </w:tcPr>
          <w:p w14:paraId="487D4A6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w:t>
            </w:r>
          </w:p>
        </w:tc>
        <w:tc>
          <w:tcPr>
            <w:tcW w:w="524" w:type="pct"/>
            <w:noWrap/>
            <w:hideMark/>
          </w:tcPr>
          <w:p w14:paraId="099BBD0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36AFF2E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1705C88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$ 5,004.01</w:t>
            </w:r>
          </w:p>
        </w:tc>
        <w:tc>
          <w:tcPr>
            <w:tcW w:w="450" w:type="pct"/>
            <w:noWrap/>
            <w:hideMark/>
          </w:tcPr>
          <w:p w14:paraId="53EAC99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7145A5C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05422BC1" w14:textId="77777777" w:rsidTr="00C10671">
        <w:trPr>
          <w:trHeight w:val="255"/>
        </w:trPr>
        <w:tc>
          <w:tcPr>
            <w:tcW w:w="582" w:type="pct"/>
            <w:noWrap/>
            <w:hideMark/>
          </w:tcPr>
          <w:p w14:paraId="5446BE8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1/04/2012</w:t>
            </w:r>
          </w:p>
        </w:tc>
        <w:tc>
          <w:tcPr>
            <w:tcW w:w="577" w:type="pct"/>
            <w:noWrap/>
            <w:hideMark/>
          </w:tcPr>
          <w:p w14:paraId="390955C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1354G (CP)</w:t>
            </w:r>
          </w:p>
        </w:tc>
        <w:tc>
          <w:tcPr>
            <w:tcW w:w="1295" w:type="pct"/>
            <w:noWrap/>
            <w:hideMark/>
          </w:tcPr>
          <w:p w14:paraId="362DA23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20 mg</w:t>
            </w:r>
          </w:p>
        </w:tc>
        <w:tc>
          <w:tcPr>
            <w:tcW w:w="524" w:type="pct"/>
            <w:noWrap/>
            <w:hideMark/>
          </w:tcPr>
          <w:p w14:paraId="0FB504C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2E85163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42B31B1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$ 3,095.66</w:t>
            </w:r>
          </w:p>
        </w:tc>
        <w:tc>
          <w:tcPr>
            <w:tcW w:w="450" w:type="pct"/>
            <w:noWrap/>
            <w:hideMark/>
          </w:tcPr>
          <w:p w14:paraId="6C23480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208E118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3A7E1511" w14:textId="77777777" w:rsidTr="00C10671">
        <w:trPr>
          <w:trHeight w:val="255"/>
        </w:trPr>
        <w:tc>
          <w:tcPr>
            <w:tcW w:w="582" w:type="pct"/>
            <w:noWrap/>
            <w:hideMark/>
          </w:tcPr>
          <w:p w14:paraId="56952CD4"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33E5B72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1381Q (CP)</w:t>
            </w:r>
          </w:p>
        </w:tc>
        <w:tc>
          <w:tcPr>
            <w:tcW w:w="1295" w:type="pct"/>
            <w:noWrap/>
            <w:hideMark/>
          </w:tcPr>
          <w:p w14:paraId="0EB1245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50 mg</w:t>
            </w:r>
          </w:p>
        </w:tc>
        <w:tc>
          <w:tcPr>
            <w:tcW w:w="524" w:type="pct"/>
            <w:noWrap/>
            <w:hideMark/>
          </w:tcPr>
          <w:p w14:paraId="3CCC2C7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7FD3C68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7A73D9F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$ 5,004.01</w:t>
            </w:r>
          </w:p>
        </w:tc>
        <w:tc>
          <w:tcPr>
            <w:tcW w:w="450" w:type="pct"/>
            <w:noWrap/>
            <w:hideMark/>
          </w:tcPr>
          <w:p w14:paraId="497DF07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7F7EB1F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53230760" w14:textId="77777777" w:rsidTr="00C10671">
        <w:trPr>
          <w:trHeight w:val="255"/>
        </w:trPr>
        <w:tc>
          <w:tcPr>
            <w:tcW w:w="582" w:type="pct"/>
            <w:noWrap/>
            <w:hideMark/>
          </w:tcPr>
          <w:p w14:paraId="11FAF9D5"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644F0CE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1415L (CP)</w:t>
            </w:r>
          </w:p>
        </w:tc>
        <w:tc>
          <w:tcPr>
            <w:tcW w:w="1295" w:type="pct"/>
            <w:noWrap/>
            <w:hideMark/>
          </w:tcPr>
          <w:p w14:paraId="47AE364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70 mg</w:t>
            </w:r>
          </w:p>
        </w:tc>
        <w:tc>
          <w:tcPr>
            <w:tcW w:w="524" w:type="pct"/>
            <w:noWrap/>
            <w:hideMark/>
          </w:tcPr>
          <w:p w14:paraId="01645AF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60</w:t>
            </w:r>
          </w:p>
        </w:tc>
        <w:tc>
          <w:tcPr>
            <w:tcW w:w="449" w:type="pct"/>
            <w:noWrap/>
            <w:hideMark/>
          </w:tcPr>
          <w:p w14:paraId="02039406"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5E52642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$ 6,160.40</w:t>
            </w:r>
          </w:p>
        </w:tc>
        <w:tc>
          <w:tcPr>
            <w:tcW w:w="450" w:type="pct"/>
            <w:noWrap/>
            <w:hideMark/>
          </w:tcPr>
          <w:p w14:paraId="19D9E7F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57A43F7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47E01FC2" w14:textId="77777777" w:rsidTr="00C10671">
        <w:trPr>
          <w:trHeight w:val="255"/>
        </w:trPr>
        <w:tc>
          <w:tcPr>
            <w:tcW w:w="582" w:type="pct"/>
            <w:noWrap/>
            <w:hideMark/>
          </w:tcPr>
          <w:p w14:paraId="01DEDD99" w14:textId="77777777" w:rsidR="00337078" w:rsidRPr="00337078" w:rsidRDefault="00337078" w:rsidP="00337078">
            <w:pPr>
              <w:jc w:val="center"/>
              <w:rPr>
                <w:rFonts w:asciiTheme="minorHAnsi" w:eastAsia="Times New Roman" w:hAnsiTheme="minorHAnsi" w:cs="Times New Roman"/>
                <w:sz w:val="16"/>
                <w:szCs w:val="16"/>
              </w:rPr>
            </w:pPr>
          </w:p>
        </w:tc>
        <w:tc>
          <w:tcPr>
            <w:tcW w:w="577" w:type="pct"/>
            <w:noWrap/>
            <w:hideMark/>
          </w:tcPr>
          <w:p w14:paraId="5DE7E36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1416M (CP)</w:t>
            </w:r>
          </w:p>
        </w:tc>
        <w:tc>
          <w:tcPr>
            <w:tcW w:w="1295" w:type="pct"/>
            <w:noWrap/>
            <w:hideMark/>
          </w:tcPr>
          <w:p w14:paraId="240B3EA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Tablet 100 mg</w:t>
            </w:r>
          </w:p>
        </w:tc>
        <w:tc>
          <w:tcPr>
            <w:tcW w:w="524" w:type="pct"/>
            <w:noWrap/>
            <w:hideMark/>
          </w:tcPr>
          <w:p w14:paraId="5E6EAC6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30</w:t>
            </w:r>
          </w:p>
        </w:tc>
        <w:tc>
          <w:tcPr>
            <w:tcW w:w="449" w:type="pct"/>
            <w:noWrap/>
            <w:hideMark/>
          </w:tcPr>
          <w:p w14:paraId="56D81C2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524" w:type="pct"/>
            <w:noWrap/>
            <w:hideMark/>
          </w:tcPr>
          <w:p w14:paraId="3BBC8A8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$ 5,004.01</w:t>
            </w:r>
          </w:p>
        </w:tc>
        <w:tc>
          <w:tcPr>
            <w:tcW w:w="450" w:type="pct"/>
            <w:noWrap/>
            <w:hideMark/>
          </w:tcPr>
          <w:p w14:paraId="4B1B947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Sprycel</w:t>
            </w:r>
          </w:p>
        </w:tc>
        <w:tc>
          <w:tcPr>
            <w:tcW w:w="599" w:type="pct"/>
            <w:noWrap/>
            <w:hideMark/>
          </w:tcPr>
          <w:p w14:paraId="7C1B8C3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bl>
    <w:p w14:paraId="7C2F2B44" w14:textId="1EABFC76" w:rsidR="00337078" w:rsidRPr="00337078" w:rsidRDefault="00337078" w:rsidP="00337078">
      <w:pPr>
        <w:spacing w:after="0" w:line="240" w:lineRule="auto"/>
        <w:rPr>
          <w:rFonts w:asciiTheme="minorHAnsi" w:hAnsiTheme="minorHAnsi" w:cs="Baskerville"/>
          <w:sz w:val="20"/>
          <w:szCs w:val="20"/>
        </w:rPr>
      </w:pPr>
      <w:r w:rsidRPr="00337078">
        <w:rPr>
          <w:rFonts w:asciiTheme="minorHAnsi" w:hAnsiTheme="minorHAnsi" w:cs="Baskerville"/>
          <w:sz w:val="20"/>
          <w:szCs w:val="20"/>
        </w:rPr>
        <w:t>Source: PBS Item History file accessed 1 November 2013. Shaded cells are for second line treatment in any phase</w:t>
      </w:r>
      <w:r w:rsidR="0043258B">
        <w:rPr>
          <w:rFonts w:asciiTheme="minorHAnsi" w:hAnsiTheme="minorHAnsi" w:cs="Baskerville"/>
          <w:sz w:val="20"/>
          <w:szCs w:val="20"/>
        </w:rPr>
        <w:t>.</w:t>
      </w:r>
    </w:p>
    <w:p w14:paraId="389BCF15" w14:textId="77777777" w:rsidR="00337078" w:rsidRPr="00337078" w:rsidRDefault="00337078" w:rsidP="00337078">
      <w:pPr>
        <w:spacing w:line="240" w:lineRule="auto"/>
        <w:rPr>
          <w:rFonts w:asciiTheme="minorHAnsi" w:hAnsiTheme="minorHAnsi" w:cs="Baskerville"/>
          <w:bCs/>
          <w:iCs/>
          <w:sz w:val="20"/>
          <w:szCs w:val="20"/>
        </w:rPr>
      </w:pPr>
      <w:r w:rsidRPr="00337078">
        <w:rPr>
          <w:rFonts w:asciiTheme="minorHAnsi" w:hAnsiTheme="minorHAnsi" w:cs="Baskerville"/>
          <w:bCs/>
          <w:iCs/>
          <w:sz w:val="20"/>
          <w:szCs w:val="20"/>
        </w:rPr>
        <w:t>CP= chronic phase; AP = accelerated phase; BP = blast phase</w:t>
      </w:r>
    </w:p>
    <w:p w14:paraId="4C642A60" w14:textId="77777777" w:rsidR="00337078" w:rsidRPr="00337078" w:rsidRDefault="00337078" w:rsidP="00337078">
      <w:pPr>
        <w:keepNext/>
        <w:keepLines/>
        <w:spacing w:before="240" w:after="20" w:line="240" w:lineRule="auto"/>
        <w:outlineLvl w:val="3"/>
        <w:rPr>
          <w:rFonts w:asciiTheme="minorHAnsi" w:eastAsiaTheme="majorEastAsia" w:hAnsiTheme="minorHAnsi" w:cstheme="majorBidi"/>
          <w:b/>
          <w:bCs/>
          <w:iCs/>
        </w:rPr>
      </w:pPr>
      <w:r w:rsidRPr="00337078">
        <w:rPr>
          <w:rFonts w:asciiTheme="minorHAnsi" w:eastAsiaTheme="majorEastAsia" w:hAnsiTheme="minorHAnsi" w:cstheme="majorBidi"/>
          <w:b/>
          <w:bCs/>
          <w:iCs/>
        </w:rPr>
        <w:t>Table 4: PBS item listing history for nilotinib for CML</w:t>
      </w:r>
    </w:p>
    <w:tbl>
      <w:tblPr>
        <w:tblStyle w:val="TableGrid1"/>
        <w:tblW w:w="9464" w:type="dxa"/>
        <w:tblLayout w:type="fixed"/>
        <w:tblLook w:val="04A0" w:firstRow="1" w:lastRow="0" w:firstColumn="1" w:lastColumn="0" w:noHBand="0" w:noVBand="1"/>
        <w:tblCaption w:val="Table 4: PBS item history for nilotinib for CML"/>
        <w:tblDescription w:val="Table 4: PBS item history for nilotinib for CML"/>
      </w:tblPr>
      <w:tblGrid>
        <w:gridCol w:w="1101"/>
        <w:gridCol w:w="1134"/>
        <w:gridCol w:w="2409"/>
        <w:gridCol w:w="993"/>
        <w:gridCol w:w="850"/>
        <w:gridCol w:w="992"/>
        <w:gridCol w:w="851"/>
        <w:gridCol w:w="1134"/>
      </w:tblGrid>
      <w:tr w:rsidR="00337078" w:rsidRPr="003147C5" w14:paraId="1C13AD2B" w14:textId="77777777" w:rsidTr="003147C5">
        <w:trPr>
          <w:trHeight w:val="510"/>
          <w:tblHeader/>
        </w:trPr>
        <w:tc>
          <w:tcPr>
            <w:tcW w:w="1101" w:type="dxa"/>
            <w:hideMark/>
          </w:tcPr>
          <w:p w14:paraId="39BA853C"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Item Listing Date</w:t>
            </w:r>
          </w:p>
        </w:tc>
        <w:tc>
          <w:tcPr>
            <w:tcW w:w="1134" w:type="dxa"/>
            <w:hideMark/>
          </w:tcPr>
          <w:p w14:paraId="439618E7"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PBS item code</w:t>
            </w:r>
          </w:p>
        </w:tc>
        <w:tc>
          <w:tcPr>
            <w:tcW w:w="2409" w:type="dxa"/>
            <w:hideMark/>
          </w:tcPr>
          <w:p w14:paraId="7046220B"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Form and Strength</w:t>
            </w:r>
          </w:p>
        </w:tc>
        <w:tc>
          <w:tcPr>
            <w:tcW w:w="993" w:type="dxa"/>
            <w:hideMark/>
          </w:tcPr>
          <w:p w14:paraId="4D94EED1"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Maximum Quantity</w:t>
            </w:r>
          </w:p>
        </w:tc>
        <w:tc>
          <w:tcPr>
            <w:tcW w:w="850" w:type="dxa"/>
            <w:hideMark/>
          </w:tcPr>
          <w:p w14:paraId="659A9447"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Max. Repeats</w:t>
            </w:r>
          </w:p>
        </w:tc>
        <w:tc>
          <w:tcPr>
            <w:tcW w:w="992" w:type="dxa"/>
            <w:hideMark/>
          </w:tcPr>
          <w:p w14:paraId="76374527"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DPMQ</w:t>
            </w:r>
          </w:p>
        </w:tc>
        <w:tc>
          <w:tcPr>
            <w:tcW w:w="851" w:type="dxa"/>
            <w:hideMark/>
          </w:tcPr>
          <w:p w14:paraId="4164CF72"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Brand Name</w:t>
            </w:r>
          </w:p>
        </w:tc>
        <w:tc>
          <w:tcPr>
            <w:tcW w:w="1134" w:type="dxa"/>
            <w:hideMark/>
          </w:tcPr>
          <w:p w14:paraId="53772001" w14:textId="77777777" w:rsidR="00337078" w:rsidRPr="003147C5" w:rsidRDefault="00337078" w:rsidP="00337078">
            <w:pPr>
              <w:jc w:val="center"/>
              <w:rPr>
                <w:rFonts w:asciiTheme="minorHAnsi" w:eastAsia="Times New Roman" w:hAnsiTheme="minorHAnsi" w:cs="Times New Roman"/>
                <w:b/>
                <w:sz w:val="16"/>
                <w:szCs w:val="16"/>
              </w:rPr>
            </w:pPr>
            <w:r w:rsidRPr="003147C5">
              <w:rPr>
                <w:rFonts w:asciiTheme="minorHAnsi" w:eastAsia="Times New Roman" w:hAnsiTheme="minorHAnsi" w:cs="Times New Roman"/>
                <w:b/>
                <w:sz w:val="16"/>
                <w:szCs w:val="16"/>
              </w:rPr>
              <w:t>Item End Date</w:t>
            </w:r>
          </w:p>
        </w:tc>
      </w:tr>
      <w:tr w:rsidR="00337078" w:rsidRPr="00337078" w14:paraId="35EB06CB" w14:textId="77777777" w:rsidTr="003147C5">
        <w:trPr>
          <w:trHeight w:val="255"/>
        </w:trPr>
        <w:tc>
          <w:tcPr>
            <w:tcW w:w="1101" w:type="dxa"/>
            <w:noWrap/>
            <w:hideMark/>
          </w:tcPr>
          <w:p w14:paraId="39E7063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1/08/2008</w:t>
            </w:r>
          </w:p>
        </w:tc>
        <w:tc>
          <w:tcPr>
            <w:tcW w:w="1134" w:type="dxa"/>
            <w:noWrap/>
            <w:hideMark/>
          </w:tcPr>
          <w:p w14:paraId="6EE548C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9171Q (CP/AP)</w:t>
            </w:r>
          </w:p>
        </w:tc>
        <w:tc>
          <w:tcPr>
            <w:tcW w:w="2409" w:type="dxa"/>
            <w:noWrap/>
            <w:hideMark/>
          </w:tcPr>
          <w:p w14:paraId="6D262FB1"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 200 mg (as hydrochloride monohydrate)</w:t>
            </w:r>
          </w:p>
        </w:tc>
        <w:tc>
          <w:tcPr>
            <w:tcW w:w="993" w:type="dxa"/>
            <w:noWrap/>
            <w:hideMark/>
          </w:tcPr>
          <w:p w14:paraId="6D00900F"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120</w:t>
            </w:r>
          </w:p>
        </w:tc>
        <w:tc>
          <w:tcPr>
            <w:tcW w:w="850" w:type="dxa"/>
            <w:noWrap/>
            <w:hideMark/>
          </w:tcPr>
          <w:p w14:paraId="49A38BE8"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992" w:type="dxa"/>
            <w:noWrap/>
            <w:hideMark/>
          </w:tcPr>
          <w:p w14:paraId="223B11E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$ 5,872.35</w:t>
            </w:r>
          </w:p>
        </w:tc>
        <w:tc>
          <w:tcPr>
            <w:tcW w:w="851" w:type="dxa"/>
            <w:noWrap/>
            <w:hideMark/>
          </w:tcPr>
          <w:p w14:paraId="4F29D355"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Tasigna</w:t>
            </w:r>
          </w:p>
        </w:tc>
        <w:tc>
          <w:tcPr>
            <w:tcW w:w="1134" w:type="dxa"/>
            <w:noWrap/>
            <w:hideMark/>
          </w:tcPr>
          <w:p w14:paraId="129D419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r w:rsidR="00337078" w:rsidRPr="00337078" w14:paraId="55FAF1AA" w14:textId="77777777" w:rsidTr="003147C5">
        <w:trPr>
          <w:trHeight w:val="255"/>
        </w:trPr>
        <w:tc>
          <w:tcPr>
            <w:tcW w:w="1101" w:type="dxa"/>
            <w:noWrap/>
            <w:hideMark/>
          </w:tcPr>
          <w:p w14:paraId="14705CA9"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1/11/2008</w:t>
            </w:r>
          </w:p>
        </w:tc>
        <w:tc>
          <w:tcPr>
            <w:tcW w:w="1134" w:type="dxa"/>
            <w:noWrap/>
            <w:hideMark/>
          </w:tcPr>
          <w:p w14:paraId="359F7AB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9285Q (CP/AP)</w:t>
            </w:r>
          </w:p>
        </w:tc>
        <w:tc>
          <w:tcPr>
            <w:tcW w:w="2409" w:type="dxa"/>
            <w:noWrap/>
            <w:hideMark/>
          </w:tcPr>
          <w:p w14:paraId="4234791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 200 mg (as hydrochloride monohydrate)</w:t>
            </w:r>
          </w:p>
        </w:tc>
        <w:tc>
          <w:tcPr>
            <w:tcW w:w="993" w:type="dxa"/>
            <w:noWrap/>
            <w:hideMark/>
          </w:tcPr>
          <w:p w14:paraId="7216CF7B"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112</w:t>
            </w:r>
          </w:p>
        </w:tc>
        <w:tc>
          <w:tcPr>
            <w:tcW w:w="850" w:type="dxa"/>
            <w:noWrap/>
            <w:hideMark/>
          </w:tcPr>
          <w:p w14:paraId="7022973E"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2</w:t>
            </w:r>
          </w:p>
        </w:tc>
        <w:tc>
          <w:tcPr>
            <w:tcW w:w="992" w:type="dxa"/>
            <w:noWrap/>
            <w:hideMark/>
          </w:tcPr>
          <w:p w14:paraId="7A112593"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$ 5,490.42</w:t>
            </w:r>
          </w:p>
        </w:tc>
        <w:tc>
          <w:tcPr>
            <w:tcW w:w="851" w:type="dxa"/>
            <w:noWrap/>
            <w:hideMark/>
          </w:tcPr>
          <w:p w14:paraId="7EDB6292"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Tasigna</w:t>
            </w:r>
          </w:p>
        </w:tc>
        <w:tc>
          <w:tcPr>
            <w:tcW w:w="1134" w:type="dxa"/>
            <w:noWrap/>
            <w:hideMark/>
          </w:tcPr>
          <w:p w14:paraId="41618A1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31/03/2012</w:t>
            </w:r>
          </w:p>
        </w:tc>
      </w:tr>
      <w:tr w:rsidR="00337078" w:rsidRPr="00337078" w14:paraId="686E5164" w14:textId="77777777" w:rsidTr="003147C5">
        <w:trPr>
          <w:trHeight w:val="255"/>
        </w:trPr>
        <w:tc>
          <w:tcPr>
            <w:tcW w:w="1101" w:type="dxa"/>
            <w:noWrap/>
            <w:hideMark/>
          </w:tcPr>
          <w:p w14:paraId="1715DCC7"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1/04/2012</w:t>
            </w:r>
          </w:p>
        </w:tc>
        <w:tc>
          <w:tcPr>
            <w:tcW w:w="1134" w:type="dxa"/>
            <w:noWrap/>
            <w:hideMark/>
          </w:tcPr>
          <w:p w14:paraId="3CC385D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1309X (CP)</w:t>
            </w:r>
          </w:p>
        </w:tc>
        <w:tc>
          <w:tcPr>
            <w:tcW w:w="2409" w:type="dxa"/>
            <w:noWrap/>
            <w:hideMark/>
          </w:tcPr>
          <w:p w14:paraId="33F2C194"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Capsule 150 mg (as hydrochloride monohydrate)</w:t>
            </w:r>
          </w:p>
        </w:tc>
        <w:tc>
          <w:tcPr>
            <w:tcW w:w="993" w:type="dxa"/>
            <w:noWrap/>
            <w:hideMark/>
          </w:tcPr>
          <w:p w14:paraId="02F92C4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120</w:t>
            </w:r>
          </w:p>
        </w:tc>
        <w:tc>
          <w:tcPr>
            <w:tcW w:w="850" w:type="dxa"/>
            <w:noWrap/>
            <w:hideMark/>
          </w:tcPr>
          <w:p w14:paraId="2C2352CA"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5</w:t>
            </w:r>
          </w:p>
        </w:tc>
        <w:tc>
          <w:tcPr>
            <w:tcW w:w="992" w:type="dxa"/>
            <w:noWrap/>
            <w:hideMark/>
          </w:tcPr>
          <w:p w14:paraId="622BEA6C"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$ 4,468.08</w:t>
            </w:r>
          </w:p>
        </w:tc>
        <w:tc>
          <w:tcPr>
            <w:tcW w:w="851" w:type="dxa"/>
            <w:noWrap/>
            <w:hideMark/>
          </w:tcPr>
          <w:p w14:paraId="49CD1650"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Tasigna</w:t>
            </w:r>
          </w:p>
        </w:tc>
        <w:tc>
          <w:tcPr>
            <w:tcW w:w="1134" w:type="dxa"/>
            <w:noWrap/>
            <w:hideMark/>
          </w:tcPr>
          <w:p w14:paraId="5BDDD62D" w14:textId="77777777" w:rsidR="00337078" w:rsidRPr="00337078" w:rsidRDefault="00337078" w:rsidP="00337078">
            <w:pPr>
              <w:jc w:val="center"/>
              <w:rPr>
                <w:rFonts w:asciiTheme="minorHAnsi" w:eastAsia="Times New Roman" w:hAnsiTheme="minorHAnsi" w:cs="Times New Roman"/>
                <w:sz w:val="16"/>
                <w:szCs w:val="16"/>
              </w:rPr>
            </w:pPr>
            <w:r w:rsidRPr="00337078">
              <w:rPr>
                <w:rFonts w:asciiTheme="minorHAnsi" w:eastAsia="Times New Roman" w:hAnsiTheme="minorHAnsi" w:cs="Times New Roman"/>
                <w:sz w:val="16"/>
                <w:szCs w:val="16"/>
              </w:rPr>
              <w:t>Current</w:t>
            </w:r>
          </w:p>
        </w:tc>
      </w:tr>
    </w:tbl>
    <w:p w14:paraId="6B354962" w14:textId="09517CD1" w:rsidR="00337078" w:rsidRPr="00337078" w:rsidRDefault="00337078" w:rsidP="00337078">
      <w:pPr>
        <w:spacing w:after="0" w:line="240" w:lineRule="auto"/>
        <w:rPr>
          <w:rFonts w:asciiTheme="minorHAnsi" w:hAnsiTheme="minorHAnsi" w:cs="Baskerville"/>
          <w:sz w:val="20"/>
          <w:szCs w:val="20"/>
        </w:rPr>
      </w:pPr>
      <w:r w:rsidRPr="00337078">
        <w:rPr>
          <w:rFonts w:asciiTheme="minorHAnsi" w:hAnsiTheme="minorHAnsi" w:cs="Baskerville"/>
          <w:sz w:val="20"/>
          <w:szCs w:val="20"/>
        </w:rPr>
        <w:t>Source: PBS Item History file accessed 1 November 2013. Shaded cells are for second</w:t>
      </w:r>
      <w:r w:rsidR="0043258B">
        <w:rPr>
          <w:rFonts w:asciiTheme="minorHAnsi" w:hAnsiTheme="minorHAnsi" w:cs="Baskerville"/>
          <w:sz w:val="20"/>
          <w:szCs w:val="20"/>
        </w:rPr>
        <w:t>-</w:t>
      </w:r>
      <w:r w:rsidRPr="00337078">
        <w:rPr>
          <w:rFonts w:asciiTheme="minorHAnsi" w:hAnsiTheme="minorHAnsi" w:cs="Baskerville"/>
          <w:sz w:val="20"/>
          <w:szCs w:val="20"/>
        </w:rPr>
        <w:t>line treatment.</w:t>
      </w:r>
    </w:p>
    <w:p w14:paraId="764D2F8E" w14:textId="77777777" w:rsidR="00337078" w:rsidRPr="00337078" w:rsidRDefault="00337078" w:rsidP="00337078">
      <w:pPr>
        <w:spacing w:line="240" w:lineRule="auto"/>
        <w:rPr>
          <w:rFonts w:asciiTheme="minorHAnsi" w:hAnsiTheme="minorHAnsi" w:cs="Baskerville"/>
          <w:bCs/>
          <w:iCs/>
          <w:sz w:val="20"/>
          <w:szCs w:val="20"/>
        </w:rPr>
      </w:pPr>
      <w:r w:rsidRPr="00337078">
        <w:rPr>
          <w:rFonts w:asciiTheme="minorHAnsi" w:hAnsiTheme="minorHAnsi" w:cs="Baskerville"/>
          <w:bCs/>
          <w:iCs/>
          <w:sz w:val="20"/>
          <w:szCs w:val="20"/>
        </w:rPr>
        <w:t>CP= chronic phase; AP = accelerated phase; BP = blast phase</w:t>
      </w:r>
    </w:p>
    <w:p w14:paraId="5CBC7C50" w14:textId="4C6025BD" w:rsidR="0043258B" w:rsidRDefault="00337078" w:rsidP="00337078">
      <w:pPr>
        <w:spacing w:line="240" w:lineRule="auto"/>
        <w:rPr>
          <w:rFonts w:asciiTheme="minorHAnsi" w:hAnsiTheme="minorHAnsi"/>
        </w:rPr>
      </w:pPr>
      <w:r w:rsidRPr="00337078">
        <w:rPr>
          <w:rFonts w:asciiTheme="minorHAnsi" w:hAnsiTheme="minorHAnsi"/>
        </w:rPr>
        <w:t>All these drugs are Complex Authority Required (CAR) drugs, which means that the authority approval needs to be in writing and contain supplementary information.</w:t>
      </w:r>
      <w:r w:rsidR="0043258B">
        <w:rPr>
          <w:rFonts w:asciiTheme="minorHAnsi" w:hAnsiTheme="minorHAnsi"/>
        </w:rPr>
        <w:t xml:space="preserve"> Second and subsequent applications for i</w:t>
      </w:r>
      <w:r w:rsidRPr="00337078">
        <w:rPr>
          <w:rFonts w:asciiTheme="minorHAnsi" w:hAnsiTheme="minorHAnsi"/>
        </w:rPr>
        <w:t xml:space="preserve">matinib can be made by telephone. The CAR authority application forms for CML can be accessed from the DHS </w:t>
      </w:r>
      <w:r w:rsidR="008B6EF5">
        <w:rPr>
          <w:rFonts w:asciiTheme="minorHAnsi" w:hAnsiTheme="minorHAnsi"/>
        </w:rPr>
        <w:t xml:space="preserve">Medicare </w:t>
      </w:r>
      <w:r w:rsidRPr="00337078">
        <w:rPr>
          <w:rFonts w:asciiTheme="minorHAnsi" w:hAnsiTheme="minorHAnsi"/>
        </w:rPr>
        <w:t>web site</w:t>
      </w:r>
      <w:r w:rsidR="0043258B">
        <w:rPr>
          <w:rFonts w:asciiTheme="minorHAnsi" w:hAnsiTheme="minorHAnsi"/>
        </w:rPr>
        <w:t xml:space="preserve"> at:</w:t>
      </w:r>
      <w:r w:rsidRPr="00337078">
        <w:rPr>
          <w:rFonts w:asciiTheme="minorHAnsi" w:hAnsiTheme="minorHAnsi"/>
        </w:rPr>
        <w:t xml:space="preserve"> </w:t>
      </w:r>
      <w:r w:rsidR="0043258B" w:rsidRPr="00C970BB">
        <w:rPr>
          <w:rFonts w:asciiTheme="minorHAnsi" w:hAnsiTheme="minorHAnsi"/>
        </w:rPr>
        <w:t>www.medicareaustralia.gov.au/provider/pbs/drugs1/cml-glivec.jsp</w:t>
      </w:r>
      <w:r w:rsidR="0043258B">
        <w:rPr>
          <w:rFonts w:asciiTheme="minorHAnsi" w:hAnsiTheme="minorHAnsi"/>
        </w:rPr>
        <w:t>.</w:t>
      </w:r>
    </w:p>
    <w:p w14:paraId="5DC9534C" w14:textId="0B417820" w:rsidR="00F95CBF" w:rsidRPr="0092516A" w:rsidRDefault="007247B9" w:rsidP="0043258B">
      <w:pPr>
        <w:spacing w:line="240" w:lineRule="auto"/>
        <w:rPr>
          <w:rFonts w:asciiTheme="minorHAnsi" w:hAnsiTheme="minorHAnsi" w:cs="Baskerville"/>
        </w:rPr>
      </w:pPr>
      <w:r w:rsidRPr="0092516A">
        <w:rPr>
          <w:rFonts w:asciiTheme="minorHAnsi" w:hAnsiTheme="minorHAnsi" w:cs="Baskerville"/>
        </w:rPr>
        <w:t xml:space="preserve">Current </w:t>
      </w:r>
      <w:r w:rsidR="004C3186" w:rsidRPr="0092516A">
        <w:rPr>
          <w:rFonts w:asciiTheme="minorHAnsi" w:hAnsiTheme="minorHAnsi" w:cs="Baskerville"/>
        </w:rPr>
        <w:t xml:space="preserve">PBS listing details </w:t>
      </w:r>
      <w:r w:rsidR="009C35F2" w:rsidRPr="0092516A">
        <w:rPr>
          <w:rFonts w:asciiTheme="minorHAnsi" w:hAnsiTheme="minorHAnsi" w:cs="Baskerville"/>
        </w:rPr>
        <w:t xml:space="preserve">are </w:t>
      </w:r>
      <w:r w:rsidR="004C3186" w:rsidRPr="0092516A">
        <w:rPr>
          <w:rFonts w:asciiTheme="minorHAnsi" w:hAnsiTheme="minorHAnsi" w:cs="Baskerville"/>
        </w:rPr>
        <w:t xml:space="preserve">available from </w:t>
      </w:r>
      <w:r w:rsidR="00F95CBF" w:rsidRPr="00DB01B0">
        <w:rPr>
          <w:rFonts w:asciiTheme="minorHAnsi" w:hAnsiTheme="minorHAnsi" w:cs="Baskerville"/>
        </w:rPr>
        <w:t>www.pbs.gov.au</w:t>
      </w:r>
    </w:p>
    <w:p w14:paraId="6D0D40E1" w14:textId="77777777" w:rsidR="00F95CBF" w:rsidRDefault="00B93964" w:rsidP="00970222">
      <w:pPr>
        <w:pStyle w:val="Heading4"/>
      </w:pPr>
      <w:r w:rsidRPr="0092516A">
        <w:t>Issues considered by the PBAC</w:t>
      </w:r>
    </w:p>
    <w:p w14:paraId="546D28C0" w14:textId="35E525DB" w:rsidR="00337078" w:rsidRPr="00337078" w:rsidRDefault="00337078" w:rsidP="00337078">
      <w:pPr>
        <w:spacing w:line="240" w:lineRule="auto"/>
        <w:rPr>
          <w:rFonts w:asciiTheme="minorHAnsi" w:hAnsiTheme="minorHAnsi"/>
        </w:rPr>
      </w:pPr>
      <w:r w:rsidRPr="00337078">
        <w:rPr>
          <w:rFonts w:asciiTheme="minorHAnsi" w:hAnsiTheme="minorHAnsi"/>
        </w:rPr>
        <w:t>In July 2011, the PBAC noted that the availability of dasatinib and nilotinib as first-line therapy for CML would change the current treatment algorithm.  The PBAC considered that it was unlikely that imatinib would be used after failure of dasatinib due to resistance</w:t>
      </w:r>
      <w:r>
        <w:rPr>
          <w:rFonts w:asciiTheme="minorHAnsi" w:hAnsiTheme="minorHAnsi"/>
        </w:rPr>
        <w:t>,</w:t>
      </w:r>
      <w:r w:rsidRPr="00337078">
        <w:rPr>
          <w:rFonts w:asciiTheme="minorHAnsi" w:hAnsiTheme="minorHAnsi"/>
        </w:rPr>
        <w:t xml:space="preserve"> or after failure of nilotinib</w:t>
      </w:r>
      <w:r>
        <w:rPr>
          <w:rFonts w:asciiTheme="minorHAnsi" w:hAnsiTheme="minorHAnsi"/>
        </w:rPr>
        <w:t>,</w:t>
      </w:r>
      <w:r w:rsidRPr="00337078">
        <w:rPr>
          <w:rFonts w:asciiTheme="minorHAnsi" w:hAnsiTheme="minorHAnsi"/>
        </w:rPr>
        <w:t xml:space="preserve"> as there is little evidence for this use.  The PBAC considered it possible that imatinib might be used after dasatinib in cases of intolerance to dasatinib but the most likely scenario after failure of dasatinib is second-line nilotinib; and t</w:t>
      </w:r>
      <w:r w:rsidRPr="00337078">
        <w:rPr>
          <w:rFonts w:asciiTheme="minorHAnsi" w:hAnsiTheme="minorHAnsi"/>
          <w:snapToGrid w:val="0"/>
        </w:rPr>
        <w:t xml:space="preserve">he most likely scenario after failure of nilotinib, after dose escalation to 400 mg twice daily, is second-line dasatinib.  </w:t>
      </w:r>
      <w:r w:rsidRPr="00337078">
        <w:rPr>
          <w:rFonts w:asciiTheme="minorHAnsi" w:hAnsiTheme="minorHAnsi"/>
        </w:rPr>
        <w:t xml:space="preserve">The PBAC considered that the PBS listings for TKIs in the second-line setting would need reviewing due to the change in the treatment algorithm. The PBAC also considered that, in future, it would be critical to distinguish between the need to change </w:t>
      </w:r>
      <w:r>
        <w:rPr>
          <w:rFonts w:asciiTheme="minorHAnsi" w:hAnsiTheme="minorHAnsi"/>
        </w:rPr>
        <w:t xml:space="preserve">the </w:t>
      </w:r>
      <w:r w:rsidRPr="00337078">
        <w:rPr>
          <w:rFonts w:asciiTheme="minorHAnsi" w:hAnsiTheme="minorHAnsi"/>
        </w:rPr>
        <w:t>TKI because of intolerance and because of inadequate response. Second-line therapy after dasatinib or nilotinib should refer to the situation where there has been failure of response and should not include failure due to toxicity.  Changes between TKIs should be possible in first</w:t>
      </w:r>
      <w:r w:rsidR="00C60932">
        <w:rPr>
          <w:rFonts w:asciiTheme="minorHAnsi" w:hAnsiTheme="minorHAnsi"/>
        </w:rPr>
        <w:t>-</w:t>
      </w:r>
      <w:r w:rsidRPr="00337078">
        <w:rPr>
          <w:rFonts w:asciiTheme="minorHAnsi" w:hAnsiTheme="minorHAnsi"/>
        </w:rPr>
        <w:t xml:space="preserve">line therapy where there is intolerance to the first initiated TKI. The PBAC noted that further discussion would be needed with the sponsors and Stakeholders before finalisation of the restrictions for first and second-line treatment settings. </w:t>
      </w:r>
    </w:p>
    <w:p w14:paraId="576A9551" w14:textId="271C23B1" w:rsidR="00411987" w:rsidRDefault="00B76EC8" w:rsidP="00337078">
      <w:pPr>
        <w:spacing w:line="240" w:lineRule="auto"/>
        <w:rPr>
          <w:rFonts w:asciiTheme="minorHAnsi" w:hAnsiTheme="minorHAnsi"/>
          <w:color w:val="0000FF" w:themeColor="hyperlink"/>
          <w:u w:val="single"/>
        </w:rPr>
      </w:pPr>
      <w:r w:rsidRPr="00337078">
        <w:rPr>
          <w:rFonts w:asciiTheme="minorHAnsi" w:hAnsiTheme="minorHAnsi"/>
        </w:rPr>
        <w:t>A copy of the Public Summary Document from the July 20</w:t>
      </w:r>
      <w:r>
        <w:rPr>
          <w:rFonts w:asciiTheme="minorHAnsi" w:hAnsiTheme="minorHAnsi"/>
        </w:rPr>
        <w:t xml:space="preserve">11 PBAC meeting is available at </w:t>
      </w:r>
      <w:r w:rsidRPr="00337078">
        <w:rPr>
          <w:rFonts w:asciiTheme="minorHAnsi" w:hAnsiTheme="minorHAnsi"/>
          <w:color w:val="0000FF" w:themeColor="hyperlink"/>
          <w:u w:val="single"/>
        </w:rPr>
        <w:t>www.health.gov.au/internet/main/publishing.nsf/Content/pbac-psd-dasatinib-july11</w:t>
      </w:r>
    </w:p>
    <w:p w14:paraId="690C1D70" w14:textId="77777777" w:rsidR="00411987" w:rsidRPr="00411987" w:rsidRDefault="00411987" w:rsidP="00970222">
      <w:pPr>
        <w:pStyle w:val="Heading4"/>
      </w:pPr>
      <w:r w:rsidRPr="00411987">
        <w:t>Previous reviews by DUSC</w:t>
      </w:r>
    </w:p>
    <w:p w14:paraId="7AC12EA1" w14:textId="55274485" w:rsidR="00337078" w:rsidRPr="006063D0" w:rsidRDefault="00411987" w:rsidP="006063D0">
      <w:pPr>
        <w:rPr>
          <w:rFonts w:asciiTheme="minorHAnsi" w:hAnsiTheme="minorHAnsi"/>
        </w:rPr>
      </w:pPr>
      <w:r w:rsidRPr="006063D0">
        <w:rPr>
          <w:rFonts w:asciiTheme="minorHAnsi" w:hAnsiTheme="minorHAnsi"/>
        </w:rPr>
        <w:t>DUSC reviewed imatinib utilisation for CML at its August 2003 meeting for the period December 2001 to April 2003.  At that time, actual usage was slightly lower than that estimated in the submission</w:t>
      </w:r>
      <w:r w:rsidR="007F4237" w:rsidRPr="006063D0">
        <w:rPr>
          <w:rFonts w:asciiTheme="minorHAnsi" w:hAnsiTheme="minorHAnsi"/>
        </w:rPr>
        <w:t>. T</w:t>
      </w:r>
      <w:r w:rsidR="00971349" w:rsidRPr="006063D0">
        <w:rPr>
          <w:rFonts w:asciiTheme="minorHAnsi" w:hAnsiTheme="minorHAnsi"/>
        </w:rPr>
        <w:t xml:space="preserve">he DUSC considered that the trend indicated that the number of imatinib prescriptions </w:t>
      </w:r>
      <w:r w:rsidR="00217BDC" w:rsidRPr="006063D0">
        <w:rPr>
          <w:rFonts w:asciiTheme="minorHAnsi" w:hAnsiTheme="minorHAnsi"/>
        </w:rPr>
        <w:t xml:space="preserve">could </w:t>
      </w:r>
      <w:r w:rsidR="00971349" w:rsidRPr="006063D0">
        <w:rPr>
          <w:rFonts w:asciiTheme="minorHAnsi" w:hAnsiTheme="minorHAnsi"/>
        </w:rPr>
        <w:t xml:space="preserve">continue to increase and if so </w:t>
      </w:r>
      <w:r w:rsidR="00506779" w:rsidRPr="006063D0">
        <w:rPr>
          <w:rFonts w:asciiTheme="minorHAnsi" w:hAnsiTheme="minorHAnsi"/>
        </w:rPr>
        <w:t xml:space="preserve">could </w:t>
      </w:r>
      <w:r w:rsidR="00971349" w:rsidRPr="006063D0">
        <w:rPr>
          <w:rFonts w:asciiTheme="minorHAnsi" w:hAnsiTheme="minorHAnsi"/>
        </w:rPr>
        <w:t>result in slightly higher utilisation than estimated in the submission</w:t>
      </w:r>
      <w:r w:rsidRPr="006063D0">
        <w:rPr>
          <w:rFonts w:asciiTheme="minorHAnsi" w:hAnsiTheme="minorHAnsi"/>
        </w:rPr>
        <w:t>. Neither dasatinib nor nilotinib have been reviewed by DUSC previously.</w:t>
      </w:r>
    </w:p>
    <w:p w14:paraId="0312FFEC" w14:textId="7F0A2A52" w:rsidR="00E677DD" w:rsidRPr="0028398B" w:rsidRDefault="00E677DD" w:rsidP="0028398B">
      <w:pPr>
        <w:pStyle w:val="Heading3"/>
      </w:pPr>
      <w:r w:rsidRPr="0028398B">
        <w:t>Method</w:t>
      </w:r>
      <w:r w:rsidR="001B5D37" w:rsidRPr="0028398B">
        <w:t>s</w:t>
      </w:r>
    </w:p>
    <w:p w14:paraId="3FAF02D9" w14:textId="4206C670" w:rsidR="00C661FC" w:rsidRPr="00CD474B" w:rsidRDefault="00C661FC" w:rsidP="00CD474B">
      <w:pPr>
        <w:rPr>
          <w:rFonts w:asciiTheme="minorHAnsi" w:hAnsiTheme="minorHAnsi"/>
          <w:b/>
          <w:bCs/>
        </w:rPr>
      </w:pPr>
      <w:r w:rsidRPr="00CD474B">
        <w:rPr>
          <w:rFonts w:asciiTheme="minorHAnsi" w:hAnsiTheme="minorHAnsi"/>
        </w:rPr>
        <w:t>The number of PBS/RPBS prescriptions and benefits paid for imatinib, dasatinib and nilotinib for CML (see item codes in Tables 2</w:t>
      </w:r>
      <w:r w:rsidR="00115C1A" w:rsidRPr="00CD474B">
        <w:rPr>
          <w:rFonts w:asciiTheme="minorHAnsi" w:hAnsiTheme="minorHAnsi"/>
        </w:rPr>
        <w:t>–</w:t>
      </w:r>
      <w:r w:rsidRPr="00CD474B">
        <w:rPr>
          <w:rFonts w:asciiTheme="minorHAnsi" w:hAnsiTheme="minorHAnsi"/>
        </w:rPr>
        <w:t>4) were extracted from the DHS</w:t>
      </w:r>
      <w:r w:rsidR="006452DF" w:rsidRPr="00CD474B">
        <w:rPr>
          <w:rFonts w:asciiTheme="minorHAnsi" w:hAnsiTheme="minorHAnsi"/>
        </w:rPr>
        <w:t xml:space="preserve"> Medicare</w:t>
      </w:r>
      <w:r w:rsidRPr="00CD474B">
        <w:rPr>
          <w:rFonts w:asciiTheme="minorHAnsi" w:hAnsiTheme="minorHAnsi"/>
        </w:rPr>
        <w:t xml:space="preserve"> Prescription database for the period 1 December 2001 to 30 June 2013. Data were extracted based on the date </w:t>
      </w:r>
      <w:r w:rsidR="007D2281" w:rsidRPr="00CD474B">
        <w:rPr>
          <w:rFonts w:asciiTheme="minorHAnsi" w:hAnsiTheme="minorHAnsi"/>
        </w:rPr>
        <w:t>of supply of the</w:t>
      </w:r>
      <w:r w:rsidRPr="00CD474B">
        <w:rPr>
          <w:rFonts w:asciiTheme="minorHAnsi" w:hAnsiTheme="minorHAnsi"/>
        </w:rPr>
        <w:t xml:space="preserve"> prescription to the patient. The number of patients treated was determined by counting the number of individual de-identified personal identification numbers in the specified time period.  New patients were defined as those with no prior prescription of a TKI since 1 December 2001.</w:t>
      </w:r>
    </w:p>
    <w:p w14:paraId="5B1DB6A1" w14:textId="01B895CF" w:rsidR="007D2281" w:rsidRPr="00CD474B" w:rsidRDefault="00C661FC" w:rsidP="00CD474B">
      <w:pPr>
        <w:rPr>
          <w:rFonts w:asciiTheme="minorHAnsi" w:hAnsiTheme="minorHAnsi"/>
          <w:b/>
          <w:bCs/>
          <w:sz w:val="32"/>
          <w:szCs w:val="26"/>
        </w:rPr>
      </w:pPr>
      <w:r w:rsidRPr="00CD474B">
        <w:rPr>
          <w:rFonts w:asciiTheme="minorHAnsi" w:hAnsiTheme="minorHAnsi"/>
        </w:rPr>
        <w:t xml:space="preserve">The DHS </w:t>
      </w:r>
      <w:r w:rsidR="003746F6" w:rsidRPr="00CD474B">
        <w:rPr>
          <w:rFonts w:asciiTheme="minorHAnsi" w:hAnsiTheme="minorHAnsi"/>
        </w:rPr>
        <w:t xml:space="preserve">Medicare </w:t>
      </w:r>
      <w:r w:rsidRPr="00CD474B">
        <w:rPr>
          <w:rFonts w:asciiTheme="minorHAnsi" w:hAnsiTheme="minorHAnsi"/>
        </w:rPr>
        <w:t xml:space="preserve">Authority Approval database was used as a supplementary data source to classify approvals by disease phase and whether the approval was for initial </w:t>
      </w:r>
      <w:r w:rsidR="00D04566" w:rsidRPr="00CD474B">
        <w:rPr>
          <w:rFonts w:asciiTheme="minorHAnsi" w:hAnsiTheme="minorHAnsi"/>
        </w:rPr>
        <w:t>or continuing treatment.</w:t>
      </w:r>
    </w:p>
    <w:p w14:paraId="4F91A98A" w14:textId="6CFDAE89" w:rsidR="00C714D0" w:rsidRPr="0092516A" w:rsidRDefault="00C714D0" w:rsidP="00AA380F">
      <w:pPr>
        <w:pStyle w:val="Heading3"/>
      </w:pPr>
      <w:r w:rsidRPr="00AA380F">
        <w:t>Results</w:t>
      </w:r>
    </w:p>
    <w:p w14:paraId="2221FF19" w14:textId="6988B5E4" w:rsidR="00736041" w:rsidRPr="0004647F" w:rsidRDefault="001B5D37" w:rsidP="0004647F">
      <w:pPr>
        <w:pStyle w:val="Heading4"/>
      </w:pPr>
      <w:r w:rsidRPr="0004647F">
        <w:t xml:space="preserve">Analysis </w:t>
      </w:r>
      <w:r w:rsidR="00736041" w:rsidRPr="0004647F">
        <w:t xml:space="preserve">of </w:t>
      </w:r>
      <w:r w:rsidR="0063631C" w:rsidRPr="0004647F">
        <w:t>d</w:t>
      </w:r>
      <w:r w:rsidR="00E677DD" w:rsidRPr="0004647F">
        <w:t xml:space="preserve">rug </w:t>
      </w:r>
      <w:r w:rsidR="0063631C" w:rsidRPr="0004647F">
        <w:t>u</w:t>
      </w:r>
      <w:r w:rsidR="00E677DD" w:rsidRPr="0004647F">
        <w:t>tilisation</w:t>
      </w:r>
    </w:p>
    <w:p w14:paraId="09DD152E" w14:textId="77777777" w:rsidR="007D2281" w:rsidRPr="007D2281" w:rsidRDefault="007D2281" w:rsidP="00F5132D">
      <w:pPr>
        <w:pStyle w:val="Heading5"/>
      </w:pPr>
      <w:r w:rsidRPr="007D2281">
        <w:t xml:space="preserve">Number of patients treated with TKIs for CML </w:t>
      </w:r>
    </w:p>
    <w:p w14:paraId="6AC4FEBC" w14:textId="77777777" w:rsidR="002D1FA0" w:rsidRDefault="002D1FA0" w:rsidP="007D2281">
      <w:pPr>
        <w:spacing w:line="240" w:lineRule="auto"/>
        <w:rPr>
          <w:rFonts w:asciiTheme="minorHAnsi" w:hAnsiTheme="minorHAnsi"/>
          <w:b/>
        </w:rPr>
      </w:pPr>
      <w:r>
        <w:rPr>
          <w:rFonts w:asciiTheme="minorHAnsi" w:hAnsiTheme="minorHAnsi"/>
          <w:b/>
          <w:noProof/>
        </w:rPr>
        <w:drawing>
          <wp:inline distT="0" distB="0" distL="0" distR="0" wp14:anchorId="5BFA6B7F" wp14:editId="5CE66657">
            <wp:extent cx="5247861" cy="3417329"/>
            <wp:effectExtent l="19050" t="19050" r="10160" b="12065"/>
            <wp:docPr id="2" name="Picture 2" descr="The figure illustrates the number of patients with CML treated with a TKI by year and quarter of prescription supply." title="Number of patients treated with TKIs for C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968" cy="3418050"/>
                    </a:xfrm>
                    <a:prstGeom prst="rect">
                      <a:avLst/>
                    </a:prstGeom>
                    <a:noFill/>
                    <a:ln>
                      <a:solidFill>
                        <a:schemeClr val="tx1">
                          <a:lumMod val="50000"/>
                          <a:lumOff val="50000"/>
                        </a:schemeClr>
                      </a:solidFill>
                    </a:ln>
                  </pic:spPr>
                </pic:pic>
              </a:graphicData>
            </a:graphic>
          </wp:inline>
        </w:drawing>
      </w:r>
    </w:p>
    <w:p w14:paraId="01822CD4" w14:textId="226D5D4C" w:rsidR="007D2281" w:rsidRPr="007D2281" w:rsidRDefault="007D2281" w:rsidP="007D2281">
      <w:pPr>
        <w:spacing w:line="240" w:lineRule="auto"/>
        <w:rPr>
          <w:rFonts w:asciiTheme="minorHAnsi" w:hAnsiTheme="minorHAnsi"/>
          <w:b/>
        </w:rPr>
      </w:pPr>
      <w:r w:rsidRPr="007D2281">
        <w:rPr>
          <w:rFonts w:asciiTheme="minorHAnsi" w:hAnsiTheme="minorHAnsi"/>
          <w:b/>
        </w:rPr>
        <w:t>Figure 1: Number of CML patients treated – prevalent, initiating, stopped and re-initiating</w:t>
      </w:r>
    </w:p>
    <w:p w14:paraId="79FE6D72" w14:textId="19EF6F73" w:rsidR="007D2281" w:rsidRPr="007D2281" w:rsidRDefault="007D2281" w:rsidP="007D2281">
      <w:pPr>
        <w:spacing w:line="240" w:lineRule="auto"/>
        <w:rPr>
          <w:rFonts w:asciiTheme="minorHAnsi" w:hAnsiTheme="minorHAnsi"/>
          <w:b/>
          <w:sz w:val="16"/>
          <w:szCs w:val="16"/>
        </w:rPr>
      </w:pPr>
      <w:r w:rsidRPr="007D2281">
        <w:rPr>
          <w:rFonts w:asciiTheme="minorHAnsi" w:hAnsiTheme="minorHAnsi"/>
          <w:sz w:val="16"/>
          <w:szCs w:val="16"/>
        </w:rPr>
        <w:t>Note: the number of stopped patients cannot be estimated for the last year of the data period</w:t>
      </w:r>
    </w:p>
    <w:p w14:paraId="30B9A39B" w14:textId="1516D746" w:rsidR="007D2281" w:rsidRPr="007D2281" w:rsidRDefault="007D2281" w:rsidP="007D2281">
      <w:pPr>
        <w:spacing w:line="240" w:lineRule="auto"/>
        <w:rPr>
          <w:rFonts w:asciiTheme="minorHAnsi" w:hAnsiTheme="minorHAnsi"/>
        </w:rPr>
      </w:pPr>
      <w:r>
        <w:rPr>
          <w:rFonts w:asciiTheme="minorHAnsi" w:hAnsiTheme="minorHAnsi"/>
        </w:rPr>
        <w:t xml:space="preserve">As shown in </w:t>
      </w:r>
      <w:r w:rsidRPr="007D2281">
        <w:rPr>
          <w:rFonts w:asciiTheme="minorHAnsi" w:hAnsiTheme="minorHAnsi"/>
        </w:rPr>
        <w:t>Figure 1</w:t>
      </w:r>
      <w:r>
        <w:rPr>
          <w:rFonts w:asciiTheme="minorHAnsi" w:hAnsiTheme="minorHAnsi"/>
        </w:rPr>
        <w:t xml:space="preserve">, </w:t>
      </w:r>
      <w:r w:rsidRPr="007D2281">
        <w:rPr>
          <w:rFonts w:asciiTheme="minorHAnsi" w:hAnsiTheme="minorHAnsi"/>
        </w:rPr>
        <w:t>on average 84 new patients started treatme</w:t>
      </w:r>
      <w:r w:rsidR="00B76EC8">
        <w:rPr>
          <w:rFonts w:asciiTheme="minorHAnsi" w:hAnsiTheme="minorHAnsi"/>
        </w:rPr>
        <w:t xml:space="preserve">nt with a TKI each quarter (338 </w:t>
      </w:r>
      <w:r w:rsidRPr="007D2281">
        <w:rPr>
          <w:rFonts w:asciiTheme="minorHAnsi" w:hAnsiTheme="minorHAnsi"/>
        </w:rPr>
        <w:t>patients/year). The relatively stable trend in the number of new patients treated over the past 12 years is consistent with incidence trends</w:t>
      </w:r>
      <w:r w:rsidR="00AE102B">
        <w:rPr>
          <w:rFonts w:asciiTheme="minorHAnsi" w:hAnsiTheme="minorHAnsi"/>
        </w:rPr>
        <w:t xml:space="preserve"> reported by the Australian Institute of Health and Welfare (AIHW)</w:t>
      </w:r>
      <w:r w:rsidRPr="007D2281">
        <w:rPr>
          <w:rFonts w:asciiTheme="minorHAnsi" w:hAnsiTheme="minorHAnsi"/>
        </w:rPr>
        <w:t>,</w:t>
      </w:r>
      <w:r w:rsidRPr="007D2281">
        <w:rPr>
          <w:rFonts w:asciiTheme="minorHAnsi" w:hAnsiTheme="minorHAnsi"/>
          <w:vertAlign w:val="superscript"/>
        </w:rPr>
        <w:footnoteReference w:id="4"/>
      </w:r>
      <w:r w:rsidRPr="007D2281">
        <w:rPr>
          <w:rFonts w:asciiTheme="minorHAnsi" w:hAnsiTheme="minorHAnsi"/>
        </w:rPr>
        <w:t xml:space="preserve"> but the total number of patients starting TKIs (338) is higher than the reported incidence of CML of about 280 patients per year. </w:t>
      </w:r>
    </w:p>
    <w:p w14:paraId="140DCFDA" w14:textId="77777777" w:rsidR="00110387" w:rsidRDefault="007D2281" w:rsidP="007D2281">
      <w:pPr>
        <w:spacing w:line="240" w:lineRule="auto"/>
        <w:rPr>
          <w:rFonts w:asciiTheme="minorHAnsi" w:hAnsiTheme="minorHAnsi"/>
        </w:rPr>
      </w:pPr>
      <w:r w:rsidRPr="007D2281">
        <w:rPr>
          <w:rFonts w:asciiTheme="minorHAnsi" w:hAnsiTheme="minorHAnsi"/>
        </w:rPr>
        <w:t>The lower number of new patients commencing treatment in late 2011 and higher number in the second quarter of 2012 coincides with the listing of dasatinib and nilotinib as first</w:t>
      </w:r>
      <w:r w:rsidR="00E56B4D">
        <w:rPr>
          <w:rFonts w:asciiTheme="minorHAnsi" w:hAnsiTheme="minorHAnsi"/>
        </w:rPr>
        <w:t>-</w:t>
      </w:r>
      <w:r w:rsidRPr="007D2281">
        <w:rPr>
          <w:rFonts w:asciiTheme="minorHAnsi" w:hAnsiTheme="minorHAnsi"/>
        </w:rPr>
        <w:t>line therap</w:t>
      </w:r>
      <w:r w:rsidR="00AE102B">
        <w:rPr>
          <w:rFonts w:asciiTheme="minorHAnsi" w:hAnsiTheme="minorHAnsi"/>
        </w:rPr>
        <w:t>ies</w:t>
      </w:r>
      <w:r w:rsidRPr="007D2281">
        <w:rPr>
          <w:rFonts w:asciiTheme="minorHAnsi" w:hAnsiTheme="minorHAnsi"/>
        </w:rPr>
        <w:t xml:space="preserve"> for chronic phase CML. This transient decrease and subsequent increase is probably due to patients transferring from patient access programs to PBS supply of dasatinib and nilotinib for first</w:t>
      </w:r>
      <w:r w:rsidR="00AE102B">
        <w:rPr>
          <w:rFonts w:asciiTheme="minorHAnsi" w:hAnsiTheme="minorHAnsi"/>
        </w:rPr>
        <w:t>-</w:t>
      </w:r>
      <w:r w:rsidR="00110387">
        <w:rPr>
          <w:rFonts w:asciiTheme="minorHAnsi" w:hAnsiTheme="minorHAnsi"/>
        </w:rPr>
        <w:t>line, chronic phase disease.</w:t>
      </w:r>
    </w:p>
    <w:p w14:paraId="3AB72B16" w14:textId="70EB962A" w:rsidR="007D2281" w:rsidRPr="007D2281" w:rsidRDefault="007D2281" w:rsidP="007D2281">
      <w:pPr>
        <w:spacing w:line="240" w:lineRule="auto"/>
        <w:rPr>
          <w:rFonts w:asciiTheme="minorHAnsi" w:hAnsiTheme="minorHAnsi"/>
        </w:rPr>
      </w:pPr>
      <w:r w:rsidRPr="007D2281">
        <w:rPr>
          <w:rFonts w:asciiTheme="minorHAnsi" w:hAnsiTheme="minorHAnsi"/>
        </w:rPr>
        <w:t xml:space="preserve">The total number of patients undergoing treatment with a TKI (prevalent patients) has increased steadily since 2001. In 2012/13 approximately 2,500 patients were treated with a TKI. Once TKI treatment has started, very few patients stop (or reinitiate) treatment accounting for the increasing prevalent treated population over time. </w:t>
      </w:r>
    </w:p>
    <w:p w14:paraId="4171812F" w14:textId="77777777" w:rsidR="00B6010A" w:rsidRPr="00B6010A" w:rsidRDefault="00B6010A" w:rsidP="00F5132D">
      <w:pPr>
        <w:pStyle w:val="Heading5"/>
      </w:pPr>
      <w:r w:rsidRPr="00B6010A">
        <w:t>Number of prescriptions</w:t>
      </w:r>
    </w:p>
    <w:p w14:paraId="49A8EAA0" w14:textId="35803190" w:rsidR="002D1FA0" w:rsidRDefault="002D1FA0" w:rsidP="00B6010A">
      <w:pPr>
        <w:spacing w:line="240" w:lineRule="auto"/>
        <w:rPr>
          <w:rFonts w:asciiTheme="minorHAnsi" w:hAnsiTheme="minorHAnsi"/>
          <w:noProof/>
        </w:rPr>
      </w:pPr>
      <w:r>
        <w:rPr>
          <w:rFonts w:asciiTheme="minorHAnsi" w:hAnsiTheme="minorHAnsi"/>
          <w:noProof/>
        </w:rPr>
        <w:drawing>
          <wp:inline distT="0" distB="0" distL="0" distR="0" wp14:anchorId="0FE806AF" wp14:editId="6C912E6D">
            <wp:extent cx="5196208" cy="3383693"/>
            <wp:effectExtent l="19050" t="19050" r="23495" b="26670"/>
            <wp:docPr id="22" name="Picture 22" descr="The figure illustrates the number of prescriptions by year and quater of supply for imatinib, dasatinib, nilotinib and in total." title="Figure 2: PBS/RPBS prescriptions for TKIs for CML (all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7304" cy="3384407"/>
                    </a:xfrm>
                    <a:prstGeom prst="rect">
                      <a:avLst/>
                    </a:prstGeom>
                    <a:noFill/>
                    <a:ln>
                      <a:solidFill>
                        <a:schemeClr val="tx1">
                          <a:lumMod val="50000"/>
                          <a:lumOff val="50000"/>
                        </a:schemeClr>
                      </a:solidFill>
                    </a:ln>
                  </pic:spPr>
                </pic:pic>
              </a:graphicData>
            </a:graphic>
          </wp:inline>
        </w:drawing>
      </w:r>
    </w:p>
    <w:p w14:paraId="3A75B1A8" w14:textId="0350B128" w:rsidR="00B6010A" w:rsidRPr="00B6010A" w:rsidRDefault="00B6010A" w:rsidP="00B6010A">
      <w:pPr>
        <w:spacing w:line="240" w:lineRule="auto"/>
        <w:rPr>
          <w:rFonts w:asciiTheme="minorHAnsi" w:hAnsiTheme="minorHAnsi"/>
        </w:rPr>
      </w:pPr>
      <w:r w:rsidRPr="00B6010A">
        <w:rPr>
          <w:rFonts w:asciiTheme="minorHAnsi" w:hAnsiTheme="minorHAnsi"/>
          <w:b/>
        </w:rPr>
        <w:t xml:space="preserve">Figure 2: PBS/RPBS prescriptions for TKIs in CML (all phases) </w:t>
      </w:r>
    </w:p>
    <w:p w14:paraId="502D3BBE" w14:textId="15F8AC4A" w:rsidR="00B6010A" w:rsidRPr="00B6010A" w:rsidRDefault="00B6010A" w:rsidP="00B6010A">
      <w:pPr>
        <w:spacing w:line="240" w:lineRule="auto"/>
        <w:rPr>
          <w:rFonts w:asciiTheme="minorHAnsi" w:hAnsiTheme="minorHAnsi"/>
        </w:rPr>
      </w:pPr>
      <w:r w:rsidRPr="00B6010A">
        <w:rPr>
          <w:rFonts w:asciiTheme="minorHAnsi" w:hAnsiTheme="minorHAnsi"/>
        </w:rPr>
        <w:t>Figure 2 shows the number of PBS</w:t>
      </w:r>
      <w:r>
        <w:rPr>
          <w:rFonts w:asciiTheme="minorHAnsi" w:hAnsiTheme="minorHAnsi"/>
        </w:rPr>
        <w:t>/RPBS</w:t>
      </w:r>
      <w:r w:rsidRPr="00B6010A">
        <w:rPr>
          <w:rFonts w:asciiTheme="minorHAnsi" w:hAnsiTheme="minorHAnsi"/>
        </w:rPr>
        <w:t xml:space="preserve"> prescriptions supplied for imatinib, dasatinib and nilotinib in all phases of disease.  Consistent with an increasing number of patients on treatment as shown in Figure 1, the number of prescriptions has increased steadily over time. </w:t>
      </w:r>
    </w:p>
    <w:p w14:paraId="7259CD53" w14:textId="77777777" w:rsidR="00B6010A" w:rsidRPr="00B6010A" w:rsidRDefault="00B6010A" w:rsidP="00B6010A">
      <w:pPr>
        <w:spacing w:line="240" w:lineRule="auto"/>
        <w:rPr>
          <w:rFonts w:asciiTheme="minorHAnsi" w:hAnsiTheme="minorHAnsi"/>
        </w:rPr>
      </w:pPr>
      <w:r w:rsidRPr="00B6010A">
        <w:rPr>
          <w:rFonts w:asciiTheme="minorHAnsi" w:hAnsiTheme="minorHAnsi"/>
        </w:rPr>
        <w:t xml:space="preserve">The vast majority of prescriptions are for chronic phase disease as demonstrated in Figures 3 and 4. This is consistent with the natural history of the disease – an initially indolent, chronic phase followed by accelerated phase and blast crisis. </w:t>
      </w:r>
    </w:p>
    <w:p w14:paraId="7A26D92B" w14:textId="325A1743" w:rsidR="00B6010A" w:rsidRPr="00B6010A" w:rsidRDefault="00B6010A" w:rsidP="00B6010A">
      <w:pPr>
        <w:spacing w:line="240" w:lineRule="auto"/>
        <w:rPr>
          <w:rFonts w:asciiTheme="minorHAnsi" w:hAnsiTheme="minorHAnsi"/>
        </w:rPr>
      </w:pPr>
      <w:r w:rsidRPr="00B6010A">
        <w:rPr>
          <w:rFonts w:asciiTheme="minorHAnsi" w:hAnsiTheme="minorHAnsi"/>
        </w:rPr>
        <w:t>Figure 3 shows the number of PBS</w:t>
      </w:r>
      <w:r>
        <w:rPr>
          <w:rFonts w:asciiTheme="minorHAnsi" w:hAnsiTheme="minorHAnsi"/>
        </w:rPr>
        <w:t>/RPBS</w:t>
      </w:r>
      <w:r w:rsidRPr="00B6010A">
        <w:rPr>
          <w:rFonts w:asciiTheme="minorHAnsi" w:hAnsiTheme="minorHAnsi"/>
        </w:rPr>
        <w:t xml:space="preserve"> prescriptions supplied for imatinib, dasatinib and nilotinib for first</w:t>
      </w:r>
      <w:r w:rsidR="00E56B4D">
        <w:rPr>
          <w:rFonts w:asciiTheme="minorHAnsi" w:hAnsiTheme="minorHAnsi"/>
        </w:rPr>
        <w:t>-</w:t>
      </w:r>
      <w:r w:rsidRPr="00B6010A">
        <w:rPr>
          <w:rFonts w:asciiTheme="minorHAnsi" w:hAnsiTheme="minorHAnsi"/>
        </w:rPr>
        <w:t xml:space="preserve">line therapy in chronic phase CML. </w:t>
      </w:r>
    </w:p>
    <w:p w14:paraId="5F258057" w14:textId="6D5285F4" w:rsidR="00B6010A" w:rsidRPr="00B6010A" w:rsidRDefault="00AC198C" w:rsidP="00B6010A">
      <w:pPr>
        <w:spacing w:line="240" w:lineRule="auto"/>
        <w:rPr>
          <w:rFonts w:asciiTheme="minorHAnsi" w:hAnsiTheme="minorHAnsi"/>
        </w:rPr>
      </w:pPr>
      <w:r>
        <w:rPr>
          <w:rFonts w:asciiTheme="minorHAnsi" w:hAnsiTheme="minorHAnsi"/>
          <w:noProof/>
        </w:rPr>
        <w:drawing>
          <wp:inline distT="0" distB="0" distL="0" distR="0" wp14:anchorId="08F1B5C6" wp14:editId="59825E42">
            <wp:extent cx="5435867" cy="3753016"/>
            <wp:effectExtent l="19050" t="19050" r="12700" b="19050"/>
            <wp:docPr id="25" name="Picture 25" descr="The number of prescriptions by year and quater for first line treatment of chronic phase CML for imatinib, dasatinib, nilotinib and in total." title="Figure 3: Supplied prescriptions for TKIs in first line therapy for chronic phase C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1685" cy="3757033"/>
                    </a:xfrm>
                    <a:prstGeom prst="rect">
                      <a:avLst/>
                    </a:prstGeom>
                    <a:noFill/>
                    <a:ln>
                      <a:solidFill>
                        <a:schemeClr val="tx1">
                          <a:lumMod val="50000"/>
                          <a:lumOff val="50000"/>
                        </a:schemeClr>
                      </a:solidFill>
                    </a:ln>
                  </pic:spPr>
                </pic:pic>
              </a:graphicData>
            </a:graphic>
          </wp:inline>
        </w:drawing>
      </w:r>
    </w:p>
    <w:p w14:paraId="3CB97162" w14:textId="77777777" w:rsidR="00B6010A" w:rsidRPr="00B6010A" w:rsidRDefault="00B6010A" w:rsidP="00B6010A">
      <w:pPr>
        <w:spacing w:after="0" w:line="240" w:lineRule="auto"/>
        <w:rPr>
          <w:rFonts w:asciiTheme="minorHAnsi" w:hAnsiTheme="minorHAnsi"/>
          <w:b/>
          <w:u w:val="single"/>
        </w:rPr>
      </w:pPr>
      <w:r w:rsidRPr="00B6010A">
        <w:rPr>
          <w:rFonts w:asciiTheme="minorHAnsi" w:hAnsiTheme="minorHAnsi"/>
          <w:b/>
        </w:rPr>
        <w:t xml:space="preserve">Figure 3: Supplied prescriptions for TKIs in </w:t>
      </w:r>
      <w:r w:rsidRPr="00B6010A">
        <w:rPr>
          <w:rFonts w:asciiTheme="minorHAnsi" w:hAnsiTheme="minorHAnsi"/>
          <w:b/>
          <w:u w:val="single"/>
        </w:rPr>
        <w:t>first line therapy for chronic phase CML</w:t>
      </w:r>
    </w:p>
    <w:p w14:paraId="313F8608" w14:textId="33087EE3" w:rsidR="00B6010A" w:rsidRPr="00B6010A" w:rsidRDefault="00B6010A" w:rsidP="00B6010A">
      <w:pPr>
        <w:spacing w:line="240" w:lineRule="auto"/>
        <w:rPr>
          <w:rFonts w:asciiTheme="minorHAnsi" w:hAnsiTheme="minorHAnsi"/>
          <w:sz w:val="20"/>
          <w:szCs w:val="20"/>
        </w:rPr>
      </w:pPr>
      <w:r w:rsidRPr="00B6010A">
        <w:rPr>
          <w:rFonts w:asciiTheme="minorHAnsi" w:hAnsiTheme="minorHAnsi"/>
          <w:sz w:val="20"/>
          <w:szCs w:val="20"/>
        </w:rPr>
        <w:t>Note: Data includes historical and current PBS item codes for first line chronic phase treatment: 1309X, 1354G, 1381Q, 1415L, 1416M, 6359Q, 6360R, 6444E, 6445F, 9113P and 9114Q. See Tables 2, 3 and 4 for item details</w:t>
      </w:r>
    </w:p>
    <w:p w14:paraId="0FE5828B" w14:textId="34BFD5DA" w:rsidR="00B6010A" w:rsidRPr="00B6010A" w:rsidRDefault="00B6010A" w:rsidP="00B6010A">
      <w:pPr>
        <w:spacing w:line="240" w:lineRule="auto"/>
        <w:rPr>
          <w:rFonts w:asciiTheme="minorHAnsi" w:hAnsiTheme="minorHAnsi"/>
        </w:rPr>
      </w:pPr>
      <w:r w:rsidRPr="00B6010A">
        <w:rPr>
          <w:rFonts w:asciiTheme="minorHAnsi" w:hAnsiTheme="minorHAnsi"/>
        </w:rPr>
        <w:t>Following the extension to listing from April 2012 to include use of dasatinib and nilotinib as first</w:t>
      </w:r>
      <w:r w:rsidR="00E56B4D">
        <w:rPr>
          <w:rFonts w:asciiTheme="minorHAnsi" w:hAnsiTheme="minorHAnsi"/>
        </w:rPr>
        <w:t>-</w:t>
      </w:r>
      <w:r w:rsidRPr="00B6010A">
        <w:rPr>
          <w:rFonts w:asciiTheme="minorHAnsi" w:hAnsiTheme="minorHAnsi"/>
        </w:rPr>
        <w:t xml:space="preserve">line therapy for chronic phase CML, utilisation of imatinib has declined. This is consistent with the basis of listing with dasatinib and nilotinib expected to substitute for imatinib. </w:t>
      </w:r>
    </w:p>
    <w:p w14:paraId="72CDD766" w14:textId="77777777" w:rsidR="00B6010A" w:rsidRPr="00B6010A" w:rsidRDefault="00B6010A" w:rsidP="00B6010A">
      <w:pPr>
        <w:spacing w:line="240" w:lineRule="auto"/>
        <w:rPr>
          <w:rFonts w:asciiTheme="minorHAnsi" w:hAnsiTheme="minorHAnsi"/>
        </w:rPr>
      </w:pPr>
      <w:r w:rsidRPr="00B6010A">
        <w:rPr>
          <w:rFonts w:asciiTheme="minorHAnsi" w:hAnsiTheme="minorHAnsi"/>
        </w:rPr>
        <w:t>The plateau in imatinib utilisation prior to April 2012 is probably due to use of dasatinib or nilotinib via patient familiarisation programs prior to PBS listing for first line chronic phase CML.</w:t>
      </w:r>
    </w:p>
    <w:p w14:paraId="5DCD5A24" w14:textId="0534CBC2" w:rsidR="00B6010A" w:rsidRPr="00B6010A" w:rsidRDefault="00B6010A" w:rsidP="00B6010A">
      <w:pPr>
        <w:spacing w:line="240" w:lineRule="auto"/>
        <w:rPr>
          <w:rFonts w:asciiTheme="minorHAnsi" w:hAnsiTheme="minorHAnsi"/>
        </w:rPr>
      </w:pPr>
      <w:r w:rsidRPr="00B6010A">
        <w:rPr>
          <w:rFonts w:asciiTheme="minorHAnsi" w:hAnsiTheme="minorHAnsi"/>
        </w:rPr>
        <w:t>Figure 4 shows the number of PBS</w:t>
      </w:r>
      <w:r w:rsidR="00956380">
        <w:rPr>
          <w:rFonts w:asciiTheme="minorHAnsi" w:hAnsiTheme="minorHAnsi"/>
        </w:rPr>
        <w:t>/RPBS</w:t>
      </w:r>
      <w:r w:rsidRPr="00B6010A">
        <w:rPr>
          <w:rFonts w:asciiTheme="minorHAnsi" w:hAnsiTheme="minorHAnsi"/>
        </w:rPr>
        <w:t xml:space="preserve"> prescriptions supplied for dasatinib and nilotinib for second</w:t>
      </w:r>
      <w:r w:rsidR="00E56B4D">
        <w:rPr>
          <w:rFonts w:asciiTheme="minorHAnsi" w:hAnsiTheme="minorHAnsi"/>
        </w:rPr>
        <w:t>-</w:t>
      </w:r>
      <w:r w:rsidRPr="00B6010A">
        <w:rPr>
          <w:rFonts w:asciiTheme="minorHAnsi" w:hAnsiTheme="minorHAnsi"/>
        </w:rPr>
        <w:t>line therapy in CML.</w:t>
      </w:r>
    </w:p>
    <w:p w14:paraId="0F392775" w14:textId="75AC872D" w:rsidR="00B6010A" w:rsidRPr="00B6010A" w:rsidRDefault="00912195" w:rsidP="00B6010A">
      <w:pPr>
        <w:spacing w:line="240" w:lineRule="auto"/>
        <w:rPr>
          <w:rFonts w:asciiTheme="minorHAnsi" w:hAnsiTheme="minorHAnsi"/>
        </w:rPr>
      </w:pPr>
      <w:r>
        <w:rPr>
          <w:rFonts w:asciiTheme="minorHAnsi" w:hAnsiTheme="minorHAnsi"/>
          <w:noProof/>
        </w:rPr>
        <w:drawing>
          <wp:inline distT="0" distB="0" distL="0" distR="0" wp14:anchorId="3DE4900F" wp14:editId="71F4B7BA">
            <wp:extent cx="5279666" cy="4334875"/>
            <wp:effectExtent l="19050" t="19050" r="16510" b="27940"/>
            <wp:docPr id="24" name="Picture 24" descr="The number of prescriptions supplied by year and quarter of TKIs for the second line treatment of CML." title="Figure 4: Supplied prescriptions for TKIs in second line therapy for C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1637" cy="4336493"/>
                    </a:xfrm>
                    <a:prstGeom prst="rect">
                      <a:avLst/>
                    </a:prstGeom>
                    <a:noFill/>
                    <a:ln>
                      <a:solidFill>
                        <a:schemeClr val="tx1">
                          <a:lumMod val="50000"/>
                          <a:lumOff val="50000"/>
                        </a:schemeClr>
                      </a:solidFill>
                    </a:ln>
                  </pic:spPr>
                </pic:pic>
              </a:graphicData>
            </a:graphic>
          </wp:inline>
        </w:drawing>
      </w:r>
    </w:p>
    <w:p w14:paraId="1EAB7585" w14:textId="77777777" w:rsidR="00B6010A" w:rsidRPr="00B6010A" w:rsidRDefault="00B6010A" w:rsidP="00B6010A">
      <w:pPr>
        <w:spacing w:line="240" w:lineRule="auto"/>
        <w:rPr>
          <w:rFonts w:asciiTheme="minorHAnsi" w:hAnsiTheme="minorHAnsi"/>
          <w:b/>
          <w:u w:val="single"/>
        </w:rPr>
      </w:pPr>
      <w:r w:rsidRPr="00B6010A">
        <w:rPr>
          <w:rFonts w:asciiTheme="minorHAnsi" w:hAnsiTheme="minorHAnsi"/>
          <w:b/>
        </w:rPr>
        <w:t xml:space="preserve">Figure 4: Supplied prescriptions for </w:t>
      </w:r>
      <w:r w:rsidRPr="00B6010A">
        <w:rPr>
          <w:rFonts w:asciiTheme="minorHAnsi" w:hAnsiTheme="minorHAnsi"/>
          <w:b/>
          <w:u w:val="single"/>
        </w:rPr>
        <w:t>TKIs in second line therapy for CML</w:t>
      </w:r>
    </w:p>
    <w:p w14:paraId="32C823C4" w14:textId="2C2F70D6" w:rsidR="00B6010A" w:rsidRPr="00B6010A" w:rsidRDefault="00B6010A" w:rsidP="00B6010A">
      <w:pPr>
        <w:spacing w:line="240" w:lineRule="auto"/>
        <w:rPr>
          <w:rFonts w:asciiTheme="minorHAnsi" w:hAnsiTheme="minorHAnsi"/>
          <w:sz w:val="20"/>
          <w:szCs w:val="20"/>
        </w:rPr>
      </w:pPr>
      <w:r w:rsidRPr="00B6010A">
        <w:rPr>
          <w:rFonts w:asciiTheme="minorHAnsi" w:hAnsiTheme="minorHAnsi"/>
          <w:sz w:val="20"/>
          <w:szCs w:val="20"/>
        </w:rPr>
        <w:t>Note: Data includes PBS item codes for second line therapy: see Tables 3 and 4 for item details</w:t>
      </w:r>
    </w:p>
    <w:p w14:paraId="4310F5BD" w14:textId="73078CED" w:rsidR="00B6010A" w:rsidRPr="00B6010A" w:rsidRDefault="00B6010A" w:rsidP="00B6010A">
      <w:pPr>
        <w:spacing w:line="240" w:lineRule="auto"/>
        <w:rPr>
          <w:rFonts w:asciiTheme="minorHAnsi" w:hAnsiTheme="minorHAnsi"/>
        </w:rPr>
      </w:pPr>
      <w:r w:rsidRPr="00B6010A">
        <w:rPr>
          <w:rFonts w:asciiTheme="minorHAnsi" w:hAnsiTheme="minorHAnsi"/>
        </w:rPr>
        <w:t>The reduction in prescriptions supplied for second</w:t>
      </w:r>
      <w:r w:rsidR="00E56B4D">
        <w:rPr>
          <w:rFonts w:asciiTheme="minorHAnsi" w:hAnsiTheme="minorHAnsi"/>
        </w:rPr>
        <w:t>-</w:t>
      </w:r>
      <w:r w:rsidRPr="00B6010A">
        <w:rPr>
          <w:rFonts w:asciiTheme="minorHAnsi" w:hAnsiTheme="minorHAnsi"/>
        </w:rPr>
        <w:t xml:space="preserve">line treatment from </w:t>
      </w:r>
      <w:r w:rsidR="00956380">
        <w:rPr>
          <w:rFonts w:asciiTheme="minorHAnsi" w:hAnsiTheme="minorHAnsi"/>
        </w:rPr>
        <w:t xml:space="preserve">the second </w:t>
      </w:r>
      <w:r w:rsidRPr="00B6010A">
        <w:rPr>
          <w:rFonts w:asciiTheme="minorHAnsi" w:hAnsiTheme="minorHAnsi"/>
        </w:rPr>
        <w:t>quarter</w:t>
      </w:r>
      <w:r w:rsidR="00956380">
        <w:rPr>
          <w:rFonts w:asciiTheme="minorHAnsi" w:hAnsiTheme="minorHAnsi"/>
        </w:rPr>
        <w:t xml:space="preserve"> of</w:t>
      </w:r>
      <w:r w:rsidRPr="00B6010A">
        <w:rPr>
          <w:rFonts w:asciiTheme="minorHAnsi" w:hAnsiTheme="minorHAnsi"/>
        </w:rPr>
        <w:t xml:space="preserve"> 2012 onwards coincides with the listing of dasatinib and nilotinib for first line treatment. This could indicate that some patients were receiving first line dasatinib or nilotinib prior to listing for this indication. </w:t>
      </w:r>
    </w:p>
    <w:p w14:paraId="7E61FC26" w14:textId="77777777" w:rsidR="00FE186B" w:rsidRDefault="00FE186B">
      <w:pPr>
        <w:rPr>
          <w:rFonts w:asciiTheme="minorHAnsi" w:hAnsiTheme="minorHAnsi" w:cs="Calibri"/>
          <w:b/>
          <w:color w:val="000000"/>
        </w:rPr>
      </w:pPr>
      <w:r>
        <w:rPr>
          <w:rFonts w:asciiTheme="minorHAnsi" w:hAnsiTheme="minorHAnsi" w:cs="Calibri"/>
          <w:b/>
          <w:color w:val="000000"/>
        </w:rPr>
        <w:br w:type="page"/>
      </w:r>
    </w:p>
    <w:p w14:paraId="52038A63" w14:textId="77777777" w:rsidR="00654764" w:rsidRPr="00654764" w:rsidRDefault="00654764" w:rsidP="007873B4">
      <w:pPr>
        <w:pStyle w:val="Heading4"/>
      </w:pPr>
      <w:r w:rsidRPr="00654764">
        <w:t>Analysis of Authority Approvals</w:t>
      </w:r>
    </w:p>
    <w:p w14:paraId="6CE0CC08" w14:textId="69407664" w:rsidR="00654764" w:rsidRPr="00654764" w:rsidRDefault="00654764" w:rsidP="00654764">
      <w:pPr>
        <w:spacing w:line="240" w:lineRule="auto"/>
        <w:rPr>
          <w:rFonts w:asciiTheme="minorHAnsi" w:hAnsiTheme="minorHAnsi"/>
        </w:rPr>
      </w:pPr>
      <w:r w:rsidRPr="00654764">
        <w:rPr>
          <w:rFonts w:asciiTheme="minorHAnsi" w:hAnsiTheme="minorHAnsi"/>
        </w:rPr>
        <w:t xml:space="preserve">The Authority Approvals data </w:t>
      </w:r>
      <w:r>
        <w:rPr>
          <w:rFonts w:asciiTheme="minorHAnsi" w:hAnsiTheme="minorHAnsi"/>
        </w:rPr>
        <w:t>wa</w:t>
      </w:r>
      <w:r w:rsidRPr="00654764">
        <w:rPr>
          <w:rFonts w:asciiTheme="minorHAnsi" w:hAnsiTheme="minorHAnsi"/>
        </w:rPr>
        <w:t xml:space="preserve">s used as an alternative source of data to inform utilisation.  </w:t>
      </w:r>
    </w:p>
    <w:p w14:paraId="07004778" w14:textId="4125DEA0" w:rsidR="00654764" w:rsidRPr="00654764" w:rsidRDefault="00654764" w:rsidP="00654764">
      <w:pPr>
        <w:spacing w:line="240" w:lineRule="auto"/>
        <w:rPr>
          <w:rFonts w:asciiTheme="minorHAnsi" w:hAnsiTheme="minorHAnsi"/>
        </w:rPr>
      </w:pPr>
      <w:r w:rsidRPr="00654764">
        <w:rPr>
          <w:rFonts w:asciiTheme="minorHAnsi" w:hAnsiTheme="minorHAnsi"/>
        </w:rPr>
        <w:t xml:space="preserve">Figure 5 shows the total number of approvals (initial and continuing) by disease phase, line of therapy and drug. This emphasises that the overall market is growing linearly and that this growth is driven the chronic </w:t>
      </w:r>
      <w:r w:rsidR="007A536F">
        <w:rPr>
          <w:rFonts w:asciiTheme="minorHAnsi" w:hAnsiTheme="minorHAnsi"/>
        </w:rPr>
        <w:t>first</w:t>
      </w:r>
      <w:r w:rsidRPr="00654764">
        <w:rPr>
          <w:rFonts w:asciiTheme="minorHAnsi" w:hAnsiTheme="minorHAnsi"/>
        </w:rPr>
        <w:t xml:space="preserve"> line use.</w:t>
      </w:r>
    </w:p>
    <w:p w14:paraId="315304E2" w14:textId="3AE493B4" w:rsidR="00654764" w:rsidRPr="00654764" w:rsidRDefault="00912195" w:rsidP="00654764">
      <w:pPr>
        <w:spacing w:line="240" w:lineRule="auto"/>
        <w:rPr>
          <w:rFonts w:asciiTheme="minorHAnsi" w:hAnsiTheme="minorHAnsi"/>
          <w:b/>
        </w:rPr>
      </w:pPr>
      <w:r>
        <w:rPr>
          <w:rFonts w:asciiTheme="minorHAnsi" w:hAnsiTheme="minorHAnsi"/>
          <w:b/>
          <w:noProof/>
        </w:rPr>
        <w:drawing>
          <wp:inline distT="0" distB="0" distL="0" distR="0" wp14:anchorId="5523DFAF" wp14:editId="447086C2">
            <wp:extent cx="5502303" cy="3178401"/>
            <wp:effectExtent l="19050" t="19050" r="22225" b="22225"/>
            <wp:docPr id="23" name="Picture 23" descr="The number of Authority Approvals by year and quarter of approval date for the TKIs in CML by disease phase, line of therapy and drug." title="Figure 5: Authority approvals for TKIs in CML by disease phase, line of therapy and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2330" cy="3184193"/>
                    </a:xfrm>
                    <a:prstGeom prst="rect">
                      <a:avLst/>
                    </a:prstGeom>
                    <a:noFill/>
                    <a:ln>
                      <a:solidFill>
                        <a:schemeClr val="tx1">
                          <a:lumMod val="50000"/>
                          <a:lumOff val="50000"/>
                        </a:schemeClr>
                      </a:solidFill>
                    </a:ln>
                  </pic:spPr>
                </pic:pic>
              </a:graphicData>
            </a:graphic>
          </wp:inline>
        </w:drawing>
      </w:r>
    </w:p>
    <w:p w14:paraId="58EF1C5B" w14:textId="77777777" w:rsidR="00654764" w:rsidRPr="00654764" w:rsidRDefault="00654764" w:rsidP="00654764">
      <w:pPr>
        <w:spacing w:line="240" w:lineRule="auto"/>
        <w:rPr>
          <w:rFonts w:asciiTheme="minorHAnsi" w:hAnsiTheme="minorHAnsi"/>
        </w:rPr>
      </w:pPr>
      <w:r w:rsidRPr="00654764">
        <w:rPr>
          <w:rFonts w:asciiTheme="minorHAnsi" w:hAnsiTheme="minorHAnsi"/>
          <w:b/>
        </w:rPr>
        <w:t>Figure 5: Authority approvals for TKIs in CML by disease phase, line of therapy and drug</w:t>
      </w:r>
    </w:p>
    <w:p w14:paraId="681FA91F" w14:textId="7C99DDAD" w:rsidR="00654764" w:rsidRPr="00654764" w:rsidRDefault="00654764" w:rsidP="00654764">
      <w:pPr>
        <w:spacing w:line="240" w:lineRule="auto"/>
        <w:rPr>
          <w:rFonts w:asciiTheme="minorHAnsi" w:hAnsiTheme="minorHAnsi"/>
        </w:rPr>
      </w:pPr>
      <w:r>
        <w:rPr>
          <w:rFonts w:asciiTheme="minorHAnsi" w:hAnsiTheme="minorHAnsi"/>
        </w:rPr>
        <w:t>When nilotinib and dasatinib were PBS listed, i</w:t>
      </w:r>
      <w:r w:rsidRPr="00654764">
        <w:rPr>
          <w:rFonts w:asciiTheme="minorHAnsi" w:hAnsiTheme="minorHAnsi"/>
        </w:rPr>
        <w:t xml:space="preserve">t was assumed that first line </w:t>
      </w:r>
      <w:r>
        <w:rPr>
          <w:rFonts w:asciiTheme="minorHAnsi" w:hAnsiTheme="minorHAnsi"/>
        </w:rPr>
        <w:t xml:space="preserve">use of these drugs </w:t>
      </w:r>
      <w:r w:rsidRPr="00654764">
        <w:rPr>
          <w:rFonts w:asciiTheme="minorHAnsi" w:hAnsiTheme="minorHAnsi"/>
        </w:rPr>
        <w:t xml:space="preserve">for chronic phase CML would substitute for first line imatinib. </w:t>
      </w:r>
    </w:p>
    <w:p w14:paraId="08134642" w14:textId="51CF08A7" w:rsidR="003A504B" w:rsidRPr="003A504B" w:rsidRDefault="003A504B" w:rsidP="003A504B">
      <w:pPr>
        <w:spacing w:line="240" w:lineRule="auto"/>
        <w:rPr>
          <w:rFonts w:asciiTheme="minorHAnsi" w:hAnsiTheme="minorHAnsi"/>
        </w:rPr>
      </w:pPr>
      <w:r w:rsidRPr="003A504B">
        <w:rPr>
          <w:rFonts w:asciiTheme="minorHAnsi" w:hAnsiTheme="minorHAnsi"/>
        </w:rPr>
        <w:t xml:space="preserve">The nilotinib submission took a market share approach, assuming substitution within the existing first line imatinib market. </w:t>
      </w:r>
      <w:r w:rsidR="004522DE">
        <w:rPr>
          <w:rFonts w:asciiTheme="minorHAnsi" w:hAnsiTheme="minorHAnsi"/>
        </w:rPr>
        <w:t>(REDACTED) (REDACTED) (REDACTED) (REDACTED) (REDACTED) (REDACTED) (REDACTED) (REDACTED) (REDACTED) (REDACTED) (REDACTED) (REDACTED) (REDACTED) (REDACTED) (REDACTED) (REDACTED) (REDACTED) (REDACTED) (REDACTED); (REDACTED)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 (REDACTED)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(REDACTED)</w:t>
      </w:r>
      <w:r w:rsidR="004522DE" w:rsidRPr="004522DE">
        <w:rPr>
          <w:rFonts w:asciiTheme="minorHAnsi" w:hAnsiTheme="minorHAnsi"/>
        </w:rPr>
        <w:t xml:space="preserve"> </w:t>
      </w:r>
      <w:r w:rsidR="004522DE">
        <w:rPr>
          <w:rFonts w:asciiTheme="minorHAnsi" w:hAnsiTheme="minorHAnsi"/>
        </w:rPr>
        <w:t xml:space="preserve">(REDACTED).  </w:t>
      </w:r>
      <w:r w:rsidRPr="003A504B">
        <w:rPr>
          <w:rFonts w:asciiTheme="minorHAnsi" w:hAnsiTheme="minorHAnsi"/>
        </w:rPr>
        <w:t xml:space="preserve">The submission assumed that </w:t>
      </w:r>
      <w:r w:rsidR="004522DE">
        <w:rPr>
          <w:rFonts w:asciiTheme="minorHAnsi" w:hAnsiTheme="minorHAnsi"/>
        </w:rPr>
        <w:t>(REDACTED)</w:t>
      </w:r>
      <w:r w:rsidRPr="003A504B">
        <w:rPr>
          <w:rFonts w:asciiTheme="minorHAnsi" w:hAnsiTheme="minorHAnsi"/>
        </w:rPr>
        <w:t>% of new patients would initiate on nilot</w:t>
      </w:r>
      <w:r w:rsidR="004522DE">
        <w:rPr>
          <w:rFonts w:asciiTheme="minorHAnsi" w:hAnsiTheme="minorHAnsi"/>
        </w:rPr>
        <w:t>inib in year 1, increasing to (REDACTED)</w:t>
      </w:r>
      <w:r w:rsidRPr="003A504B">
        <w:rPr>
          <w:rFonts w:asciiTheme="minorHAnsi" w:hAnsiTheme="minorHAnsi"/>
        </w:rPr>
        <w:t xml:space="preserve">% in year 5. </w:t>
      </w:r>
    </w:p>
    <w:p w14:paraId="181A09FD" w14:textId="08C1913E" w:rsidR="003A504B" w:rsidRDefault="003A504B" w:rsidP="003A504B">
      <w:pPr>
        <w:spacing w:line="240" w:lineRule="auto"/>
        <w:rPr>
          <w:rFonts w:asciiTheme="minorHAnsi" w:hAnsiTheme="minorHAnsi"/>
        </w:rPr>
      </w:pPr>
      <w:r w:rsidRPr="003A504B">
        <w:rPr>
          <w:rFonts w:asciiTheme="minorHAnsi" w:hAnsiTheme="minorHAnsi"/>
        </w:rPr>
        <w:t xml:space="preserve">The dasatinib submission took an epidemiological approach, assuming substitution within the existing first line imatinib market. It was expected that the uptake of dasatinib in newly </w:t>
      </w:r>
      <w:r w:rsidR="00213704">
        <w:rPr>
          <w:rFonts w:asciiTheme="minorHAnsi" w:hAnsiTheme="minorHAnsi"/>
        </w:rPr>
        <w:t>diagnosed patients would be (REDACTED)</w:t>
      </w:r>
      <w:r w:rsidRPr="003A504B">
        <w:rPr>
          <w:rFonts w:asciiTheme="minorHAnsi" w:hAnsiTheme="minorHAnsi"/>
        </w:rPr>
        <w:t xml:space="preserve">% in year 1, increasing to </w:t>
      </w:r>
      <w:r w:rsidR="00FE1EA6">
        <w:rPr>
          <w:rFonts w:asciiTheme="minorHAnsi" w:hAnsiTheme="minorHAnsi"/>
        </w:rPr>
        <w:t>(REDACTED)</w:t>
      </w:r>
      <w:r w:rsidRPr="003A504B">
        <w:rPr>
          <w:rFonts w:asciiTheme="minorHAnsi" w:hAnsiTheme="minorHAnsi"/>
        </w:rPr>
        <w:t xml:space="preserve">% in year 5. The submission assumed that should nilotinib be listed in first line it would also take </w:t>
      </w:r>
      <w:r w:rsidR="00111887">
        <w:rPr>
          <w:rFonts w:asciiTheme="minorHAnsi" w:hAnsiTheme="minorHAnsi"/>
        </w:rPr>
        <w:t>(REDACTED)</w:t>
      </w:r>
      <w:r w:rsidRPr="003A504B">
        <w:rPr>
          <w:rFonts w:asciiTheme="minorHAnsi" w:hAnsiTheme="minorHAnsi"/>
        </w:rPr>
        <w:t>% of the initiating market in year 1.</w:t>
      </w:r>
    </w:p>
    <w:p w14:paraId="5A659C88" w14:textId="254D786E" w:rsidR="0026175C" w:rsidRPr="00213704" w:rsidRDefault="00654764" w:rsidP="00654764">
      <w:pPr>
        <w:spacing w:line="240" w:lineRule="auto"/>
        <w:rPr>
          <w:rFonts w:asciiTheme="minorHAnsi" w:hAnsiTheme="minorHAnsi"/>
        </w:rPr>
      </w:pPr>
      <w:r w:rsidRPr="00654764">
        <w:rPr>
          <w:rFonts w:asciiTheme="minorHAnsi" w:hAnsiTheme="minorHAnsi"/>
        </w:rPr>
        <w:t>Initial authority approvals, which represent initiating patients, demonstrate that a higher proportion of patients commenc</w:t>
      </w:r>
      <w:r>
        <w:rPr>
          <w:rFonts w:asciiTheme="minorHAnsi" w:hAnsiTheme="minorHAnsi"/>
        </w:rPr>
        <w:t>ed</w:t>
      </w:r>
      <w:r w:rsidRPr="00654764">
        <w:rPr>
          <w:rFonts w:asciiTheme="minorHAnsi" w:hAnsiTheme="minorHAnsi"/>
        </w:rPr>
        <w:t xml:space="preserve"> on dasatinib and nilotinib in first line than wa</w:t>
      </w:r>
      <w:r w:rsidR="00213704">
        <w:rPr>
          <w:rFonts w:asciiTheme="minorHAnsi" w:hAnsiTheme="minorHAnsi"/>
        </w:rPr>
        <w:t xml:space="preserve">s expected in the submissions. </w:t>
      </w:r>
    </w:p>
    <w:p w14:paraId="12C44295" w14:textId="28A20FF0" w:rsidR="00654764" w:rsidRPr="00654764" w:rsidRDefault="00654764" w:rsidP="00654764">
      <w:pPr>
        <w:spacing w:line="240" w:lineRule="auto"/>
        <w:rPr>
          <w:rFonts w:asciiTheme="minorHAnsi" w:hAnsiTheme="minorHAnsi"/>
          <w:b/>
        </w:rPr>
      </w:pPr>
      <w:r w:rsidRPr="00654764">
        <w:rPr>
          <w:rFonts w:asciiTheme="minorHAnsi" w:hAnsiTheme="minorHAnsi"/>
          <w:b/>
        </w:rPr>
        <w:t>Table 5: Initial authority approvals for first line chronic phase CML treatment in the first year of nilotinib and dasatinib first</w:t>
      </w:r>
      <w:r w:rsidR="00E56B4D">
        <w:rPr>
          <w:rFonts w:asciiTheme="minorHAnsi" w:hAnsiTheme="minorHAnsi"/>
          <w:b/>
        </w:rPr>
        <w:t>-</w:t>
      </w:r>
      <w:r w:rsidRPr="00654764">
        <w:rPr>
          <w:rFonts w:asciiTheme="minorHAnsi" w:hAnsiTheme="minorHAnsi"/>
          <w:b/>
        </w:rPr>
        <w:t xml:space="preserve">line listing </w:t>
      </w:r>
    </w:p>
    <w:tbl>
      <w:tblPr>
        <w:tblStyle w:val="LightGrid"/>
        <w:tblW w:w="6675" w:type="dxa"/>
        <w:tblLook w:val="04A0" w:firstRow="1" w:lastRow="0" w:firstColumn="1" w:lastColumn="0" w:noHBand="0" w:noVBand="1"/>
        <w:tblCaption w:val="Table 5: Initial authority approvals for first line chronic phase CML treatment in the first year of listing dasatinib and nilotinib"/>
        <w:tblDescription w:val="Initial authority approvals for first line chronic phase CML treatment in the first year of listing dasatinib and nilotinib"/>
      </w:tblPr>
      <w:tblGrid>
        <w:gridCol w:w="1995"/>
        <w:gridCol w:w="1156"/>
        <w:gridCol w:w="1095"/>
        <w:gridCol w:w="1220"/>
        <w:gridCol w:w="1209"/>
      </w:tblGrid>
      <w:tr w:rsidR="00654764" w:rsidRPr="00654764" w14:paraId="471BEE44" w14:textId="77777777" w:rsidTr="00F547C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95" w:type="dxa"/>
            <w:noWrap/>
            <w:hideMark/>
          </w:tcPr>
          <w:p w14:paraId="0E3B02A8" w14:textId="77777777" w:rsidR="00654764" w:rsidRPr="00654764" w:rsidRDefault="00654764" w:rsidP="00654764">
            <w:pPr>
              <w:jc w:val="center"/>
              <w:rPr>
                <w:rFonts w:ascii="Calibri" w:eastAsia="Times New Roman" w:hAnsi="Calibri" w:cs="Times New Roman"/>
                <w:b w:val="0"/>
                <w:color w:val="000000"/>
                <w:sz w:val="20"/>
                <w:szCs w:val="20"/>
              </w:rPr>
            </w:pPr>
            <w:r w:rsidRPr="00654764">
              <w:rPr>
                <w:rFonts w:ascii="Calibri" w:eastAsia="Times New Roman" w:hAnsi="Calibri" w:cs="Times New Roman"/>
                <w:b w:val="0"/>
                <w:color w:val="000000"/>
                <w:sz w:val="20"/>
                <w:szCs w:val="20"/>
              </w:rPr>
              <w:t>Quarter of supply</w:t>
            </w:r>
          </w:p>
        </w:tc>
        <w:tc>
          <w:tcPr>
            <w:tcW w:w="1156" w:type="dxa"/>
            <w:noWrap/>
            <w:hideMark/>
          </w:tcPr>
          <w:p w14:paraId="08E1A72C"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rPr>
            </w:pPr>
            <w:r w:rsidRPr="00654764">
              <w:rPr>
                <w:rFonts w:ascii="Calibri" w:eastAsia="Times New Roman" w:hAnsi="Calibri" w:cs="Times New Roman"/>
                <w:b w:val="0"/>
                <w:color w:val="000000"/>
                <w:sz w:val="20"/>
                <w:szCs w:val="20"/>
              </w:rPr>
              <w:t>NILOTINIB</w:t>
            </w:r>
          </w:p>
        </w:tc>
        <w:tc>
          <w:tcPr>
            <w:tcW w:w="1095" w:type="dxa"/>
            <w:noWrap/>
            <w:hideMark/>
          </w:tcPr>
          <w:p w14:paraId="53D7090B"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rPr>
            </w:pPr>
            <w:r w:rsidRPr="00654764">
              <w:rPr>
                <w:rFonts w:ascii="Calibri" w:eastAsia="Times New Roman" w:hAnsi="Calibri" w:cs="Times New Roman"/>
                <w:b w:val="0"/>
                <w:color w:val="000000"/>
                <w:sz w:val="20"/>
                <w:szCs w:val="20"/>
              </w:rPr>
              <w:t>IMATINIB</w:t>
            </w:r>
          </w:p>
        </w:tc>
        <w:tc>
          <w:tcPr>
            <w:tcW w:w="1220" w:type="dxa"/>
            <w:noWrap/>
            <w:hideMark/>
          </w:tcPr>
          <w:p w14:paraId="7B82BE77"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rPr>
            </w:pPr>
            <w:r w:rsidRPr="00654764">
              <w:rPr>
                <w:rFonts w:ascii="Calibri" w:eastAsia="Times New Roman" w:hAnsi="Calibri" w:cs="Times New Roman"/>
                <w:b w:val="0"/>
                <w:color w:val="000000"/>
                <w:sz w:val="20"/>
                <w:szCs w:val="20"/>
              </w:rPr>
              <w:t>DASATINIB</w:t>
            </w:r>
          </w:p>
        </w:tc>
        <w:tc>
          <w:tcPr>
            <w:tcW w:w="1209" w:type="dxa"/>
            <w:noWrap/>
            <w:hideMark/>
          </w:tcPr>
          <w:p w14:paraId="61D1C268"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rPr>
            </w:pPr>
            <w:r w:rsidRPr="00654764">
              <w:rPr>
                <w:rFonts w:ascii="Calibri" w:eastAsia="Times New Roman" w:hAnsi="Calibri" w:cs="Times New Roman"/>
                <w:b w:val="0"/>
                <w:color w:val="000000"/>
                <w:sz w:val="20"/>
                <w:szCs w:val="20"/>
              </w:rPr>
              <w:t>TOTAL</w:t>
            </w:r>
          </w:p>
        </w:tc>
      </w:tr>
      <w:tr w:rsidR="00654764" w:rsidRPr="00654764" w14:paraId="2DFF925A" w14:textId="77777777" w:rsidTr="000D3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noWrap/>
            <w:hideMark/>
          </w:tcPr>
          <w:p w14:paraId="1590826B"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2012Q2</w:t>
            </w:r>
          </w:p>
        </w:tc>
        <w:tc>
          <w:tcPr>
            <w:tcW w:w="1156" w:type="dxa"/>
            <w:noWrap/>
            <w:hideMark/>
          </w:tcPr>
          <w:p w14:paraId="63E802EF"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71</w:t>
            </w:r>
          </w:p>
        </w:tc>
        <w:tc>
          <w:tcPr>
            <w:tcW w:w="1095" w:type="dxa"/>
            <w:noWrap/>
            <w:hideMark/>
          </w:tcPr>
          <w:p w14:paraId="56C57047"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109</w:t>
            </w:r>
          </w:p>
        </w:tc>
        <w:tc>
          <w:tcPr>
            <w:tcW w:w="1220" w:type="dxa"/>
            <w:noWrap/>
            <w:hideMark/>
          </w:tcPr>
          <w:p w14:paraId="6F712B62"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88</w:t>
            </w:r>
          </w:p>
        </w:tc>
        <w:tc>
          <w:tcPr>
            <w:tcW w:w="1209" w:type="dxa"/>
            <w:noWrap/>
            <w:hideMark/>
          </w:tcPr>
          <w:p w14:paraId="639A3567" w14:textId="77777777" w:rsidR="00654764" w:rsidRPr="00654764" w:rsidRDefault="00654764" w:rsidP="006547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r>
      <w:tr w:rsidR="00654764" w:rsidRPr="00654764" w14:paraId="23283960" w14:textId="77777777" w:rsidTr="000D3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noWrap/>
            <w:hideMark/>
          </w:tcPr>
          <w:p w14:paraId="409E49AE"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2012Q3</w:t>
            </w:r>
          </w:p>
        </w:tc>
        <w:tc>
          <w:tcPr>
            <w:tcW w:w="1156" w:type="dxa"/>
            <w:noWrap/>
            <w:hideMark/>
          </w:tcPr>
          <w:p w14:paraId="137D80E4"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78</w:t>
            </w:r>
          </w:p>
        </w:tc>
        <w:tc>
          <w:tcPr>
            <w:tcW w:w="1095" w:type="dxa"/>
            <w:noWrap/>
            <w:hideMark/>
          </w:tcPr>
          <w:p w14:paraId="50C654CA"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77</w:t>
            </w:r>
          </w:p>
        </w:tc>
        <w:tc>
          <w:tcPr>
            <w:tcW w:w="1220" w:type="dxa"/>
            <w:noWrap/>
            <w:hideMark/>
          </w:tcPr>
          <w:p w14:paraId="63AF986E"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58</w:t>
            </w:r>
          </w:p>
        </w:tc>
        <w:tc>
          <w:tcPr>
            <w:tcW w:w="1209" w:type="dxa"/>
            <w:noWrap/>
            <w:hideMark/>
          </w:tcPr>
          <w:p w14:paraId="6277A600" w14:textId="77777777" w:rsidR="00654764" w:rsidRPr="00654764" w:rsidRDefault="00654764" w:rsidP="00654764">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r>
      <w:tr w:rsidR="00654764" w:rsidRPr="00654764" w14:paraId="42C84063" w14:textId="77777777" w:rsidTr="000D3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noWrap/>
            <w:hideMark/>
          </w:tcPr>
          <w:p w14:paraId="592DD684"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2012Q4</w:t>
            </w:r>
          </w:p>
        </w:tc>
        <w:tc>
          <w:tcPr>
            <w:tcW w:w="1156" w:type="dxa"/>
            <w:noWrap/>
            <w:hideMark/>
          </w:tcPr>
          <w:p w14:paraId="4E8B5A19"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79</w:t>
            </w:r>
          </w:p>
        </w:tc>
        <w:tc>
          <w:tcPr>
            <w:tcW w:w="1095" w:type="dxa"/>
            <w:noWrap/>
            <w:hideMark/>
          </w:tcPr>
          <w:p w14:paraId="530C4A3F"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103</w:t>
            </w:r>
          </w:p>
        </w:tc>
        <w:tc>
          <w:tcPr>
            <w:tcW w:w="1220" w:type="dxa"/>
            <w:noWrap/>
            <w:hideMark/>
          </w:tcPr>
          <w:p w14:paraId="19893293"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76</w:t>
            </w:r>
          </w:p>
        </w:tc>
        <w:tc>
          <w:tcPr>
            <w:tcW w:w="1209" w:type="dxa"/>
            <w:noWrap/>
            <w:hideMark/>
          </w:tcPr>
          <w:p w14:paraId="3F65E328" w14:textId="77777777" w:rsidR="00654764" w:rsidRPr="00654764" w:rsidRDefault="00654764" w:rsidP="006547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r>
      <w:tr w:rsidR="00654764" w:rsidRPr="00654764" w14:paraId="3A07B981" w14:textId="77777777" w:rsidTr="000D3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noWrap/>
            <w:hideMark/>
          </w:tcPr>
          <w:p w14:paraId="175ADB0D"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2013Q1</w:t>
            </w:r>
          </w:p>
        </w:tc>
        <w:tc>
          <w:tcPr>
            <w:tcW w:w="1156" w:type="dxa"/>
            <w:noWrap/>
            <w:hideMark/>
          </w:tcPr>
          <w:p w14:paraId="13924756"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56</w:t>
            </w:r>
          </w:p>
        </w:tc>
        <w:tc>
          <w:tcPr>
            <w:tcW w:w="1095" w:type="dxa"/>
            <w:noWrap/>
            <w:hideMark/>
          </w:tcPr>
          <w:p w14:paraId="6DC757E6"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67</w:t>
            </w:r>
          </w:p>
        </w:tc>
        <w:tc>
          <w:tcPr>
            <w:tcW w:w="1220" w:type="dxa"/>
            <w:noWrap/>
            <w:hideMark/>
          </w:tcPr>
          <w:p w14:paraId="13841276"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75</w:t>
            </w:r>
          </w:p>
        </w:tc>
        <w:tc>
          <w:tcPr>
            <w:tcW w:w="1209" w:type="dxa"/>
            <w:noWrap/>
            <w:hideMark/>
          </w:tcPr>
          <w:p w14:paraId="4CC4EEBD" w14:textId="77777777" w:rsidR="00654764" w:rsidRPr="00654764" w:rsidRDefault="00654764" w:rsidP="00654764">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r>
      <w:tr w:rsidR="00654764" w:rsidRPr="00654764" w14:paraId="10FC562B" w14:textId="77777777" w:rsidTr="000D3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noWrap/>
            <w:hideMark/>
          </w:tcPr>
          <w:p w14:paraId="55645278" w14:textId="7287B59F" w:rsidR="00654764" w:rsidRPr="00654764" w:rsidRDefault="00E56B4D" w:rsidP="00E56B4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Total</w:t>
            </w:r>
          </w:p>
        </w:tc>
        <w:tc>
          <w:tcPr>
            <w:tcW w:w="1156" w:type="dxa"/>
            <w:noWrap/>
            <w:hideMark/>
          </w:tcPr>
          <w:p w14:paraId="04BC9FD0"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rPr>
            </w:pPr>
            <w:r w:rsidRPr="00654764">
              <w:rPr>
                <w:rFonts w:ascii="Calibri" w:eastAsia="Times New Roman" w:hAnsi="Calibri" w:cs="Times New Roman"/>
                <w:b/>
                <w:bCs/>
                <w:color w:val="000000"/>
                <w:sz w:val="20"/>
                <w:szCs w:val="20"/>
              </w:rPr>
              <w:t>284</w:t>
            </w:r>
          </w:p>
        </w:tc>
        <w:tc>
          <w:tcPr>
            <w:tcW w:w="1095" w:type="dxa"/>
            <w:noWrap/>
            <w:hideMark/>
          </w:tcPr>
          <w:p w14:paraId="534B9659"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rPr>
            </w:pPr>
            <w:r w:rsidRPr="00654764">
              <w:rPr>
                <w:rFonts w:ascii="Calibri" w:eastAsia="Times New Roman" w:hAnsi="Calibri" w:cs="Times New Roman"/>
                <w:b/>
                <w:bCs/>
                <w:color w:val="000000"/>
                <w:sz w:val="20"/>
                <w:szCs w:val="20"/>
              </w:rPr>
              <w:t>356</w:t>
            </w:r>
          </w:p>
        </w:tc>
        <w:tc>
          <w:tcPr>
            <w:tcW w:w="1220" w:type="dxa"/>
            <w:noWrap/>
            <w:hideMark/>
          </w:tcPr>
          <w:p w14:paraId="15D3BF7B"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rPr>
            </w:pPr>
            <w:r w:rsidRPr="00654764">
              <w:rPr>
                <w:rFonts w:ascii="Calibri" w:eastAsia="Times New Roman" w:hAnsi="Calibri" w:cs="Times New Roman"/>
                <w:b/>
                <w:bCs/>
                <w:color w:val="000000"/>
                <w:sz w:val="20"/>
                <w:szCs w:val="20"/>
              </w:rPr>
              <w:t>297</w:t>
            </w:r>
          </w:p>
        </w:tc>
        <w:tc>
          <w:tcPr>
            <w:tcW w:w="1209" w:type="dxa"/>
            <w:noWrap/>
            <w:hideMark/>
          </w:tcPr>
          <w:p w14:paraId="7765A1C7"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54764">
              <w:rPr>
                <w:rFonts w:ascii="Calibri" w:eastAsia="Times New Roman" w:hAnsi="Calibri" w:cs="Times New Roman"/>
                <w:b/>
                <w:color w:val="000000"/>
                <w:sz w:val="20"/>
                <w:szCs w:val="20"/>
              </w:rPr>
              <w:t>937</w:t>
            </w:r>
          </w:p>
        </w:tc>
      </w:tr>
      <w:tr w:rsidR="00654764" w:rsidRPr="00654764" w14:paraId="203FC966" w14:textId="77777777" w:rsidTr="000D33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noWrap/>
            <w:hideMark/>
          </w:tcPr>
          <w:p w14:paraId="3B82614D" w14:textId="5B4F7977" w:rsidR="00654764" w:rsidRPr="00654764" w:rsidRDefault="00654764" w:rsidP="00654764">
            <w:pP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r w:rsidR="00E56B4D">
              <w:rPr>
                <w:rFonts w:ascii="Calibri" w:eastAsia="Times New Roman" w:hAnsi="Calibri" w:cs="Times New Roman"/>
                <w:color w:val="000000"/>
                <w:sz w:val="20"/>
                <w:szCs w:val="20"/>
              </w:rPr>
              <w:t>Percentage of total</w:t>
            </w:r>
          </w:p>
        </w:tc>
        <w:tc>
          <w:tcPr>
            <w:tcW w:w="1156" w:type="dxa"/>
            <w:noWrap/>
            <w:hideMark/>
          </w:tcPr>
          <w:p w14:paraId="13DB8ADC"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szCs w:val="20"/>
              </w:rPr>
            </w:pPr>
            <w:r w:rsidRPr="00654764">
              <w:rPr>
                <w:rFonts w:ascii="Calibri" w:eastAsia="Times New Roman" w:hAnsi="Calibri" w:cs="Times New Roman"/>
                <w:b/>
                <w:bCs/>
                <w:color w:val="000000"/>
                <w:sz w:val="20"/>
                <w:szCs w:val="20"/>
              </w:rPr>
              <w:t>30%</w:t>
            </w:r>
          </w:p>
        </w:tc>
        <w:tc>
          <w:tcPr>
            <w:tcW w:w="1095" w:type="dxa"/>
            <w:noWrap/>
            <w:hideMark/>
          </w:tcPr>
          <w:p w14:paraId="686AE320"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szCs w:val="20"/>
              </w:rPr>
            </w:pPr>
            <w:r w:rsidRPr="00654764">
              <w:rPr>
                <w:rFonts w:ascii="Calibri" w:eastAsia="Times New Roman" w:hAnsi="Calibri" w:cs="Times New Roman"/>
                <w:b/>
                <w:bCs/>
                <w:color w:val="000000"/>
                <w:sz w:val="20"/>
                <w:szCs w:val="20"/>
              </w:rPr>
              <w:t>38%</w:t>
            </w:r>
          </w:p>
        </w:tc>
        <w:tc>
          <w:tcPr>
            <w:tcW w:w="1220" w:type="dxa"/>
            <w:noWrap/>
            <w:hideMark/>
          </w:tcPr>
          <w:p w14:paraId="67982E38"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0"/>
                <w:szCs w:val="20"/>
              </w:rPr>
            </w:pPr>
            <w:r w:rsidRPr="00654764">
              <w:rPr>
                <w:rFonts w:ascii="Calibri" w:eastAsia="Times New Roman" w:hAnsi="Calibri" w:cs="Times New Roman"/>
                <w:b/>
                <w:bCs/>
                <w:color w:val="000000"/>
                <w:sz w:val="20"/>
                <w:szCs w:val="20"/>
              </w:rPr>
              <w:t>32%</w:t>
            </w:r>
          </w:p>
        </w:tc>
        <w:tc>
          <w:tcPr>
            <w:tcW w:w="1209" w:type="dxa"/>
            <w:noWrap/>
            <w:hideMark/>
          </w:tcPr>
          <w:p w14:paraId="54321440"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color w:val="000000"/>
                <w:sz w:val="20"/>
                <w:szCs w:val="20"/>
              </w:rPr>
            </w:pPr>
            <w:r w:rsidRPr="00654764">
              <w:rPr>
                <w:rFonts w:ascii="Calibri" w:eastAsia="Times New Roman" w:hAnsi="Calibri" w:cs="Times New Roman"/>
                <w:b/>
                <w:color w:val="000000"/>
                <w:sz w:val="20"/>
                <w:szCs w:val="20"/>
              </w:rPr>
              <w:t>100%</w:t>
            </w:r>
          </w:p>
        </w:tc>
      </w:tr>
    </w:tbl>
    <w:p w14:paraId="4A1E01FB" w14:textId="77777777" w:rsidR="00654764" w:rsidRPr="00654764" w:rsidRDefault="00654764" w:rsidP="00654764">
      <w:pPr>
        <w:spacing w:line="240" w:lineRule="auto"/>
        <w:rPr>
          <w:rFonts w:asciiTheme="minorHAnsi" w:hAnsiTheme="minorHAnsi"/>
        </w:rPr>
      </w:pPr>
    </w:p>
    <w:p w14:paraId="10A3A401" w14:textId="4BF9C3B7" w:rsidR="00654764" w:rsidRPr="00654764" w:rsidRDefault="00654764" w:rsidP="007873B4">
      <w:pPr>
        <w:pStyle w:val="Heading4"/>
      </w:pPr>
      <w:r w:rsidRPr="00654764">
        <w:t>Analysis of expenditure</w:t>
      </w:r>
    </w:p>
    <w:p w14:paraId="70D7648C" w14:textId="1F49F506" w:rsidR="00654764" w:rsidRPr="00654764" w:rsidRDefault="00654764" w:rsidP="00654764">
      <w:pPr>
        <w:rPr>
          <w:rFonts w:asciiTheme="minorHAnsi" w:hAnsiTheme="minorHAnsi"/>
        </w:rPr>
      </w:pPr>
      <w:r w:rsidRPr="00654764">
        <w:rPr>
          <w:rFonts w:asciiTheme="minorHAnsi" w:hAnsiTheme="minorHAnsi"/>
          <w:b/>
        </w:rPr>
        <w:t>Table 6: PBS</w:t>
      </w:r>
      <w:r>
        <w:rPr>
          <w:rFonts w:asciiTheme="minorHAnsi" w:hAnsiTheme="minorHAnsi"/>
          <w:b/>
        </w:rPr>
        <w:t>/RPBS</w:t>
      </w:r>
      <w:r w:rsidRPr="00654764">
        <w:rPr>
          <w:rFonts w:asciiTheme="minorHAnsi" w:hAnsiTheme="minorHAnsi"/>
          <w:b/>
        </w:rPr>
        <w:t xml:space="preserve"> expenditure for CML by drug</w:t>
      </w:r>
    </w:p>
    <w:tbl>
      <w:tblPr>
        <w:tblStyle w:val="LightGrid"/>
        <w:tblW w:w="5980" w:type="dxa"/>
        <w:tblLook w:val="04A0" w:firstRow="1" w:lastRow="0" w:firstColumn="1" w:lastColumn="0" w:noHBand="0" w:noVBand="1"/>
        <w:tblCaption w:val="Table 6: PBS/RPBS expenditure for CML by drug"/>
        <w:tblDescription w:val="PBS/RPBS expenditure for CML by drug"/>
      </w:tblPr>
      <w:tblGrid>
        <w:gridCol w:w="960"/>
        <w:gridCol w:w="1300"/>
        <w:gridCol w:w="1300"/>
        <w:gridCol w:w="1229"/>
        <w:gridCol w:w="1330"/>
      </w:tblGrid>
      <w:tr w:rsidR="00654764" w:rsidRPr="00654764" w14:paraId="00C15F18" w14:textId="77777777" w:rsidTr="00F547C9">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3932D1" w14:textId="77777777" w:rsidR="00654764" w:rsidRPr="00654764" w:rsidRDefault="00654764" w:rsidP="00654764">
            <w:pPr>
              <w:jc w:val="center"/>
              <w:rPr>
                <w:rFonts w:ascii="Calibri" w:eastAsia="Times New Roman" w:hAnsi="Calibri" w:cs="Times New Roman"/>
                <w:b w:val="0"/>
                <w:bCs w:val="0"/>
                <w:color w:val="000000"/>
                <w:sz w:val="20"/>
                <w:szCs w:val="20"/>
              </w:rPr>
            </w:pPr>
            <w:r w:rsidRPr="00654764">
              <w:rPr>
                <w:rFonts w:ascii="Calibri" w:eastAsia="Times New Roman" w:hAnsi="Calibri" w:cs="Times New Roman"/>
                <w:b w:val="0"/>
                <w:bCs w:val="0"/>
                <w:color w:val="000000"/>
                <w:sz w:val="20"/>
                <w:szCs w:val="20"/>
              </w:rPr>
              <w:t>Year</w:t>
            </w:r>
          </w:p>
        </w:tc>
        <w:tc>
          <w:tcPr>
            <w:tcW w:w="1300" w:type="dxa"/>
            <w:noWrap/>
            <w:hideMark/>
          </w:tcPr>
          <w:p w14:paraId="375F3B3E"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0"/>
                <w:szCs w:val="20"/>
              </w:rPr>
            </w:pPr>
            <w:r w:rsidRPr="00654764">
              <w:rPr>
                <w:rFonts w:ascii="Calibri" w:eastAsia="Times New Roman" w:hAnsi="Calibri" w:cs="Times New Roman"/>
                <w:b w:val="0"/>
                <w:bCs w:val="0"/>
                <w:color w:val="000000"/>
                <w:sz w:val="20"/>
                <w:szCs w:val="20"/>
              </w:rPr>
              <w:t>IMATINIB</w:t>
            </w:r>
          </w:p>
        </w:tc>
        <w:tc>
          <w:tcPr>
            <w:tcW w:w="1300" w:type="dxa"/>
            <w:noWrap/>
            <w:hideMark/>
          </w:tcPr>
          <w:p w14:paraId="5B707FA8"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0"/>
                <w:szCs w:val="20"/>
              </w:rPr>
            </w:pPr>
            <w:r w:rsidRPr="00654764">
              <w:rPr>
                <w:rFonts w:ascii="Calibri" w:eastAsia="Times New Roman" w:hAnsi="Calibri" w:cs="Times New Roman"/>
                <w:b w:val="0"/>
                <w:bCs w:val="0"/>
                <w:color w:val="000000"/>
                <w:sz w:val="20"/>
                <w:szCs w:val="20"/>
              </w:rPr>
              <w:t>DASATINIB</w:t>
            </w:r>
          </w:p>
        </w:tc>
        <w:tc>
          <w:tcPr>
            <w:tcW w:w="1180" w:type="dxa"/>
            <w:noWrap/>
            <w:hideMark/>
          </w:tcPr>
          <w:p w14:paraId="05DE2A79"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0"/>
                <w:szCs w:val="20"/>
              </w:rPr>
            </w:pPr>
            <w:r w:rsidRPr="00654764">
              <w:rPr>
                <w:rFonts w:ascii="Calibri" w:eastAsia="Times New Roman" w:hAnsi="Calibri" w:cs="Times New Roman"/>
                <w:b w:val="0"/>
                <w:bCs w:val="0"/>
                <w:color w:val="000000"/>
                <w:sz w:val="20"/>
                <w:szCs w:val="20"/>
              </w:rPr>
              <w:t>NILOTINIB</w:t>
            </w:r>
          </w:p>
        </w:tc>
        <w:tc>
          <w:tcPr>
            <w:tcW w:w="1240" w:type="dxa"/>
            <w:noWrap/>
            <w:hideMark/>
          </w:tcPr>
          <w:p w14:paraId="371020A6" w14:textId="77777777" w:rsidR="00654764" w:rsidRPr="00654764" w:rsidRDefault="00654764" w:rsidP="0065476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0"/>
                <w:szCs w:val="20"/>
              </w:rPr>
            </w:pPr>
            <w:r w:rsidRPr="00654764">
              <w:rPr>
                <w:rFonts w:ascii="Calibri" w:eastAsia="Times New Roman" w:hAnsi="Calibri" w:cs="Times New Roman"/>
                <w:b w:val="0"/>
                <w:bCs w:val="0"/>
                <w:color w:val="000000"/>
                <w:sz w:val="20"/>
                <w:szCs w:val="20"/>
              </w:rPr>
              <w:t>Total</w:t>
            </w:r>
          </w:p>
        </w:tc>
      </w:tr>
      <w:tr w:rsidR="00654764" w:rsidRPr="00654764" w14:paraId="1EC8F71E" w14:textId="77777777" w:rsidTr="000D33E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69C695"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2002</w:t>
            </w:r>
          </w:p>
        </w:tc>
        <w:tc>
          <w:tcPr>
            <w:tcW w:w="1300" w:type="dxa"/>
            <w:noWrap/>
            <w:hideMark/>
          </w:tcPr>
          <w:p w14:paraId="15F3F1B6"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$8,888,805</w:t>
            </w:r>
          </w:p>
        </w:tc>
        <w:tc>
          <w:tcPr>
            <w:tcW w:w="1300" w:type="dxa"/>
            <w:noWrap/>
            <w:hideMark/>
          </w:tcPr>
          <w:p w14:paraId="4A8C9F35"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180" w:type="dxa"/>
            <w:noWrap/>
            <w:hideMark/>
          </w:tcPr>
          <w:p w14:paraId="0FC48C69"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240" w:type="dxa"/>
            <w:noWrap/>
            <w:hideMark/>
          </w:tcPr>
          <w:p w14:paraId="024B5358"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$8,888,805</w:t>
            </w:r>
          </w:p>
        </w:tc>
      </w:tr>
      <w:tr w:rsidR="00654764" w:rsidRPr="00654764" w14:paraId="33244BE3" w14:textId="77777777" w:rsidTr="000D33ED">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BCEA75"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2003</w:t>
            </w:r>
          </w:p>
        </w:tc>
        <w:tc>
          <w:tcPr>
            <w:tcW w:w="1300" w:type="dxa"/>
            <w:noWrap/>
            <w:hideMark/>
          </w:tcPr>
          <w:p w14:paraId="507B4998"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$19,088,705</w:t>
            </w:r>
          </w:p>
        </w:tc>
        <w:tc>
          <w:tcPr>
            <w:tcW w:w="1300" w:type="dxa"/>
            <w:noWrap/>
            <w:hideMark/>
          </w:tcPr>
          <w:p w14:paraId="24C323D0"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180" w:type="dxa"/>
            <w:noWrap/>
            <w:hideMark/>
          </w:tcPr>
          <w:p w14:paraId="6D41A300"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240" w:type="dxa"/>
            <w:noWrap/>
            <w:hideMark/>
          </w:tcPr>
          <w:p w14:paraId="0A1718EF"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$19,088,705</w:t>
            </w:r>
          </w:p>
        </w:tc>
      </w:tr>
      <w:tr w:rsidR="00654764" w:rsidRPr="00654764" w14:paraId="4C389BE4" w14:textId="77777777" w:rsidTr="000D33E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800CBF"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2004</w:t>
            </w:r>
          </w:p>
        </w:tc>
        <w:tc>
          <w:tcPr>
            <w:tcW w:w="1300" w:type="dxa"/>
            <w:noWrap/>
            <w:hideMark/>
          </w:tcPr>
          <w:p w14:paraId="5575C796"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$27,734,255</w:t>
            </w:r>
          </w:p>
        </w:tc>
        <w:tc>
          <w:tcPr>
            <w:tcW w:w="1300" w:type="dxa"/>
            <w:noWrap/>
            <w:hideMark/>
          </w:tcPr>
          <w:p w14:paraId="2276BB48"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180" w:type="dxa"/>
            <w:noWrap/>
            <w:hideMark/>
          </w:tcPr>
          <w:p w14:paraId="3FFB8150"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240" w:type="dxa"/>
            <w:noWrap/>
            <w:hideMark/>
          </w:tcPr>
          <w:p w14:paraId="2E9CB0D5"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$27,734,255</w:t>
            </w:r>
          </w:p>
        </w:tc>
      </w:tr>
      <w:tr w:rsidR="00654764" w:rsidRPr="00654764" w14:paraId="754C8681" w14:textId="77777777" w:rsidTr="000D33ED">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C162BB"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2005</w:t>
            </w:r>
          </w:p>
        </w:tc>
        <w:tc>
          <w:tcPr>
            <w:tcW w:w="1300" w:type="dxa"/>
            <w:noWrap/>
            <w:hideMark/>
          </w:tcPr>
          <w:p w14:paraId="3FF55ECC"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$43,456,003</w:t>
            </w:r>
          </w:p>
        </w:tc>
        <w:tc>
          <w:tcPr>
            <w:tcW w:w="1300" w:type="dxa"/>
            <w:noWrap/>
            <w:hideMark/>
          </w:tcPr>
          <w:p w14:paraId="4342A129"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180" w:type="dxa"/>
            <w:noWrap/>
            <w:hideMark/>
          </w:tcPr>
          <w:p w14:paraId="6E2D6EB2"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240" w:type="dxa"/>
            <w:noWrap/>
            <w:hideMark/>
          </w:tcPr>
          <w:p w14:paraId="5FFC8378"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$43,456,003</w:t>
            </w:r>
          </w:p>
        </w:tc>
      </w:tr>
      <w:tr w:rsidR="00654764" w:rsidRPr="00654764" w14:paraId="524404D6" w14:textId="77777777" w:rsidTr="000D33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D102FE"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2006</w:t>
            </w:r>
          </w:p>
        </w:tc>
        <w:tc>
          <w:tcPr>
            <w:tcW w:w="1300" w:type="dxa"/>
            <w:noWrap/>
            <w:hideMark/>
          </w:tcPr>
          <w:p w14:paraId="546C94FA"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$50,203,375</w:t>
            </w:r>
          </w:p>
        </w:tc>
        <w:tc>
          <w:tcPr>
            <w:tcW w:w="1300" w:type="dxa"/>
            <w:noWrap/>
            <w:hideMark/>
          </w:tcPr>
          <w:p w14:paraId="649C1854"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180" w:type="dxa"/>
            <w:noWrap/>
            <w:hideMark/>
          </w:tcPr>
          <w:p w14:paraId="535E42BB"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240" w:type="dxa"/>
            <w:noWrap/>
            <w:hideMark/>
          </w:tcPr>
          <w:p w14:paraId="6232CF35"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$50,203,375</w:t>
            </w:r>
          </w:p>
        </w:tc>
      </w:tr>
      <w:tr w:rsidR="00654764" w:rsidRPr="00654764" w14:paraId="5AADE67D" w14:textId="77777777" w:rsidTr="000D33ED">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7A64C1"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2007</w:t>
            </w:r>
          </w:p>
        </w:tc>
        <w:tc>
          <w:tcPr>
            <w:tcW w:w="1300" w:type="dxa"/>
            <w:noWrap/>
            <w:hideMark/>
          </w:tcPr>
          <w:p w14:paraId="7077FFE0"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$53,760,354</w:t>
            </w:r>
          </w:p>
        </w:tc>
        <w:tc>
          <w:tcPr>
            <w:tcW w:w="1300" w:type="dxa"/>
            <w:noWrap/>
            <w:hideMark/>
          </w:tcPr>
          <w:p w14:paraId="46A02451"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$2,542,707</w:t>
            </w:r>
          </w:p>
        </w:tc>
        <w:tc>
          <w:tcPr>
            <w:tcW w:w="1180" w:type="dxa"/>
            <w:noWrap/>
            <w:hideMark/>
          </w:tcPr>
          <w:p w14:paraId="089E1F81"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 </w:t>
            </w:r>
          </w:p>
        </w:tc>
        <w:tc>
          <w:tcPr>
            <w:tcW w:w="1240" w:type="dxa"/>
            <w:noWrap/>
            <w:hideMark/>
          </w:tcPr>
          <w:p w14:paraId="352B56CE"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$56,303,060</w:t>
            </w:r>
          </w:p>
        </w:tc>
      </w:tr>
      <w:tr w:rsidR="00654764" w:rsidRPr="00654764" w14:paraId="099B8DC8" w14:textId="77777777" w:rsidTr="000D33E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703874"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2008</w:t>
            </w:r>
          </w:p>
        </w:tc>
        <w:tc>
          <w:tcPr>
            <w:tcW w:w="1300" w:type="dxa"/>
            <w:noWrap/>
            <w:hideMark/>
          </w:tcPr>
          <w:p w14:paraId="58329B52"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$63,373,230</w:t>
            </w:r>
          </w:p>
        </w:tc>
        <w:tc>
          <w:tcPr>
            <w:tcW w:w="1300" w:type="dxa"/>
            <w:noWrap/>
            <w:hideMark/>
          </w:tcPr>
          <w:p w14:paraId="287D892F"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$7,745,640</w:t>
            </w:r>
          </w:p>
        </w:tc>
        <w:tc>
          <w:tcPr>
            <w:tcW w:w="1180" w:type="dxa"/>
            <w:noWrap/>
            <w:hideMark/>
          </w:tcPr>
          <w:p w14:paraId="7304953B"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$766,496</w:t>
            </w:r>
          </w:p>
        </w:tc>
        <w:tc>
          <w:tcPr>
            <w:tcW w:w="1240" w:type="dxa"/>
            <w:noWrap/>
            <w:hideMark/>
          </w:tcPr>
          <w:p w14:paraId="11DDEB60"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$71,885,365</w:t>
            </w:r>
          </w:p>
        </w:tc>
      </w:tr>
      <w:tr w:rsidR="00654764" w:rsidRPr="00654764" w14:paraId="57895063" w14:textId="77777777" w:rsidTr="000D33ED">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9AE535"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2009</w:t>
            </w:r>
          </w:p>
        </w:tc>
        <w:tc>
          <w:tcPr>
            <w:tcW w:w="1300" w:type="dxa"/>
            <w:noWrap/>
            <w:hideMark/>
          </w:tcPr>
          <w:p w14:paraId="6457FAE4"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$70,699,507</w:t>
            </w:r>
          </w:p>
        </w:tc>
        <w:tc>
          <w:tcPr>
            <w:tcW w:w="1300" w:type="dxa"/>
            <w:noWrap/>
            <w:hideMark/>
          </w:tcPr>
          <w:p w14:paraId="1E40F876"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$8,166,481</w:t>
            </w:r>
          </w:p>
        </w:tc>
        <w:tc>
          <w:tcPr>
            <w:tcW w:w="1180" w:type="dxa"/>
            <w:noWrap/>
            <w:hideMark/>
          </w:tcPr>
          <w:p w14:paraId="3D889578"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$4,102,175</w:t>
            </w:r>
          </w:p>
        </w:tc>
        <w:tc>
          <w:tcPr>
            <w:tcW w:w="1240" w:type="dxa"/>
            <w:noWrap/>
            <w:hideMark/>
          </w:tcPr>
          <w:p w14:paraId="3BDAE4D3"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$82,968,162</w:t>
            </w:r>
          </w:p>
        </w:tc>
      </w:tr>
      <w:tr w:rsidR="00654764" w:rsidRPr="00654764" w14:paraId="6C11C873" w14:textId="77777777" w:rsidTr="000D33E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DDC8B8"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2010</w:t>
            </w:r>
          </w:p>
        </w:tc>
        <w:tc>
          <w:tcPr>
            <w:tcW w:w="1300" w:type="dxa"/>
            <w:noWrap/>
            <w:hideMark/>
          </w:tcPr>
          <w:p w14:paraId="5C6A241E"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$77,530,026</w:t>
            </w:r>
          </w:p>
        </w:tc>
        <w:tc>
          <w:tcPr>
            <w:tcW w:w="1300" w:type="dxa"/>
            <w:noWrap/>
            <w:hideMark/>
          </w:tcPr>
          <w:p w14:paraId="6EF8749A"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$8,416,912</w:t>
            </w:r>
          </w:p>
        </w:tc>
        <w:tc>
          <w:tcPr>
            <w:tcW w:w="1180" w:type="dxa"/>
            <w:noWrap/>
            <w:hideMark/>
          </w:tcPr>
          <w:p w14:paraId="4C9E32C1"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$5,809,359</w:t>
            </w:r>
          </w:p>
        </w:tc>
        <w:tc>
          <w:tcPr>
            <w:tcW w:w="1240" w:type="dxa"/>
            <w:noWrap/>
            <w:hideMark/>
          </w:tcPr>
          <w:p w14:paraId="6C0DE4DC"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$91,756,299</w:t>
            </w:r>
          </w:p>
        </w:tc>
      </w:tr>
      <w:tr w:rsidR="00654764" w:rsidRPr="00654764" w14:paraId="52E91574" w14:textId="77777777" w:rsidTr="000D33ED">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43DFA3"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2011</w:t>
            </w:r>
          </w:p>
        </w:tc>
        <w:tc>
          <w:tcPr>
            <w:tcW w:w="1300" w:type="dxa"/>
            <w:noWrap/>
            <w:hideMark/>
          </w:tcPr>
          <w:p w14:paraId="23E72D6F"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$82,587,179</w:t>
            </w:r>
          </w:p>
        </w:tc>
        <w:tc>
          <w:tcPr>
            <w:tcW w:w="1300" w:type="dxa"/>
            <w:noWrap/>
            <w:hideMark/>
          </w:tcPr>
          <w:p w14:paraId="76C6BE29"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$10,803,104</w:t>
            </w:r>
          </w:p>
        </w:tc>
        <w:tc>
          <w:tcPr>
            <w:tcW w:w="1180" w:type="dxa"/>
            <w:noWrap/>
            <w:hideMark/>
          </w:tcPr>
          <w:p w14:paraId="417A1122"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$8,063,187</w:t>
            </w:r>
          </w:p>
        </w:tc>
        <w:tc>
          <w:tcPr>
            <w:tcW w:w="1240" w:type="dxa"/>
            <w:noWrap/>
            <w:hideMark/>
          </w:tcPr>
          <w:p w14:paraId="02F02C88" w14:textId="77777777" w:rsidR="00654764" w:rsidRPr="00654764" w:rsidRDefault="00654764" w:rsidP="00654764">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$101,453,470</w:t>
            </w:r>
          </w:p>
        </w:tc>
      </w:tr>
      <w:tr w:rsidR="00654764" w:rsidRPr="00654764" w14:paraId="468B5E05" w14:textId="77777777" w:rsidTr="000D33E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E8D7E3" w14:textId="77777777" w:rsidR="00654764" w:rsidRPr="00654764" w:rsidRDefault="00654764" w:rsidP="00654764">
            <w:pPr>
              <w:jc w:val="center"/>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2012</w:t>
            </w:r>
          </w:p>
        </w:tc>
        <w:tc>
          <w:tcPr>
            <w:tcW w:w="1300" w:type="dxa"/>
            <w:noWrap/>
            <w:hideMark/>
          </w:tcPr>
          <w:p w14:paraId="49AEFAA7"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$81,934,299</w:t>
            </w:r>
          </w:p>
        </w:tc>
        <w:tc>
          <w:tcPr>
            <w:tcW w:w="1300" w:type="dxa"/>
            <w:noWrap/>
            <w:hideMark/>
          </w:tcPr>
          <w:p w14:paraId="58D2B4AE"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$15,446,820</w:t>
            </w:r>
          </w:p>
        </w:tc>
        <w:tc>
          <w:tcPr>
            <w:tcW w:w="1180" w:type="dxa"/>
            <w:noWrap/>
            <w:hideMark/>
          </w:tcPr>
          <w:p w14:paraId="266A5326"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$14,156,871</w:t>
            </w:r>
          </w:p>
        </w:tc>
        <w:tc>
          <w:tcPr>
            <w:tcW w:w="1240" w:type="dxa"/>
            <w:noWrap/>
            <w:hideMark/>
          </w:tcPr>
          <w:p w14:paraId="5804ADC6" w14:textId="77777777" w:rsidR="00654764" w:rsidRPr="00654764" w:rsidRDefault="00654764" w:rsidP="006547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654764">
              <w:rPr>
                <w:rFonts w:ascii="Calibri" w:eastAsia="Times New Roman" w:hAnsi="Calibri" w:cs="Times New Roman"/>
                <w:color w:val="000000"/>
                <w:sz w:val="20"/>
                <w:szCs w:val="20"/>
              </w:rPr>
              <w:t>$111,537,991</w:t>
            </w:r>
          </w:p>
        </w:tc>
      </w:tr>
    </w:tbl>
    <w:p w14:paraId="6BA2BE87" w14:textId="77777777" w:rsidR="00654764" w:rsidRPr="00654764" w:rsidRDefault="00654764" w:rsidP="00654764">
      <w:pPr>
        <w:rPr>
          <w:rFonts w:asciiTheme="minorHAnsi" w:hAnsiTheme="minorHAnsi"/>
        </w:rPr>
      </w:pPr>
    </w:p>
    <w:p w14:paraId="5D7443A4" w14:textId="77777777" w:rsidR="00654764" w:rsidRPr="00654764" w:rsidRDefault="00654764" w:rsidP="00654764">
      <w:pPr>
        <w:rPr>
          <w:rFonts w:asciiTheme="minorHAnsi" w:hAnsiTheme="minorHAnsi"/>
          <w:b/>
          <w:sz w:val="28"/>
          <w:szCs w:val="28"/>
        </w:rPr>
      </w:pPr>
      <w:r w:rsidRPr="00654764">
        <w:rPr>
          <w:rFonts w:asciiTheme="minorHAnsi" w:hAnsiTheme="minorHAnsi"/>
        </w:rPr>
        <w:t xml:space="preserve">The increasing expenditure aligns with the increasing number of prescriptions dispensed over time (Figure 3). </w:t>
      </w:r>
    </w:p>
    <w:p w14:paraId="5053DB7F" w14:textId="77777777" w:rsidR="00654764" w:rsidRPr="00654764" w:rsidRDefault="00654764" w:rsidP="002C7AB5">
      <w:pPr>
        <w:pStyle w:val="Heading3"/>
      </w:pPr>
      <w:r w:rsidRPr="00654764">
        <w:t>Discussion</w:t>
      </w:r>
    </w:p>
    <w:p w14:paraId="71012E47" w14:textId="77777777" w:rsidR="005D750A" w:rsidRDefault="00654764" w:rsidP="005D750A">
      <w:pPr>
        <w:widowControl w:val="0"/>
        <w:spacing w:line="240" w:lineRule="auto"/>
        <w:rPr>
          <w:rFonts w:asciiTheme="minorHAnsi" w:hAnsiTheme="minorHAnsi"/>
        </w:rPr>
      </w:pPr>
      <w:r>
        <w:rPr>
          <w:rFonts w:asciiTheme="minorHAnsi" w:hAnsiTheme="minorHAnsi"/>
        </w:rPr>
        <w:t xml:space="preserve">Utilisation and expenditure of the TKIs is steadily increasing. This is due, not to an increasing number of </w:t>
      </w:r>
      <w:r w:rsidRPr="00654764">
        <w:rPr>
          <w:rFonts w:asciiTheme="minorHAnsi" w:hAnsiTheme="minorHAnsi"/>
        </w:rPr>
        <w:t xml:space="preserve">incident patients, but </w:t>
      </w:r>
      <w:r>
        <w:rPr>
          <w:rFonts w:asciiTheme="minorHAnsi" w:hAnsiTheme="minorHAnsi"/>
        </w:rPr>
        <w:t>a</w:t>
      </w:r>
      <w:r w:rsidRPr="00654764">
        <w:rPr>
          <w:rFonts w:asciiTheme="minorHAnsi" w:hAnsiTheme="minorHAnsi"/>
        </w:rPr>
        <w:t xml:space="preserve"> high treatment continuation rate, leading to a steady increase in the number of prevalent patients. At the time of listing, continuation rates for first line TKI therapies in CML were expected to be high</w:t>
      </w:r>
      <w:r>
        <w:rPr>
          <w:rFonts w:asciiTheme="minorHAnsi" w:hAnsiTheme="minorHAnsi"/>
        </w:rPr>
        <w:t xml:space="preserve"> (</w:t>
      </w:r>
      <w:r w:rsidR="00D40F23">
        <w:rPr>
          <w:rFonts w:asciiTheme="minorHAnsi" w:hAnsiTheme="minorHAnsi"/>
        </w:rPr>
        <w:t>greater than</w:t>
      </w:r>
      <w:r>
        <w:rPr>
          <w:rFonts w:asciiTheme="minorHAnsi" w:hAnsiTheme="minorHAnsi"/>
        </w:rPr>
        <w:t xml:space="preserve"> 80%)</w:t>
      </w:r>
      <w:r w:rsidRPr="00654764">
        <w:rPr>
          <w:rFonts w:asciiTheme="minorHAnsi" w:hAnsiTheme="minorHAnsi"/>
        </w:rPr>
        <w:t xml:space="preserve">. </w:t>
      </w:r>
      <w:r w:rsidR="001F39FF">
        <w:rPr>
          <w:rFonts w:asciiTheme="minorHAnsi" w:hAnsiTheme="minorHAnsi"/>
        </w:rPr>
        <w:t>The DUSC considered that t</w:t>
      </w:r>
      <w:r w:rsidR="001F39FF" w:rsidRPr="001F39FF">
        <w:rPr>
          <w:rFonts w:asciiTheme="minorHAnsi" w:hAnsiTheme="minorHAnsi"/>
        </w:rPr>
        <w:t>he steadily increasing expenditure for TKIs in CML is explicable entirely on the basis of increased survival.</w:t>
      </w:r>
    </w:p>
    <w:p w14:paraId="5475A79D" w14:textId="2A749210" w:rsidR="0044535F" w:rsidRDefault="00654764" w:rsidP="005D750A">
      <w:pPr>
        <w:widowControl w:val="0"/>
        <w:spacing w:line="240" w:lineRule="auto"/>
        <w:rPr>
          <w:rFonts w:asciiTheme="minorHAnsi" w:hAnsiTheme="minorHAnsi"/>
        </w:rPr>
      </w:pPr>
      <w:r w:rsidRPr="00654764">
        <w:rPr>
          <w:rFonts w:asciiTheme="minorHAnsi" w:hAnsiTheme="minorHAnsi"/>
        </w:rPr>
        <w:t>Further growth in utilisation is expected into the future as mortality from CML declines</w:t>
      </w:r>
      <w:r w:rsidRPr="00654764">
        <w:rPr>
          <w:rFonts w:asciiTheme="minorHAnsi" w:hAnsiTheme="minorHAnsi"/>
          <w:vertAlign w:val="superscript"/>
        </w:rPr>
        <w:footnoteReference w:id="5"/>
      </w:r>
      <w:r w:rsidRPr="00654764">
        <w:rPr>
          <w:rFonts w:asciiTheme="minorHAnsi" w:hAnsiTheme="minorHAnsi"/>
        </w:rPr>
        <w:t xml:space="preserve"> and the population ages. At some point utilisation will plateau, but this is </w:t>
      </w:r>
      <w:r w:rsidR="008E4065">
        <w:rPr>
          <w:rFonts w:asciiTheme="minorHAnsi" w:hAnsiTheme="minorHAnsi"/>
        </w:rPr>
        <w:t xml:space="preserve">may not </w:t>
      </w:r>
      <w:r w:rsidRPr="00654764">
        <w:rPr>
          <w:rFonts w:asciiTheme="minorHAnsi" w:hAnsiTheme="minorHAnsi"/>
        </w:rPr>
        <w:t>be until at least 2050, based on prevalence projections from the US.</w:t>
      </w:r>
      <w:r w:rsidRPr="00654764">
        <w:rPr>
          <w:rFonts w:asciiTheme="minorHAnsi" w:hAnsiTheme="minorHAnsi"/>
          <w:vertAlign w:val="superscript"/>
        </w:rPr>
        <w:footnoteReference w:id="6"/>
      </w:r>
      <w:r w:rsidRPr="00654764">
        <w:rPr>
          <w:rFonts w:asciiTheme="minorHAnsi" w:hAnsiTheme="minorHAnsi"/>
        </w:rPr>
        <w:t xml:space="preserve"> </w:t>
      </w:r>
      <w:r w:rsidR="0044535F">
        <w:rPr>
          <w:rFonts w:asciiTheme="minorHAnsi" w:hAnsiTheme="minorHAnsi"/>
        </w:rPr>
        <w:t xml:space="preserve">The DUSC considered that the average duration of treatment will be 20 to 30 years.  </w:t>
      </w:r>
      <w:r w:rsidR="0044535F" w:rsidRPr="0044535F">
        <w:rPr>
          <w:rFonts w:asciiTheme="minorHAnsi" w:hAnsiTheme="minorHAnsi"/>
        </w:rPr>
        <w:t>This is because the median age at presentation is 50 to 60 years old and patients are unlikely to survive longer than the average life expectancy (i.e. approximately 80 years). Duration of treatment (in years) in a stable population is approximately equal to point prevalence divided by incidence (in a year), thus this ratio is unlikely to be greater than 20 to 30. This means that expenditure increase is likely to continue at the current rate for another 10 years (since it has already been increasing for 12 years) before a plateau begins to form.</w:t>
      </w:r>
    </w:p>
    <w:p w14:paraId="0F292A37" w14:textId="40AC1E02" w:rsidR="00654764" w:rsidRPr="00654764" w:rsidRDefault="00F43615" w:rsidP="00654764">
      <w:pPr>
        <w:spacing w:line="240" w:lineRule="auto"/>
        <w:rPr>
          <w:rFonts w:asciiTheme="minorHAnsi" w:hAnsiTheme="minorHAnsi"/>
        </w:rPr>
      </w:pPr>
      <w:r w:rsidRPr="00F43615">
        <w:rPr>
          <w:rFonts w:asciiTheme="minorHAnsi" w:hAnsiTheme="minorHAnsi"/>
        </w:rPr>
        <w:t>Current Australian incidence of CML is approximately 300 patients and the prevalent treated population is approximately 2,500 patients.</w:t>
      </w:r>
    </w:p>
    <w:p w14:paraId="39452825" w14:textId="72EF4224" w:rsidR="00654764" w:rsidRPr="00654764" w:rsidRDefault="00654764" w:rsidP="00654764">
      <w:pPr>
        <w:spacing w:line="240" w:lineRule="auto"/>
        <w:rPr>
          <w:rFonts w:asciiTheme="minorHAnsi" w:hAnsiTheme="minorHAnsi"/>
        </w:rPr>
      </w:pPr>
      <w:r w:rsidRPr="00654764">
        <w:rPr>
          <w:rFonts w:asciiTheme="minorHAnsi" w:hAnsiTheme="minorHAnsi"/>
        </w:rPr>
        <w:t xml:space="preserve">While first line use of nilotinib and dasatinib is higher than what was predicted in the submission estimates, the total market utilisation has continued to increase in a steady linear trend. This implies that first line nilotinib and dasatinib have substituted within the imatinib market, </w:t>
      </w:r>
      <w:r w:rsidR="007E2839">
        <w:rPr>
          <w:rFonts w:asciiTheme="minorHAnsi" w:hAnsiTheme="minorHAnsi"/>
        </w:rPr>
        <w:t>and</w:t>
      </w:r>
      <w:r w:rsidRPr="00654764">
        <w:rPr>
          <w:rFonts w:asciiTheme="minorHAnsi" w:hAnsiTheme="minorHAnsi"/>
        </w:rPr>
        <w:t xml:space="preserve"> the extent of substitution for imatinib was greater than anticipated.</w:t>
      </w:r>
    </w:p>
    <w:p w14:paraId="2D21D4B5" w14:textId="5FC942BB" w:rsidR="00654764" w:rsidRPr="00654764" w:rsidRDefault="00654764" w:rsidP="00654764">
      <w:pPr>
        <w:spacing w:line="240" w:lineRule="auto"/>
        <w:rPr>
          <w:rFonts w:asciiTheme="minorHAnsi" w:hAnsiTheme="minorHAnsi"/>
        </w:rPr>
      </w:pPr>
      <w:r w:rsidRPr="00654764">
        <w:rPr>
          <w:rFonts w:asciiTheme="minorHAnsi" w:hAnsiTheme="minorHAnsi"/>
        </w:rPr>
        <w:t xml:space="preserve">As the TKIs are complex authority required medicines, administered by the Specialised Drugs area of </w:t>
      </w:r>
      <w:r w:rsidR="00CE77B5">
        <w:rPr>
          <w:rFonts w:asciiTheme="minorHAnsi" w:hAnsiTheme="minorHAnsi"/>
        </w:rPr>
        <w:t xml:space="preserve">DHS </w:t>
      </w:r>
      <w:r w:rsidRPr="00654764">
        <w:rPr>
          <w:rFonts w:asciiTheme="minorHAnsi" w:hAnsiTheme="minorHAnsi"/>
        </w:rPr>
        <w:t>Medicare, there is low risk of use outside of the restriction.</w:t>
      </w:r>
    </w:p>
    <w:p w14:paraId="05E9DF40" w14:textId="4EFA94EB" w:rsidR="00654764" w:rsidRDefault="00D925DE" w:rsidP="002C7AB5">
      <w:pPr>
        <w:pStyle w:val="Heading3"/>
      </w:pPr>
      <w:r>
        <w:t xml:space="preserve">DUSC </w:t>
      </w:r>
      <w:r w:rsidR="00654764">
        <w:t>A</w:t>
      </w:r>
      <w:r w:rsidR="00654764" w:rsidRPr="00654764">
        <w:t>ctions</w:t>
      </w:r>
    </w:p>
    <w:p w14:paraId="341E7313" w14:textId="77777777" w:rsidR="00F30EDF" w:rsidRDefault="00F72CEF" w:rsidP="00F30EDF">
      <w:pPr>
        <w:pStyle w:val="ListParagraph"/>
        <w:numPr>
          <w:ilvl w:val="0"/>
          <w:numId w:val="14"/>
        </w:numPr>
        <w:ind w:left="426" w:hanging="426"/>
        <w:rPr>
          <w:rFonts w:asciiTheme="minorHAnsi" w:eastAsiaTheme="majorEastAsia" w:hAnsiTheme="minorHAnsi" w:cstheme="majorBidi"/>
          <w:bCs/>
        </w:rPr>
      </w:pPr>
      <w:r w:rsidRPr="00F65892">
        <w:rPr>
          <w:rFonts w:asciiTheme="minorHAnsi" w:eastAsiaTheme="majorEastAsia" w:hAnsiTheme="minorHAnsi" w:cstheme="majorBidi"/>
          <w:bCs/>
        </w:rPr>
        <w:t>DUSC referred the report to the PBAC for information.</w:t>
      </w:r>
    </w:p>
    <w:p w14:paraId="2F0E0415" w14:textId="0F316D3B" w:rsidR="00F72CEF" w:rsidRPr="00F30EDF" w:rsidRDefault="00934959" w:rsidP="00F30EDF">
      <w:pPr>
        <w:pStyle w:val="ListParagraph"/>
        <w:numPr>
          <w:ilvl w:val="0"/>
          <w:numId w:val="14"/>
        </w:numPr>
        <w:ind w:left="426" w:hanging="426"/>
        <w:rPr>
          <w:rFonts w:asciiTheme="minorHAnsi" w:eastAsiaTheme="majorEastAsia" w:hAnsiTheme="minorHAnsi" w:cstheme="majorBidi"/>
          <w:bCs/>
        </w:rPr>
      </w:pPr>
      <w:r w:rsidRPr="00F30EDF">
        <w:rPr>
          <w:rFonts w:asciiTheme="minorHAnsi" w:hAnsiTheme="minorHAnsi"/>
        </w:rPr>
        <w:t>DUSC requested information be provided on dosage in first and second line therapy for each drug, for the purpose of checking predicted versus actual dosing.</w:t>
      </w:r>
    </w:p>
    <w:p w14:paraId="31B83731" w14:textId="268EECB2" w:rsidR="00CB0550" w:rsidRPr="00883B95" w:rsidRDefault="00CB0550" w:rsidP="00E27DD7">
      <w:pPr>
        <w:pStyle w:val="Heading3"/>
      </w:pPr>
      <w:r w:rsidRPr="00883B95">
        <w:t>Context for analysis</w:t>
      </w:r>
    </w:p>
    <w:p w14:paraId="56C7C95B" w14:textId="5E4E7DAF" w:rsidR="00241E48" w:rsidRPr="00241E48" w:rsidRDefault="00241E48" w:rsidP="00241E48">
      <w:pPr>
        <w:spacing w:after="240" w:line="240" w:lineRule="auto"/>
        <w:rPr>
          <w:rFonts w:asciiTheme="minorHAnsi" w:eastAsiaTheme="majorEastAsia" w:hAnsiTheme="minorHAnsi" w:cstheme="majorBidi"/>
          <w:bCs/>
        </w:rPr>
      </w:pPr>
      <w:r w:rsidRPr="00241E48">
        <w:rPr>
          <w:rFonts w:asciiTheme="minorHAnsi" w:eastAsiaTheme="majorEastAsia" w:hAnsiTheme="minorHAnsi" w:cstheme="majorBidi"/>
          <w:bCs/>
        </w:rPr>
        <w:t>The DUSC is a Sub Committee of the Pharmaceutical Benefits Advisory Committee (PBAC). The DUSC assesses estimates on projected usage an</w:t>
      </w:r>
      <w:r>
        <w:rPr>
          <w:rFonts w:asciiTheme="minorHAnsi" w:eastAsiaTheme="majorEastAsia" w:hAnsiTheme="minorHAnsi" w:cstheme="majorBidi"/>
          <w:bCs/>
        </w:rPr>
        <w:t>d financial cost of medicines.</w:t>
      </w:r>
    </w:p>
    <w:p w14:paraId="7FA855FC" w14:textId="1A33B29D" w:rsidR="00241E48" w:rsidRPr="00241E48" w:rsidRDefault="00241E48" w:rsidP="00241E48">
      <w:pPr>
        <w:spacing w:after="240" w:line="240" w:lineRule="auto"/>
        <w:rPr>
          <w:rFonts w:asciiTheme="minorHAnsi" w:eastAsiaTheme="majorEastAsia" w:hAnsiTheme="minorHAnsi" w:cstheme="majorBidi"/>
          <w:bCs/>
        </w:rPr>
      </w:pPr>
      <w:r w:rsidRPr="00241E48">
        <w:rPr>
          <w:rFonts w:asciiTheme="minorHAnsi" w:eastAsiaTheme="majorEastAsia" w:hAnsiTheme="minorHAnsi"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0CB6F0E" w14:textId="77777777" w:rsidR="0025380C" w:rsidRDefault="00241E48" w:rsidP="00241E48">
      <w:pPr>
        <w:spacing w:after="240" w:line="240" w:lineRule="auto"/>
        <w:rPr>
          <w:rFonts w:asciiTheme="minorHAnsi" w:eastAsiaTheme="majorEastAsia" w:hAnsiTheme="minorHAnsi" w:cstheme="majorBidi"/>
          <w:bCs/>
        </w:rPr>
      </w:pPr>
      <w:r w:rsidRPr="00241E48">
        <w:rPr>
          <w:rFonts w:asciiTheme="minorHAnsi" w:eastAsiaTheme="majorEastAsia" w:hAnsiTheme="minorHAnsi"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8E08951" w14:textId="5C657927" w:rsidR="00C152F2" w:rsidRDefault="00C152F2" w:rsidP="00241E48">
      <w:pPr>
        <w:spacing w:after="240" w:line="240" w:lineRule="auto"/>
        <w:rPr>
          <w:rFonts w:asciiTheme="minorHAnsi" w:eastAsiaTheme="majorEastAsia" w:hAnsiTheme="minorHAnsi" w:cstheme="majorBidi"/>
          <w:bCs/>
        </w:rPr>
      </w:pPr>
      <w:r w:rsidRPr="00C152F2">
        <w:rPr>
          <w:rFonts w:asciiTheme="minorHAnsi" w:eastAsiaTheme="majorEastAsia" w:hAnsiTheme="minorHAnsi" w:cstheme="majorBidi"/>
          <w:bCs/>
        </w:rPr>
        <w:t>The utilisation analysis report was provided to the pharmaceutical sponsors of each drug and comments on the report were provided to DUSC prior to its consideration of the analysis.</w:t>
      </w:r>
    </w:p>
    <w:p w14:paraId="68A97FBA" w14:textId="7261DEFA" w:rsidR="002B0949" w:rsidRPr="00051FB0" w:rsidRDefault="00A810CD" w:rsidP="002C7AB5">
      <w:pPr>
        <w:pStyle w:val="Heading3"/>
      </w:pPr>
      <w:r>
        <w:t>Sponsor</w:t>
      </w:r>
      <w:r w:rsidR="002B0949" w:rsidRPr="0092516A">
        <w:t>s</w:t>
      </w:r>
      <w:r>
        <w:t>’</w:t>
      </w:r>
      <w:r w:rsidR="002B0949" w:rsidRPr="0092516A">
        <w:t xml:space="preserve"> comments</w:t>
      </w:r>
    </w:p>
    <w:p w14:paraId="3FEB4B20" w14:textId="77777777" w:rsidR="00431DAF" w:rsidRDefault="00431DAF" w:rsidP="00431DAF">
      <w:pPr>
        <w:spacing w:after="0"/>
        <w:rPr>
          <w:rFonts w:asciiTheme="minorHAnsi" w:hAnsiTheme="minorHAnsi"/>
        </w:rPr>
      </w:pPr>
      <w:r w:rsidRPr="00431DAF">
        <w:rPr>
          <w:rFonts w:asciiTheme="minorHAnsi" w:hAnsiTheme="minorHAnsi"/>
        </w:rPr>
        <w:t>Bristol-Myers Squibb Australia Pty Ltd</w:t>
      </w:r>
      <w:r>
        <w:rPr>
          <w:rFonts w:asciiTheme="minorHAnsi" w:hAnsiTheme="minorHAnsi"/>
        </w:rPr>
        <w:t>:</w:t>
      </w:r>
    </w:p>
    <w:p w14:paraId="557320E5" w14:textId="2E2A01F7" w:rsidR="00051FB0" w:rsidRDefault="00431DAF" w:rsidP="00051FB0">
      <w:pPr>
        <w:rPr>
          <w:rFonts w:asciiTheme="minorHAnsi" w:hAnsiTheme="minorHAnsi"/>
        </w:rPr>
      </w:pPr>
      <w:r>
        <w:rPr>
          <w:rFonts w:asciiTheme="minorHAnsi" w:hAnsiTheme="minorHAnsi"/>
        </w:rPr>
        <w:t>Bristol-Myers Squibb</w:t>
      </w:r>
      <w:r w:rsidR="00051FB0" w:rsidRPr="00051FB0">
        <w:rPr>
          <w:rFonts w:asciiTheme="minorHAnsi" w:hAnsiTheme="minorHAnsi"/>
        </w:rPr>
        <w:t xml:space="preserve"> welcomes the findings of the analysis.  The increasing prevalence of CML is reflective of a reduction in mortality, which is attributable to the availability of innovative and effective treatments, the first and second generation TKIs, on the Pharmaceutical Benefits Scheme.</w:t>
      </w:r>
    </w:p>
    <w:p w14:paraId="1C9A255E" w14:textId="01421A2F" w:rsidR="00431DAF" w:rsidRDefault="00EB7F3F" w:rsidP="00EB7F3F">
      <w:pPr>
        <w:spacing w:after="0"/>
        <w:rPr>
          <w:rFonts w:asciiTheme="minorHAnsi" w:hAnsiTheme="minorHAnsi"/>
        </w:rPr>
      </w:pPr>
      <w:r w:rsidRPr="00EB7F3F">
        <w:rPr>
          <w:rFonts w:asciiTheme="minorHAnsi" w:hAnsiTheme="minorHAnsi"/>
        </w:rPr>
        <w:t>Novartis Pharmaceuticals Australia Pty Limited</w:t>
      </w:r>
      <w:r>
        <w:rPr>
          <w:rFonts w:asciiTheme="minorHAnsi" w:hAnsiTheme="minorHAnsi"/>
        </w:rPr>
        <w:t>:</w:t>
      </w:r>
    </w:p>
    <w:p w14:paraId="68E3ABC9" w14:textId="5DAB35B7" w:rsidR="00EB7F3F" w:rsidRPr="00051FB0" w:rsidRDefault="001B7882" w:rsidP="00051FB0">
      <w:pPr>
        <w:rPr>
          <w:rFonts w:asciiTheme="minorHAnsi" w:hAnsiTheme="minorHAnsi"/>
        </w:rPr>
      </w:pPr>
      <w:r w:rsidRPr="001B7882">
        <w:rPr>
          <w:rFonts w:asciiTheme="minorHAnsi" w:hAnsiTheme="minorHAnsi"/>
        </w:rPr>
        <w:t>The Sponsor thanks the DUSC for the opportunity to review and comment on this review and agrees that the prevalence of CML is increasing over time due to the clinical efficacy of these therapies.</w:t>
      </w:r>
    </w:p>
    <w:p w14:paraId="042C5419" w14:textId="33A2E2A1" w:rsidR="00040719" w:rsidRDefault="00040719">
      <w:pPr>
        <w:rPr>
          <w:rFonts w:asciiTheme="minorHAnsi" w:eastAsiaTheme="majorEastAsia" w:hAnsiTheme="minorHAnsi" w:cstheme="majorBidi"/>
          <w:b/>
          <w:bCs/>
          <w:sz w:val="32"/>
          <w:szCs w:val="32"/>
        </w:rPr>
      </w:pPr>
      <w:r>
        <w:rPr>
          <w:rFonts w:asciiTheme="minorHAnsi" w:eastAsiaTheme="majorEastAsia" w:hAnsiTheme="minorHAnsi" w:cstheme="majorBidi"/>
          <w:b/>
          <w:bCs/>
          <w:sz w:val="32"/>
          <w:szCs w:val="32"/>
        </w:rPr>
        <w:br w:type="page"/>
      </w:r>
    </w:p>
    <w:p w14:paraId="0B2B17DF" w14:textId="7EBA51CB" w:rsidR="00040719" w:rsidRPr="00040719" w:rsidRDefault="00562706" w:rsidP="00E2379D">
      <w:pPr>
        <w:pStyle w:val="Heading3"/>
      </w:pPr>
      <w:r>
        <w:t>Appendix A</w:t>
      </w:r>
    </w:p>
    <w:p w14:paraId="0F3F822F" w14:textId="77777777" w:rsidR="00040719" w:rsidRPr="00D65BD2" w:rsidRDefault="00040719" w:rsidP="00D65BD2">
      <w:pPr>
        <w:rPr>
          <w:rFonts w:asciiTheme="minorHAnsi" w:hAnsiTheme="minorHAnsi"/>
          <w:b/>
          <w:i/>
        </w:rPr>
      </w:pPr>
      <w:r w:rsidRPr="00D65BD2">
        <w:rPr>
          <w:rFonts w:asciiTheme="minorHAnsi" w:hAnsiTheme="minorHAnsi"/>
          <w:b/>
          <w:i/>
        </w:rPr>
        <w:t>Restriction</w:t>
      </w:r>
    </w:p>
    <w:p w14:paraId="1271F315" w14:textId="77777777" w:rsidR="00040719" w:rsidRPr="00040719" w:rsidRDefault="00040719" w:rsidP="00040719">
      <w:pPr>
        <w:spacing w:line="240" w:lineRule="auto"/>
        <w:rPr>
          <w:rFonts w:asciiTheme="minorHAnsi" w:hAnsiTheme="minorHAnsi"/>
        </w:rPr>
      </w:pPr>
      <w:r w:rsidRPr="00040719">
        <w:rPr>
          <w:rFonts w:asciiTheme="minorHAnsi" w:hAnsiTheme="minorHAnsi"/>
        </w:rPr>
        <w:t>The restriction changes for the CML indications of the three drugs can be summarised as follows:</w:t>
      </w:r>
    </w:p>
    <w:p w14:paraId="38873456" w14:textId="77777777"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 xml:space="preserve">On 1/12/2001 imatinib was listed (S85) for first line treatment of CML in the </w:t>
      </w:r>
      <w:r w:rsidRPr="00040719">
        <w:rPr>
          <w:rFonts w:asciiTheme="minorHAnsi" w:hAnsiTheme="minorHAnsi"/>
          <w:b/>
        </w:rPr>
        <w:t>accelerated</w:t>
      </w:r>
      <w:r w:rsidRPr="00040719">
        <w:rPr>
          <w:rFonts w:asciiTheme="minorHAnsi" w:hAnsiTheme="minorHAnsi"/>
        </w:rPr>
        <w:t xml:space="preserve"> or </w:t>
      </w:r>
      <w:r w:rsidRPr="00040719">
        <w:rPr>
          <w:rFonts w:asciiTheme="minorHAnsi" w:hAnsiTheme="minorHAnsi"/>
          <w:b/>
        </w:rPr>
        <w:t>blast</w:t>
      </w:r>
      <w:r w:rsidRPr="00040719">
        <w:rPr>
          <w:rFonts w:asciiTheme="minorHAnsi" w:hAnsiTheme="minorHAnsi"/>
        </w:rPr>
        <w:t xml:space="preserve"> phases. </w:t>
      </w:r>
    </w:p>
    <w:p w14:paraId="35EF9A90" w14:textId="77777777"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 xml:space="preserve">On 21/10/2002 this was extended to first line treatment in the </w:t>
      </w:r>
      <w:r w:rsidRPr="00040719">
        <w:rPr>
          <w:rFonts w:asciiTheme="minorHAnsi" w:hAnsiTheme="minorHAnsi"/>
          <w:b/>
        </w:rPr>
        <w:t>chronic</w:t>
      </w:r>
      <w:r w:rsidRPr="00040719">
        <w:rPr>
          <w:rFonts w:asciiTheme="minorHAnsi" w:hAnsiTheme="minorHAnsi"/>
        </w:rPr>
        <w:t xml:space="preserve"> phase and the listing changed to S100, Special Authority Program.</w:t>
      </w:r>
    </w:p>
    <w:p w14:paraId="44095F8D" w14:textId="77777777"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 xml:space="preserve">On 1/8/2007 dasatinib was listed (S85) for second line treatment (i.e. failed an adequate trial of imatinib) in </w:t>
      </w:r>
      <w:r w:rsidRPr="00040719">
        <w:rPr>
          <w:rFonts w:asciiTheme="minorHAnsi" w:hAnsiTheme="minorHAnsi"/>
          <w:b/>
        </w:rPr>
        <w:t>any</w:t>
      </w:r>
      <w:r w:rsidRPr="00040719">
        <w:rPr>
          <w:rFonts w:asciiTheme="minorHAnsi" w:hAnsiTheme="minorHAnsi"/>
        </w:rPr>
        <w:t xml:space="preserve"> disease phase.</w:t>
      </w:r>
    </w:p>
    <w:p w14:paraId="36A38AE0" w14:textId="77777777"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On 1/11/2007 all the imatinib items were changed from S100 to S85 to be consistent with the dasatinib listings.</w:t>
      </w:r>
    </w:p>
    <w:p w14:paraId="3B13875F" w14:textId="77777777"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 xml:space="preserve">On 1/8/2008 nilotinib was listed (S85) for second line treatment (i.e. failed an adequate trial of imatinib) in </w:t>
      </w:r>
      <w:r w:rsidRPr="00040719">
        <w:rPr>
          <w:rFonts w:asciiTheme="minorHAnsi" w:hAnsiTheme="minorHAnsi"/>
          <w:b/>
        </w:rPr>
        <w:t>chronic</w:t>
      </w:r>
      <w:r w:rsidRPr="00040719">
        <w:rPr>
          <w:rFonts w:asciiTheme="minorHAnsi" w:hAnsiTheme="minorHAnsi"/>
        </w:rPr>
        <w:t xml:space="preserve"> or </w:t>
      </w:r>
      <w:r w:rsidRPr="00040719">
        <w:rPr>
          <w:rFonts w:asciiTheme="minorHAnsi" w:hAnsiTheme="minorHAnsi"/>
          <w:b/>
        </w:rPr>
        <w:t>accelerated</w:t>
      </w:r>
      <w:r w:rsidRPr="00040719">
        <w:rPr>
          <w:rFonts w:asciiTheme="minorHAnsi" w:hAnsiTheme="minorHAnsi"/>
        </w:rPr>
        <w:t xml:space="preserve"> phases.</w:t>
      </w:r>
    </w:p>
    <w:p w14:paraId="773D12BD" w14:textId="77777777"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 xml:space="preserve">On 1/4/2012 dasatinib and nilotinib restrictions were extended to first line treatment in </w:t>
      </w:r>
      <w:r w:rsidRPr="00040719">
        <w:rPr>
          <w:rFonts w:asciiTheme="minorHAnsi" w:hAnsiTheme="minorHAnsi"/>
          <w:b/>
        </w:rPr>
        <w:t>chronic</w:t>
      </w:r>
      <w:r w:rsidRPr="00040719">
        <w:rPr>
          <w:rFonts w:asciiTheme="minorHAnsi" w:hAnsiTheme="minorHAnsi"/>
        </w:rPr>
        <w:t xml:space="preserve"> phase. Dasatinib retained the restriction for second line treatment (i.e. failed an adequate trial of imatinib or nilotinib) for </w:t>
      </w:r>
      <w:r w:rsidRPr="00040719">
        <w:rPr>
          <w:rFonts w:asciiTheme="minorHAnsi" w:hAnsiTheme="minorHAnsi"/>
          <w:b/>
        </w:rPr>
        <w:t>any</w:t>
      </w:r>
      <w:r w:rsidRPr="00040719">
        <w:rPr>
          <w:rFonts w:asciiTheme="minorHAnsi" w:hAnsiTheme="minorHAnsi"/>
        </w:rPr>
        <w:t xml:space="preserve"> disease phase and nilotinib retained second line treatment (i.e. failed an adequate trial of imatinib or dasatinib) for </w:t>
      </w:r>
      <w:r w:rsidRPr="00040719">
        <w:rPr>
          <w:rFonts w:asciiTheme="minorHAnsi" w:hAnsiTheme="minorHAnsi"/>
          <w:b/>
        </w:rPr>
        <w:t>chronic</w:t>
      </w:r>
      <w:r w:rsidRPr="00040719">
        <w:rPr>
          <w:rFonts w:asciiTheme="minorHAnsi" w:hAnsiTheme="minorHAnsi"/>
        </w:rPr>
        <w:t xml:space="preserve"> or </w:t>
      </w:r>
      <w:r w:rsidRPr="00040719">
        <w:rPr>
          <w:rFonts w:asciiTheme="minorHAnsi" w:hAnsiTheme="minorHAnsi"/>
          <w:b/>
        </w:rPr>
        <w:t>accelerated</w:t>
      </w:r>
      <w:r w:rsidRPr="00040719">
        <w:rPr>
          <w:rFonts w:asciiTheme="minorHAnsi" w:hAnsiTheme="minorHAnsi"/>
        </w:rPr>
        <w:t xml:space="preserve"> phases. </w:t>
      </w:r>
    </w:p>
    <w:p w14:paraId="7D04C495" w14:textId="17272D98" w:rsidR="00040719" w:rsidRPr="00040719" w:rsidRDefault="00040719" w:rsidP="00040719">
      <w:pPr>
        <w:numPr>
          <w:ilvl w:val="0"/>
          <w:numId w:val="12"/>
        </w:numPr>
        <w:spacing w:line="240" w:lineRule="auto"/>
        <w:contextualSpacing/>
        <w:rPr>
          <w:rFonts w:asciiTheme="minorHAnsi" w:hAnsiTheme="minorHAnsi"/>
        </w:rPr>
      </w:pPr>
      <w:r w:rsidRPr="00040719">
        <w:rPr>
          <w:rFonts w:asciiTheme="minorHAnsi" w:hAnsiTheme="minorHAnsi"/>
        </w:rPr>
        <w:t>On 1/4/2012 the wording of the first line restrictions were modified to include dose guidance. Patients should be commenced on a dose of imatinib mesylate 400</w:t>
      </w:r>
      <w:r w:rsidR="00A83DA2">
        <w:rPr>
          <w:rFonts w:asciiTheme="minorHAnsi" w:hAnsiTheme="minorHAnsi"/>
        </w:rPr>
        <w:t xml:space="preserve"> </w:t>
      </w:r>
      <w:r w:rsidRPr="00040719">
        <w:rPr>
          <w:rFonts w:asciiTheme="minorHAnsi" w:hAnsiTheme="minorHAnsi"/>
        </w:rPr>
        <w:t>mg (base) daily, dasatinib of at least 100</w:t>
      </w:r>
      <w:r w:rsidR="00A83DA2">
        <w:rPr>
          <w:rFonts w:asciiTheme="minorHAnsi" w:hAnsiTheme="minorHAnsi"/>
        </w:rPr>
        <w:t xml:space="preserve"> </w:t>
      </w:r>
      <w:r w:rsidRPr="00040719">
        <w:rPr>
          <w:rFonts w:asciiTheme="minorHAnsi" w:hAnsiTheme="minorHAnsi"/>
        </w:rPr>
        <w:t>mg (base) daily and nilotinib of 300</w:t>
      </w:r>
      <w:r w:rsidR="00A83DA2">
        <w:rPr>
          <w:rFonts w:asciiTheme="minorHAnsi" w:hAnsiTheme="minorHAnsi"/>
        </w:rPr>
        <w:t xml:space="preserve"> </w:t>
      </w:r>
      <w:r w:rsidRPr="00040719">
        <w:rPr>
          <w:rFonts w:asciiTheme="minorHAnsi" w:hAnsiTheme="minorHAnsi"/>
        </w:rPr>
        <w:t>mg twice daily.</w:t>
      </w:r>
    </w:p>
    <w:p w14:paraId="18974A3A" w14:textId="77777777" w:rsidR="00DA504B" w:rsidRDefault="003A73FD">
      <w:pPr>
        <w:rPr>
          <w:rFonts w:asciiTheme="minorHAnsi" w:eastAsiaTheme="majorEastAsia" w:hAnsiTheme="minorHAnsi" w:cstheme="majorBidi"/>
          <w:b/>
          <w:bCs/>
          <w:sz w:val="52"/>
          <w:szCs w:val="32"/>
        </w:rPr>
      </w:pPr>
      <w:r>
        <w:rPr>
          <w:rFonts w:asciiTheme="minorHAnsi" w:eastAsiaTheme="majorEastAsia" w:hAnsiTheme="minorHAnsi" w:cstheme="majorBidi"/>
          <w:b/>
          <w:bCs/>
          <w:sz w:val="32"/>
          <w:szCs w:val="32"/>
        </w:rPr>
        <w:br w:type="page"/>
      </w:r>
      <w:r w:rsidR="00177232" w:rsidRPr="00177232">
        <w:rPr>
          <w:rFonts w:asciiTheme="minorHAnsi" w:eastAsiaTheme="majorEastAsia" w:hAnsiTheme="minorHAnsi" w:cstheme="majorBidi"/>
          <w:b/>
          <w:bCs/>
          <w:sz w:val="52"/>
          <w:szCs w:val="32"/>
        </w:rPr>
        <w:t xml:space="preserve">Tyrosine kinase inhibitors for the treatment of Chronic Myeloid Leukaemia (CML): Addendum </w:t>
      </w:r>
    </w:p>
    <w:p w14:paraId="36CD7BAA" w14:textId="2758A6D6" w:rsidR="00BF0B28" w:rsidRDefault="00DA504B" w:rsidP="00BF0B28">
      <w:pPr>
        <w:pStyle w:val="Heading1"/>
        <w:rPr>
          <w:sz w:val="40"/>
        </w:rPr>
      </w:pPr>
      <w:r w:rsidRPr="00DA504B">
        <w:rPr>
          <w:sz w:val="40"/>
        </w:rPr>
        <w:t>Drug utilisation sub-committee (DUSC)</w:t>
      </w:r>
    </w:p>
    <w:p w14:paraId="0F051D7D" w14:textId="1B5CF2DC" w:rsidR="00BF0B28" w:rsidRDefault="00BF0B28" w:rsidP="00BF0B28">
      <w:pPr>
        <w:rPr>
          <w:rFonts w:asciiTheme="minorHAnsi" w:hAnsiTheme="minorHAnsi"/>
        </w:rPr>
      </w:pPr>
      <w:r w:rsidRPr="00BF0B28">
        <w:rPr>
          <w:rFonts w:asciiTheme="minorHAnsi" w:hAnsiTheme="minorHAnsi"/>
          <w:b/>
          <w:i/>
        </w:rPr>
        <w:t>October 2014</w:t>
      </w:r>
    </w:p>
    <w:p w14:paraId="57DDB012" w14:textId="61A538C4" w:rsidR="00BF0B28" w:rsidRDefault="00BF0B28" w:rsidP="00BF0B28">
      <w:pPr>
        <w:rPr>
          <w:rFonts w:asciiTheme="minorHAnsi" w:hAnsiTheme="minorHAnsi"/>
          <w:b/>
          <w:sz w:val="32"/>
          <w:szCs w:val="32"/>
        </w:rPr>
      </w:pPr>
      <w:r>
        <w:rPr>
          <w:rFonts w:asciiTheme="minorHAnsi" w:hAnsiTheme="minorHAnsi"/>
          <w:b/>
          <w:sz w:val="32"/>
          <w:szCs w:val="32"/>
        </w:rPr>
        <w:t>Abstract</w:t>
      </w:r>
    </w:p>
    <w:p w14:paraId="3AD5DD23" w14:textId="0384B1D7" w:rsidR="005C0CA8" w:rsidRDefault="005C0CA8" w:rsidP="00BF0B28">
      <w:pPr>
        <w:rPr>
          <w:rFonts w:asciiTheme="minorHAnsi" w:hAnsiTheme="minorHAnsi"/>
          <w:b/>
          <w:sz w:val="28"/>
          <w:szCs w:val="32"/>
        </w:rPr>
      </w:pPr>
      <w:r>
        <w:rPr>
          <w:rFonts w:asciiTheme="minorHAnsi" w:hAnsiTheme="minorHAnsi"/>
          <w:b/>
          <w:sz w:val="28"/>
          <w:szCs w:val="32"/>
        </w:rPr>
        <w:t>Purpose</w:t>
      </w:r>
    </w:p>
    <w:p w14:paraId="1A3F253F" w14:textId="531C9A96" w:rsidR="005C0CA8" w:rsidRDefault="005C0CA8" w:rsidP="00BF0B28">
      <w:pPr>
        <w:rPr>
          <w:rFonts w:asciiTheme="minorHAnsi" w:hAnsiTheme="minorHAnsi"/>
          <w:szCs w:val="32"/>
        </w:rPr>
      </w:pPr>
      <w:r w:rsidRPr="005C0CA8">
        <w:rPr>
          <w:rFonts w:asciiTheme="minorHAnsi" w:hAnsiTheme="minorHAnsi"/>
          <w:szCs w:val="32"/>
        </w:rPr>
        <w:t>To assess the doses of imatinib, dasatinib and nilotinib for first and second line treatment of chronic myeloid leukaemia.</w:t>
      </w:r>
    </w:p>
    <w:p w14:paraId="5B2354BE" w14:textId="77777777" w:rsidR="00DE45CD" w:rsidRPr="009215D8" w:rsidRDefault="00DE45CD" w:rsidP="009215D8">
      <w:pPr>
        <w:rPr>
          <w:rFonts w:asciiTheme="minorHAnsi" w:hAnsiTheme="minorHAnsi"/>
          <w:b/>
          <w:sz w:val="28"/>
          <w:szCs w:val="28"/>
        </w:rPr>
      </w:pPr>
      <w:r w:rsidRPr="009215D8">
        <w:rPr>
          <w:rFonts w:asciiTheme="minorHAnsi" w:hAnsiTheme="minorHAnsi"/>
          <w:b/>
          <w:sz w:val="28"/>
          <w:szCs w:val="28"/>
        </w:rPr>
        <w:t>Background</w:t>
      </w:r>
    </w:p>
    <w:p w14:paraId="0B63407E" w14:textId="06E244DA" w:rsidR="005C0CA8" w:rsidRDefault="00DE45CD" w:rsidP="00BF0B28">
      <w:pPr>
        <w:rPr>
          <w:rFonts w:asciiTheme="minorHAnsi" w:hAnsiTheme="minorHAnsi"/>
          <w:szCs w:val="32"/>
        </w:rPr>
      </w:pPr>
      <w:r w:rsidRPr="00DE45CD">
        <w:rPr>
          <w:rFonts w:asciiTheme="minorHAnsi" w:hAnsiTheme="minorHAnsi"/>
          <w:szCs w:val="32"/>
        </w:rPr>
        <w:t>At the February 2014 meeting, the DUSC considered an analysis of the utilisation of PBS-listed tyrosine kinase inhibitors (TKIs), imatinib, dasatinib and nilotinib, for the treatment of CML.  The DUSC requested information be provided on dosage in first and second line therapy for imatinib, dasatinib and nilotinib in CML for the purpose of checking predicted versus actual dosing.</w:t>
      </w:r>
    </w:p>
    <w:p w14:paraId="038E8D45" w14:textId="341F1F5E" w:rsidR="00283E80" w:rsidRDefault="00283E80" w:rsidP="00BF0B28">
      <w:pPr>
        <w:rPr>
          <w:rFonts w:asciiTheme="minorHAnsi" w:hAnsiTheme="minorHAnsi"/>
          <w:b/>
          <w:sz w:val="28"/>
          <w:szCs w:val="32"/>
        </w:rPr>
      </w:pPr>
      <w:r w:rsidRPr="00283E80">
        <w:rPr>
          <w:rFonts w:asciiTheme="minorHAnsi" w:hAnsiTheme="minorHAnsi"/>
          <w:b/>
          <w:sz w:val="28"/>
          <w:szCs w:val="32"/>
        </w:rPr>
        <w:t>Data Source / methodology</w:t>
      </w:r>
    </w:p>
    <w:p w14:paraId="2ADD0AFA" w14:textId="77777777" w:rsidR="00870AE6" w:rsidRPr="00870AE6" w:rsidRDefault="00870AE6" w:rsidP="00870AE6">
      <w:pPr>
        <w:rPr>
          <w:rFonts w:asciiTheme="minorHAnsi" w:hAnsiTheme="minorHAnsi"/>
        </w:rPr>
      </w:pPr>
      <w:r w:rsidRPr="00870AE6">
        <w:rPr>
          <w:rFonts w:asciiTheme="minorHAnsi" w:hAnsiTheme="minorHAnsi"/>
        </w:rPr>
        <w:t xml:space="preserve">The dosage information in this addendum comes from the quantity and strength information recorded in the Department of Human Services (DHS) Authorities Approval database for approvals from 2012 Q2 to 2013 Q3 inclusive. </w:t>
      </w:r>
    </w:p>
    <w:p w14:paraId="7CFADE20" w14:textId="77777777" w:rsidR="00870AE6" w:rsidRPr="00870AE6" w:rsidRDefault="00870AE6" w:rsidP="00870AE6">
      <w:pPr>
        <w:rPr>
          <w:rFonts w:asciiTheme="minorHAnsi" w:hAnsiTheme="minorHAnsi"/>
        </w:rPr>
      </w:pPr>
      <w:r w:rsidRPr="00870AE6">
        <w:rPr>
          <w:rFonts w:asciiTheme="minorHAnsi" w:hAnsiTheme="minorHAnsi"/>
        </w:rPr>
        <w:t>The actual prescribed dose is not recorded in the database.  The prescribed dose was estimated from the approval data by assuming the quantity prescribed on each prescription is intended to be for 30 days of treatment and summing the approvals for different strengths of a drug for a patient on a day, having regard to both the strength and the quantity requested.</w:t>
      </w:r>
    </w:p>
    <w:p w14:paraId="290331B7" w14:textId="3F287281" w:rsidR="00283E80" w:rsidRDefault="00870AE6" w:rsidP="00870AE6">
      <w:pPr>
        <w:rPr>
          <w:rFonts w:asciiTheme="minorHAnsi" w:hAnsiTheme="minorHAnsi"/>
        </w:rPr>
      </w:pPr>
      <w:r w:rsidRPr="00870AE6">
        <w:rPr>
          <w:rFonts w:asciiTheme="minorHAnsi" w:hAnsiTheme="minorHAnsi"/>
        </w:rPr>
        <w:t>Line of treatment (i.e. first or second line), disease phase and approval type (i.e. initial or continuing) were all defined from the analysis of the restriction text associated with the restriction codes recorded in the DHS Authorities Approval database.</w:t>
      </w:r>
    </w:p>
    <w:p w14:paraId="4249F978" w14:textId="701F7AAF" w:rsidR="00EE607C" w:rsidRDefault="00A362F1" w:rsidP="00870AE6">
      <w:pPr>
        <w:rPr>
          <w:rFonts w:asciiTheme="minorHAnsi" w:hAnsiTheme="minorHAnsi"/>
          <w:b/>
          <w:sz w:val="28"/>
          <w:szCs w:val="32"/>
        </w:rPr>
      </w:pPr>
      <w:r w:rsidRPr="00A362F1">
        <w:rPr>
          <w:rFonts w:asciiTheme="minorHAnsi" w:hAnsiTheme="minorHAnsi"/>
          <w:b/>
          <w:sz w:val="28"/>
          <w:szCs w:val="32"/>
        </w:rPr>
        <w:t>Key Findings</w:t>
      </w:r>
    </w:p>
    <w:p w14:paraId="02B27AC6" w14:textId="0B0F5424" w:rsidR="00A362F1" w:rsidRPr="00365188" w:rsidRDefault="00365188" w:rsidP="00365188">
      <w:pPr>
        <w:rPr>
          <w:rFonts w:asciiTheme="minorHAnsi" w:hAnsiTheme="minorHAnsi"/>
        </w:rPr>
      </w:pPr>
      <w:r w:rsidRPr="00365188">
        <w:rPr>
          <w:rFonts w:asciiTheme="minorHAnsi" w:hAnsiTheme="minorHAnsi"/>
        </w:rPr>
        <w:t>The calculated dose relativities of imatinib versus dasatinib and imatinib versus nilotinib in the first line treatment of newly diagnosed patients are consistent with the values assumed by the PBAC when these drugs were recommended.</w:t>
      </w:r>
    </w:p>
    <w:p w14:paraId="506AB803" w14:textId="7F0761E4" w:rsidR="003A73FD" w:rsidRDefault="00177232">
      <w:pPr>
        <w:rPr>
          <w:rFonts w:asciiTheme="minorHAnsi" w:eastAsiaTheme="majorEastAsia" w:hAnsiTheme="minorHAnsi" w:cstheme="majorBidi"/>
          <w:b/>
          <w:bCs/>
          <w:sz w:val="32"/>
          <w:szCs w:val="32"/>
        </w:rPr>
      </w:pPr>
      <w:r>
        <w:rPr>
          <w:rFonts w:asciiTheme="minorHAnsi" w:eastAsiaTheme="majorEastAsia" w:hAnsiTheme="minorHAnsi" w:cstheme="majorBidi"/>
          <w:b/>
          <w:bCs/>
          <w:sz w:val="32"/>
          <w:szCs w:val="32"/>
        </w:rPr>
        <w:br w:type="page"/>
      </w:r>
    </w:p>
    <w:p w14:paraId="0986475D" w14:textId="77777777" w:rsidR="003A73FD" w:rsidRPr="0009774A" w:rsidRDefault="003A73FD" w:rsidP="0009774A">
      <w:pPr>
        <w:rPr>
          <w:rFonts w:asciiTheme="minorHAnsi" w:hAnsiTheme="minorHAnsi"/>
          <w:b/>
          <w:sz w:val="28"/>
          <w:szCs w:val="28"/>
        </w:rPr>
      </w:pPr>
      <w:r w:rsidRPr="0009774A">
        <w:rPr>
          <w:rFonts w:asciiTheme="minorHAnsi" w:hAnsiTheme="minorHAnsi"/>
          <w:b/>
          <w:sz w:val="32"/>
          <w:szCs w:val="28"/>
        </w:rPr>
        <w:t>Disclaimer</w:t>
      </w:r>
    </w:p>
    <w:p w14:paraId="7F6C63C4" w14:textId="77777777" w:rsidR="003A73FD" w:rsidRPr="003A73FD" w:rsidRDefault="003A73FD" w:rsidP="003A73FD">
      <w:pPr>
        <w:rPr>
          <w:rFonts w:asciiTheme="minorHAnsi" w:hAnsiTheme="minorHAnsi"/>
        </w:rPr>
      </w:pPr>
      <w:r w:rsidRPr="003A73FD">
        <w:rPr>
          <w:rFonts w:asciiTheme="minorHAnsi" w:hAnsiTheme="minorHAnsi"/>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7C3C641D" w14:textId="77777777" w:rsidR="003A73FD" w:rsidRPr="003A73FD" w:rsidRDefault="003A73FD" w:rsidP="003A73FD">
      <w:pPr>
        <w:rPr>
          <w:rFonts w:asciiTheme="minorHAnsi" w:hAnsiTheme="minorHAnsi"/>
        </w:rPr>
      </w:pPr>
      <w:r w:rsidRPr="003A73FD">
        <w:rPr>
          <w:rFonts w:asciiTheme="minorHAnsi" w:hAnsiTheme="minorHAnsi"/>
        </w:rP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33D9ADCA" w14:textId="77777777" w:rsidR="003A73FD" w:rsidRPr="003A73FD" w:rsidRDefault="003A73FD" w:rsidP="003A73FD">
      <w:pPr>
        <w:rPr>
          <w:rFonts w:asciiTheme="minorHAnsi" w:hAnsiTheme="minorHAnsi"/>
        </w:rPr>
      </w:pPr>
      <w:r w:rsidRPr="003A73FD">
        <w:rPr>
          <w:rFonts w:asciiTheme="minorHAnsi" w:hAnsiTheme="minorHAnsi"/>
        </w:rPr>
        <w:t xml:space="preserve">To the extent provided by law, DoH makes no warranties or representations as to accuracy or completeness of information contained in this report. </w:t>
      </w:r>
    </w:p>
    <w:p w14:paraId="2C6DF713" w14:textId="36D12D5D" w:rsidR="00040719" w:rsidRPr="0006279A" w:rsidRDefault="003A73FD" w:rsidP="0006279A">
      <w:pPr>
        <w:rPr>
          <w:rFonts w:asciiTheme="minorHAnsi" w:hAnsiTheme="minorHAnsi"/>
        </w:rPr>
      </w:pPr>
      <w:r w:rsidRPr="003A73FD">
        <w:rPr>
          <w:rFonts w:asciiTheme="minorHAnsi" w:hAnsiTheme="minorHAnsi"/>
        </w:rP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w:t>
      </w:r>
      <w:r w:rsidR="0006279A">
        <w:rPr>
          <w:rFonts w:asciiTheme="minorHAnsi" w:hAnsiTheme="minorHAnsi"/>
        </w:rPr>
        <w:t>ite referred to in this report.</w:t>
      </w:r>
    </w:p>
    <w:sectPr w:rsidR="00040719" w:rsidRPr="0006279A" w:rsidSect="0000388A">
      <w:footerReference w:type="even"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DA504B" w:rsidRDefault="00DA504B" w:rsidP="00705DAD">
      <w:pPr>
        <w:spacing w:after="0" w:line="240" w:lineRule="auto"/>
      </w:pPr>
      <w:r>
        <w:separator/>
      </w:r>
    </w:p>
  </w:endnote>
  <w:endnote w:type="continuationSeparator" w:id="0">
    <w:p w14:paraId="45A4A8C8" w14:textId="77777777" w:rsidR="00DA504B" w:rsidRDefault="00DA504B" w:rsidP="0070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DA504B" w:rsidRDefault="00DA504B" w:rsidP="00705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DA504B" w:rsidRDefault="00DA5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859106"/>
      <w:docPartObj>
        <w:docPartGallery w:val="Page Numbers (Bottom of Page)"/>
        <w:docPartUnique/>
      </w:docPartObj>
    </w:sdtPr>
    <w:sdtEndPr>
      <w:rPr>
        <w:rFonts w:asciiTheme="minorHAnsi" w:hAnsiTheme="minorHAnsi"/>
        <w:noProof/>
      </w:rPr>
    </w:sdtEndPr>
    <w:sdtContent>
      <w:p w14:paraId="6D0B4DEE" w14:textId="199572E0" w:rsidR="00DA504B" w:rsidRPr="0000388A" w:rsidRDefault="00DA504B">
        <w:pPr>
          <w:pStyle w:val="Footer"/>
          <w:jc w:val="right"/>
          <w:rPr>
            <w:rFonts w:asciiTheme="minorHAnsi" w:hAnsiTheme="minorHAnsi"/>
          </w:rPr>
        </w:pPr>
        <w:r w:rsidRPr="0000388A">
          <w:rPr>
            <w:rFonts w:asciiTheme="minorHAnsi" w:hAnsiTheme="minorHAnsi"/>
          </w:rPr>
          <w:fldChar w:fldCharType="begin"/>
        </w:r>
        <w:r w:rsidRPr="0000388A">
          <w:rPr>
            <w:rFonts w:asciiTheme="minorHAnsi" w:hAnsiTheme="minorHAnsi"/>
          </w:rPr>
          <w:instrText xml:space="preserve"> PAGE   \* MERGEFORMAT </w:instrText>
        </w:r>
        <w:r w:rsidRPr="0000388A">
          <w:rPr>
            <w:rFonts w:asciiTheme="minorHAnsi" w:hAnsiTheme="minorHAnsi"/>
          </w:rPr>
          <w:fldChar w:fldCharType="separate"/>
        </w:r>
        <w:r w:rsidR="00D8687C">
          <w:rPr>
            <w:rFonts w:asciiTheme="minorHAnsi" w:hAnsiTheme="minorHAnsi"/>
            <w:noProof/>
          </w:rPr>
          <w:t>1</w:t>
        </w:r>
        <w:r w:rsidRPr="0000388A">
          <w:rPr>
            <w:rFonts w:asciiTheme="minorHAnsi" w:hAnsiTheme="minorHAnsi"/>
            <w:noProof/>
          </w:rPr>
          <w:fldChar w:fldCharType="end"/>
        </w:r>
      </w:p>
    </w:sdtContent>
  </w:sdt>
  <w:p w14:paraId="16541DE1" w14:textId="42D903AD" w:rsidR="00DA504B" w:rsidRDefault="00DA5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DA504B" w:rsidRDefault="00DA504B" w:rsidP="00705DAD">
      <w:pPr>
        <w:spacing w:after="0" w:line="240" w:lineRule="auto"/>
      </w:pPr>
      <w:r>
        <w:separator/>
      </w:r>
    </w:p>
  </w:footnote>
  <w:footnote w:type="continuationSeparator" w:id="0">
    <w:p w14:paraId="7E2CA1E4" w14:textId="77777777" w:rsidR="00DA504B" w:rsidRDefault="00DA504B" w:rsidP="00705DAD">
      <w:pPr>
        <w:spacing w:after="0" w:line="240" w:lineRule="auto"/>
      </w:pPr>
      <w:r>
        <w:continuationSeparator/>
      </w:r>
    </w:p>
  </w:footnote>
  <w:footnote w:id="1">
    <w:p w14:paraId="0BE7064F" w14:textId="510D99F8" w:rsidR="00DA504B" w:rsidRPr="00385998" w:rsidRDefault="00DA504B">
      <w:pPr>
        <w:pStyle w:val="FootnoteText"/>
        <w:rPr>
          <w:rFonts w:asciiTheme="minorHAnsi" w:hAnsiTheme="minorHAnsi"/>
        </w:rPr>
      </w:pPr>
      <w:r w:rsidRPr="00385998">
        <w:rPr>
          <w:rStyle w:val="FootnoteReference"/>
          <w:rFonts w:asciiTheme="minorHAnsi" w:hAnsiTheme="minorHAnsi"/>
        </w:rPr>
        <w:footnoteRef/>
      </w:r>
      <w:r w:rsidRPr="00385998">
        <w:rPr>
          <w:rFonts w:asciiTheme="minorHAnsi" w:hAnsiTheme="minorHAnsi"/>
        </w:rPr>
        <w:t xml:space="preserve"> Glivec (imatinib) Product Information. Accessed 16 December 2013. Available from </w:t>
      </w:r>
      <w:r w:rsidRPr="00AA6B33">
        <w:rPr>
          <w:rFonts w:asciiTheme="minorHAnsi" w:hAnsiTheme="minorHAnsi"/>
        </w:rPr>
        <w:t>https://www.ebs.tga.gov.au/</w:t>
      </w:r>
    </w:p>
  </w:footnote>
  <w:footnote w:id="2">
    <w:p w14:paraId="0586468A" w14:textId="3BBAEE27" w:rsidR="00DA504B" w:rsidRPr="00EF6209" w:rsidRDefault="00DA504B">
      <w:pPr>
        <w:pStyle w:val="FootnoteText"/>
        <w:rPr>
          <w:rFonts w:asciiTheme="minorHAnsi" w:hAnsiTheme="minorHAnsi"/>
        </w:rPr>
      </w:pPr>
      <w:r w:rsidRPr="00385998">
        <w:rPr>
          <w:rStyle w:val="FootnoteReference"/>
          <w:rFonts w:asciiTheme="minorHAnsi" w:hAnsiTheme="minorHAnsi"/>
        </w:rPr>
        <w:footnoteRef/>
      </w:r>
      <w:r w:rsidRPr="00EF6209">
        <w:rPr>
          <w:rFonts w:asciiTheme="minorHAnsi" w:hAnsiTheme="minorHAnsi"/>
        </w:rPr>
        <w:t xml:space="preserve"> </w:t>
      </w:r>
      <w:r>
        <w:rPr>
          <w:rFonts w:asciiTheme="minorHAnsi" w:hAnsiTheme="minorHAnsi"/>
        </w:rPr>
        <w:t>Sprycel (dasatinib</w:t>
      </w:r>
      <w:r w:rsidRPr="00385998">
        <w:rPr>
          <w:rFonts w:asciiTheme="minorHAnsi" w:hAnsiTheme="minorHAnsi"/>
        </w:rPr>
        <w:t xml:space="preserve">) Product Information. Accessed 16 December 2013. Available from </w:t>
      </w:r>
      <w:r w:rsidRPr="00AA6B33">
        <w:rPr>
          <w:rFonts w:asciiTheme="minorHAnsi" w:hAnsiTheme="minorHAnsi"/>
        </w:rPr>
        <w:t>https://www.ebs.tga.gov.au/</w:t>
      </w:r>
    </w:p>
  </w:footnote>
  <w:footnote w:id="3">
    <w:p w14:paraId="5EEA258A" w14:textId="32905173" w:rsidR="00DA504B" w:rsidRPr="00EF6209" w:rsidRDefault="00DA504B" w:rsidP="00870409">
      <w:pPr>
        <w:pStyle w:val="FootnoteText"/>
        <w:rPr>
          <w:rFonts w:asciiTheme="minorHAnsi" w:hAnsiTheme="minorHAnsi"/>
        </w:rPr>
      </w:pPr>
      <w:r w:rsidRPr="00547883">
        <w:rPr>
          <w:rStyle w:val="FootnoteReference"/>
          <w:rFonts w:asciiTheme="minorHAnsi" w:hAnsiTheme="minorHAnsi"/>
        </w:rPr>
        <w:footnoteRef/>
      </w:r>
      <w:r w:rsidRPr="00547883">
        <w:rPr>
          <w:rFonts w:asciiTheme="minorHAnsi" w:hAnsiTheme="minorHAnsi"/>
        </w:rPr>
        <w:t xml:space="preserve"> </w:t>
      </w:r>
      <w:r>
        <w:rPr>
          <w:rFonts w:asciiTheme="minorHAnsi" w:hAnsiTheme="minorHAnsi"/>
        </w:rPr>
        <w:t>Tasigna (nilotinib</w:t>
      </w:r>
      <w:r w:rsidRPr="00385998">
        <w:rPr>
          <w:rFonts w:asciiTheme="minorHAnsi" w:hAnsiTheme="minorHAnsi"/>
        </w:rPr>
        <w:t xml:space="preserve">) Product Information. Accessed 16 December 2013. Available from </w:t>
      </w:r>
      <w:r w:rsidRPr="00AA6B33">
        <w:rPr>
          <w:rFonts w:asciiTheme="minorHAnsi" w:hAnsiTheme="minorHAnsi"/>
        </w:rPr>
        <w:t>https://www.ebs.tga.gov.au</w:t>
      </w:r>
      <w:r w:rsidRPr="00385998">
        <w:rPr>
          <w:rFonts w:asciiTheme="minorHAnsi" w:hAnsiTheme="minorHAnsi"/>
        </w:rPr>
        <w:t>/.</w:t>
      </w:r>
    </w:p>
    <w:p w14:paraId="766954E4" w14:textId="5F390678" w:rsidR="00DA504B" w:rsidRPr="00547883" w:rsidRDefault="00DA504B">
      <w:pPr>
        <w:pStyle w:val="FootnoteText"/>
        <w:rPr>
          <w:rFonts w:asciiTheme="minorHAnsi" w:hAnsiTheme="minorHAnsi"/>
        </w:rPr>
      </w:pPr>
    </w:p>
  </w:footnote>
  <w:footnote w:id="4">
    <w:p w14:paraId="0CEBC8DC" w14:textId="3692D6E5" w:rsidR="00DA504B" w:rsidRPr="007D2281" w:rsidRDefault="00DA504B" w:rsidP="007D2281">
      <w:pPr>
        <w:pStyle w:val="FootnoteText"/>
        <w:rPr>
          <w:rFonts w:asciiTheme="minorHAnsi" w:hAnsiTheme="minorHAnsi"/>
          <w:bCs/>
          <w:lang w:val="en"/>
        </w:rPr>
      </w:pPr>
      <w:r w:rsidRPr="007D2281">
        <w:rPr>
          <w:rStyle w:val="FootnoteReference"/>
          <w:rFonts w:asciiTheme="minorHAnsi" w:hAnsiTheme="minorHAnsi"/>
        </w:rPr>
        <w:footnoteRef/>
      </w:r>
      <w:r w:rsidRPr="007D2281">
        <w:rPr>
          <w:rFonts w:asciiTheme="minorHAnsi" w:hAnsiTheme="minorHAnsi"/>
        </w:rPr>
        <w:t xml:space="preserve"> The average annual change in incidence rates for CML in Australia, 2002 to 2009, was 1.2%. Source: </w:t>
      </w:r>
      <w:r w:rsidRPr="007D2281">
        <w:rPr>
          <w:rFonts w:asciiTheme="minorHAnsi" w:hAnsiTheme="minorHAnsi"/>
          <w:bCs/>
          <w:lang w:val="en"/>
        </w:rPr>
        <w:t xml:space="preserve">Australian Cancer Incidence and Mortality (ACIM) books, </w:t>
      </w:r>
      <w:r w:rsidRPr="00987ED9">
        <w:rPr>
          <w:rFonts w:asciiTheme="minorHAnsi" w:hAnsiTheme="minorHAnsi"/>
          <w:bCs/>
          <w:lang w:val="en"/>
        </w:rPr>
        <w:t>www.aihw.gov.au/acim-books/</w:t>
      </w:r>
      <w:r>
        <w:rPr>
          <w:rFonts w:asciiTheme="minorHAnsi" w:hAnsiTheme="minorHAnsi"/>
          <w:bCs/>
          <w:lang w:val="en"/>
        </w:rPr>
        <w:t xml:space="preserve">, </w:t>
      </w:r>
      <w:r w:rsidRPr="007D2281">
        <w:rPr>
          <w:rFonts w:asciiTheme="minorHAnsi" w:hAnsiTheme="minorHAnsi"/>
          <w:bCs/>
          <w:lang w:val="en"/>
        </w:rPr>
        <w:t>accessed 17 December 2012.</w:t>
      </w:r>
    </w:p>
    <w:p w14:paraId="4C855E90" w14:textId="77777777" w:rsidR="00DA504B" w:rsidRDefault="00DA504B" w:rsidP="007D2281">
      <w:pPr>
        <w:pStyle w:val="FootnoteText"/>
      </w:pPr>
    </w:p>
  </w:footnote>
  <w:footnote w:id="5">
    <w:p w14:paraId="18C2617D" w14:textId="4BFD06E5" w:rsidR="00DA504B" w:rsidRPr="00654764" w:rsidRDefault="00DA504B" w:rsidP="00654764">
      <w:pPr>
        <w:pStyle w:val="FootnoteText"/>
        <w:rPr>
          <w:rFonts w:asciiTheme="minorHAnsi" w:hAnsiTheme="minorHAnsi"/>
        </w:rPr>
      </w:pPr>
      <w:r w:rsidRPr="00654764">
        <w:rPr>
          <w:rStyle w:val="FootnoteReference"/>
          <w:rFonts w:asciiTheme="minorHAnsi" w:hAnsiTheme="minorHAnsi"/>
        </w:rPr>
        <w:footnoteRef/>
      </w:r>
      <w:r w:rsidRPr="00654764">
        <w:rPr>
          <w:rFonts w:asciiTheme="minorHAnsi" w:hAnsiTheme="minorHAnsi"/>
        </w:rPr>
        <w:t xml:space="preserve"> </w:t>
      </w:r>
      <w:r w:rsidRPr="00654764">
        <w:rPr>
          <w:rFonts w:asciiTheme="minorHAnsi" w:hAnsiTheme="minorHAnsi"/>
          <w:bCs/>
          <w:lang w:val="en"/>
        </w:rPr>
        <w:t xml:space="preserve">Australian Cancer Incidence and Mortality (ACIM) books, </w:t>
      </w:r>
      <w:r w:rsidRPr="00987ED9">
        <w:rPr>
          <w:rFonts w:asciiTheme="minorHAnsi" w:hAnsiTheme="minorHAnsi"/>
          <w:bCs/>
          <w:lang w:val="en"/>
        </w:rPr>
        <w:t>http://www.aihw.gov.au/acim-books/</w:t>
      </w:r>
      <w:r w:rsidRPr="00654764">
        <w:rPr>
          <w:rFonts w:asciiTheme="minorHAnsi" w:hAnsiTheme="minorHAnsi"/>
          <w:bCs/>
          <w:lang w:val="en"/>
        </w:rPr>
        <w:t>, accessed 17 December 2012.</w:t>
      </w:r>
    </w:p>
  </w:footnote>
  <w:footnote w:id="6">
    <w:p w14:paraId="7422B76C" w14:textId="77777777" w:rsidR="00DA504B" w:rsidRPr="00DC7998" w:rsidRDefault="00DA504B" w:rsidP="00654764">
      <w:pPr>
        <w:pStyle w:val="FootnoteText"/>
      </w:pPr>
      <w:r w:rsidRPr="00654764">
        <w:rPr>
          <w:rStyle w:val="FootnoteReference"/>
          <w:rFonts w:asciiTheme="minorHAnsi" w:hAnsiTheme="minorHAnsi"/>
        </w:rPr>
        <w:footnoteRef/>
      </w:r>
      <w:r w:rsidRPr="00654764">
        <w:rPr>
          <w:rFonts w:asciiTheme="minorHAnsi" w:hAnsiTheme="minorHAnsi"/>
        </w:rPr>
        <w:t xml:space="preserve"> Huang X, Cortes J, Katarjian H. Estimations of the Increasing Prevalence and Plateau Prevalence of Chronic Myeloid Leukemia in the Era of Tyrosine Kinase Inhibitor Therapy. </w:t>
      </w:r>
      <w:r w:rsidRPr="00654764">
        <w:rPr>
          <w:rFonts w:asciiTheme="minorHAnsi" w:hAnsiTheme="minorHAnsi"/>
          <w:i/>
        </w:rPr>
        <w:t>Cancer</w:t>
      </w:r>
      <w:r w:rsidRPr="00654764">
        <w:rPr>
          <w:rFonts w:asciiTheme="minorHAnsi" w:hAnsiTheme="minorHAnsi"/>
        </w:rPr>
        <w:t>. 2012: 3123-7.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CA5"/>
    <w:multiLevelType w:val="hybridMultilevel"/>
    <w:tmpl w:val="537C4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B955B1"/>
    <w:multiLevelType w:val="hybridMultilevel"/>
    <w:tmpl w:val="7DA8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E30F4D"/>
    <w:multiLevelType w:val="hybridMultilevel"/>
    <w:tmpl w:val="72D60F38"/>
    <w:lvl w:ilvl="0" w:tplc="C01CAC2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BF0CAF"/>
    <w:multiLevelType w:val="hybridMultilevel"/>
    <w:tmpl w:val="A2202F0C"/>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AD076C"/>
    <w:multiLevelType w:val="hybridMultilevel"/>
    <w:tmpl w:val="B32C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7C7B16"/>
    <w:multiLevelType w:val="hybridMultilevel"/>
    <w:tmpl w:val="2F9E3C84"/>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A10BE7"/>
    <w:multiLevelType w:val="hybridMultilevel"/>
    <w:tmpl w:val="D7EC0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BA80BF2"/>
    <w:multiLevelType w:val="hybridMultilevel"/>
    <w:tmpl w:val="3F8E8166"/>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C83B04"/>
    <w:multiLevelType w:val="hybridMultilevel"/>
    <w:tmpl w:val="BF4A330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8E50475"/>
    <w:multiLevelType w:val="hybridMultilevel"/>
    <w:tmpl w:val="2E0A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18858F2"/>
    <w:multiLevelType w:val="hybridMultilevel"/>
    <w:tmpl w:val="1E983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13605F4"/>
    <w:multiLevelType w:val="hybridMultilevel"/>
    <w:tmpl w:val="0F22D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676643E"/>
    <w:multiLevelType w:val="hybridMultilevel"/>
    <w:tmpl w:val="C9A8B4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FDA2E80"/>
    <w:multiLevelType w:val="hybridMultilevel"/>
    <w:tmpl w:val="4F34E51A"/>
    <w:lvl w:ilvl="0" w:tplc="7D24364A">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13"/>
  </w:num>
  <w:num w:numId="6">
    <w:abstractNumId w:val="8"/>
  </w:num>
  <w:num w:numId="7">
    <w:abstractNumId w:val="10"/>
  </w:num>
  <w:num w:numId="8">
    <w:abstractNumId w:val="4"/>
  </w:num>
  <w:num w:numId="9">
    <w:abstractNumId w:val="2"/>
  </w:num>
  <w:num w:numId="10">
    <w:abstractNumId w:val="6"/>
  </w:num>
  <w:num w:numId="11">
    <w:abstractNumId w:val="11"/>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388A"/>
    <w:rsid w:val="00006866"/>
    <w:rsid w:val="00016AC8"/>
    <w:rsid w:val="00040719"/>
    <w:rsid w:val="0004647F"/>
    <w:rsid w:val="00051FB0"/>
    <w:rsid w:val="00052152"/>
    <w:rsid w:val="0006279A"/>
    <w:rsid w:val="00094DCF"/>
    <w:rsid w:val="00096993"/>
    <w:rsid w:val="0009774A"/>
    <w:rsid w:val="000A201E"/>
    <w:rsid w:val="000B796C"/>
    <w:rsid w:val="000C4C48"/>
    <w:rsid w:val="000C7D8B"/>
    <w:rsid w:val="000D33ED"/>
    <w:rsid w:val="000E1F26"/>
    <w:rsid w:val="000E3823"/>
    <w:rsid w:val="000E485D"/>
    <w:rsid w:val="000E7A39"/>
    <w:rsid w:val="000F20BF"/>
    <w:rsid w:val="000F2F51"/>
    <w:rsid w:val="00101415"/>
    <w:rsid w:val="001048B5"/>
    <w:rsid w:val="00110387"/>
    <w:rsid w:val="00111887"/>
    <w:rsid w:val="00113D74"/>
    <w:rsid w:val="00115C1A"/>
    <w:rsid w:val="00117C5C"/>
    <w:rsid w:val="00124AF4"/>
    <w:rsid w:val="001420B3"/>
    <w:rsid w:val="00145517"/>
    <w:rsid w:val="0015691C"/>
    <w:rsid w:val="00163AA9"/>
    <w:rsid w:val="00172A9A"/>
    <w:rsid w:val="00177232"/>
    <w:rsid w:val="001828AC"/>
    <w:rsid w:val="0018432F"/>
    <w:rsid w:val="001A1814"/>
    <w:rsid w:val="001A3A18"/>
    <w:rsid w:val="001B5D37"/>
    <w:rsid w:val="001B7882"/>
    <w:rsid w:val="001C1FC3"/>
    <w:rsid w:val="001C22A8"/>
    <w:rsid w:val="001C4016"/>
    <w:rsid w:val="001D2C4A"/>
    <w:rsid w:val="001E31A6"/>
    <w:rsid w:val="001F2F3E"/>
    <w:rsid w:val="001F3423"/>
    <w:rsid w:val="001F39FF"/>
    <w:rsid w:val="0020140A"/>
    <w:rsid w:val="0020306E"/>
    <w:rsid w:val="00206AE7"/>
    <w:rsid w:val="00211D63"/>
    <w:rsid w:val="00213704"/>
    <w:rsid w:val="00215D15"/>
    <w:rsid w:val="002176CA"/>
    <w:rsid w:val="00217BDC"/>
    <w:rsid w:val="00226D36"/>
    <w:rsid w:val="002327EB"/>
    <w:rsid w:val="00232F2A"/>
    <w:rsid w:val="002352C8"/>
    <w:rsid w:val="00237CE3"/>
    <w:rsid w:val="00240E81"/>
    <w:rsid w:val="00241E48"/>
    <w:rsid w:val="00250284"/>
    <w:rsid w:val="0025380C"/>
    <w:rsid w:val="002568F7"/>
    <w:rsid w:val="00257E23"/>
    <w:rsid w:val="0026175C"/>
    <w:rsid w:val="00262233"/>
    <w:rsid w:val="00264C5A"/>
    <w:rsid w:val="00266B08"/>
    <w:rsid w:val="00283372"/>
    <w:rsid w:val="002833CC"/>
    <w:rsid w:val="0028398B"/>
    <w:rsid w:val="00283E80"/>
    <w:rsid w:val="00287460"/>
    <w:rsid w:val="002905A3"/>
    <w:rsid w:val="0029761C"/>
    <w:rsid w:val="002A3F7C"/>
    <w:rsid w:val="002B0949"/>
    <w:rsid w:val="002C6E0C"/>
    <w:rsid w:val="002C7AB5"/>
    <w:rsid w:val="002D0BAE"/>
    <w:rsid w:val="002D1FA0"/>
    <w:rsid w:val="002E3337"/>
    <w:rsid w:val="002E6F36"/>
    <w:rsid w:val="002F4380"/>
    <w:rsid w:val="002F49A8"/>
    <w:rsid w:val="002F61CA"/>
    <w:rsid w:val="003147C5"/>
    <w:rsid w:val="00321022"/>
    <w:rsid w:val="00336AEA"/>
    <w:rsid w:val="00337078"/>
    <w:rsid w:val="003370D0"/>
    <w:rsid w:val="00340FEA"/>
    <w:rsid w:val="003531ED"/>
    <w:rsid w:val="003533B0"/>
    <w:rsid w:val="00365188"/>
    <w:rsid w:val="003746F6"/>
    <w:rsid w:val="00385998"/>
    <w:rsid w:val="0039017F"/>
    <w:rsid w:val="003A504B"/>
    <w:rsid w:val="003A73FD"/>
    <w:rsid w:val="003B4797"/>
    <w:rsid w:val="003B5174"/>
    <w:rsid w:val="003C1C04"/>
    <w:rsid w:val="003C2883"/>
    <w:rsid w:val="003E1383"/>
    <w:rsid w:val="003E2C2A"/>
    <w:rsid w:val="003F6235"/>
    <w:rsid w:val="0041099E"/>
    <w:rsid w:val="00411987"/>
    <w:rsid w:val="00411CC4"/>
    <w:rsid w:val="004125A4"/>
    <w:rsid w:val="00431DAF"/>
    <w:rsid w:val="0043258B"/>
    <w:rsid w:val="00432863"/>
    <w:rsid w:val="0044239C"/>
    <w:rsid w:val="0044535F"/>
    <w:rsid w:val="004477DF"/>
    <w:rsid w:val="004522DE"/>
    <w:rsid w:val="00462A07"/>
    <w:rsid w:val="00473642"/>
    <w:rsid w:val="004744D0"/>
    <w:rsid w:val="00480863"/>
    <w:rsid w:val="00481108"/>
    <w:rsid w:val="004874F4"/>
    <w:rsid w:val="0049042B"/>
    <w:rsid w:val="004939AB"/>
    <w:rsid w:val="004A458E"/>
    <w:rsid w:val="004B23E7"/>
    <w:rsid w:val="004B306F"/>
    <w:rsid w:val="004C3186"/>
    <w:rsid w:val="004C5042"/>
    <w:rsid w:val="004F4531"/>
    <w:rsid w:val="0050623B"/>
    <w:rsid w:val="00506779"/>
    <w:rsid w:val="0050697B"/>
    <w:rsid w:val="0051768B"/>
    <w:rsid w:val="005339F6"/>
    <w:rsid w:val="00535BA9"/>
    <w:rsid w:val="00536B0B"/>
    <w:rsid w:val="00537A71"/>
    <w:rsid w:val="005465EF"/>
    <w:rsid w:val="00547883"/>
    <w:rsid w:val="005602AD"/>
    <w:rsid w:val="00562706"/>
    <w:rsid w:val="00591512"/>
    <w:rsid w:val="0059339B"/>
    <w:rsid w:val="005B6739"/>
    <w:rsid w:val="005C0CA8"/>
    <w:rsid w:val="005C4D8E"/>
    <w:rsid w:val="005D3E21"/>
    <w:rsid w:val="005D750A"/>
    <w:rsid w:val="005E22C2"/>
    <w:rsid w:val="005F51D3"/>
    <w:rsid w:val="00600DA1"/>
    <w:rsid w:val="006063D0"/>
    <w:rsid w:val="0061610C"/>
    <w:rsid w:val="00626FAD"/>
    <w:rsid w:val="0063631C"/>
    <w:rsid w:val="006370A3"/>
    <w:rsid w:val="006452DF"/>
    <w:rsid w:val="0064681E"/>
    <w:rsid w:val="00652D09"/>
    <w:rsid w:val="006537D9"/>
    <w:rsid w:val="00654764"/>
    <w:rsid w:val="00662D70"/>
    <w:rsid w:val="00663CF3"/>
    <w:rsid w:val="00665DEF"/>
    <w:rsid w:val="00672913"/>
    <w:rsid w:val="00675BB1"/>
    <w:rsid w:val="00683842"/>
    <w:rsid w:val="006A44F5"/>
    <w:rsid w:val="006B30FB"/>
    <w:rsid w:val="006B40EB"/>
    <w:rsid w:val="006B4537"/>
    <w:rsid w:val="006B46FC"/>
    <w:rsid w:val="006B709B"/>
    <w:rsid w:val="006D2289"/>
    <w:rsid w:val="006E0181"/>
    <w:rsid w:val="00705DAD"/>
    <w:rsid w:val="007247B9"/>
    <w:rsid w:val="00730E92"/>
    <w:rsid w:val="007346C7"/>
    <w:rsid w:val="00736041"/>
    <w:rsid w:val="007408C7"/>
    <w:rsid w:val="00745A14"/>
    <w:rsid w:val="00752C7F"/>
    <w:rsid w:val="00752FF0"/>
    <w:rsid w:val="007608CA"/>
    <w:rsid w:val="00776598"/>
    <w:rsid w:val="00780A22"/>
    <w:rsid w:val="007829E8"/>
    <w:rsid w:val="007873B4"/>
    <w:rsid w:val="00796E84"/>
    <w:rsid w:val="007A536F"/>
    <w:rsid w:val="007B055C"/>
    <w:rsid w:val="007B6126"/>
    <w:rsid w:val="007C00F6"/>
    <w:rsid w:val="007C1F21"/>
    <w:rsid w:val="007D2281"/>
    <w:rsid w:val="007D306C"/>
    <w:rsid w:val="007D7CA8"/>
    <w:rsid w:val="007E0B46"/>
    <w:rsid w:val="007E2839"/>
    <w:rsid w:val="007E67B1"/>
    <w:rsid w:val="007F4237"/>
    <w:rsid w:val="008010EA"/>
    <w:rsid w:val="00803938"/>
    <w:rsid w:val="00807D0F"/>
    <w:rsid w:val="008219C7"/>
    <w:rsid w:val="00830293"/>
    <w:rsid w:val="00832324"/>
    <w:rsid w:val="00835097"/>
    <w:rsid w:val="008402B4"/>
    <w:rsid w:val="0084501E"/>
    <w:rsid w:val="00870409"/>
    <w:rsid w:val="00870AE6"/>
    <w:rsid w:val="00881A58"/>
    <w:rsid w:val="00883B95"/>
    <w:rsid w:val="00885BDA"/>
    <w:rsid w:val="00886E22"/>
    <w:rsid w:val="008A0633"/>
    <w:rsid w:val="008A3D43"/>
    <w:rsid w:val="008A4430"/>
    <w:rsid w:val="008A44DE"/>
    <w:rsid w:val="008B6EF5"/>
    <w:rsid w:val="008C1802"/>
    <w:rsid w:val="008C1874"/>
    <w:rsid w:val="008D7B64"/>
    <w:rsid w:val="008E4065"/>
    <w:rsid w:val="008E456B"/>
    <w:rsid w:val="008F088E"/>
    <w:rsid w:val="00902FD0"/>
    <w:rsid w:val="00902FD3"/>
    <w:rsid w:val="00903FAD"/>
    <w:rsid w:val="009053D3"/>
    <w:rsid w:val="00912195"/>
    <w:rsid w:val="009156D8"/>
    <w:rsid w:val="009215D8"/>
    <w:rsid w:val="0092516A"/>
    <w:rsid w:val="009254AD"/>
    <w:rsid w:val="00925EF9"/>
    <w:rsid w:val="0093111F"/>
    <w:rsid w:val="00932839"/>
    <w:rsid w:val="00934959"/>
    <w:rsid w:val="00935689"/>
    <w:rsid w:val="00956380"/>
    <w:rsid w:val="009663B6"/>
    <w:rsid w:val="00970222"/>
    <w:rsid w:val="00970C38"/>
    <w:rsid w:val="00971349"/>
    <w:rsid w:val="00977043"/>
    <w:rsid w:val="00980286"/>
    <w:rsid w:val="009812E0"/>
    <w:rsid w:val="00987ED9"/>
    <w:rsid w:val="009904FF"/>
    <w:rsid w:val="00990AD0"/>
    <w:rsid w:val="00992BA9"/>
    <w:rsid w:val="00994A7A"/>
    <w:rsid w:val="009A6D49"/>
    <w:rsid w:val="009B2FB9"/>
    <w:rsid w:val="009C0886"/>
    <w:rsid w:val="009C2547"/>
    <w:rsid w:val="009C32CE"/>
    <w:rsid w:val="009C3456"/>
    <w:rsid w:val="009C35F2"/>
    <w:rsid w:val="009E21A7"/>
    <w:rsid w:val="009E49D9"/>
    <w:rsid w:val="009E52F3"/>
    <w:rsid w:val="00A103ED"/>
    <w:rsid w:val="00A13C60"/>
    <w:rsid w:val="00A257CA"/>
    <w:rsid w:val="00A362F1"/>
    <w:rsid w:val="00A50154"/>
    <w:rsid w:val="00A52308"/>
    <w:rsid w:val="00A56B5B"/>
    <w:rsid w:val="00A63B82"/>
    <w:rsid w:val="00A701BC"/>
    <w:rsid w:val="00A810CD"/>
    <w:rsid w:val="00A83DA2"/>
    <w:rsid w:val="00A84CAD"/>
    <w:rsid w:val="00A87045"/>
    <w:rsid w:val="00A900A2"/>
    <w:rsid w:val="00A910BB"/>
    <w:rsid w:val="00A92727"/>
    <w:rsid w:val="00AA380F"/>
    <w:rsid w:val="00AA60D3"/>
    <w:rsid w:val="00AA6623"/>
    <w:rsid w:val="00AA6B33"/>
    <w:rsid w:val="00AB3733"/>
    <w:rsid w:val="00AC198C"/>
    <w:rsid w:val="00AD3D2C"/>
    <w:rsid w:val="00AE102B"/>
    <w:rsid w:val="00B00607"/>
    <w:rsid w:val="00B05310"/>
    <w:rsid w:val="00B0591C"/>
    <w:rsid w:val="00B0748A"/>
    <w:rsid w:val="00B074FD"/>
    <w:rsid w:val="00B24DAA"/>
    <w:rsid w:val="00B32149"/>
    <w:rsid w:val="00B32505"/>
    <w:rsid w:val="00B35923"/>
    <w:rsid w:val="00B454AE"/>
    <w:rsid w:val="00B574B9"/>
    <w:rsid w:val="00B6010A"/>
    <w:rsid w:val="00B76EC8"/>
    <w:rsid w:val="00B80738"/>
    <w:rsid w:val="00B93964"/>
    <w:rsid w:val="00BB498B"/>
    <w:rsid w:val="00BD16A7"/>
    <w:rsid w:val="00BE1A85"/>
    <w:rsid w:val="00BF0390"/>
    <w:rsid w:val="00BF0B28"/>
    <w:rsid w:val="00BF238E"/>
    <w:rsid w:val="00C0076F"/>
    <w:rsid w:val="00C10671"/>
    <w:rsid w:val="00C152F2"/>
    <w:rsid w:val="00C41246"/>
    <w:rsid w:val="00C4276E"/>
    <w:rsid w:val="00C43EE6"/>
    <w:rsid w:val="00C45E5F"/>
    <w:rsid w:val="00C463EC"/>
    <w:rsid w:val="00C60932"/>
    <w:rsid w:val="00C63E5F"/>
    <w:rsid w:val="00C661FC"/>
    <w:rsid w:val="00C665ED"/>
    <w:rsid w:val="00C714D0"/>
    <w:rsid w:val="00C83D10"/>
    <w:rsid w:val="00C91CA3"/>
    <w:rsid w:val="00C9419B"/>
    <w:rsid w:val="00C970BB"/>
    <w:rsid w:val="00CB0550"/>
    <w:rsid w:val="00CD474B"/>
    <w:rsid w:val="00CE4D79"/>
    <w:rsid w:val="00CE77B5"/>
    <w:rsid w:val="00CF43BD"/>
    <w:rsid w:val="00D01E6D"/>
    <w:rsid w:val="00D04566"/>
    <w:rsid w:val="00D151EB"/>
    <w:rsid w:val="00D36878"/>
    <w:rsid w:val="00D40F23"/>
    <w:rsid w:val="00D62733"/>
    <w:rsid w:val="00D650CE"/>
    <w:rsid w:val="00D65BD2"/>
    <w:rsid w:val="00D6645E"/>
    <w:rsid w:val="00D74399"/>
    <w:rsid w:val="00D74C64"/>
    <w:rsid w:val="00D8420F"/>
    <w:rsid w:val="00D8687C"/>
    <w:rsid w:val="00D9035D"/>
    <w:rsid w:val="00D925DE"/>
    <w:rsid w:val="00DA504B"/>
    <w:rsid w:val="00DA7D09"/>
    <w:rsid w:val="00DB01B0"/>
    <w:rsid w:val="00DC26C2"/>
    <w:rsid w:val="00DC49E9"/>
    <w:rsid w:val="00DE0B96"/>
    <w:rsid w:val="00DE45CD"/>
    <w:rsid w:val="00DE5C87"/>
    <w:rsid w:val="00DE7D87"/>
    <w:rsid w:val="00DF0B13"/>
    <w:rsid w:val="00DF4A94"/>
    <w:rsid w:val="00E05D90"/>
    <w:rsid w:val="00E066C3"/>
    <w:rsid w:val="00E1564B"/>
    <w:rsid w:val="00E208A0"/>
    <w:rsid w:val="00E2379D"/>
    <w:rsid w:val="00E27DD7"/>
    <w:rsid w:val="00E33AD5"/>
    <w:rsid w:val="00E41CEC"/>
    <w:rsid w:val="00E4477F"/>
    <w:rsid w:val="00E50A1D"/>
    <w:rsid w:val="00E52E69"/>
    <w:rsid w:val="00E5370B"/>
    <w:rsid w:val="00E54A60"/>
    <w:rsid w:val="00E55D84"/>
    <w:rsid w:val="00E56B4D"/>
    <w:rsid w:val="00E572E0"/>
    <w:rsid w:val="00E57AB7"/>
    <w:rsid w:val="00E61FE3"/>
    <w:rsid w:val="00E677DD"/>
    <w:rsid w:val="00E723BA"/>
    <w:rsid w:val="00E92663"/>
    <w:rsid w:val="00EA0570"/>
    <w:rsid w:val="00EB290B"/>
    <w:rsid w:val="00EB5FA1"/>
    <w:rsid w:val="00EB6C07"/>
    <w:rsid w:val="00EB7F3F"/>
    <w:rsid w:val="00EC028D"/>
    <w:rsid w:val="00EC0E6F"/>
    <w:rsid w:val="00EC221E"/>
    <w:rsid w:val="00EC621D"/>
    <w:rsid w:val="00ED38E3"/>
    <w:rsid w:val="00ED633B"/>
    <w:rsid w:val="00EE478C"/>
    <w:rsid w:val="00EE607C"/>
    <w:rsid w:val="00EF6209"/>
    <w:rsid w:val="00EF7F90"/>
    <w:rsid w:val="00F04A4F"/>
    <w:rsid w:val="00F0577D"/>
    <w:rsid w:val="00F05D43"/>
    <w:rsid w:val="00F11944"/>
    <w:rsid w:val="00F127AD"/>
    <w:rsid w:val="00F13644"/>
    <w:rsid w:val="00F30EDF"/>
    <w:rsid w:val="00F42C22"/>
    <w:rsid w:val="00F43615"/>
    <w:rsid w:val="00F479D1"/>
    <w:rsid w:val="00F5132D"/>
    <w:rsid w:val="00F51EB7"/>
    <w:rsid w:val="00F53FF4"/>
    <w:rsid w:val="00F547C9"/>
    <w:rsid w:val="00F62CE0"/>
    <w:rsid w:val="00F65892"/>
    <w:rsid w:val="00F65A70"/>
    <w:rsid w:val="00F712E4"/>
    <w:rsid w:val="00F715B1"/>
    <w:rsid w:val="00F72CEF"/>
    <w:rsid w:val="00F741A3"/>
    <w:rsid w:val="00F8225D"/>
    <w:rsid w:val="00F834C6"/>
    <w:rsid w:val="00F8706C"/>
    <w:rsid w:val="00F95CBF"/>
    <w:rsid w:val="00FC4A73"/>
    <w:rsid w:val="00FD07C9"/>
    <w:rsid w:val="00FD5B8A"/>
    <w:rsid w:val="00FE186B"/>
    <w:rsid w:val="00FE1EA6"/>
    <w:rsid w:val="00FF16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AB"/>
    <w:rPr>
      <w:rFonts w:ascii="Lucida Bright" w:hAnsi="Lucida Bright"/>
      <w:sz w:val="24"/>
      <w:szCs w:val="24"/>
    </w:rPr>
  </w:style>
  <w:style w:type="paragraph" w:styleId="Heading1">
    <w:name w:val="heading 1"/>
    <w:basedOn w:val="Title"/>
    <w:next w:val="Normal"/>
    <w:link w:val="Heading1Char"/>
    <w:uiPriority w:val="9"/>
    <w:qFormat/>
    <w:rsid w:val="00F13644"/>
    <w:pPr>
      <w:spacing w:line="240" w:lineRule="auto"/>
      <w:outlineLvl w:val="0"/>
    </w:pPr>
    <w:rPr>
      <w:rFonts w:asciiTheme="minorHAnsi" w:hAnsiTheme="minorHAnsi"/>
      <w:sz w:val="52"/>
    </w:rPr>
  </w:style>
  <w:style w:type="paragraph" w:styleId="Heading2">
    <w:name w:val="heading 2"/>
    <w:basedOn w:val="Title"/>
    <w:next w:val="Normal"/>
    <w:link w:val="Heading2Char"/>
    <w:uiPriority w:val="9"/>
    <w:unhideWhenUsed/>
    <w:qFormat/>
    <w:rsid w:val="00902FD3"/>
    <w:pPr>
      <w:spacing w:before="480" w:line="240" w:lineRule="auto"/>
      <w:outlineLvl w:val="1"/>
    </w:pPr>
    <w:rPr>
      <w:rFonts w:asciiTheme="minorHAnsi" w:hAnsiTheme="minorHAnsi"/>
      <w:sz w:val="40"/>
      <w:szCs w:val="40"/>
    </w:rPr>
  </w:style>
  <w:style w:type="paragraph" w:styleId="Heading3">
    <w:name w:val="heading 3"/>
    <w:basedOn w:val="Normal"/>
    <w:next w:val="Normal"/>
    <w:link w:val="Heading3Char"/>
    <w:uiPriority w:val="9"/>
    <w:unhideWhenUsed/>
    <w:qFormat/>
    <w:rsid w:val="0061610C"/>
    <w:pPr>
      <w:keepNext/>
      <w:keepLines/>
      <w:spacing w:before="240"/>
      <w:outlineLvl w:val="2"/>
    </w:pPr>
    <w:rPr>
      <w:rFonts w:asciiTheme="minorHAnsi" w:eastAsiaTheme="majorEastAsia" w:hAnsiTheme="minorHAnsi" w:cstheme="majorBidi"/>
      <w:b/>
      <w:bCs/>
      <w:sz w:val="32"/>
      <w:szCs w:val="32"/>
    </w:rPr>
  </w:style>
  <w:style w:type="paragraph" w:styleId="Heading4">
    <w:name w:val="heading 4"/>
    <w:basedOn w:val="Heading3"/>
    <w:next w:val="Normal"/>
    <w:link w:val="Heading4Char"/>
    <w:uiPriority w:val="9"/>
    <w:unhideWhenUsed/>
    <w:qFormat/>
    <w:rsid w:val="00D8420F"/>
    <w:pPr>
      <w:outlineLvl w:val="3"/>
    </w:pPr>
    <w:rPr>
      <w:sz w:val="28"/>
    </w:rPr>
  </w:style>
  <w:style w:type="paragraph" w:styleId="Heading5">
    <w:name w:val="heading 5"/>
    <w:basedOn w:val="Title"/>
    <w:next w:val="Normal"/>
    <w:link w:val="Heading5Char"/>
    <w:uiPriority w:val="9"/>
    <w:unhideWhenUsed/>
    <w:qFormat/>
    <w:rsid w:val="0061610C"/>
    <w:pPr>
      <w:spacing w:before="240" w:after="200" w:line="240" w:lineRule="auto"/>
      <w:outlineLvl w:val="4"/>
    </w:pPr>
    <w:rPr>
      <w:rFonts w:asciiTheme="minorHAnsi" w:hAnsiTheme="minorHAnsi"/>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644"/>
    <w:rPr>
      <w:rFonts w:eastAsiaTheme="majorEastAsia" w:cstheme="majorBidi"/>
      <w:b/>
      <w:spacing w:val="5"/>
      <w:kern w:val="28"/>
      <w:sz w:val="52"/>
      <w:szCs w:val="56"/>
    </w:rPr>
  </w:style>
  <w:style w:type="character" w:customStyle="1" w:styleId="Heading2Char">
    <w:name w:val="Heading 2 Char"/>
    <w:basedOn w:val="DefaultParagraphFont"/>
    <w:link w:val="Heading2"/>
    <w:uiPriority w:val="9"/>
    <w:rsid w:val="00902FD3"/>
    <w:rPr>
      <w:rFonts w:eastAsiaTheme="majorEastAsia" w:cstheme="majorBidi"/>
      <w:b/>
      <w:spacing w:val="5"/>
      <w:kern w:val="28"/>
      <w:sz w:val="40"/>
      <w:szCs w:val="40"/>
    </w:rPr>
  </w:style>
  <w:style w:type="character" w:customStyle="1" w:styleId="Heading3Char">
    <w:name w:val="Heading 3 Char"/>
    <w:basedOn w:val="DefaultParagraphFont"/>
    <w:link w:val="Heading3"/>
    <w:uiPriority w:val="9"/>
    <w:rsid w:val="0061610C"/>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pPr>
      <w:spacing w:line="240" w:lineRule="auto"/>
    </w:pPr>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D8420F"/>
    <w:rPr>
      <w:rFonts w:eastAsiaTheme="majorEastAsia" w:cstheme="majorBidi"/>
      <w:b/>
      <w:bCs/>
      <w:sz w:val="28"/>
      <w:szCs w:val="32"/>
    </w:rPr>
  </w:style>
  <w:style w:type="character" w:customStyle="1" w:styleId="Heading5Char">
    <w:name w:val="Heading 5 Char"/>
    <w:basedOn w:val="DefaultParagraphFont"/>
    <w:link w:val="Heading5"/>
    <w:uiPriority w:val="9"/>
    <w:rsid w:val="0061610C"/>
    <w:rPr>
      <w:rFonts w:eastAsiaTheme="majorEastAsia" w:cstheme="majorBidi"/>
      <w:b/>
      <w:bCs/>
      <w:i/>
      <w:spacing w:val="5"/>
      <w:kern w:val="28"/>
      <w:sz w:val="24"/>
      <w:szCs w:val="24"/>
    </w:rPr>
  </w:style>
  <w:style w:type="paragraph" w:styleId="Title">
    <w:name w:val="Title"/>
    <w:basedOn w:val="Normal"/>
    <w:next w:val="Normal"/>
    <w:link w:val="TitleChar"/>
    <w:uiPriority w:val="10"/>
    <w:qFormat/>
    <w:rsid w:val="001420B3"/>
    <w:pPr>
      <w:spacing w:after="240"/>
      <w:contextualSpacing/>
    </w:pPr>
    <w:rPr>
      <w:rFonts w:eastAsiaTheme="majorEastAsia" w:cstheme="majorBidi"/>
      <w:b/>
      <w:spacing w:val="5"/>
      <w:kern w:val="28"/>
      <w:sz w:val="56"/>
      <w:szCs w:val="56"/>
    </w:rPr>
  </w:style>
  <w:style w:type="character" w:customStyle="1" w:styleId="TitleChar">
    <w:name w:val="Title Char"/>
    <w:basedOn w:val="DefaultParagraphFont"/>
    <w:link w:val="Title"/>
    <w:uiPriority w:val="10"/>
    <w:rsid w:val="001420B3"/>
    <w:rPr>
      <w:rFonts w:ascii="Lucida Bright" w:eastAsiaTheme="majorEastAsia" w:hAnsi="Lucida Bright" w:cstheme="majorBidi"/>
      <w:b/>
      <w:spacing w:val="5"/>
      <w:kern w:val="28"/>
      <w:sz w:val="56"/>
      <w:szCs w:val="56"/>
    </w:rPr>
  </w:style>
  <w:style w:type="paragraph" w:styleId="Footer">
    <w:name w:val="footer"/>
    <w:basedOn w:val="Normal"/>
    <w:link w:val="FooterChar"/>
    <w:uiPriority w:val="99"/>
    <w:unhideWhenUsed/>
    <w:rsid w:val="00705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line="240" w:lineRule="auto"/>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line="240" w:lineRule="auto"/>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qFormat/>
    <w:rsid w:val="003370D0"/>
    <w:rPr>
      <w:i/>
    </w:rPr>
  </w:style>
  <w:style w:type="paragraph" w:customStyle="1" w:styleId="DepartmentalHeading2">
    <w:name w:val="Departmental Heading 2"/>
    <w:basedOn w:val="Heading2"/>
    <w:rsid w:val="00B32149"/>
    <w:pPr>
      <w:spacing w:before="240" w:after="60"/>
    </w:pPr>
    <w:rPr>
      <w:rFonts w:ascii="Arial" w:eastAsia="Times New Roman" w:hAnsi="Arial" w:cs="Times New Roman"/>
      <w:bCs/>
      <w:sz w:val="24"/>
      <w:szCs w:val="20"/>
    </w:rPr>
  </w:style>
  <w:style w:type="character" w:styleId="Hyperlink">
    <w:name w:val="Hyperlink"/>
    <w:rsid w:val="00BD16A7"/>
    <w:rPr>
      <w:color w:val="0000FF"/>
      <w:u w:val="single"/>
    </w:rPr>
  </w:style>
  <w:style w:type="character" w:styleId="FollowedHyperlink">
    <w:name w:val="FollowedHyperlink"/>
    <w:basedOn w:val="DefaultParagraphFont"/>
    <w:uiPriority w:val="99"/>
    <w:semiHidden/>
    <w:unhideWhenUsed/>
    <w:rsid w:val="00BD16A7"/>
    <w:rPr>
      <w:color w:val="800080" w:themeColor="followedHyperlink"/>
      <w:u w:val="single"/>
    </w:rPr>
  </w:style>
  <w:style w:type="paragraph" w:customStyle="1" w:styleId="Default">
    <w:name w:val="Default"/>
    <w:rsid w:val="00336AEA"/>
    <w:pPr>
      <w:autoSpaceDE w:val="0"/>
      <w:autoSpaceDN w:val="0"/>
      <w:adjustRightInd w:val="0"/>
      <w:spacing w:after="0" w:line="240" w:lineRule="auto"/>
    </w:pPr>
    <w:rPr>
      <w:rFonts w:ascii="Arial" w:hAnsi="Arial" w:cs="Arial"/>
      <w:color w:val="000000"/>
      <w:sz w:val="24"/>
      <w:szCs w:val="24"/>
    </w:rPr>
  </w:style>
  <w:style w:type="table" w:styleId="Table3Deffects3">
    <w:name w:val="Table 3D effects 3"/>
    <w:basedOn w:val="TableNormal"/>
    <w:rsid w:val="00D6273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partmentalHeading3">
    <w:name w:val="Departmental Heading 3"/>
    <w:basedOn w:val="Heading3"/>
    <w:rsid w:val="00662D70"/>
    <w:pPr>
      <w:keepLines w:val="0"/>
      <w:spacing w:after="60" w:line="240" w:lineRule="auto"/>
    </w:pPr>
    <w:rPr>
      <w:rFonts w:ascii="Arial" w:eastAsia="Times New Roman" w:hAnsi="Arial" w:cs="Times New Roman"/>
      <w:b w:val="0"/>
      <w:bCs w:val="0"/>
      <w:i/>
      <w:sz w:val="24"/>
      <w:szCs w:val="20"/>
    </w:rPr>
  </w:style>
  <w:style w:type="paragraph" w:styleId="ListParagraph">
    <w:name w:val="List Paragraph"/>
    <w:basedOn w:val="Normal"/>
    <w:uiPriority w:val="34"/>
    <w:qFormat/>
    <w:rsid w:val="008F088E"/>
    <w:pPr>
      <w:ind w:left="720"/>
      <w:contextualSpacing/>
    </w:pPr>
  </w:style>
  <w:style w:type="paragraph" w:styleId="FootnoteText">
    <w:name w:val="footnote text"/>
    <w:basedOn w:val="Normal"/>
    <w:link w:val="FootnoteTextChar"/>
    <w:uiPriority w:val="99"/>
    <w:semiHidden/>
    <w:unhideWhenUsed/>
    <w:rsid w:val="00163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AA9"/>
    <w:rPr>
      <w:rFonts w:ascii="Lucida Bright" w:hAnsi="Lucida Bright"/>
      <w:sz w:val="20"/>
      <w:szCs w:val="20"/>
    </w:rPr>
  </w:style>
  <w:style w:type="character" w:styleId="FootnoteReference">
    <w:name w:val="footnote reference"/>
    <w:basedOn w:val="DefaultParagraphFont"/>
    <w:uiPriority w:val="99"/>
    <w:semiHidden/>
    <w:unhideWhenUsed/>
    <w:rsid w:val="00163AA9"/>
    <w:rPr>
      <w:vertAlign w:val="superscript"/>
    </w:rPr>
  </w:style>
  <w:style w:type="paragraph" w:styleId="NoSpacing">
    <w:name w:val="No Spacing"/>
    <w:uiPriority w:val="1"/>
    <w:qFormat/>
    <w:rsid w:val="0029761C"/>
    <w:pPr>
      <w:spacing w:after="0" w:line="240" w:lineRule="auto"/>
    </w:pPr>
    <w:rPr>
      <w:sz w:val="24"/>
      <w:szCs w:val="24"/>
    </w:rPr>
  </w:style>
  <w:style w:type="table" w:customStyle="1" w:styleId="TableGrid1">
    <w:name w:val="Table Grid1"/>
    <w:basedOn w:val="TableNormal"/>
    <w:next w:val="TableGrid"/>
    <w:uiPriority w:val="59"/>
    <w:rsid w:val="009156D8"/>
    <w:pPr>
      <w:spacing w:after="0" w:line="240"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0D3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AB"/>
    <w:rPr>
      <w:rFonts w:ascii="Lucida Bright" w:hAnsi="Lucida Bright"/>
      <w:sz w:val="24"/>
      <w:szCs w:val="24"/>
    </w:rPr>
  </w:style>
  <w:style w:type="paragraph" w:styleId="Heading1">
    <w:name w:val="heading 1"/>
    <w:basedOn w:val="Title"/>
    <w:next w:val="Normal"/>
    <w:link w:val="Heading1Char"/>
    <w:uiPriority w:val="9"/>
    <w:qFormat/>
    <w:rsid w:val="00F13644"/>
    <w:pPr>
      <w:spacing w:line="240" w:lineRule="auto"/>
      <w:outlineLvl w:val="0"/>
    </w:pPr>
    <w:rPr>
      <w:rFonts w:asciiTheme="minorHAnsi" w:hAnsiTheme="minorHAnsi"/>
      <w:sz w:val="52"/>
    </w:rPr>
  </w:style>
  <w:style w:type="paragraph" w:styleId="Heading2">
    <w:name w:val="heading 2"/>
    <w:basedOn w:val="Title"/>
    <w:next w:val="Normal"/>
    <w:link w:val="Heading2Char"/>
    <w:uiPriority w:val="9"/>
    <w:unhideWhenUsed/>
    <w:qFormat/>
    <w:rsid w:val="00902FD3"/>
    <w:pPr>
      <w:spacing w:before="480" w:line="240" w:lineRule="auto"/>
      <w:outlineLvl w:val="1"/>
    </w:pPr>
    <w:rPr>
      <w:rFonts w:asciiTheme="minorHAnsi" w:hAnsiTheme="minorHAnsi"/>
      <w:sz w:val="40"/>
      <w:szCs w:val="40"/>
    </w:rPr>
  </w:style>
  <w:style w:type="paragraph" w:styleId="Heading3">
    <w:name w:val="heading 3"/>
    <w:basedOn w:val="Normal"/>
    <w:next w:val="Normal"/>
    <w:link w:val="Heading3Char"/>
    <w:uiPriority w:val="9"/>
    <w:unhideWhenUsed/>
    <w:qFormat/>
    <w:rsid w:val="0061610C"/>
    <w:pPr>
      <w:keepNext/>
      <w:keepLines/>
      <w:spacing w:before="240"/>
      <w:outlineLvl w:val="2"/>
    </w:pPr>
    <w:rPr>
      <w:rFonts w:asciiTheme="minorHAnsi" w:eastAsiaTheme="majorEastAsia" w:hAnsiTheme="minorHAnsi" w:cstheme="majorBidi"/>
      <w:b/>
      <w:bCs/>
      <w:sz w:val="32"/>
      <w:szCs w:val="32"/>
    </w:rPr>
  </w:style>
  <w:style w:type="paragraph" w:styleId="Heading4">
    <w:name w:val="heading 4"/>
    <w:basedOn w:val="Heading3"/>
    <w:next w:val="Normal"/>
    <w:link w:val="Heading4Char"/>
    <w:uiPriority w:val="9"/>
    <w:unhideWhenUsed/>
    <w:qFormat/>
    <w:rsid w:val="00D8420F"/>
    <w:pPr>
      <w:outlineLvl w:val="3"/>
    </w:pPr>
    <w:rPr>
      <w:sz w:val="28"/>
    </w:rPr>
  </w:style>
  <w:style w:type="paragraph" w:styleId="Heading5">
    <w:name w:val="heading 5"/>
    <w:basedOn w:val="Title"/>
    <w:next w:val="Normal"/>
    <w:link w:val="Heading5Char"/>
    <w:uiPriority w:val="9"/>
    <w:unhideWhenUsed/>
    <w:qFormat/>
    <w:rsid w:val="0061610C"/>
    <w:pPr>
      <w:spacing w:before="240" w:after="200" w:line="240" w:lineRule="auto"/>
      <w:outlineLvl w:val="4"/>
    </w:pPr>
    <w:rPr>
      <w:rFonts w:asciiTheme="minorHAnsi" w:hAnsiTheme="minorHAnsi"/>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644"/>
    <w:rPr>
      <w:rFonts w:eastAsiaTheme="majorEastAsia" w:cstheme="majorBidi"/>
      <w:b/>
      <w:spacing w:val="5"/>
      <w:kern w:val="28"/>
      <w:sz w:val="52"/>
      <w:szCs w:val="56"/>
    </w:rPr>
  </w:style>
  <w:style w:type="character" w:customStyle="1" w:styleId="Heading2Char">
    <w:name w:val="Heading 2 Char"/>
    <w:basedOn w:val="DefaultParagraphFont"/>
    <w:link w:val="Heading2"/>
    <w:uiPriority w:val="9"/>
    <w:rsid w:val="00902FD3"/>
    <w:rPr>
      <w:rFonts w:eastAsiaTheme="majorEastAsia" w:cstheme="majorBidi"/>
      <w:b/>
      <w:spacing w:val="5"/>
      <w:kern w:val="28"/>
      <w:sz w:val="40"/>
      <w:szCs w:val="40"/>
    </w:rPr>
  </w:style>
  <w:style w:type="character" w:customStyle="1" w:styleId="Heading3Char">
    <w:name w:val="Heading 3 Char"/>
    <w:basedOn w:val="DefaultParagraphFont"/>
    <w:link w:val="Heading3"/>
    <w:uiPriority w:val="9"/>
    <w:rsid w:val="0061610C"/>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pPr>
      <w:spacing w:line="240" w:lineRule="auto"/>
    </w:pPr>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D8420F"/>
    <w:rPr>
      <w:rFonts w:eastAsiaTheme="majorEastAsia" w:cstheme="majorBidi"/>
      <w:b/>
      <w:bCs/>
      <w:sz w:val="28"/>
      <w:szCs w:val="32"/>
    </w:rPr>
  </w:style>
  <w:style w:type="character" w:customStyle="1" w:styleId="Heading5Char">
    <w:name w:val="Heading 5 Char"/>
    <w:basedOn w:val="DefaultParagraphFont"/>
    <w:link w:val="Heading5"/>
    <w:uiPriority w:val="9"/>
    <w:rsid w:val="0061610C"/>
    <w:rPr>
      <w:rFonts w:eastAsiaTheme="majorEastAsia" w:cstheme="majorBidi"/>
      <w:b/>
      <w:bCs/>
      <w:i/>
      <w:spacing w:val="5"/>
      <w:kern w:val="28"/>
      <w:sz w:val="24"/>
      <w:szCs w:val="24"/>
    </w:rPr>
  </w:style>
  <w:style w:type="paragraph" w:styleId="Title">
    <w:name w:val="Title"/>
    <w:basedOn w:val="Normal"/>
    <w:next w:val="Normal"/>
    <w:link w:val="TitleChar"/>
    <w:uiPriority w:val="10"/>
    <w:qFormat/>
    <w:rsid w:val="001420B3"/>
    <w:pPr>
      <w:spacing w:after="240"/>
      <w:contextualSpacing/>
    </w:pPr>
    <w:rPr>
      <w:rFonts w:eastAsiaTheme="majorEastAsia" w:cstheme="majorBidi"/>
      <w:b/>
      <w:spacing w:val="5"/>
      <w:kern w:val="28"/>
      <w:sz w:val="56"/>
      <w:szCs w:val="56"/>
    </w:rPr>
  </w:style>
  <w:style w:type="character" w:customStyle="1" w:styleId="TitleChar">
    <w:name w:val="Title Char"/>
    <w:basedOn w:val="DefaultParagraphFont"/>
    <w:link w:val="Title"/>
    <w:uiPriority w:val="10"/>
    <w:rsid w:val="001420B3"/>
    <w:rPr>
      <w:rFonts w:ascii="Lucida Bright" w:eastAsiaTheme="majorEastAsia" w:hAnsi="Lucida Bright" w:cstheme="majorBidi"/>
      <w:b/>
      <w:spacing w:val="5"/>
      <w:kern w:val="28"/>
      <w:sz w:val="56"/>
      <w:szCs w:val="56"/>
    </w:rPr>
  </w:style>
  <w:style w:type="paragraph" w:styleId="Footer">
    <w:name w:val="footer"/>
    <w:basedOn w:val="Normal"/>
    <w:link w:val="FooterChar"/>
    <w:uiPriority w:val="99"/>
    <w:unhideWhenUsed/>
    <w:rsid w:val="00705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line="240" w:lineRule="auto"/>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line="240" w:lineRule="auto"/>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qFormat/>
    <w:rsid w:val="003370D0"/>
    <w:rPr>
      <w:i/>
    </w:rPr>
  </w:style>
  <w:style w:type="paragraph" w:customStyle="1" w:styleId="DepartmentalHeading2">
    <w:name w:val="Departmental Heading 2"/>
    <w:basedOn w:val="Heading2"/>
    <w:rsid w:val="00B32149"/>
    <w:pPr>
      <w:spacing w:before="240" w:after="60"/>
    </w:pPr>
    <w:rPr>
      <w:rFonts w:ascii="Arial" w:eastAsia="Times New Roman" w:hAnsi="Arial" w:cs="Times New Roman"/>
      <w:bCs/>
      <w:sz w:val="24"/>
      <w:szCs w:val="20"/>
    </w:rPr>
  </w:style>
  <w:style w:type="character" w:styleId="Hyperlink">
    <w:name w:val="Hyperlink"/>
    <w:rsid w:val="00BD16A7"/>
    <w:rPr>
      <w:color w:val="0000FF"/>
      <w:u w:val="single"/>
    </w:rPr>
  </w:style>
  <w:style w:type="character" w:styleId="FollowedHyperlink">
    <w:name w:val="FollowedHyperlink"/>
    <w:basedOn w:val="DefaultParagraphFont"/>
    <w:uiPriority w:val="99"/>
    <w:semiHidden/>
    <w:unhideWhenUsed/>
    <w:rsid w:val="00BD16A7"/>
    <w:rPr>
      <w:color w:val="800080" w:themeColor="followedHyperlink"/>
      <w:u w:val="single"/>
    </w:rPr>
  </w:style>
  <w:style w:type="paragraph" w:customStyle="1" w:styleId="Default">
    <w:name w:val="Default"/>
    <w:rsid w:val="00336AEA"/>
    <w:pPr>
      <w:autoSpaceDE w:val="0"/>
      <w:autoSpaceDN w:val="0"/>
      <w:adjustRightInd w:val="0"/>
      <w:spacing w:after="0" w:line="240" w:lineRule="auto"/>
    </w:pPr>
    <w:rPr>
      <w:rFonts w:ascii="Arial" w:hAnsi="Arial" w:cs="Arial"/>
      <w:color w:val="000000"/>
      <w:sz w:val="24"/>
      <w:szCs w:val="24"/>
    </w:rPr>
  </w:style>
  <w:style w:type="table" w:styleId="Table3Deffects3">
    <w:name w:val="Table 3D effects 3"/>
    <w:basedOn w:val="TableNormal"/>
    <w:rsid w:val="00D6273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partmentalHeading3">
    <w:name w:val="Departmental Heading 3"/>
    <w:basedOn w:val="Heading3"/>
    <w:rsid w:val="00662D70"/>
    <w:pPr>
      <w:keepLines w:val="0"/>
      <w:spacing w:after="60" w:line="240" w:lineRule="auto"/>
    </w:pPr>
    <w:rPr>
      <w:rFonts w:ascii="Arial" w:eastAsia="Times New Roman" w:hAnsi="Arial" w:cs="Times New Roman"/>
      <w:b w:val="0"/>
      <w:bCs w:val="0"/>
      <w:i/>
      <w:sz w:val="24"/>
      <w:szCs w:val="20"/>
    </w:rPr>
  </w:style>
  <w:style w:type="paragraph" w:styleId="ListParagraph">
    <w:name w:val="List Paragraph"/>
    <w:basedOn w:val="Normal"/>
    <w:uiPriority w:val="34"/>
    <w:qFormat/>
    <w:rsid w:val="008F088E"/>
    <w:pPr>
      <w:ind w:left="720"/>
      <w:contextualSpacing/>
    </w:pPr>
  </w:style>
  <w:style w:type="paragraph" w:styleId="FootnoteText">
    <w:name w:val="footnote text"/>
    <w:basedOn w:val="Normal"/>
    <w:link w:val="FootnoteTextChar"/>
    <w:uiPriority w:val="99"/>
    <w:semiHidden/>
    <w:unhideWhenUsed/>
    <w:rsid w:val="00163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AA9"/>
    <w:rPr>
      <w:rFonts w:ascii="Lucida Bright" w:hAnsi="Lucida Bright"/>
      <w:sz w:val="20"/>
      <w:szCs w:val="20"/>
    </w:rPr>
  </w:style>
  <w:style w:type="character" w:styleId="FootnoteReference">
    <w:name w:val="footnote reference"/>
    <w:basedOn w:val="DefaultParagraphFont"/>
    <w:uiPriority w:val="99"/>
    <w:semiHidden/>
    <w:unhideWhenUsed/>
    <w:rsid w:val="00163AA9"/>
    <w:rPr>
      <w:vertAlign w:val="superscript"/>
    </w:rPr>
  </w:style>
  <w:style w:type="paragraph" w:styleId="NoSpacing">
    <w:name w:val="No Spacing"/>
    <w:uiPriority w:val="1"/>
    <w:qFormat/>
    <w:rsid w:val="0029761C"/>
    <w:pPr>
      <w:spacing w:after="0" w:line="240" w:lineRule="auto"/>
    </w:pPr>
    <w:rPr>
      <w:sz w:val="24"/>
      <w:szCs w:val="24"/>
    </w:rPr>
  </w:style>
  <w:style w:type="table" w:customStyle="1" w:styleId="TableGrid1">
    <w:name w:val="Table Grid1"/>
    <w:basedOn w:val="TableNormal"/>
    <w:next w:val="TableGrid"/>
    <w:uiPriority w:val="59"/>
    <w:rsid w:val="009156D8"/>
    <w:pPr>
      <w:spacing w:after="0" w:line="240"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0D33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824F-ADEE-4DDB-9B46-6E810DC0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4084</Words>
  <Characters>23279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2015-03-03T02:54:00Z</dcterms:created>
  <dcterms:modified xsi:type="dcterms:W3CDTF">2015-03-03T02:54:00Z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