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3226D7B3" w:rsidR="00832324" w:rsidRDefault="008F40F5" w:rsidP="00FE645A">
      <w:pPr>
        <w:pStyle w:val="Title"/>
      </w:pPr>
      <w:bookmarkStart w:id="0" w:name="_GoBack"/>
      <w:proofErr w:type="spellStart"/>
      <w:proofErr w:type="gramStart"/>
      <w:r>
        <w:t>bDMARDs</w:t>
      </w:r>
      <w:proofErr w:type="spellEnd"/>
      <w:proofErr w:type="gramEnd"/>
      <w:r>
        <w:t xml:space="preserve"> for severe chronic plaque psoriasis: </w:t>
      </w:r>
      <w:r w:rsidR="001C4016">
        <w:t>a</w:t>
      </w:r>
      <w:r>
        <w:t>nalysis of utilisation</w:t>
      </w:r>
    </w:p>
    <w:p w14:paraId="68F00614" w14:textId="799F8740" w:rsidR="00736041" w:rsidRPr="001D390D" w:rsidRDefault="009053D3" w:rsidP="001D390D">
      <w:pPr>
        <w:pStyle w:val="Heading1"/>
      </w:pPr>
      <w:r w:rsidRPr="001D390D">
        <w:t>D</w:t>
      </w:r>
      <w:r w:rsidR="00832324" w:rsidRPr="001D390D">
        <w:t>rug utilisation sub-committee (DUSC)</w:t>
      </w:r>
    </w:p>
    <w:p w14:paraId="78148839" w14:textId="3E7B735E" w:rsidR="009053D3" w:rsidRPr="001D390D" w:rsidRDefault="006D54A4" w:rsidP="001D390D">
      <w:pPr>
        <w:pStyle w:val="Heading2"/>
      </w:pPr>
      <w:r>
        <w:t>June 2014</w:t>
      </w:r>
    </w:p>
    <w:p w14:paraId="7EFD635C" w14:textId="77777777" w:rsidR="000F760B" w:rsidRPr="001D390D" w:rsidRDefault="000F760B" w:rsidP="001D390D">
      <w:pPr>
        <w:pStyle w:val="Heading3"/>
      </w:pPr>
      <w:r w:rsidRPr="001D390D">
        <w:t>Abstract</w:t>
      </w:r>
    </w:p>
    <w:p w14:paraId="59D9C006" w14:textId="77777777" w:rsidR="000F760B" w:rsidRDefault="000F760B" w:rsidP="00A55579">
      <w:pPr>
        <w:pStyle w:val="Heading4"/>
      </w:pPr>
      <w:r>
        <w:t>Purpose</w:t>
      </w:r>
    </w:p>
    <w:p w14:paraId="11A88CE9" w14:textId="01DF7228" w:rsidR="000F760B" w:rsidRDefault="005766A9" w:rsidP="000F760B">
      <w:pPr>
        <w:pStyle w:val="NoSpacing"/>
      </w:pPr>
      <w:r>
        <w:t>To e</w:t>
      </w:r>
      <w:r w:rsidR="00377EE5" w:rsidRPr="00377EE5">
        <w:t xml:space="preserve">xamine the utilisation of </w:t>
      </w:r>
      <w:r w:rsidR="0056063D">
        <w:t xml:space="preserve">the </w:t>
      </w:r>
      <w:r w:rsidR="00377EE5" w:rsidRPr="00377EE5">
        <w:t>biological disease-modifying anti-rheumatic drugs (</w:t>
      </w:r>
      <w:proofErr w:type="spellStart"/>
      <w:r w:rsidR="00377EE5" w:rsidRPr="00377EE5">
        <w:t>bDMARDs</w:t>
      </w:r>
      <w:proofErr w:type="spellEnd"/>
      <w:r w:rsidR="00377EE5" w:rsidRPr="00377EE5">
        <w:t xml:space="preserve">) </w:t>
      </w:r>
      <w:proofErr w:type="spellStart"/>
      <w:r w:rsidR="00377EE5" w:rsidRPr="00377EE5">
        <w:t>adalimumab</w:t>
      </w:r>
      <w:proofErr w:type="spellEnd"/>
      <w:r w:rsidR="00377EE5" w:rsidRPr="00377EE5">
        <w:t xml:space="preserve">, </w:t>
      </w:r>
      <w:proofErr w:type="spellStart"/>
      <w:r w:rsidR="00377EE5" w:rsidRPr="00377EE5">
        <w:t>etanercept</w:t>
      </w:r>
      <w:proofErr w:type="spellEnd"/>
      <w:r w:rsidR="00377EE5" w:rsidRPr="00377EE5">
        <w:t xml:space="preserve">, infliximab and </w:t>
      </w:r>
      <w:proofErr w:type="spellStart"/>
      <w:r w:rsidR="00377EE5" w:rsidRPr="00377EE5">
        <w:t>ustekinumab</w:t>
      </w:r>
      <w:proofErr w:type="spellEnd"/>
      <w:r w:rsidR="00377EE5" w:rsidRPr="00377EE5">
        <w:t xml:space="preserve"> for the treatment of severe chronic plaque psoriasis on the Pharma</w:t>
      </w:r>
      <w:r w:rsidR="00377EE5">
        <w:t>ceutical Benefits Scheme (PBS).</w:t>
      </w:r>
    </w:p>
    <w:p w14:paraId="598780B3" w14:textId="3E614A77" w:rsidR="00856BB4" w:rsidRDefault="00856BB4" w:rsidP="00A55579">
      <w:pPr>
        <w:pStyle w:val="Heading4"/>
      </w:pPr>
      <w:r w:rsidRPr="00856BB4">
        <w:t>Background</w:t>
      </w:r>
    </w:p>
    <w:p w14:paraId="5A2C1B5B" w14:textId="3B36644D" w:rsidR="00705309" w:rsidRPr="00046D7D" w:rsidRDefault="00DC0AA7" w:rsidP="00DC0AA7">
      <w:r>
        <w:t xml:space="preserve">The Pharmaceutical Benefits Advisory Committee (PBAC) requested </w:t>
      </w:r>
      <w:r w:rsidR="000375EA">
        <w:t xml:space="preserve">the </w:t>
      </w:r>
      <w:r>
        <w:t xml:space="preserve">DUSC examine utilisation of </w:t>
      </w:r>
      <w:proofErr w:type="spellStart"/>
      <w:r w:rsidRPr="008D3253">
        <w:t>bDMARDs</w:t>
      </w:r>
      <w:proofErr w:type="spellEnd"/>
      <w:r w:rsidRPr="008D3253">
        <w:t xml:space="preserve"> </w:t>
      </w:r>
      <w:r>
        <w:t xml:space="preserve">for </w:t>
      </w:r>
      <w:r w:rsidR="00195BB4">
        <w:t xml:space="preserve">the treatment of severe chronic plaque </w:t>
      </w:r>
      <w:r>
        <w:t>psoriasis at its July 2012 meeting.</w:t>
      </w:r>
      <w:r w:rsidR="00C316A8">
        <w:t xml:space="preserve">  </w:t>
      </w:r>
      <w:r w:rsidRPr="00D610C8">
        <w:t xml:space="preserve">At its March 2013 </w:t>
      </w:r>
      <w:r w:rsidR="00D90093">
        <w:t xml:space="preserve">meeting in </w:t>
      </w:r>
      <w:r w:rsidRPr="00D610C8">
        <w:t xml:space="preserve">consideration of </w:t>
      </w:r>
      <w:proofErr w:type="spellStart"/>
      <w:r w:rsidRPr="00D610C8">
        <w:t>adalimumab</w:t>
      </w:r>
      <w:proofErr w:type="spellEnd"/>
      <w:r w:rsidRPr="00D610C8">
        <w:t xml:space="preserve"> for moderate </w:t>
      </w:r>
      <w:r>
        <w:t xml:space="preserve">to severe </w:t>
      </w:r>
      <w:r w:rsidRPr="00D610C8">
        <w:t xml:space="preserve">plaque psoriasis, the PBAC noted there may be a proportion of patients with moderate psoriasis who </w:t>
      </w:r>
      <w:r>
        <w:t>are</w:t>
      </w:r>
      <w:r w:rsidRPr="00D610C8">
        <w:t xml:space="preserve"> receiving PBS subsidised treatment u</w:t>
      </w:r>
      <w:r>
        <w:t>nder the restriction</w:t>
      </w:r>
      <w:r w:rsidR="006362A0">
        <w:t xml:space="preserve"> for severe psoriasis</w:t>
      </w:r>
      <w:r>
        <w:t xml:space="preserve">.  </w:t>
      </w:r>
      <w:r w:rsidR="00110FBE">
        <w:t xml:space="preserve">This utilisation analysis </w:t>
      </w:r>
      <w:r w:rsidRPr="00D610C8">
        <w:t>examine</w:t>
      </w:r>
      <w:r w:rsidR="00110FBE">
        <w:t>d</w:t>
      </w:r>
      <w:r w:rsidRPr="00D610C8">
        <w:t xml:space="preserve"> the utilisation of all </w:t>
      </w:r>
      <w:proofErr w:type="spellStart"/>
      <w:r>
        <w:t>bDMARDs</w:t>
      </w:r>
      <w:proofErr w:type="spellEnd"/>
      <w:r w:rsidRPr="00D610C8">
        <w:t xml:space="preserve"> listed for s</w:t>
      </w:r>
      <w:r>
        <w:t xml:space="preserve">evere chronic plaque psoriasis in adults.  An overview of </w:t>
      </w:r>
      <w:proofErr w:type="spellStart"/>
      <w:r>
        <w:t>etanercept</w:t>
      </w:r>
      <w:proofErr w:type="spellEnd"/>
      <w:r>
        <w:t xml:space="preserve"> utilisation in patients less than 18 years is presented in Appendix 1. </w:t>
      </w:r>
    </w:p>
    <w:p w14:paraId="0A327B3F" w14:textId="77777777" w:rsidR="000F760B" w:rsidRDefault="000F760B" w:rsidP="00A55579">
      <w:pPr>
        <w:pStyle w:val="Heading4"/>
      </w:pPr>
      <w:r>
        <w:t>Data Source / methodology</w:t>
      </w:r>
    </w:p>
    <w:p w14:paraId="5E8AC023" w14:textId="21FB335F" w:rsidR="000D62AB" w:rsidRDefault="000D62AB" w:rsidP="000D62AB">
      <w:pPr>
        <w:pStyle w:val="NoSpacing"/>
      </w:pPr>
      <w:r>
        <w:t xml:space="preserve">The Department of Human Services (DHS) Medicare Authority Approvals database was used for the majority of analyses.  The DHS </w:t>
      </w:r>
      <w:r w:rsidR="000945D9">
        <w:t xml:space="preserve">Medicare </w:t>
      </w:r>
      <w:r>
        <w:t xml:space="preserve">Supplied Prescription database and Highly Specialised Drugs database were used for quantity supplied and expenditure analyses. </w:t>
      </w:r>
    </w:p>
    <w:p w14:paraId="49E08693" w14:textId="77777777" w:rsidR="000F760B" w:rsidRDefault="000F760B" w:rsidP="00A55579">
      <w:pPr>
        <w:pStyle w:val="Heading4"/>
      </w:pPr>
      <w:r>
        <w:t>Key Findings</w:t>
      </w:r>
    </w:p>
    <w:p w14:paraId="56A3A565" w14:textId="77777777" w:rsidR="00EA051D" w:rsidRDefault="003A589C" w:rsidP="00EA051D">
      <w:pPr>
        <w:pStyle w:val="NoSpacing"/>
        <w:numPr>
          <w:ilvl w:val="0"/>
          <w:numId w:val="2"/>
        </w:numPr>
      </w:pPr>
      <w:r w:rsidRPr="00853E76">
        <w:t xml:space="preserve">The number of patients using </w:t>
      </w:r>
      <w:proofErr w:type="spellStart"/>
      <w:r w:rsidRPr="00853E76">
        <w:t>bDMARDs</w:t>
      </w:r>
      <w:proofErr w:type="spellEnd"/>
      <w:r>
        <w:t xml:space="preserve"> for psoriasis has increased progr</w:t>
      </w:r>
      <w:r w:rsidR="00EA051D">
        <w:t>essively between 2006 and 2013.</w:t>
      </w:r>
    </w:p>
    <w:p w14:paraId="7A662EB8" w14:textId="77777777" w:rsidR="00EA051D" w:rsidRDefault="003A589C" w:rsidP="00EA051D">
      <w:pPr>
        <w:pStyle w:val="NoSpacing"/>
        <w:numPr>
          <w:ilvl w:val="0"/>
          <w:numId w:val="2"/>
        </w:numPr>
      </w:pPr>
      <w:r>
        <w:t xml:space="preserve">Approximately 500 new patients have started </w:t>
      </w:r>
      <w:r w:rsidR="00EA051D">
        <w:t>treatment each year since 2006.</w:t>
      </w:r>
    </w:p>
    <w:p w14:paraId="3EB0D626" w14:textId="20549B02" w:rsidR="00C53A80" w:rsidRDefault="00C53A80" w:rsidP="00C53A80">
      <w:pPr>
        <w:pStyle w:val="NoSpacing"/>
        <w:numPr>
          <w:ilvl w:val="0"/>
          <w:numId w:val="2"/>
        </w:numPr>
      </w:pPr>
      <w:r w:rsidRPr="00C53A80">
        <w:t xml:space="preserve">Close to 3,500 patients received an Authority approval for a </w:t>
      </w:r>
      <w:proofErr w:type="spellStart"/>
      <w:r w:rsidRPr="00C53A80">
        <w:t>bDMARD</w:t>
      </w:r>
      <w:proofErr w:type="spellEnd"/>
      <w:r w:rsidRPr="00C53A80">
        <w:t xml:space="preserve"> for psoriasis in 2013.</w:t>
      </w:r>
    </w:p>
    <w:p w14:paraId="532E4012" w14:textId="3A94DE92" w:rsidR="003A589C" w:rsidRDefault="00EA051D" w:rsidP="00EA051D">
      <w:pPr>
        <w:pStyle w:val="NoSpacing"/>
        <w:numPr>
          <w:ilvl w:val="0"/>
          <w:numId w:val="2"/>
        </w:numPr>
      </w:pPr>
      <w:r>
        <w:lastRenderedPageBreak/>
        <w:t>T</w:t>
      </w:r>
      <w:r w:rsidR="003A589C">
        <w:t>reatment continuation is high with 86% of patients receiving a fourth A</w:t>
      </w:r>
      <w:r w:rsidR="00D67DAF">
        <w:t>u</w:t>
      </w:r>
      <w:r w:rsidR="00B465CF">
        <w:t xml:space="preserve">thority approval for a </w:t>
      </w:r>
      <w:proofErr w:type="spellStart"/>
      <w:r w:rsidR="00B465CF">
        <w:t>bDMARD</w:t>
      </w:r>
      <w:proofErr w:type="spellEnd"/>
      <w:r w:rsidR="00B465CF">
        <w:t xml:space="preserve">. </w:t>
      </w:r>
    </w:p>
    <w:p w14:paraId="0E2131AA" w14:textId="3ACE7ED2" w:rsidR="00097961" w:rsidRDefault="00097961" w:rsidP="00097961">
      <w:pPr>
        <w:pStyle w:val="NoSpacing"/>
        <w:numPr>
          <w:ilvl w:val="0"/>
          <w:numId w:val="2"/>
        </w:numPr>
      </w:pPr>
      <w:proofErr w:type="spellStart"/>
      <w:r>
        <w:t>Ustekinumab</w:t>
      </w:r>
      <w:proofErr w:type="spellEnd"/>
      <w:r>
        <w:t xml:space="preserve"> is the most commonly used </w:t>
      </w:r>
      <w:proofErr w:type="spellStart"/>
      <w:r>
        <w:t>bDMARD</w:t>
      </w:r>
      <w:proofErr w:type="spellEnd"/>
      <w:r>
        <w:t xml:space="preserve">, followed by </w:t>
      </w:r>
      <w:proofErr w:type="spellStart"/>
      <w:r>
        <w:t>adalimumab</w:t>
      </w:r>
      <w:proofErr w:type="spellEnd"/>
      <w:r>
        <w:t>.</w:t>
      </w:r>
    </w:p>
    <w:bookmarkEnd w:id="0"/>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5E22C2" w:rsidRDefault="00E677DD" w:rsidP="001D390D">
      <w:pPr>
        <w:pStyle w:val="Heading3"/>
      </w:pPr>
      <w:r w:rsidRPr="005E22C2">
        <w:lastRenderedPageBreak/>
        <w:t xml:space="preserve">Purpose of </w:t>
      </w:r>
      <w:r w:rsidR="00D151EB">
        <w:t>analysis</w:t>
      </w:r>
    </w:p>
    <w:p w14:paraId="245A2869" w14:textId="644CF75A" w:rsidR="00CF1BC7" w:rsidRPr="00046D7D" w:rsidRDefault="00CF1BC7" w:rsidP="00CF1BC7">
      <w:r>
        <w:t xml:space="preserve">The Pharmaceutical Benefits Advisory Committee (PBAC) requested </w:t>
      </w:r>
      <w:r w:rsidR="000375EA">
        <w:t xml:space="preserve">the </w:t>
      </w:r>
      <w:r>
        <w:t xml:space="preserve">DUSC examine utilisation of </w:t>
      </w:r>
      <w:proofErr w:type="spellStart"/>
      <w:r w:rsidRPr="008D3253">
        <w:t>bDMARDs</w:t>
      </w:r>
      <w:proofErr w:type="spellEnd"/>
      <w:r w:rsidRPr="008D3253">
        <w:t xml:space="preserve"> </w:t>
      </w:r>
      <w:r>
        <w:t xml:space="preserve">for the treatment of severe chronic plaque psoriasis at its July 2012 meeting.  </w:t>
      </w:r>
      <w:r w:rsidRPr="00D610C8">
        <w:t xml:space="preserve">At its March 2013 </w:t>
      </w:r>
      <w:r>
        <w:t xml:space="preserve">meeting in </w:t>
      </w:r>
      <w:r w:rsidRPr="00D610C8">
        <w:t xml:space="preserve">consideration of </w:t>
      </w:r>
      <w:proofErr w:type="spellStart"/>
      <w:r w:rsidRPr="00D610C8">
        <w:t>adalimumab</w:t>
      </w:r>
      <w:proofErr w:type="spellEnd"/>
      <w:r w:rsidRPr="00D610C8">
        <w:t xml:space="preserve"> for moderate </w:t>
      </w:r>
      <w:r>
        <w:t xml:space="preserve">to severe </w:t>
      </w:r>
      <w:r w:rsidRPr="00D610C8">
        <w:t xml:space="preserve">plaque psoriasis, the PBAC noted there may be a proportion of patients with moderate psoriasis who </w:t>
      </w:r>
      <w:r>
        <w:t>are</w:t>
      </w:r>
      <w:r w:rsidRPr="00D610C8">
        <w:t xml:space="preserve"> receiving PBS subsidised treatment u</w:t>
      </w:r>
      <w:r>
        <w:t xml:space="preserve">nder the restriction for severe psoriasis.  This utilisation analysis </w:t>
      </w:r>
      <w:r w:rsidRPr="00D610C8">
        <w:t>examine</w:t>
      </w:r>
      <w:r>
        <w:t>d</w:t>
      </w:r>
      <w:r w:rsidRPr="00D610C8">
        <w:t xml:space="preserve"> the utilisation of all </w:t>
      </w:r>
      <w:proofErr w:type="spellStart"/>
      <w:r>
        <w:t>bDMARDs</w:t>
      </w:r>
      <w:proofErr w:type="spellEnd"/>
      <w:r w:rsidRPr="00D610C8">
        <w:t xml:space="preserve"> listed for s</w:t>
      </w:r>
      <w:r>
        <w:t xml:space="preserve">evere chronic plaque psoriasis in adults.  An overview of </w:t>
      </w:r>
      <w:proofErr w:type="spellStart"/>
      <w:r>
        <w:t>etanercept</w:t>
      </w:r>
      <w:proofErr w:type="spellEnd"/>
      <w:r>
        <w:t xml:space="preserve"> utilisation in patients less than 18 years is presented in Appendix 1. </w:t>
      </w:r>
    </w:p>
    <w:p w14:paraId="0A7F0B57" w14:textId="034D22D5" w:rsidR="006537D9" w:rsidRDefault="00736041" w:rsidP="001D390D">
      <w:pPr>
        <w:pStyle w:val="Heading3"/>
      </w:pPr>
      <w:r w:rsidRPr="005E22C2">
        <w:t>Background</w:t>
      </w:r>
    </w:p>
    <w:p w14:paraId="246A9A6E" w14:textId="6590FE5E" w:rsidR="009636BD" w:rsidRPr="009636BD" w:rsidRDefault="001C7368" w:rsidP="009636BD">
      <w:r>
        <w:t xml:space="preserve">The pharmacology, Therapeutic Goods Administration (TGA) approved indications and dosing and administration information below is sourced from the Product </w:t>
      </w:r>
      <w:proofErr w:type="spellStart"/>
      <w:r>
        <w:t>Informations</w:t>
      </w:r>
      <w:proofErr w:type="spellEnd"/>
      <w:r>
        <w:t xml:space="preserve"> </w:t>
      </w:r>
      <w:r w:rsidR="009E238B">
        <w:t xml:space="preserve">(PI) </w:t>
      </w:r>
      <w:r>
        <w:t xml:space="preserve">and Consumer Medicines </w:t>
      </w:r>
      <w:proofErr w:type="spellStart"/>
      <w:r>
        <w:t>Informations</w:t>
      </w:r>
      <w:proofErr w:type="spellEnd"/>
      <w:r w:rsidR="009E238B">
        <w:t xml:space="preserve"> (CMI)</w:t>
      </w:r>
      <w:r>
        <w:t>.</w:t>
      </w:r>
      <w:r w:rsidR="009E238B">
        <w:t xml:space="preserve">  </w:t>
      </w:r>
      <w:r w:rsidR="009E238B" w:rsidRPr="002F61CA">
        <w:t xml:space="preserve">The </w:t>
      </w:r>
      <w:r w:rsidR="009E238B">
        <w:t>current PIs</w:t>
      </w:r>
      <w:r w:rsidR="009E238B" w:rsidRPr="002F61CA">
        <w:t xml:space="preserve"> and C</w:t>
      </w:r>
      <w:r w:rsidR="009E238B">
        <w:t>MIs</w:t>
      </w:r>
      <w:r w:rsidR="009E238B" w:rsidRPr="002F61CA">
        <w:t xml:space="preserve"> are available from </w:t>
      </w:r>
      <w:hyperlink r:id="rId8" w:history="1">
        <w:r w:rsidR="009E238B">
          <w:rPr>
            <w:rStyle w:val="Hyperlink"/>
          </w:rPr>
          <w:t>the TGA Product Information web page</w:t>
        </w:r>
      </w:hyperlink>
      <w:r w:rsidR="009E238B">
        <w:t xml:space="preserve"> and </w:t>
      </w:r>
      <w:hyperlink r:id="rId9" w:history="1">
        <w:r w:rsidR="009E238B">
          <w:rPr>
            <w:rStyle w:val="Hyperlink"/>
          </w:rPr>
          <w:t>the TGA Consumer Medicines Information web page</w:t>
        </w:r>
      </w:hyperlink>
      <w:r w:rsidR="009E238B">
        <w:t>.</w:t>
      </w:r>
    </w:p>
    <w:p w14:paraId="0183A567" w14:textId="413DF87B" w:rsidR="007247B9" w:rsidRPr="00E376AA" w:rsidRDefault="007247B9" w:rsidP="00E376AA">
      <w:pPr>
        <w:pStyle w:val="Heading4"/>
      </w:pPr>
      <w:r w:rsidRPr="00E376AA">
        <w:t>Pharmacology</w:t>
      </w:r>
    </w:p>
    <w:p w14:paraId="7348CE26" w14:textId="65A325E0" w:rsidR="000B2B57" w:rsidRDefault="00796970" w:rsidP="000B2B57">
      <w:r>
        <w:rPr>
          <w:b/>
        </w:rPr>
        <w:t>Tumour necrosis factor alpha</w:t>
      </w:r>
      <w:r w:rsidRPr="00796970">
        <w:rPr>
          <w:b/>
        </w:rPr>
        <w:t xml:space="preserve"> (TNF-</w:t>
      </w:r>
      <w:r w:rsidRPr="00796970">
        <w:rPr>
          <w:b/>
        </w:rPr>
        <w:sym w:font="Symbol" w:char="F061"/>
      </w:r>
      <w:r w:rsidRPr="00796970">
        <w:rPr>
          <w:b/>
        </w:rPr>
        <w:t>)</w:t>
      </w:r>
      <w:r>
        <w:rPr>
          <w:b/>
        </w:rPr>
        <w:t xml:space="preserve"> in chronic plaque psoriasis</w:t>
      </w:r>
      <w:r w:rsidR="000B2B57">
        <w:rPr>
          <w:b/>
        </w:rPr>
        <w:t>:</w:t>
      </w:r>
      <w:r>
        <w:t xml:space="preserve"> </w:t>
      </w:r>
      <w:r w:rsidR="000B2B57">
        <w:t>TNF is a naturally occurring protein that is involved in normal inflammatory and immune responses.  Increased levels of TNF-</w:t>
      </w:r>
      <w:r w:rsidR="000B2B57">
        <w:sym w:font="Symbol" w:char="F061"/>
      </w:r>
      <w:r w:rsidR="000B2B57">
        <w:t xml:space="preserve"> are found in psoriasis plaques compared to levels in uninvolved skin</w:t>
      </w:r>
      <w:r w:rsidR="00F73FAC">
        <w:t>.  TNF-</w:t>
      </w:r>
      <w:r w:rsidR="00F73FAC">
        <w:sym w:font="Symbol" w:char="F061"/>
      </w:r>
      <w:r w:rsidR="00F73FAC">
        <w:t xml:space="preserve"> is</w:t>
      </w:r>
      <w:r w:rsidR="000B2B57">
        <w:t xml:space="preserve"> considered to have a role in the inflammatory response, </w:t>
      </w:r>
      <w:r w:rsidR="000B2B57" w:rsidRPr="00E46E56">
        <w:t xml:space="preserve">the proliferation and decreased maturation of keratinocytes </w:t>
      </w:r>
      <w:r w:rsidR="000B2B57">
        <w:t xml:space="preserve">(a type of skin cell) </w:t>
      </w:r>
      <w:r w:rsidR="000B2B57" w:rsidRPr="00E46E56">
        <w:t>and</w:t>
      </w:r>
      <w:r w:rsidR="000B2B57">
        <w:t xml:space="preserve"> the associated </w:t>
      </w:r>
      <w:r w:rsidR="00F73FAC">
        <w:t>vascular damage that occurs in plaque psoriasis.</w:t>
      </w:r>
    </w:p>
    <w:p w14:paraId="5BE550A6" w14:textId="38E80C06" w:rsidR="00C83711" w:rsidRDefault="00C83711" w:rsidP="00C83711">
      <w:proofErr w:type="spellStart"/>
      <w:r w:rsidRPr="00D610C8">
        <w:rPr>
          <w:b/>
        </w:rPr>
        <w:t>Adalimumab</w:t>
      </w:r>
      <w:proofErr w:type="spellEnd"/>
      <w:r w:rsidRPr="00D610C8">
        <w:rPr>
          <w:b/>
        </w:rPr>
        <w:t xml:space="preserve"> </w:t>
      </w:r>
      <w:r>
        <w:t>is a fully human monoclonal antibody</w:t>
      </w:r>
      <w:r w:rsidR="00466DA0">
        <w:t xml:space="preserve">.  Monoclonal antibodies are proteins that recognise and bind to other unique proteins.  </w:t>
      </w:r>
      <w:proofErr w:type="spellStart"/>
      <w:r w:rsidR="00466DA0">
        <w:t>Adalimumab</w:t>
      </w:r>
      <w:proofErr w:type="spellEnd"/>
      <w:r>
        <w:t xml:space="preserve"> binds to and </w:t>
      </w:r>
      <w:r w:rsidR="00796970">
        <w:t>prevents</w:t>
      </w:r>
      <w:r>
        <w:t xml:space="preserve"> </w:t>
      </w:r>
      <w:r w:rsidR="00AE521C">
        <w:t>the actions</w:t>
      </w:r>
      <w:r w:rsidR="00466DA0">
        <w:t xml:space="preserve"> of </w:t>
      </w:r>
      <w:r>
        <w:t xml:space="preserve">tumour necrosis factor </w:t>
      </w:r>
      <w:r w:rsidR="002A1BB0">
        <w:t>alpha</w:t>
      </w:r>
      <w:r>
        <w:t xml:space="preserve"> (TNF-</w:t>
      </w:r>
      <w:r>
        <w:sym w:font="Symbol" w:char="F061"/>
      </w:r>
      <w:r w:rsidR="00466DA0">
        <w:t>).</w:t>
      </w:r>
    </w:p>
    <w:p w14:paraId="0753D2EB" w14:textId="4D26EC4F" w:rsidR="00C83711" w:rsidRPr="004B5CC4" w:rsidRDefault="00C83711" w:rsidP="00C83711">
      <w:proofErr w:type="spellStart"/>
      <w:r>
        <w:rPr>
          <w:b/>
        </w:rPr>
        <w:t>Etanercept</w:t>
      </w:r>
      <w:proofErr w:type="spellEnd"/>
      <w:r>
        <w:rPr>
          <w:b/>
        </w:rPr>
        <w:t xml:space="preserve"> </w:t>
      </w:r>
      <w:r>
        <w:t xml:space="preserve">is a fusion protein that binds to </w:t>
      </w:r>
      <w:r w:rsidR="00AE521C">
        <w:t xml:space="preserve">and prevents the actions of </w:t>
      </w:r>
      <w:r>
        <w:t>TNF-</w:t>
      </w:r>
      <w:r>
        <w:sym w:font="Symbol" w:char="F061"/>
      </w:r>
      <w:r>
        <w:t xml:space="preserve">. </w:t>
      </w:r>
    </w:p>
    <w:p w14:paraId="35CF26FC" w14:textId="4B9B2BA4" w:rsidR="00C83711" w:rsidRPr="00E46E56" w:rsidRDefault="00C83711" w:rsidP="00C83711">
      <w:r>
        <w:rPr>
          <w:b/>
        </w:rPr>
        <w:t xml:space="preserve">Infliximab </w:t>
      </w:r>
      <w:r>
        <w:t xml:space="preserve">is a monoclonal antibody </w:t>
      </w:r>
      <w:r w:rsidR="00AE521C">
        <w:t xml:space="preserve">that is produced from human and mouse proteins by recombinant technology.  Infliximab </w:t>
      </w:r>
      <w:r>
        <w:t xml:space="preserve">binds to </w:t>
      </w:r>
      <w:r w:rsidR="0052030A">
        <w:t xml:space="preserve">and prevents the actions of </w:t>
      </w:r>
      <w:r>
        <w:t>TNF-</w:t>
      </w:r>
      <w:r>
        <w:sym w:font="Symbol" w:char="F061"/>
      </w:r>
      <w:r w:rsidR="0052030A">
        <w:t>.</w:t>
      </w:r>
    </w:p>
    <w:p w14:paraId="40ACF72C" w14:textId="6487D3B2" w:rsidR="007247B9" w:rsidRPr="007247B9" w:rsidRDefault="00C83711" w:rsidP="00C83711">
      <w:proofErr w:type="spellStart"/>
      <w:r>
        <w:rPr>
          <w:b/>
        </w:rPr>
        <w:t>Ustekinumab</w:t>
      </w:r>
      <w:proofErr w:type="spellEnd"/>
      <w:r>
        <w:rPr>
          <w:b/>
        </w:rPr>
        <w:t xml:space="preserve"> </w:t>
      </w:r>
      <w:r>
        <w:t xml:space="preserve">is a human monoclonal </w:t>
      </w:r>
      <w:r w:rsidR="00F007DD">
        <w:t>antibody that binds to the proteins</w:t>
      </w:r>
      <w:r w:rsidR="00CD14A2">
        <w:t xml:space="preserve"> interleukin (IL) 12 and IL-23, which are involved in immune response.  </w:t>
      </w:r>
      <w:r w:rsidRPr="0016080D">
        <w:t>Abnormal regulation of IL-12 and IL-23 has been associated with immune-mediated diseases, such as psoriasis</w:t>
      </w:r>
      <w:r w:rsidR="002465BC">
        <w:t>.</w:t>
      </w:r>
    </w:p>
    <w:p w14:paraId="6AC18C88" w14:textId="2877AC70" w:rsidR="001420B3" w:rsidRPr="00DE260E" w:rsidRDefault="001420B3" w:rsidP="00DD70ED">
      <w:pPr>
        <w:pStyle w:val="Heading4"/>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p>
    <w:p w14:paraId="49A61E10" w14:textId="77777777" w:rsidR="000E15E2" w:rsidRDefault="000E15E2" w:rsidP="000E15E2">
      <w:pPr>
        <w:rPr>
          <w:b/>
        </w:rPr>
      </w:pPr>
      <w:proofErr w:type="spellStart"/>
      <w:r>
        <w:rPr>
          <w:b/>
        </w:rPr>
        <w:t>Adalimumab</w:t>
      </w:r>
      <w:proofErr w:type="spellEnd"/>
      <w:r>
        <w:rPr>
          <w:b/>
        </w:rPr>
        <w:t xml:space="preserve">, </w:t>
      </w:r>
      <w:proofErr w:type="spellStart"/>
      <w:r>
        <w:rPr>
          <w:b/>
        </w:rPr>
        <w:t>etanercept</w:t>
      </w:r>
      <w:proofErr w:type="spellEnd"/>
      <w:r>
        <w:rPr>
          <w:b/>
        </w:rPr>
        <w:t xml:space="preserve"> </w:t>
      </w:r>
      <w:r>
        <w:t xml:space="preserve">and </w:t>
      </w:r>
      <w:proofErr w:type="spellStart"/>
      <w:r>
        <w:rPr>
          <w:b/>
        </w:rPr>
        <w:t>ustekinumab</w:t>
      </w:r>
      <w:proofErr w:type="spellEnd"/>
      <w:r w:rsidRPr="00A948F8">
        <w:t xml:space="preserve"> </w:t>
      </w:r>
      <w:r>
        <w:t>are</w:t>
      </w:r>
      <w:r w:rsidRPr="00A948F8">
        <w:rPr>
          <w:b/>
        </w:rPr>
        <w:t xml:space="preserve"> </w:t>
      </w:r>
      <w:r w:rsidRPr="00A948F8">
        <w:t>indicated for the treatment of moderate to severe chronic plaque psoriasis in adult patients who are candidates for systemic therapy or phototherapy.</w:t>
      </w:r>
      <w:r>
        <w:rPr>
          <w:b/>
        </w:rPr>
        <w:t xml:space="preserve"> </w:t>
      </w:r>
    </w:p>
    <w:p w14:paraId="04DC1F5D" w14:textId="77777777" w:rsidR="000E15E2" w:rsidRPr="00A948F8" w:rsidRDefault="000E15E2" w:rsidP="000E15E2">
      <w:r>
        <w:rPr>
          <w:b/>
        </w:rPr>
        <w:lastRenderedPageBreak/>
        <w:t xml:space="preserve">Infliximab </w:t>
      </w:r>
      <w:r w:rsidRPr="00A948F8">
        <w:t>is</w:t>
      </w:r>
      <w:r>
        <w:rPr>
          <w:b/>
        </w:rPr>
        <w:t xml:space="preserve"> </w:t>
      </w:r>
      <w:r w:rsidRPr="00A948F8">
        <w:t>indicated for the treatment of adult patients with moderate to severe plaque psoriasis for whom phototherapy or conventional systemic treatments have been inadequate or are inappropriate.</w:t>
      </w:r>
    </w:p>
    <w:p w14:paraId="15E919C1" w14:textId="1B3BA560" w:rsidR="006B709B" w:rsidRPr="00DE260E" w:rsidRDefault="006B709B" w:rsidP="00DD70ED">
      <w:pPr>
        <w:pStyle w:val="Heading4"/>
      </w:pPr>
      <w:r w:rsidRPr="00DE260E">
        <w:t>Dosage and administration</w:t>
      </w:r>
    </w:p>
    <w:p w14:paraId="23C5C6C7" w14:textId="3B2F3D97" w:rsidR="006648BF" w:rsidRDefault="00FC25E5" w:rsidP="006648BF">
      <w:r>
        <w:t>T</w:t>
      </w:r>
      <w:r w:rsidR="006648BF">
        <w:t xml:space="preserve">able </w:t>
      </w:r>
      <w:r>
        <w:t xml:space="preserve">1 </w:t>
      </w:r>
      <w:r w:rsidR="006648BF">
        <w:t xml:space="preserve">presents the standard dosing regimens for </w:t>
      </w:r>
      <w:proofErr w:type="spellStart"/>
      <w:r w:rsidR="006648BF">
        <w:t>bDMARDs</w:t>
      </w:r>
      <w:proofErr w:type="spellEnd"/>
      <w:r w:rsidR="006648BF">
        <w:t xml:space="preserve"> in plaque psoriasis.</w:t>
      </w:r>
    </w:p>
    <w:p w14:paraId="75677A96" w14:textId="77777777" w:rsidR="006648BF" w:rsidRPr="008C68A2" w:rsidRDefault="006648BF" w:rsidP="006648BF">
      <w:pPr>
        <w:pStyle w:val="Tabletitle"/>
      </w:pPr>
      <w:r w:rsidRPr="008C68A2">
        <w:t xml:space="preserve">Table </w:t>
      </w:r>
      <w:r>
        <w:t>1</w:t>
      </w:r>
      <w:r w:rsidRPr="008C68A2">
        <w:t xml:space="preserve">: Dosage and administration of </w:t>
      </w:r>
      <w:proofErr w:type="spellStart"/>
      <w:r>
        <w:t>bDMARDs</w:t>
      </w:r>
      <w:proofErr w:type="spellEnd"/>
      <w:r>
        <w:t xml:space="preserve"> for plaque psoriasis</w:t>
      </w:r>
    </w:p>
    <w:tbl>
      <w:tblPr>
        <w:tblStyle w:val="TableGrid"/>
        <w:tblW w:w="9180" w:type="dxa"/>
        <w:tblInd w:w="108" w:type="dxa"/>
        <w:tblLook w:val="04A0" w:firstRow="1" w:lastRow="0" w:firstColumn="1" w:lastColumn="0" w:noHBand="0" w:noVBand="1"/>
        <w:tblCaption w:val="Table 1 dosage and administration of bDMARDs for plaque psoriasis"/>
      </w:tblPr>
      <w:tblGrid>
        <w:gridCol w:w="2660"/>
        <w:gridCol w:w="2126"/>
        <w:gridCol w:w="4394"/>
      </w:tblGrid>
      <w:tr w:rsidR="006648BF" w:rsidRPr="00A35800" w14:paraId="35F10E00" w14:textId="77777777" w:rsidTr="00FC25E5">
        <w:trPr>
          <w:tblHeader/>
        </w:trPr>
        <w:tc>
          <w:tcPr>
            <w:tcW w:w="2660" w:type="dxa"/>
            <w:shd w:val="clear" w:color="auto" w:fill="BFBFBF" w:themeFill="background1" w:themeFillShade="BF"/>
          </w:tcPr>
          <w:p w14:paraId="1DD6B279" w14:textId="77777777" w:rsidR="006648BF" w:rsidRPr="00A35800" w:rsidRDefault="006648BF" w:rsidP="00086B38">
            <w:pPr>
              <w:pStyle w:val="Tableheading"/>
              <w:rPr>
                <w:sz w:val="20"/>
                <w:szCs w:val="20"/>
              </w:rPr>
            </w:pPr>
            <w:r w:rsidRPr="00A35800">
              <w:rPr>
                <w:sz w:val="20"/>
                <w:szCs w:val="20"/>
              </w:rPr>
              <w:t>Brand name and sponsor</w:t>
            </w:r>
          </w:p>
        </w:tc>
        <w:tc>
          <w:tcPr>
            <w:tcW w:w="2126" w:type="dxa"/>
            <w:shd w:val="clear" w:color="auto" w:fill="BFBFBF" w:themeFill="background1" w:themeFillShade="BF"/>
          </w:tcPr>
          <w:p w14:paraId="508987AD" w14:textId="77777777" w:rsidR="006648BF" w:rsidRPr="00A35800" w:rsidRDefault="006648BF" w:rsidP="00086B38">
            <w:pPr>
              <w:pStyle w:val="Tableheading"/>
              <w:rPr>
                <w:sz w:val="20"/>
                <w:szCs w:val="20"/>
              </w:rPr>
            </w:pPr>
            <w:r w:rsidRPr="00A35800">
              <w:rPr>
                <w:sz w:val="20"/>
                <w:szCs w:val="20"/>
              </w:rPr>
              <w:t>Product</w:t>
            </w:r>
          </w:p>
        </w:tc>
        <w:tc>
          <w:tcPr>
            <w:tcW w:w="4394" w:type="dxa"/>
            <w:shd w:val="clear" w:color="auto" w:fill="BFBFBF" w:themeFill="background1" w:themeFillShade="BF"/>
          </w:tcPr>
          <w:p w14:paraId="4726C8C5" w14:textId="77777777" w:rsidR="006648BF" w:rsidRPr="00A35800" w:rsidRDefault="006648BF" w:rsidP="00086B38">
            <w:pPr>
              <w:pStyle w:val="Tableheading"/>
              <w:rPr>
                <w:sz w:val="20"/>
                <w:szCs w:val="20"/>
              </w:rPr>
            </w:pPr>
            <w:r w:rsidRPr="00A35800">
              <w:rPr>
                <w:sz w:val="20"/>
                <w:szCs w:val="20"/>
              </w:rPr>
              <w:t xml:space="preserve">Dose and frequency of administration </w:t>
            </w:r>
          </w:p>
        </w:tc>
      </w:tr>
      <w:tr w:rsidR="006648BF" w:rsidRPr="00A35800" w14:paraId="51D79F32" w14:textId="77777777" w:rsidTr="00FC25E5">
        <w:tc>
          <w:tcPr>
            <w:tcW w:w="2660" w:type="dxa"/>
          </w:tcPr>
          <w:p w14:paraId="7BB2E712" w14:textId="6541CA02" w:rsidR="006648BF" w:rsidRPr="00A35800" w:rsidRDefault="006648BF" w:rsidP="00086B38">
            <w:pPr>
              <w:pStyle w:val="Tablewriting"/>
            </w:pPr>
            <w:proofErr w:type="spellStart"/>
            <w:r>
              <w:t>Adalimumab</w:t>
            </w:r>
            <w:proofErr w:type="spellEnd"/>
            <w:r>
              <w:t xml:space="preserve"> (</w:t>
            </w:r>
            <w:proofErr w:type="spellStart"/>
            <w:r>
              <w:t>Humira</w:t>
            </w:r>
            <w:proofErr w:type="spellEnd"/>
            <w:r>
              <w:rPr>
                <w:rFonts w:ascii="Calibri" w:hAnsi="Calibri"/>
              </w:rPr>
              <w:t>®</w:t>
            </w:r>
            <w:r w:rsidRPr="005C7163">
              <w:t>)</w:t>
            </w:r>
            <w:r w:rsidR="0017622F">
              <w:br/>
            </w:r>
            <w:proofErr w:type="spellStart"/>
            <w:r w:rsidR="0017622F">
              <w:t>AbbV</w:t>
            </w:r>
            <w:r>
              <w:t>ie</w:t>
            </w:r>
            <w:proofErr w:type="spellEnd"/>
            <w:r>
              <w:t xml:space="preserve"> Pty Ltd</w:t>
            </w:r>
          </w:p>
        </w:tc>
        <w:tc>
          <w:tcPr>
            <w:tcW w:w="2126" w:type="dxa"/>
          </w:tcPr>
          <w:p w14:paraId="19578BE9" w14:textId="77777777" w:rsidR="006648BF" w:rsidRDefault="006648BF" w:rsidP="00086B38">
            <w:pPr>
              <w:pStyle w:val="Tablewriting"/>
            </w:pPr>
            <w:r>
              <w:t>P</w:t>
            </w:r>
            <w:r w:rsidRPr="005C7163">
              <w:t xml:space="preserve">refilled syringe 40 mg </w:t>
            </w:r>
          </w:p>
          <w:p w14:paraId="4E9F328D" w14:textId="77777777" w:rsidR="006648BF" w:rsidRPr="00A35800" w:rsidRDefault="006648BF" w:rsidP="00086B38">
            <w:pPr>
              <w:pStyle w:val="Tablewriting"/>
            </w:pPr>
            <w:r>
              <w:t>P</w:t>
            </w:r>
            <w:r w:rsidRPr="005C7163">
              <w:t>refilled pen 40 mg</w:t>
            </w:r>
          </w:p>
        </w:tc>
        <w:tc>
          <w:tcPr>
            <w:tcW w:w="4394" w:type="dxa"/>
          </w:tcPr>
          <w:p w14:paraId="4C631AF2" w14:textId="77777777" w:rsidR="006648BF" w:rsidRDefault="006648BF" w:rsidP="00086B38">
            <w:pPr>
              <w:pStyle w:val="Tablewriting"/>
            </w:pPr>
            <w:r>
              <w:t>Loading dose: 80mg SC</w:t>
            </w:r>
          </w:p>
          <w:p w14:paraId="110D99F2" w14:textId="77777777" w:rsidR="006648BF" w:rsidRPr="00A35800" w:rsidRDefault="006648BF" w:rsidP="00086B38">
            <w:pPr>
              <w:pStyle w:val="Tablewriting"/>
            </w:pPr>
            <w:r>
              <w:t>Maintenance: 40mg SC fortnightly starting 1 week after loading dose</w:t>
            </w:r>
          </w:p>
        </w:tc>
      </w:tr>
      <w:tr w:rsidR="006648BF" w:rsidRPr="00A35800" w14:paraId="12E7BE93" w14:textId="77777777" w:rsidTr="00FC25E5">
        <w:tc>
          <w:tcPr>
            <w:tcW w:w="2660" w:type="dxa"/>
          </w:tcPr>
          <w:p w14:paraId="5803298A" w14:textId="77777777" w:rsidR="006648BF" w:rsidRDefault="006648BF" w:rsidP="00086B38">
            <w:pPr>
              <w:pStyle w:val="Tablewriting"/>
            </w:pPr>
            <w:proofErr w:type="spellStart"/>
            <w:r>
              <w:t>Etanercept</w:t>
            </w:r>
            <w:proofErr w:type="spellEnd"/>
            <w:r>
              <w:t xml:space="preserve"> (Enbrel®)</w:t>
            </w:r>
          </w:p>
          <w:p w14:paraId="0C5D6DF3" w14:textId="77777777" w:rsidR="006648BF" w:rsidRPr="005C7163" w:rsidRDefault="006648BF" w:rsidP="00086B38">
            <w:pPr>
              <w:pStyle w:val="Tablewriting"/>
            </w:pPr>
            <w:r>
              <w:t>Pfizer Australia Pty Ltd</w:t>
            </w:r>
          </w:p>
        </w:tc>
        <w:tc>
          <w:tcPr>
            <w:tcW w:w="2126" w:type="dxa"/>
          </w:tcPr>
          <w:p w14:paraId="774FBC72" w14:textId="77777777" w:rsidR="006648BF" w:rsidRDefault="006648BF" w:rsidP="00086B38">
            <w:pPr>
              <w:pStyle w:val="Tablewriting"/>
            </w:pPr>
            <w:r>
              <w:t>Auto-injector 50mg</w:t>
            </w:r>
          </w:p>
          <w:p w14:paraId="48FD51F5" w14:textId="77777777" w:rsidR="006648BF" w:rsidRDefault="006648BF" w:rsidP="00086B38">
            <w:pPr>
              <w:pStyle w:val="Tablewriting"/>
            </w:pPr>
            <w:r>
              <w:t>Prefilled syringe 50mg</w:t>
            </w:r>
          </w:p>
          <w:p w14:paraId="393DF71A" w14:textId="77777777" w:rsidR="006648BF" w:rsidRPr="00A35800" w:rsidRDefault="006648BF" w:rsidP="00086B38">
            <w:pPr>
              <w:pStyle w:val="Tablewriting"/>
            </w:pPr>
            <w:r>
              <w:t xml:space="preserve">Injection 25mg </w:t>
            </w:r>
          </w:p>
        </w:tc>
        <w:tc>
          <w:tcPr>
            <w:tcW w:w="4394" w:type="dxa"/>
          </w:tcPr>
          <w:p w14:paraId="193D64C8" w14:textId="77777777" w:rsidR="006648BF" w:rsidRDefault="006648BF" w:rsidP="00086B38">
            <w:pPr>
              <w:pStyle w:val="Tablewriting"/>
            </w:pPr>
            <w:r>
              <w:t>Adults: 50mg SC weekly as 1 or 2 doses</w:t>
            </w:r>
          </w:p>
          <w:p w14:paraId="6350194E" w14:textId="77777777" w:rsidR="006648BF" w:rsidRPr="00A35800" w:rsidRDefault="006648BF" w:rsidP="00086B38">
            <w:pPr>
              <w:pStyle w:val="Tablewriting"/>
            </w:pPr>
            <w:r>
              <w:t>Children &gt;4 years: 0.8mg/kg SC once weekly to a maximum of 50mg</w:t>
            </w:r>
          </w:p>
        </w:tc>
      </w:tr>
      <w:tr w:rsidR="006648BF" w:rsidRPr="00A35800" w14:paraId="13A4DF77" w14:textId="77777777" w:rsidTr="00FC25E5">
        <w:tc>
          <w:tcPr>
            <w:tcW w:w="2660" w:type="dxa"/>
          </w:tcPr>
          <w:p w14:paraId="5F86BCD5" w14:textId="77777777" w:rsidR="006648BF" w:rsidRDefault="006648BF" w:rsidP="00086B38">
            <w:pPr>
              <w:pStyle w:val="Tablewriting"/>
            </w:pPr>
            <w:r>
              <w:t>Infliximab (</w:t>
            </w:r>
            <w:proofErr w:type="spellStart"/>
            <w:r>
              <w:t>Remicade</w:t>
            </w:r>
            <w:proofErr w:type="spellEnd"/>
            <w:r>
              <w:t>®)</w:t>
            </w:r>
          </w:p>
          <w:p w14:paraId="4F071065" w14:textId="77777777" w:rsidR="006648BF" w:rsidRPr="005C7163" w:rsidRDefault="006648BF" w:rsidP="00086B38">
            <w:pPr>
              <w:pStyle w:val="Tablewriting"/>
            </w:pPr>
            <w:r>
              <w:t>Janssen-</w:t>
            </w:r>
            <w:proofErr w:type="spellStart"/>
            <w:r>
              <w:t>Cilag</w:t>
            </w:r>
            <w:proofErr w:type="spellEnd"/>
            <w:r>
              <w:t xml:space="preserve"> Pty Ltd</w:t>
            </w:r>
          </w:p>
        </w:tc>
        <w:tc>
          <w:tcPr>
            <w:tcW w:w="2126" w:type="dxa"/>
          </w:tcPr>
          <w:p w14:paraId="5D0CC470" w14:textId="77777777" w:rsidR="006648BF" w:rsidRPr="00A35800" w:rsidRDefault="006648BF" w:rsidP="00086B38">
            <w:pPr>
              <w:pStyle w:val="Tablewriting"/>
            </w:pPr>
            <w:r>
              <w:t>Injection 100mg</w:t>
            </w:r>
          </w:p>
        </w:tc>
        <w:tc>
          <w:tcPr>
            <w:tcW w:w="4394" w:type="dxa"/>
          </w:tcPr>
          <w:p w14:paraId="4DD8DD0B" w14:textId="77777777" w:rsidR="006648BF" w:rsidRPr="00A35800" w:rsidRDefault="006648BF" w:rsidP="00086B38">
            <w:pPr>
              <w:pStyle w:val="Tablewriting"/>
            </w:pPr>
            <w:r>
              <w:t xml:space="preserve">5mg/kg IV at 0, 2 and 6 weeks followed by </w:t>
            </w:r>
            <w:r w:rsidRPr="00D32DE4">
              <w:t>5mg/kg IV</w:t>
            </w:r>
            <w:r>
              <w:t xml:space="preserve"> every 8 weeks thereafter</w:t>
            </w:r>
          </w:p>
        </w:tc>
      </w:tr>
      <w:tr w:rsidR="006648BF" w:rsidRPr="00A35800" w14:paraId="0BC133CB" w14:textId="77777777" w:rsidTr="00FC25E5">
        <w:tc>
          <w:tcPr>
            <w:tcW w:w="2660" w:type="dxa"/>
          </w:tcPr>
          <w:p w14:paraId="371DA45C" w14:textId="77777777" w:rsidR="006648BF" w:rsidRDefault="006648BF" w:rsidP="00086B38">
            <w:pPr>
              <w:pStyle w:val="Tablewriting"/>
            </w:pPr>
            <w:proofErr w:type="spellStart"/>
            <w:r>
              <w:t>Ustekinumab</w:t>
            </w:r>
            <w:proofErr w:type="spellEnd"/>
            <w:r>
              <w:t xml:space="preserve"> (</w:t>
            </w:r>
            <w:proofErr w:type="spellStart"/>
            <w:r>
              <w:t>Stelara</w:t>
            </w:r>
            <w:proofErr w:type="spellEnd"/>
            <w:r>
              <w:t>®)</w:t>
            </w:r>
          </w:p>
          <w:p w14:paraId="073725E2" w14:textId="77777777" w:rsidR="006648BF" w:rsidRPr="005C7163" w:rsidRDefault="006648BF" w:rsidP="00086B38">
            <w:pPr>
              <w:pStyle w:val="Tablewriting"/>
            </w:pPr>
            <w:r>
              <w:t>Janssen-</w:t>
            </w:r>
            <w:proofErr w:type="spellStart"/>
            <w:r>
              <w:t>Cilag</w:t>
            </w:r>
            <w:proofErr w:type="spellEnd"/>
            <w:r>
              <w:t xml:space="preserve"> Pty Ltd</w:t>
            </w:r>
          </w:p>
        </w:tc>
        <w:tc>
          <w:tcPr>
            <w:tcW w:w="2126" w:type="dxa"/>
          </w:tcPr>
          <w:p w14:paraId="69B4F503" w14:textId="77777777" w:rsidR="006648BF" w:rsidRPr="00A35800" w:rsidRDefault="006648BF" w:rsidP="00086B38">
            <w:pPr>
              <w:pStyle w:val="Tablewriting"/>
            </w:pPr>
            <w:r>
              <w:t xml:space="preserve">Injection 45mg </w:t>
            </w:r>
          </w:p>
        </w:tc>
        <w:tc>
          <w:tcPr>
            <w:tcW w:w="4394" w:type="dxa"/>
          </w:tcPr>
          <w:p w14:paraId="5E2870D8" w14:textId="77777777" w:rsidR="006648BF" w:rsidRDefault="006648BF" w:rsidP="00086B38">
            <w:pPr>
              <w:pStyle w:val="Tablewriting"/>
            </w:pPr>
            <w:r>
              <w:t xml:space="preserve">&lt;100kg: 45mg SC at 0 and 4 weeks then 45mg every 12 weeks thereafter. </w:t>
            </w:r>
          </w:p>
          <w:p w14:paraId="507DF8DE" w14:textId="77777777" w:rsidR="006648BF" w:rsidRPr="00A35800" w:rsidRDefault="006648BF" w:rsidP="00086B38">
            <w:pPr>
              <w:pStyle w:val="Tablewriting"/>
            </w:pPr>
            <w:r>
              <w:t>&gt;100kg: 90</w:t>
            </w:r>
            <w:r w:rsidRPr="00BD5024">
              <w:t>mg SC at 0 and 4 weeks then 45mg every 12 weeks thereafter.</w:t>
            </w:r>
          </w:p>
        </w:tc>
      </w:tr>
    </w:tbl>
    <w:p w14:paraId="143CC403" w14:textId="5A441729" w:rsidR="001420B3" w:rsidRPr="005C55C6" w:rsidRDefault="001420B3" w:rsidP="002F63ED">
      <w:pPr>
        <w:pStyle w:val="Heading4"/>
      </w:pPr>
      <w:r w:rsidRPr="005C55C6">
        <w:t>Clinical situation</w:t>
      </w:r>
    </w:p>
    <w:p w14:paraId="62E0ECD9" w14:textId="050A6BC8" w:rsidR="00881B21" w:rsidRDefault="00881B21" w:rsidP="00881B21">
      <w:r>
        <w:t>Psoriasis is common skin condition characterised by red, scaly areas or patches.</w:t>
      </w:r>
      <w:r>
        <w:rPr>
          <w:rStyle w:val="FootnoteReference"/>
        </w:rPr>
        <w:footnoteReference w:id="1"/>
      </w:r>
      <w:r>
        <w:t xml:space="preserve"> The </w:t>
      </w:r>
      <w:r w:rsidRPr="00E964E1">
        <w:t>Psoriasis Area and Severity Index</w:t>
      </w:r>
      <w:r>
        <w:t xml:space="preserve"> (PASI) score is used to assess the severity of psoriasis.</w:t>
      </w:r>
      <w:r>
        <w:rPr>
          <w:rStyle w:val="FootnoteReference"/>
        </w:rPr>
        <w:footnoteReference w:id="2"/>
      </w:r>
      <w:r>
        <w:t xml:space="preserve"> Percentage reduction in PASI score is</w:t>
      </w:r>
      <w:r w:rsidR="00933C0A">
        <w:t xml:space="preserve"> a measure</w:t>
      </w:r>
      <w:r>
        <w:t xml:space="preserve"> used to assess the efficacy of treatments in clinical trials. </w:t>
      </w:r>
    </w:p>
    <w:p w14:paraId="46E2BB42" w14:textId="4F8FE95C" w:rsidR="00DF0B13" w:rsidRPr="002801FD" w:rsidRDefault="00DF0B13" w:rsidP="00A36FA8">
      <w:pPr>
        <w:pStyle w:val="Heading4"/>
      </w:pPr>
      <w:r w:rsidRPr="002801FD">
        <w:t>PBS listing details</w:t>
      </w:r>
      <w:r w:rsidR="00473769">
        <w:t xml:space="preserve"> (as at 1 April 2014</w:t>
      </w:r>
      <w:r w:rsidR="00D151EB" w:rsidRPr="002801FD">
        <w:t>)</w:t>
      </w:r>
    </w:p>
    <w:p w14:paraId="51DFBBCF" w14:textId="0CC40D3E" w:rsidR="00AB7AD6" w:rsidRDefault="00AB7AD6" w:rsidP="00AB7AD6">
      <w:r w:rsidRPr="00EA2CDE">
        <w:t xml:space="preserve">The </w:t>
      </w:r>
      <w:r>
        <w:t xml:space="preserve">PBS listing details as of </w:t>
      </w:r>
      <w:proofErr w:type="spellStart"/>
      <w:r>
        <w:t>bDMARDs</w:t>
      </w:r>
      <w:proofErr w:type="spellEnd"/>
      <w:r>
        <w:t xml:space="preserve"> for </w:t>
      </w:r>
      <w:r w:rsidR="00CE390E">
        <w:t xml:space="preserve">severe chronic </w:t>
      </w:r>
      <w:r>
        <w:t xml:space="preserve">plaque psoriasis as at 1 April 2014 </w:t>
      </w:r>
      <w:r w:rsidR="0017339A">
        <w:t xml:space="preserve">are presented in </w:t>
      </w:r>
      <w:r>
        <w:t>table</w:t>
      </w:r>
      <w:r w:rsidR="0017339A">
        <w:t xml:space="preserve"> 2</w:t>
      </w:r>
      <w:r>
        <w:t>.</w:t>
      </w:r>
      <w:r w:rsidR="007261A1">
        <w:t xml:space="preserve">  </w:t>
      </w:r>
      <w:r>
        <w:t>Infliximab has a s</w:t>
      </w:r>
      <w:r w:rsidR="009B3367">
        <w:t xml:space="preserve">ection </w:t>
      </w:r>
      <w:r>
        <w:t>100 Highly Specialised Drugs Program listing</w:t>
      </w:r>
      <w:r w:rsidR="009B3367">
        <w:t xml:space="preserve"> and </w:t>
      </w:r>
      <w:proofErr w:type="spellStart"/>
      <w:r w:rsidR="009B3367">
        <w:t>a</w:t>
      </w:r>
      <w:r>
        <w:t>dalimumab</w:t>
      </w:r>
      <w:proofErr w:type="spellEnd"/>
      <w:r>
        <w:t xml:space="preserve">, </w:t>
      </w:r>
      <w:proofErr w:type="spellStart"/>
      <w:r>
        <w:t>etanercept</w:t>
      </w:r>
      <w:proofErr w:type="spellEnd"/>
      <w:r>
        <w:t xml:space="preserve"> and</w:t>
      </w:r>
      <w:r w:rsidR="00A00B4F">
        <w:t xml:space="preserve"> </w:t>
      </w:r>
      <w:proofErr w:type="spellStart"/>
      <w:r w:rsidR="00A00B4F">
        <w:t>ustekinumab</w:t>
      </w:r>
      <w:proofErr w:type="spellEnd"/>
      <w:r w:rsidR="00A00B4F">
        <w:t xml:space="preserve"> have General Schedule </w:t>
      </w:r>
      <w:r w:rsidR="00787499">
        <w:t>listings.</w:t>
      </w:r>
      <w:r w:rsidR="00E201EA">
        <w:t xml:space="preserve">  </w:t>
      </w:r>
      <w:r>
        <w:t>All four medicines require written Authority Approval by the Department of Human Services (DHS</w:t>
      </w:r>
      <w:r w:rsidR="009B3367">
        <w:t>) Medicare prior to prescribing</w:t>
      </w:r>
      <w:r w:rsidR="00E201EA">
        <w:t>.</w:t>
      </w:r>
    </w:p>
    <w:p w14:paraId="1F39FAF4" w14:textId="77777777" w:rsidR="00AB7AD6" w:rsidRDefault="00AB7AD6">
      <w:pPr>
        <w:spacing w:line="276" w:lineRule="auto"/>
      </w:pPr>
      <w:r>
        <w:br w:type="page"/>
      </w:r>
    </w:p>
    <w:p w14:paraId="7B913C1B" w14:textId="304F2368" w:rsidR="00AB7AD6" w:rsidRPr="001420B3" w:rsidRDefault="00AB7AD6" w:rsidP="006B5469">
      <w:pPr>
        <w:pStyle w:val="Tabletitle"/>
      </w:pPr>
      <w:r w:rsidRPr="001420B3">
        <w:lastRenderedPageBreak/>
        <w:t xml:space="preserve">Table </w:t>
      </w:r>
      <w:r>
        <w:t>2</w:t>
      </w:r>
      <w:r w:rsidRPr="001420B3">
        <w:t xml:space="preserve">: </w:t>
      </w:r>
      <w:r>
        <w:t xml:space="preserve">PBS listing </w:t>
      </w:r>
      <w:r w:rsidR="00BE105F">
        <w:t xml:space="preserve">details </w:t>
      </w:r>
      <w:r>
        <w:t xml:space="preserve">of </w:t>
      </w:r>
      <w:proofErr w:type="spellStart"/>
      <w:r>
        <w:t>bDMARDs</w:t>
      </w:r>
      <w:proofErr w:type="spellEnd"/>
      <w:r>
        <w:t xml:space="preserve"> for severe chronic plaque psoriasis</w:t>
      </w:r>
    </w:p>
    <w:tbl>
      <w:tblPr>
        <w:tblStyle w:val="TableGrid"/>
        <w:tblW w:w="0" w:type="auto"/>
        <w:tblLayout w:type="fixed"/>
        <w:tblLook w:val="04A0" w:firstRow="1" w:lastRow="0" w:firstColumn="1" w:lastColumn="0" w:noHBand="0" w:noVBand="1"/>
        <w:tblCaption w:val="Table 2"/>
        <w:tblDescription w:val="Details of the PBS listing of the bDMARDs for severe chronic plaque psoriasis."/>
      </w:tblPr>
      <w:tblGrid>
        <w:gridCol w:w="1358"/>
        <w:gridCol w:w="1265"/>
        <w:gridCol w:w="950"/>
        <w:gridCol w:w="886"/>
        <w:gridCol w:w="1122"/>
        <w:gridCol w:w="1048"/>
        <w:gridCol w:w="1364"/>
        <w:gridCol w:w="1180"/>
      </w:tblGrid>
      <w:tr w:rsidR="00CC2EE0" w14:paraId="55046680" w14:textId="77777777" w:rsidTr="00CC2EE0">
        <w:trPr>
          <w:trHeight w:val="428"/>
          <w:tblHeader/>
        </w:trPr>
        <w:tc>
          <w:tcPr>
            <w:tcW w:w="1358" w:type="dxa"/>
            <w:shd w:val="clear" w:color="auto" w:fill="BFBFBF" w:themeFill="background1" w:themeFillShade="BF"/>
            <w:vAlign w:val="center"/>
          </w:tcPr>
          <w:p w14:paraId="0DBBDC36" w14:textId="77777777" w:rsidR="00F13C4C" w:rsidRPr="00E72316" w:rsidRDefault="00F13C4C" w:rsidP="00C16447">
            <w:pPr>
              <w:pStyle w:val="Tablewriting"/>
              <w:spacing w:before="0" w:after="0"/>
              <w:rPr>
                <w:b/>
              </w:rPr>
            </w:pPr>
            <w:r w:rsidRPr="00E72316">
              <w:rPr>
                <w:b/>
              </w:rPr>
              <w:t>Drug, brand name and manufacturer</w:t>
            </w:r>
          </w:p>
        </w:tc>
        <w:tc>
          <w:tcPr>
            <w:tcW w:w="1265" w:type="dxa"/>
            <w:shd w:val="clear" w:color="auto" w:fill="BFBFBF" w:themeFill="background1" w:themeFillShade="BF"/>
            <w:vAlign w:val="center"/>
          </w:tcPr>
          <w:p w14:paraId="257267FB" w14:textId="2496436C" w:rsidR="00F13C4C" w:rsidRPr="00E72316" w:rsidRDefault="00F13C4C" w:rsidP="00C16447">
            <w:pPr>
              <w:pStyle w:val="Tablewriting"/>
              <w:spacing w:before="0" w:after="0"/>
              <w:rPr>
                <w:b/>
              </w:rPr>
            </w:pPr>
            <w:r>
              <w:rPr>
                <w:b/>
              </w:rPr>
              <w:t xml:space="preserve">Form, </w:t>
            </w:r>
            <w:r w:rsidRPr="00E72316">
              <w:rPr>
                <w:b/>
              </w:rPr>
              <w:t>strength</w:t>
            </w:r>
            <w:r>
              <w:rPr>
                <w:b/>
              </w:rPr>
              <w:t xml:space="preserve"> &amp; quantity</w:t>
            </w:r>
          </w:p>
        </w:tc>
        <w:tc>
          <w:tcPr>
            <w:tcW w:w="950" w:type="dxa"/>
            <w:shd w:val="clear" w:color="auto" w:fill="BFBFBF" w:themeFill="background1" w:themeFillShade="BF"/>
            <w:vAlign w:val="center"/>
          </w:tcPr>
          <w:p w14:paraId="2F4DB2CC" w14:textId="77777777" w:rsidR="00F13C4C" w:rsidRPr="00E72316" w:rsidRDefault="00F13C4C" w:rsidP="00C16447">
            <w:pPr>
              <w:pStyle w:val="Tablewriting"/>
              <w:spacing w:before="0" w:after="0"/>
              <w:rPr>
                <w:b/>
              </w:rPr>
            </w:pPr>
            <w:r w:rsidRPr="00E72316">
              <w:rPr>
                <w:b/>
              </w:rPr>
              <w:t xml:space="preserve">Initial or Change </w:t>
            </w:r>
          </w:p>
        </w:tc>
        <w:tc>
          <w:tcPr>
            <w:tcW w:w="886" w:type="dxa"/>
            <w:shd w:val="clear" w:color="auto" w:fill="BFBFBF" w:themeFill="background1" w:themeFillShade="BF"/>
            <w:vAlign w:val="center"/>
          </w:tcPr>
          <w:p w14:paraId="310BC0E8" w14:textId="23D02955" w:rsidR="00F13C4C" w:rsidRPr="00E72316" w:rsidRDefault="00F13C4C" w:rsidP="00C16447">
            <w:pPr>
              <w:pStyle w:val="Tablewriting"/>
              <w:spacing w:before="0" w:after="0"/>
              <w:rPr>
                <w:b/>
              </w:rPr>
            </w:pPr>
            <w:r w:rsidRPr="00E72316">
              <w:rPr>
                <w:b/>
              </w:rPr>
              <w:t xml:space="preserve">Initial or Change </w:t>
            </w:r>
          </w:p>
        </w:tc>
        <w:tc>
          <w:tcPr>
            <w:tcW w:w="1122" w:type="dxa"/>
            <w:shd w:val="clear" w:color="auto" w:fill="BFBFBF" w:themeFill="background1" w:themeFillShade="BF"/>
            <w:vAlign w:val="center"/>
          </w:tcPr>
          <w:p w14:paraId="3EF09A0E" w14:textId="77777777" w:rsidR="00F13C4C" w:rsidRPr="00E72316" w:rsidRDefault="00F13C4C" w:rsidP="00C16447">
            <w:pPr>
              <w:pStyle w:val="Tablewriting"/>
              <w:spacing w:before="0" w:after="0"/>
              <w:rPr>
                <w:b/>
              </w:rPr>
            </w:pPr>
            <w:r w:rsidRPr="00E72316">
              <w:rPr>
                <w:b/>
              </w:rPr>
              <w:t>Continuing</w:t>
            </w:r>
          </w:p>
        </w:tc>
        <w:tc>
          <w:tcPr>
            <w:tcW w:w="1048" w:type="dxa"/>
            <w:shd w:val="clear" w:color="auto" w:fill="BFBFBF" w:themeFill="background1" w:themeFillShade="BF"/>
            <w:vAlign w:val="center"/>
          </w:tcPr>
          <w:p w14:paraId="2AF44B04" w14:textId="2DF4D9D1" w:rsidR="00F13C4C" w:rsidRPr="00E72316" w:rsidRDefault="00F13C4C" w:rsidP="00C16447">
            <w:pPr>
              <w:pStyle w:val="Tablewriting"/>
              <w:spacing w:before="0" w:after="0"/>
              <w:rPr>
                <w:b/>
              </w:rPr>
            </w:pPr>
            <w:r w:rsidRPr="00E72316">
              <w:rPr>
                <w:b/>
              </w:rPr>
              <w:t>Continuing</w:t>
            </w:r>
          </w:p>
        </w:tc>
        <w:tc>
          <w:tcPr>
            <w:tcW w:w="1364" w:type="dxa"/>
            <w:shd w:val="clear" w:color="auto" w:fill="BFBFBF" w:themeFill="background1" w:themeFillShade="BF"/>
            <w:vAlign w:val="center"/>
          </w:tcPr>
          <w:p w14:paraId="78EE9DE9" w14:textId="77777777" w:rsidR="00F13C4C" w:rsidRPr="00E72316" w:rsidRDefault="00F13C4C" w:rsidP="00C16447">
            <w:pPr>
              <w:pStyle w:val="Tablewriting"/>
              <w:spacing w:before="0" w:after="0"/>
              <w:rPr>
                <w:b/>
              </w:rPr>
            </w:pPr>
            <w:r w:rsidRPr="00E72316">
              <w:rPr>
                <w:b/>
              </w:rPr>
              <w:t>DPMQ</w:t>
            </w:r>
          </w:p>
        </w:tc>
        <w:tc>
          <w:tcPr>
            <w:tcW w:w="1180" w:type="dxa"/>
            <w:shd w:val="clear" w:color="auto" w:fill="BFBFBF" w:themeFill="background1" w:themeFillShade="BF"/>
            <w:vAlign w:val="center"/>
          </w:tcPr>
          <w:p w14:paraId="752CDC17" w14:textId="77777777" w:rsidR="00F13C4C" w:rsidRPr="00E72316" w:rsidRDefault="00F13C4C" w:rsidP="00C16447">
            <w:pPr>
              <w:pStyle w:val="Tablewriting"/>
              <w:spacing w:before="0" w:after="0"/>
              <w:rPr>
                <w:b/>
              </w:rPr>
            </w:pPr>
            <w:r w:rsidRPr="00E72316">
              <w:rPr>
                <w:b/>
              </w:rPr>
              <w:t>Item Codes</w:t>
            </w:r>
          </w:p>
        </w:tc>
      </w:tr>
      <w:tr w:rsidR="00C16447" w14:paraId="0D29F8B2" w14:textId="77777777" w:rsidTr="00CC2EE0">
        <w:trPr>
          <w:trHeight w:val="427"/>
          <w:tblHeader/>
        </w:trPr>
        <w:tc>
          <w:tcPr>
            <w:tcW w:w="1358" w:type="dxa"/>
            <w:shd w:val="clear" w:color="auto" w:fill="BFBFBF" w:themeFill="background1" w:themeFillShade="BF"/>
          </w:tcPr>
          <w:p w14:paraId="24DD17FD" w14:textId="77777777" w:rsidR="00F13C4C" w:rsidRDefault="00F13C4C" w:rsidP="00C16447">
            <w:pPr>
              <w:pStyle w:val="Tablewriting"/>
              <w:spacing w:before="0" w:after="0"/>
            </w:pPr>
          </w:p>
        </w:tc>
        <w:tc>
          <w:tcPr>
            <w:tcW w:w="1265" w:type="dxa"/>
            <w:shd w:val="clear" w:color="auto" w:fill="BFBFBF" w:themeFill="background1" w:themeFillShade="BF"/>
          </w:tcPr>
          <w:p w14:paraId="50EE166E" w14:textId="77777777" w:rsidR="00F13C4C" w:rsidRDefault="00F13C4C" w:rsidP="00C16447">
            <w:pPr>
              <w:pStyle w:val="Tablewriting"/>
              <w:spacing w:before="0" w:after="0"/>
            </w:pPr>
          </w:p>
        </w:tc>
        <w:tc>
          <w:tcPr>
            <w:tcW w:w="950" w:type="dxa"/>
            <w:shd w:val="clear" w:color="auto" w:fill="BFBFBF" w:themeFill="background1" w:themeFillShade="BF"/>
          </w:tcPr>
          <w:p w14:paraId="58DF6BC7" w14:textId="2A318353" w:rsidR="00F13C4C" w:rsidRPr="00D56675" w:rsidRDefault="00F13C4C" w:rsidP="00C16447">
            <w:pPr>
              <w:pStyle w:val="Tablewriting"/>
              <w:spacing w:before="0" w:after="0"/>
              <w:jc w:val="center"/>
              <w:rPr>
                <w:b/>
              </w:rPr>
            </w:pPr>
            <w:r w:rsidRPr="00D56675">
              <w:rPr>
                <w:b/>
              </w:rPr>
              <w:t>Max Q</w:t>
            </w:r>
            <w:r>
              <w:rPr>
                <w:b/>
              </w:rPr>
              <w:t>uantity</w:t>
            </w:r>
          </w:p>
        </w:tc>
        <w:tc>
          <w:tcPr>
            <w:tcW w:w="886" w:type="dxa"/>
            <w:shd w:val="clear" w:color="auto" w:fill="BFBFBF" w:themeFill="background1" w:themeFillShade="BF"/>
          </w:tcPr>
          <w:p w14:paraId="0E3687C3" w14:textId="227C0E6B" w:rsidR="00F13C4C" w:rsidRPr="00D56675" w:rsidRDefault="00F13C4C" w:rsidP="00C16447">
            <w:pPr>
              <w:pStyle w:val="Tablewriting"/>
              <w:spacing w:before="0" w:after="0"/>
              <w:jc w:val="center"/>
              <w:rPr>
                <w:b/>
              </w:rPr>
            </w:pPr>
            <w:r w:rsidRPr="00D56675">
              <w:rPr>
                <w:b/>
              </w:rPr>
              <w:t>R</w:t>
            </w:r>
            <w:r>
              <w:rPr>
                <w:b/>
              </w:rPr>
              <w:t>epeat</w:t>
            </w:r>
            <w:r w:rsidRPr="00D56675">
              <w:rPr>
                <w:b/>
              </w:rPr>
              <w:t>s</w:t>
            </w:r>
          </w:p>
        </w:tc>
        <w:tc>
          <w:tcPr>
            <w:tcW w:w="1122" w:type="dxa"/>
            <w:shd w:val="clear" w:color="auto" w:fill="BFBFBF" w:themeFill="background1" w:themeFillShade="BF"/>
          </w:tcPr>
          <w:p w14:paraId="5D030ED7" w14:textId="4887DFCB" w:rsidR="00F13C4C" w:rsidRPr="00D56675" w:rsidRDefault="00F13C4C" w:rsidP="00C16447">
            <w:pPr>
              <w:pStyle w:val="Tablewriting"/>
              <w:spacing w:before="0" w:after="0"/>
              <w:jc w:val="center"/>
              <w:rPr>
                <w:b/>
              </w:rPr>
            </w:pPr>
            <w:r w:rsidRPr="00D56675">
              <w:rPr>
                <w:b/>
              </w:rPr>
              <w:t>Max Q</w:t>
            </w:r>
            <w:r>
              <w:rPr>
                <w:b/>
              </w:rPr>
              <w:t>uanti</w:t>
            </w:r>
            <w:r w:rsidRPr="00D56675">
              <w:rPr>
                <w:b/>
              </w:rPr>
              <w:t>ty</w:t>
            </w:r>
          </w:p>
        </w:tc>
        <w:tc>
          <w:tcPr>
            <w:tcW w:w="1048" w:type="dxa"/>
            <w:shd w:val="clear" w:color="auto" w:fill="BFBFBF" w:themeFill="background1" w:themeFillShade="BF"/>
          </w:tcPr>
          <w:p w14:paraId="595D477D" w14:textId="57099127" w:rsidR="00F13C4C" w:rsidRPr="00D56675" w:rsidRDefault="00F13C4C" w:rsidP="00C16447">
            <w:pPr>
              <w:pStyle w:val="Tablewriting"/>
              <w:spacing w:before="0" w:after="0"/>
              <w:jc w:val="center"/>
              <w:rPr>
                <w:b/>
              </w:rPr>
            </w:pPr>
            <w:r w:rsidRPr="00D56675">
              <w:rPr>
                <w:b/>
              </w:rPr>
              <w:t>R</w:t>
            </w:r>
            <w:r>
              <w:rPr>
                <w:b/>
              </w:rPr>
              <w:t>e</w:t>
            </w:r>
            <w:r w:rsidRPr="00D56675">
              <w:rPr>
                <w:b/>
              </w:rPr>
              <w:t>p</w:t>
            </w:r>
            <w:r>
              <w:rPr>
                <w:b/>
              </w:rPr>
              <w:t>ea</w:t>
            </w:r>
            <w:r w:rsidRPr="00D56675">
              <w:rPr>
                <w:b/>
              </w:rPr>
              <w:t>ts</w:t>
            </w:r>
          </w:p>
        </w:tc>
        <w:tc>
          <w:tcPr>
            <w:tcW w:w="1364" w:type="dxa"/>
            <w:shd w:val="clear" w:color="auto" w:fill="BFBFBF" w:themeFill="background1" w:themeFillShade="BF"/>
          </w:tcPr>
          <w:p w14:paraId="6A8C6A23" w14:textId="77777777" w:rsidR="00F13C4C" w:rsidRDefault="00F13C4C" w:rsidP="00C16447">
            <w:pPr>
              <w:pStyle w:val="Tablewriting"/>
              <w:spacing w:before="0" w:after="0"/>
              <w:jc w:val="center"/>
            </w:pPr>
          </w:p>
        </w:tc>
        <w:tc>
          <w:tcPr>
            <w:tcW w:w="1180" w:type="dxa"/>
            <w:shd w:val="clear" w:color="auto" w:fill="BFBFBF" w:themeFill="background1" w:themeFillShade="BF"/>
          </w:tcPr>
          <w:p w14:paraId="27D0B7DA" w14:textId="77777777" w:rsidR="00F13C4C" w:rsidRDefault="00F13C4C" w:rsidP="00C16447">
            <w:pPr>
              <w:pStyle w:val="Tablewriting"/>
              <w:spacing w:before="0" w:after="0"/>
              <w:jc w:val="center"/>
            </w:pPr>
          </w:p>
        </w:tc>
      </w:tr>
      <w:tr w:rsidR="00CC2EE0" w14:paraId="16E21735" w14:textId="77777777" w:rsidTr="00CC2EE0">
        <w:trPr>
          <w:tblHeader/>
        </w:trPr>
        <w:tc>
          <w:tcPr>
            <w:tcW w:w="1358" w:type="dxa"/>
          </w:tcPr>
          <w:p w14:paraId="1E36779E" w14:textId="77777777" w:rsidR="00C16447" w:rsidRDefault="00C16447" w:rsidP="00C16447">
            <w:pPr>
              <w:pStyle w:val="Tablewriting"/>
              <w:spacing w:before="0" w:after="0"/>
            </w:pPr>
            <w:proofErr w:type="spellStart"/>
            <w:r>
              <w:t>Adalimumab</w:t>
            </w:r>
            <w:proofErr w:type="spellEnd"/>
            <w:r>
              <w:t xml:space="preserve"> </w:t>
            </w:r>
            <w:r>
              <w:br/>
            </w:r>
            <w:proofErr w:type="spellStart"/>
            <w:r>
              <w:t>Humira</w:t>
            </w:r>
            <w:proofErr w:type="spellEnd"/>
            <w:r>
              <w:t>®</w:t>
            </w:r>
          </w:p>
          <w:p w14:paraId="2A97AFA8" w14:textId="77777777" w:rsidR="00C16447" w:rsidRDefault="00C16447" w:rsidP="00C16447">
            <w:pPr>
              <w:pStyle w:val="Tablewriting"/>
              <w:spacing w:before="0" w:after="0"/>
            </w:pPr>
            <w:proofErr w:type="spellStart"/>
            <w:r>
              <w:t>Abbvie</w:t>
            </w:r>
            <w:proofErr w:type="spellEnd"/>
            <w:r>
              <w:t xml:space="preserve"> Pty Ltd</w:t>
            </w:r>
          </w:p>
        </w:tc>
        <w:tc>
          <w:tcPr>
            <w:tcW w:w="1265" w:type="dxa"/>
            <w:vAlign w:val="center"/>
          </w:tcPr>
          <w:p w14:paraId="183A8FE8" w14:textId="77777777" w:rsidR="00C16447" w:rsidRDefault="00C16447" w:rsidP="00C16447">
            <w:pPr>
              <w:pStyle w:val="Tablewriting"/>
              <w:spacing w:before="0" w:after="0"/>
            </w:pPr>
            <w:r w:rsidRPr="00BE4435">
              <w:t>40</w:t>
            </w:r>
            <w:r>
              <w:t xml:space="preserve"> </w:t>
            </w:r>
            <w:r w:rsidRPr="00BE4435">
              <w:t>mg syringe, 2</w:t>
            </w:r>
          </w:p>
        </w:tc>
        <w:tc>
          <w:tcPr>
            <w:tcW w:w="950" w:type="dxa"/>
            <w:vAlign w:val="center"/>
          </w:tcPr>
          <w:p w14:paraId="19AF82E3" w14:textId="77777777" w:rsidR="00C16447" w:rsidRDefault="00C16447" w:rsidP="00C16447">
            <w:pPr>
              <w:pStyle w:val="Tablewriting"/>
              <w:spacing w:before="0" w:after="0"/>
              <w:jc w:val="center"/>
            </w:pPr>
            <w:r>
              <w:t>2</w:t>
            </w:r>
          </w:p>
        </w:tc>
        <w:tc>
          <w:tcPr>
            <w:tcW w:w="886" w:type="dxa"/>
            <w:vAlign w:val="center"/>
          </w:tcPr>
          <w:p w14:paraId="7D3CFC81" w14:textId="77777777" w:rsidR="00C16447" w:rsidRDefault="00C16447" w:rsidP="00C16447">
            <w:pPr>
              <w:pStyle w:val="Tablewriting"/>
              <w:spacing w:before="0" w:after="0"/>
              <w:jc w:val="center"/>
            </w:pPr>
            <w:r>
              <w:t>4</w:t>
            </w:r>
          </w:p>
        </w:tc>
        <w:tc>
          <w:tcPr>
            <w:tcW w:w="1122" w:type="dxa"/>
            <w:vAlign w:val="center"/>
          </w:tcPr>
          <w:p w14:paraId="27AFC9FD" w14:textId="77777777" w:rsidR="00C16447" w:rsidRDefault="00C16447" w:rsidP="00C16447">
            <w:pPr>
              <w:pStyle w:val="Tablewriting"/>
              <w:spacing w:before="0" w:after="0"/>
              <w:ind w:right="-185"/>
              <w:jc w:val="center"/>
            </w:pPr>
            <w:r>
              <w:t>2</w:t>
            </w:r>
          </w:p>
        </w:tc>
        <w:tc>
          <w:tcPr>
            <w:tcW w:w="1048" w:type="dxa"/>
            <w:vAlign w:val="center"/>
          </w:tcPr>
          <w:p w14:paraId="1DE4C2C2" w14:textId="77777777" w:rsidR="00C16447" w:rsidRDefault="00C16447" w:rsidP="00C16447">
            <w:pPr>
              <w:pStyle w:val="Tablewriting"/>
              <w:spacing w:before="0" w:after="0"/>
              <w:ind w:left="-192" w:right="-185"/>
              <w:jc w:val="center"/>
            </w:pPr>
            <w:r>
              <w:t>5</w:t>
            </w:r>
          </w:p>
        </w:tc>
        <w:tc>
          <w:tcPr>
            <w:tcW w:w="1364" w:type="dxa"/>
            <w:vAlign w:val="center"/>
          </w:tcPr>
          <w:p w14:paraId="6C1049C4" w14:textId="77777777" w:rsidR="00C16447" w:rsidRDefault="00C16447" w:rsidP="00C16447">
            <w:pPr>
              <w:pStyle w:val="Tablewriting"/>
              <w:spacing w:before="0" w:after="0"/>
              <w:jc w:val="center"/>
            </w:pPr>
            <w:r>
              <w:t>$1774.57</w:t>
            </w:r>
          </w:p>
        </w:tc>
        <w:tc>
          <w:tcPr>
            <w:tcW w:w="1180" w:type="dxa"/>
          </w:tcPr>
          <w:p w14:paraId="47EAD45F" w14:textId="77777777" w:rsidR="00C16447" w:rsidRDefault="00C16447" w:rsidP="00C16447">
            <w:pPr>
              <w:pStyle w:val="Tablewriting"/>
              <w:spacing w:before="0" w:after="0"/>
            </w:pPr>
            <w:r w:rsidRPr="00DA44CA">
              <w:t>942</w:t>
            </w:r>
            <w:r>
              <w:t>5C (initial)</w:t>
            </w:r>
            <w:r>
              <w:br/>
            </w:r>
            <w:r w:rsidRPr="00DA44CA">
              <w:t>942</w:t>
            </w:r>
            <w:r>
              <w:t xml:space="preserve">7E </w:t>
            </w:r>
            <w:r>
              <w:br/>
              <w:t>(cont.)</w:t>
            </w:r>
          </w:p>
        </w:tc>
      </w:tr>
      <w:tr w:rsidR="00CC2EE0" w14:paraId="228DD6CF" w14:textId="77777777" w:rsidTr="00CC2EE0">
        <w:trPr>
          <w:tblHeader/>
        </w:trPr>
        <w:tc>
          <w:tcPr>
            <w:tcW w:w="1358" w:type="dxa"/>
          </w:tcPr>
          <w:p w14:paraId="0F387E95" w14:textId="77777777" w:rsidR="00C16447" w:rsidRDefault="00C16447" w:rsidP="00C16447">
            <w:pPr>
              <w:pStyle w:val="Tablewriting"/>
              <w:spacing w:before="0" w:after="0"/>
            </w:pPr>
            <w:proofErr w:type="spellStart"/>
            <w:r>
              <w:t>Adalimumab</w:t>
            </w:r>
            <w:proofErr w:type="spellEnd"/>
            <w:r>
              <w:t xml:space="preserve"> </w:t>
            </w:r>
            <w:r>
              <w:br/>
            </w:r>
            <w:proofErr w:type="spellStart"/>
            <w:r>
              <w:t>Humira</w:t>
            </w:r>
            <w:proofErr w:type="spellEnd"/>
            <w:r>
              <w:t>®</w:t>
            </w:r>
          </w:p>
          <w:p w14:paraId="7AA105CC" w14:textId="055CC8E3" w:rsidR="00C16447" w:rsidRDefault="00C16447" w:rsidP="00C16447">
            <w:pPr>
              <w:pStyle w:val="Tablewriting"/>
              <w:spacing w:before="0" w:after="0"/>
            </w:pPr>
            <w:proofErr w:type="spellStart"/>
            <w:r>
              <w:t>Abbvie</w:t>
            </w:r>
            <w:proofErr w:type="spellEnd"/>
            <w:r>
              <w:t xml:space="preserve"> Pty Ltd</w:t>
            </w:r>
          </w:p>
        </w:tc>
        <w:tc>
          <w:tcPr>
            <w:tcW w:w="1265" w:type="dxa"/>
            <w:vAlign w:val="center"/>
          </w:tcPr>
          <w:p w14:paraId="0E685022" w14:textId="77777777" w:rsidR="00C16447" w:rsidRPr="00BE4435" w:rsidRDefault="00C16447" w:rsidP="00C16447">
            <w:pPr>
              <w:pStyle w:val="Tablewriting"/>
              <w:spacing w:before="0" w:after="0"/>
            </w:pPr>
            <w:r>
              <w:t>40 mg cartridge</w:t>
            </w:r>
            <w:r w:rsidRPr="00DA44CA">
              <w:t>, 2</w:t>
            </w:r>
          </w:p>
        </w:tc>
        <w:tc>
          <w:tcPr>
            <w:tcW w:w="950" w:type="dxa"/>
            <w:vAlign w:val="center"/>
          </w:tcPr>
          <w:p w14:paraId="52D6E6EA" w14:textId="77777777" w:rsidR="00C16447" w:rsidRDefault="00C16447" w:rsidP="00C16447">
            <w:pPr>
              <w:pStyle w:val="Tablewriting"/>
              <w:spacing w:before="0" w:after="0"/>
              <w:jc w:val="center"/>
            </w:pPr>
            <w:r>
              <w:t>2</w:t>
            </w:r>
          </w:p>
        </w:tc>
        <w:tc>
          <w:tcPr>
            <w:tcW w:w="886" w:type="dxa"/>
            <w:vAlign w:val="center"/>
          </w:tcPr>
          <w:p w14:paraId="1965928D" w14:textId="77777777" w:rsidR="00C16447" w:rsidRDefault="00C16447" w:rsidP="00C16447">
            <w:pPr>
              <w:pStyle w:val="Tablewriting"/>
              <w:spacing w:before="0" w:after="0"/>
              <w:jc w:val="center"/>
            </w:pPr>
            <w:r>
              <w:t>4</w:t>
            </w:r>
          </w:p>
        </w:tc>
        <w:tc>
          <w:tcPr>
            <w:tcW w:w="1122" w:type="dxa"/>
            <w:vAlign w:val="center"/>
          </w:tcPr>
          <w:p w14:paraId="68B3E225" w14:textId="77777777" w:rsidR="00C16447" w:rsidRDefault="00C16447" w:rsidP="00C16447">
            <w:pPr>
              <w:pStyle w:val="Tablewriting"/>
              <w:spacing w:before="0" w:after="0"/>
              <w:ind w:right="-185"/>
              <w:jc w:val="center"/>
            </w:pPr>
            <w:r>
              <w:t>2</w:t>
            </w:r>
          </w:p>
        </w:tc>
        <w:tc>
          <w:tcPr>
            <w:tcW w:w="1048" w:type="dxa"/>
            <w:vAlign w:val="center"/>
          </w:tcPr>
          <w:p w14:paraId="57F784C0" w14:textId="77777777" w:rsidR="00C16447" w:rsidRDefault="00C16447" w:rsidP="00C16447">
            <w:pPr>
              <w:pStyle w:val="Tablewriting"/>
              <w:spacing w:before="0" w:after="0"/>
              <w:ind w:left="-192" w:right="-185"/>
              <w:jc w:val="center"/>
            </w:pPr>
            <w:r>
              <w:t>5</w:t>
            </w:r>
          </w:p>
        </w:tc>
        <w:tc>
          <w:tcPr>
            <w:tcW w:w="1364" w:type="dxa"/>
            <w:vAlign w:val="center"/>
          </w:tcPr>
          <w:p w14:paraId="4DAC9563" w14:textId="77777777" w:rsidR="00C16447" w:rsidRDefault="00C16447" w:rsidP="00C16447">
            <w:pPr>
              <w:pStyle w:val="Tablewriting"/>
              <w:spacing w:before="0" w:after="0"/>
              <w:jc w:val="center"/>
            </w:pPr>
            <w:r w:rsidRPr="00DA44CA">
              <w:t>$1774.57</w:t>
            </w:r>
          </w:p>
        </w:tc>
        <w:tc>
          <w:tcPr>
            <w:tcW w:w="1180" w:type="dxa"/>
          </w:tcPr>
          <w:p w14:paraId="70EBD66C" w14:textId="77777777" w:rsidR="00C16447" w:rsidRDefault="00C16447" w:rsidP="00C16447">
            <w:pPr>
              <w:pStyle w:val="Tablewriting"/>
              <w:spacing w:before="0" w:after="0"/>
            </w:pPr>
            <w:r>
              <w:t>9426D (initial) 9428F</w:t>
            </w:r>
            <w:r>
              <w:br/>
              <w:t xml:space="preserve"> (cont.)</w:t>
            </w:r>
          </w:p>
        </w:tc>
      </w:tr>
      <w:tr w:rsidR="00CC2EE0" w14:paraId="053FCF31" w14:textId="77777777" w:rsidTr="00CC2EE0">
        <w:trPr>
          <w:tblHeader/>
        </w:trPr>
        <w:tc>
          <w:tcPr>
            <w:tcW w:w="1358" w:type="dxa"/>
            <w:vAlign w:val="center"/>
          </w:tcPr>
          <w:p w14:paraId="36769A7E" w14:textId="77777777" w:rsidR="00C16447" w:rsidRDefault="00C16447" w:rsidP="00C16447">
            <w:pPr>
              <w:pStyle w:val="Tablewriting"/>
              <w:spacing w:before="0" w:after="0"/>
            </w:pPr>
            <w:proofErr w:type="spellStart"/>
            <w:r>
              <w:t>Etanercept</w:t>
            </w:r>
            <w:proofErr w:type="spellEnd"/>
            <w:r>
              <w:t xml:space="preserve"> </w:t>
            </w:r>
          </w:p>
          <w:p w14:paraId="7F119EB3" w14:textId="77777777" w:rsidR="00C16447" w:rsidRDefault="00C16447" w:rsidP="00C16447">
            <w:pPr>
              <w:pStyle w:val="Tablewriting"/>
              <w:spacing w:before="0" w:after="0"/>
            </w:pPr>
            <w:r>
              <w:t>Enbrel®</w:t>
            </w:r>
          </w:p>
          <w:p w14:paraId="62022B71" w14:textId="77777777" w:rsidR="00C16447" w:rsidRDefault="00C16447" w:rsidP="00C16447">
            <w:pPr>
              <w:pStyle w:val="Tablewriting"/>
              <w:spacing w:before="0" w:after="0"/>
            </w:pPr>
            <w:r>
              <w:t>Pfizer Australia Pty Ltd</w:t>
            </w:r>
          </w:p>
        </w:tc>
        <w:tc>
          <w:tcPr>
            <w:tcW w:w="1265" w:type="dxa"/>
            <w:vAlign w:val="center"/>
          </w:tcPr>
          <w:p w14:paraId="53790607" w14:textId="77777777" w:rsidR="00C16447" w:rsidRPr="00040508" w:rsidRDefault="00C16447" w:rsidP="00C16447">
            <w:pPr>
              <w:pStyle w:val="Tablewriting"/>
              <w:spacing w:before="0" w:after="0"/>
              <w:rPr>
                <w:vertAlign w:val="superscript"/>
              </w:rPr>
            </w:pPr>
            <w:r>
              <w:t>Paediatric listing : &lt;18 years initiating and continuing (up to 24 weeks treatment)</w:t>
            </w:r>
            <w:r>
              <w:rPr>
                <w:vertAlign w:val="superscript"/>
              </w:rPr>
              <w:t>a</w:t>
            </w:r>
          </w:p>
        </w:tc>
        <w:tc>
          <w:tcPr>
            <w:tcW w:w="950" w:type="dxa"/>
            <w:vAlign w:val="center"/>
          </w:tcPr>
          <w:p w14:paraId="64E91761" w14:textId="77777777" w:rsidR="00C16447" w:rsidRPr="00040508" w:rsidRDefault="00C16447" w:rsidP="00C16447">
            <w:pPr>
              <w:pStyle w:val="Tablewriting"/>
              <w:spacing w:before="0" w:after="0"/>
              <w:rPr>
                <w:vertAlign w:val="superscript"/>
              </w:rPr>
            </w:pPr>
          </w:p>
        </w:tc>
        <w:tc>
          <w:tcPr>
            <w:tcW w:w="886" w:type="dxa"/>
            <w:vAlign w:val="center"/>
          </w:tcPr>
          <w:p w14:paraId="5D32C019" w14:textId="77777777" w:rsidR="00C16447" w:rsidRPr="00040508" w:rsidRDefault="00C16447" w:rsidP="00C16447">
            <w:pPr>
              <w:pStyle w:val="Tablewriting"/>
              <w:spacing w:before="0" w:after="0"/>
              <w:rPr>
                <w:vertAlign w:val="superscript"/>
              </w:rPr>
            </w:pPr>
          </w:p>
        </w:tc>
        <w:tc>
          <w:tcPr>
            <w:tcW w:w="1122" w:type="dxa"/>
            <w:vAlign w:val="center"/>
          </w:tcPr>
          <w:p w14:paraId="7F007371" w14:textId="77777777" w:rsidR="00C16447" w:rsidRPr="00040508" w:rsidRDefault="00C16447" w:rsidP="00C16447">
            <w:pPr>
              <w:pStyle w:val="Tablewriting"/>
              <w:spacing w:before="0" w:after="0"/>
              <w:rPr>
                <w:vertAlign w:val="superscript"/>
              </w:rPr>
            </w:pPr>
          </w:p>
        </w:tc>
        <w:tc>
          <w:tcPr>
            <w:tcW w:w="1048" w:type="dxa"/>
            <w:vAlign w:val="center"/>
          </w:tcPr>
          <w:p w14:paraId="4F59B9A0" w14:textId="77777777" w:rsidR="00C16447" w:rsidRPr="00040508" w:rsidRDefault="00C16447" w:rsidP="00C16447">
            <w:pPr>
              <w:pStyle w:val="Tablewriting"/>
              <w:spacing w:before="0" w:after="0"/>
              <w:rPr>
                <w:vertAlign w:val="superscript"/>
              </w:rPr>
            </w:pPr>
          </w:p>
        </w:tc>
        <w:tc>
          <w:tcPr>
            <w:tcW w:w="1364" w:type="dxa"/>
            <w:vAlign w:val="center"/>
          </w:tcPr>
          <w:p w14:paraId="40330777" w14:textId="77777777" w:rsidR="00C16447" w:rsidRPr="00040508" w:rsidRDefault="00C16447" w:rsidP="00C16447">
            <w:pPr>
              <w:pStyle w:val="Tablewriting"/>
              <w:spacing w:before="0" w:after="0"/>
              <w:rPr>
                <w:vertAlign w:val="superscript"/>
              </w:rPr>
            </w:pPr>
          </w:p>
        </w:tc>
        <w:tc>
          <w:tcPr>
            <w:tcW w:w="1180" w:type="dxa"/>
            <w:vAlign w:val="center"/>
          </w:tcPr>
          <w:p w14:paraId="084975FB" w14:textId="3F44F508" w:rsidR="00C16447" w:rsidRPr="00040508" w:rsidRDefault="00C16447" w:rsidP="00C16447">
            <w:pPr>
              <w:pStyle w:val="Tablewriting"/>
              <w:spacing w:before="0" w:after="0"/>
              <w:rPr>
                <w:vertAlign w:val="superscript"/>
              </w:rPr>
            </w:pPr>
          </w:p>
        </w:tc>
      </w:tr>
      <w:tr w:rsidR="00CC2EE0" w14:paraId="6571B081" w14:textId="77777777" w:rsidTr="00CC2EE0">
        <w:trPr>
          <w:tblHeader/>
        </w:trPr>
        <w:tc>
          <w:tcPr>
            <w:tcW w:w="1358" w:type="dxa"/>
          </w:tcPr>
          <w:p w14:paraId="12990B3C" w14:textId="77777777" w:rsidR="00C16447" w:rsidRDefault="00C16447" w:rsidP="00C16447">
            <w:pPr>
              <w:pStyle w:val="Tablewriting"/>
              <w:spacing w:before="0" w:after="0"/>
            </w:pPr>
            <w:proofErr w:type="spellStart"/>
            <w:r>
              <w:t>Etanercept</w:t>
            </w:r>
            <w:proofErr w:type="spellEnd"/>
            <w:r>
              <w:t xml:space="preserve"> </w:t>
            </w:r>
          </w:p>
          <w:p w14:paraId="1450A809" w14:textId="77777777" w:rsidR="00C16447" w:rsidRDefault="00C16447" w:rsidP="00C16447">
            <w:pPr>
              <w:pStyle w:val="Tablewriting"/>
              <w:spacing w:before="0" w:after="0"/>
            </w:pPr>
            <w:r>
              <w:t>Enbrel®</w:t>
            </w:r>
          </w:p>
          <w:p w14:paraId="7BFC3655" w14:textId="754B0D53" w:rsidR="00C16447" w:rsidRDefault="00C16447" w:rsidP="00C16447">
            <w:pPr>
              <w:pStyle w:val="Tablewriting"/>
              <w:spacing w:before="0" w:after="0"/>
            </w:pPr>
            <w:r>
              <w:t>Pfizer Australia Pty Ltd</w:t>
            </w:r>
          </w:p>
        </w:tc>
        <w:tc>
          <w:tcPr>
            <w:tcW w:w="1265" w:type="dxa"/>
            <w:vAlign w:val="center"/>
          </w:tcPr>
          <w:p w14:paraId="15BD492D" w14:textId="77777777" w:rsidR="00C16447" w:rsidRDefault="00C16447" w:rsidP="00C16447">
            <w:pPr>
              <w:pStyle w:val="Tablewriting"/>
              <w:spacing w:before="0" w:after="0"/>
            </w:pPr>
            <w:r>
              <w:t xml:space="preserve">50mg </w:t>
            </w:r>
            <w:proofErr w:type="spellStart"/>
            <w:r>
              <w:t>autoinjector</w:t>
            </w:r>
            <w:proofErr w:type="spellEnd"/>
            <w:r>
              <w:t>, 4</w:t>
            </w:r>
          </w:p>
        </w:tc>
        <w:tc>
          <w:tcPr>
            <w:tcW w:w="950" w:type="dxa"/>
            <w:vAlign w:val="center"/>
          </w:tcPr>
          <w:p w14:paraId="19AD0536" w14:textId="77777777" w:rsidR="00C16447" w:rsidRDefault="00C16447" w:rsidP="00C16447">
            <w:pPr>
              <w:pStyle w:val="Tablewriting"/>
              <w:spacing w:before="0" w:after="0"/>
              <w:jc w:val="center"/>
            </w:pPr>
            <w:r>
              <w:t>1</w:t>
            </w:r>
          </w:p>
        </w:tc>
        <w:tc>
          <w:tcPr>
            <w:tcW w:w="886" w:type="dxa"/>
            <w:vAlign w:val="center"/>
          </w:tcPr>
          <w:p w14:paraId="1DADB57F" w14:textId="77777777" w:rsidR="00C16447" w:rsidRDefault="00C16447" w:rsidP="00C16447">
            <w:pPr>
              <w:pStyle w:val="Tablewriting"/>
              <w:spacing w:before="0" w:after="0"/>
              <w:jc w:val="center"/>
            </w:pPr>
            <w:r>
              <w:t>3</w:t>
            </w:r>
          </w:p>
        </w:tc>
        <w:tc>
          <w:tcPr>
            <w:tcW w:w="1122" w:type="dxa"/>
            <w:vAlign w:val="center"/>
          </w:tcPr>
          <w:p w14:paraId="2C188A8D" w14:textId="77777777" w:rsidR="00C16447" w:rsidRDefault="00C16447" w:rsidP="00C16447">
            <w:pPr>
              <w:pStyle w:val="Tablewriting"/>
              <w:spacing w:before="0" w:after="0"/>
              <w:jc w:val="center"/>
            </w:pPr>
            <w:r>
              <w:t>1</w:t>
            </w:r>
          </w:p>
        </w:tc>
        <w:tc>
          <w:tcPr>
            <w:tcW w:w="1048" w:type="dxa"/>
            <w:vAlign w:val="center"/>
          </w:tcPr>
          <w:p w14:paraId="44880CA7" w14:textId="77777777" w:rsidR="00C16447" w:rsidRDefault="00C16447" w:rsidP="00C16447">
            <w:pPr>
              <w:pStyle w:val="Tablewriting"/>
              <w:spacing w:before="0" w:after="0"/>
              <w:jc w:val="center"/>
            </w:pPr>
            <w:r>
              <w:t>1</w:t>
            </w:r>
          </w:p>
        </w:tc>
        <w:tc>
          <w:tcPr>
            <w:tcW w:w="1364" w:type="dxa"/>
            <w:vAlign w:val="center"/>
          </w:tcPr>
          <w:p w14:paraId="325A3CCF" w14:textId="77777777" w:rsidR="00C16447" w:rsidRDefault="00C16447" w:rsidP="00C16447">
            <w:pPr>
              <w:pStyle w:val="Tablewriting"/>
              <w:spacing w:before="0" w:after="0"/>
              <w:jc w:val="center"/>
            </w:pPr>
            <w:r w:rsidRPr="006D3CBD">
              <w:t>$1774.5</w:t>
            </w:r>
            <w:r>
              <w:t>8</w:t>
            </w:r>
          </w:p>
        </w:tc>
        <w:tc>
          <w:tcPr>
            <w:tcW w:w="1180" w:type="dxa"/>
            <w:vAlign w:val="center"/>
          </w:tcPr>
          <w:p w14:paraId="4ADB9861" w14:textId="77777777" w:rsidR="00C16447" w:rsidRDefault="00C16447" w:rsidP="00C16447">
            <w:pPr>
              <w:pStyle w:val="Tablewriting"/>
              <w:spacing w:before="0" w:after="0"/>
            </w:pPr>
            <w:r>
              <w:t>1964J</w:t>
            </w:r>
          </w:p>
        </w:tc>
      </w:tr>
      <w:tr w:rsidR="00CC2EE0" w14:paraId="1B998BA9" w14:textId="77777777" w:rsidTr="00CC2EE0">
        <w:trPr>
          <w:tblHeader/>
        </w:trPr>
        <w:tc>
          <w:tcPr>
            <w:tcW w:w="1358" w:type="dxa"/>
          </w:tcPr>
          <w:p w14:paraId="5B4B21DC" w14:textId="77777777" w:rsidR="00C16447" w:rsidRDefault="00C16447" w:rsidP="00C16447">
            <w:pPr>
              <w:pStyle w:val="Tablewriting"/>
              <w:spacing w:before="0" w:after="0"/>
            </w:pPr>
            <w:proofErr w:type="spellStart"/>
            <w:r>
              <w:t>Etanercept</w:t>
            </w:r>
            <w:proofErr w:type="spellEnd"/>
            <w:r>
              <w:t xml:space="preserve"> </w:t>
            </w:r>
          </w:p>
          <w:p w14:paraId="6C5EE6BC" w14:textId="77777777" w:rsidR="00C16447" w:rsidRDefault="00C16447" w:rsidP="00C16447">
            <w:pPr>
              <w:pStyle w:val="Tablewriting"/>
              <w:spacing w:before="0" w:after="0"/>
            </w:pPr>
            <w:r>
              <w:t>Enbrel®</w:t>
            </w:r>
          </w:p>
          <w:p w14:paraId="558D3AF3" w14:textId="0FC6B721" w:rsidR="00C16447" w:rsidRDefault="00C16447" w:rsidP="00C16447">
            <w:pPr>
              <w:pStyle w:val="Tablewriting"/>
              <w:spacing w:before="0" w:after="0"/>
            </w:pPr>
            <w:r>
              <w:t>Pfizer Australia Pty Ltd</w:t>
            </w:r>
          </w:p>
        </w:tc>
        <w:tc>
          <w:tcPr>
            <w:tcW w:w="1265" w:type="dxa"/>
            <w:vAlign w:val="center"/>
          </w:tcPr>
          <w:p w14:paraId="261B604F" w14:textId="77777777" w:rsidR="00C16447" w:rsidRDefault="00C16447" w:rsidP="00C16447">
            <w:pPr>
              <w:pStyle w:val="Tablewriting"/>
              <w:spacing w:before="0" w:after="0"/>
            </w:pPr>
            <w:r>
              <w:t>50mg prefilled syringe, 4</w:t>
            </w:r>
          </w:p>
        </w:tc>
        <w:tc>
          <w:tcPr>
            <w:tcW w:w="950" w:type="dxa"/>
            <w:vAlign w:val="center"/>
          </w:tcPr>
          <w:p w14:paraId="034A7CFC" w14:textId="77777777" w:rsidR="00C16447" w:rsidRDefault="00C16447" w:rsidP="00C16447">
            <w:pPr>
              <w:pStyle w:val="Tablewriting"/>
              <w:spacing w:before="0" w:after="0"/>
              <w:jc w:val="center"/>
            </w:pPr>
            <w:r>
              <w:t>1</w:t>
            </w:r>
          </w:p>
        </w:tc>
        <w:tc>
          <w:tcPr>
            <w:tcW w:w="886" w:type="dxa"/>
            <w:vAlign w:val="center"/>
          </w:tcPr>
          <w:p w14:paraId="5BA9918F" w14:textId="77777777" w:rsidR="00C16447" w:rsidRDefault="00C16447" w:rsidP="00C16447">
            <w:pPr>
              <w:pStyle w:val="Tablewriting"/>
              <w:spacing w:before="0" w:after="0"/>
              <w:jc w:val="center"/>
            </w:pPr>
            <w:r>
              <w:t>3</w:t>
            </w:r>
          </w:p>
        </w:tc>
        <w:tc>
          <w:tcPr>
            <w:tcW w:w="1122" w:type="dxa"/>
            <w:vAlign w:val="center"/>
          </w:tcPr>
          <w:p w14:paraId="1341F5C5" w14:textId="77777777" w:rsidR="00C16447" w:rsidRDefault="00C16447" w:rsidP="00C16447">
            <w:pPr>
              <w:pStyle w:val="Tablewriting"/>
              <w:spacing w:before="0" w:after="0"/>
              <w:jc w:val="center"/>
            </w:pPr>
            <w:r>
              <w:t>1</w:t>
            </w:r>
          </w:p>
        </w:tc>
        <w:tc>
          <w:tcPr>
            <w:tcW w:w="1048" w:type="dxa"/>
            <w:vAlign w:val="center"/>
          </w:tcPr>
          <w:p w14:paraId="647E3060" w14:textId="77777777" w:rsidR="00C16447" w:rsidRDefault="00C16447" w:rsidP="00C16447">
            <w:pPr>
              <w:pStyle w:val="Tablewriting"/>
              <w:spacing w:before="0" w:after="0"/>
              <w:jc w:val="center"/>
            </w:pPr>
            <w:r>
              <w:t>1</w:t>
            </w:r>
          </w:p>
        </w:tc>
        <w:tc>
          <w:tcPr>
            <w:tcW w:w="1364" w:type="dxa"/>
            <w:vAlign w:val="center"/>
          </w:tcPr>
          <w:p w14:paraId="5812BA5A" w14:textId="77777777" w:rsidR="00C16447" w:rsidRDefault="00C16447" w:rsidP="00C16447">
            <w:pPr>
              <w:pStyle w:val="Tablewriting"/>
              <w:spacing w:before="0" w:after="0"/>
              <w:jc w:val="center"/>
            </w:pPr>
            <w:r w:rsidRPr="006D3CBD">
              <w:t>$1774.5</w:t>
            </w:r>
            <w:r>
              <w:t>8</w:t>
            </w:r>
          </w:p>
        </w:tc>
        <w:tc>
          <w:tcPr>
            <w:tcW w:w="1180" w:type="dxa"/>
            <w:vAlign w:val="center"/>
          </w:tcPr>
          <w:p w14:paraId="6183E29D" w14:textId="77777777" w:rsidR="00C16447" w:rsidRDefault="00C16447" w:rsidP="00C16447">
            <w:pPr>
              <w:pStyle w:val="Tablewriting"/>
              <w:spacing w:before="0" w:after="0"/>
            </w:pPr>
            <w:r>
              <w:t>1963H</w:t>
            </w:r>
          </w:p>
        </w:tc>
      </w:tr>
      <w:tr w:rsidR="00CC2EE0" w14:paraId="327CFB35" w14:textId="77777777" w:rsidTr="00CC2EE0">
        <w:trPr>
          <w:tblHeader/>
        </w:trPr>
        <w:tc>
          <w:tcPr>
            <w:tcW w:w="1358" w:type="dxa"/>
          </w:tcPr>
          <w:p w14:paraId="556C37FE" w14:textId="77777777" w:rsidR="00C16447" w:rsidRDefault="00C16447" w:rsidP="00C16447">
            <w:pPr>
              <w:pStyle w:val="Tablewriting"/>
              <w:spacing w:before="0" w:after="0"/>
            </w:pPr>
            <w:proofErr w:type="spellStart"/>
            <w:r>
              <w:t>Etanercept</w:t>
            </w:r>
            <w:proofErr w:type="spellEnd"/>
            <w:r>
              <w:t xml:space="preserve"> </w:t>
            </w:r>
          </w:p>
          <w:p w14:paraId="33ACDE4C" w14:textId="77777777" w:rsidR="00C16447" w:rsidRDefault="00C16447" w:rsidP="00C16447">
            <w:pPr>
              <w:pStyle w:val="Tablewriting"/>
              <w:spacing w:before="0" w:after="0"/>
            </w:pPr>
            <w:r>
              <w:t>Enbrel®</w:t>
            </w:r>
          </w:p>
          <w:p w14:paraId="6C8F9813" w14:textId="09D8C6FB" w:rsidR="00C16447" w:rsidRDefault="00C16447" w:rsidP="00C16447">
            <w:pPr>
              <w:pStyle w:val="Tablewriting"/>
              <w:spacing w:before="0" w:after="0"/>
            </w:pPr>
            <w:r>
              <w:t>Pfizer Australia Pty Ltd</w:t>
            </w:r>
          </w:p>
        </w:tc>
        <w:tc>
          <w:tcPr>
            <w:tcW w:w="1265" w:type="dxa"/>
            <w:vAlign w:val="center"/>
          </w:tcPr>
          <w:p w14:paraId="5BCA0E42" w14:textId="77777777" w:rsidR="00C16447" w:rsidRDefault="00C16447" w:rsidP="00C16447">
            <w:pPr>
              <w:pStyle w:val="Tablewriting"/>
              <w:spacing w:before="0" w:after="0"/>
            </w:pPr>
            <w:r>
              <w:t>25mg injection, 4</w:t>
            </w:r>
          </w:p>
        </w:tc>
        <w:tc>
          <w:tcPr>
            <w:tcW w:w="950" w:type="dxa"/>
            <w:vAlign w:val="center"/>
          </w:tcPr>
          <w:p w14:paraId="7191CF78" w14:textId="77777777" w:rsidR="00C16447" w:rsidRDefault="00C16447" w:rsidP="00C16447">
            <w:pPr>
              <w:pStyle w:val="Tablewriting"/>
              <w:spacing w:before="0" w:after="0"/>
              <w:jc w:val="center"/>
            </w:pPr>
            <w:r>
              <w:t>2</w:t>
            </w:r>
          </w:p>
        </w:tc>
        <w:tc>
          <w:tcPr>
            <w:tcW w:w="886" w:type="dxa"/>
            <w:vAlign w:val="center"/>
          </w:tcPr>
          <w:p w14:paraId="01D1121A" w14:textId="77777777" w:rsidR="00C16447" w:rsidRDefault="00C16447" w:rsidP="00C16447">
            <w:pPr>
              <w:pStyle w:val="Tablewriting"/>
              <w:spacing w:before="0" w:after="0"/>
              <w:jc w:val="center"/>
            </w:pPr>
            <w:r>
              <w:t>3</w:t>
            </w:r>
          </w:p>
        </w:tc>
        <w:tc>
          <w:tcPr>
            <w:tcW w:w="1122" w:type="dxa"/>
            <w:vAlign w:val="center"/>
          </w:tcPr>
          <w:p w14:paraId="4CB02B50" w14:textId="77777777" w:rsidR="00C16447" w:rsidRDefault="00C16447" w:rsidP="00C16447">
            <w:pPr>
              <w:pStyle w:val="Tablewriting"/>
              <w:spacing w:before="0" w:after="0"/>
              <w:jc w:val="center"/>
            </w:pPr>
            <w:r>
              <w:t>2</w:t>
            </w:r>
          </w:p>
        </w:tc>
        <w:tc>
          <w:tcPr>
            <w:tcW w:w="1048" w:type="dxa"/>
            <w:vAlign w:val="center"/>
          </w:tcPr>
          <w:p w14:paraId="1D7A7AED" w14:textId="77777777" w:rsidR="00C16447" w:rsidRDefault="00C16447" w:rsidP="00C16447">
            <w:pPr>
              <w:pStyle w:val="Tablewriting"/>
              <w:spacing w:before="0" w:after="0"/>
              <w:jc w:val="center"/>
            </w:pPr>
            <w:r>
              <w:t>1</w:t>
            </w:r>
          </w:p>
        </w:tc>
        <w:tc>
          <w:tcPr>
            <w:tcW w:w="1364" w:type="dxa"/>
          </w:tcPr>
          <w:p w14:paraId="7ECA9EED" w14:textId="77777777" w:rsidR="00C16447" w:rsidRDefault="00C16447" w:rsidP="00C16447">
            <w:pPr>
              <w:pStyle w:val="Tablewriting"/>
              <w:spacing w:before="0" w:after="0"/>
              <w:jc w:val="center"/>
            </w:pPr>
            <w:r>
              <w:t>$1774.57</w:t>
            </w:r>
          </w:p>
        </w:tc>
        <w:tc>
          <w:tcPr>
            <w:tcW w:w="1180" w:type="dxa"/>
            <w:vAlign w:val="center"/>
          </w:tcPr>
          <w:p w14:paraId="3E3FD937" w14:textId="77777777" w:rsidR="00C16447" w:rsidRDefault="00C16447" w:rsidP="00C16447">
            <w:pPr>
              <w:pStyle w:val="Tablewriting"/>
              <w:spacing w:before="0" w:after="0"/>
            </w:pPr>
            <w:r>
              <w:t>1954W</w:t>
            </w:r>
          </w:p>
        </w:tc>
      </w:tr>
      <w:tr w:rsidR="00CC2EE0" w14:paraId="6DF412B5" w14:textId="77777777" w:rsidTr="00CC2EE0">
        <w:trPr>
          <w:tblHeader/>
        </w:trPr>
        <w:tc>
          <w:tcPr>
            <w:tcW w:w="1358" w:type="dxa"/>
          </w:tcPr>
          <w:p w14:paraId="5C563597" w14:textId="77777777" w:rsidR="00CC2EE0" w:rsidRDefault="00CC2EE0" w:rsidP="00C16447">
            <w:pPr>
              <w:pStyle w:val="Tablewriting"/>
              <w:spacing w:before="0" w:after="0"/>
            </w:pPr>
            <w:proofErr w:type="spellStart"/>
            <w:r>
              <w:t>Etanercept</w:t>
            </w:r>
            <w:proofErr w:type="spellEnd"/>
            <w:r>
              <w:t xml:space="preserve"> </w:t>
            </w:r>
          </w:p>
          <w:p w14:paraId="7252DAB6" w14:textId="77777777" w:rsidR="00CC2EE0" w:rsidRDefault="00CC2EE0" w:rsidP="00C16447">
            <w:pPr>
              <w:pStyle w:val="Tablewriting"/>
              <w:spacing w:before="0" w:after="0"/>
            </w:pPr>
            <w:r>
              <w:t>Enbrel®</w:t>
            </w:r>
          </w:p>
          <w:p w14:paraId="7FBDED20" w14:textId="6F9D77CB" w:rsidR="00CC2EE0" w:rsidRDefault="00CC2EE0" w:rsidP="00C16447">
            <w:pPr>
              <w:pStyle w:val="Tablewriting"/>
              <w:spacing w:before="0" w:after="0"/>
            </w:pPr>
            <w:r>
              <w:t>Pfizer Australia Pty Ltd</w:t>
            </w:r>
          </w:p>
        </w:tc>
        <w:tc>
          <w:tcPr>
            <w:tcW w:w="1265" w:type="dxa"/>
            <w:vAlign w:val="center"/>
          </w:tcPr>
          <w:p w14:paraId="3655DE81" w14:textId="77777777" w:rsidR="00CC2EE0" w:rsidRDefault="00CC2EE0" w:rsidP="00C16447">
            <w:pPr>
              <w:pStyle w:val="Tablewriting"/>
              <w:spacing w:before="0" w:after="0"/>
            </w:pPr>
            <w:r>
              <w:t>Adult listing: &gt;18 years</w:t>
            </w:r>
          </w:p>
        </w:tc>
        <w:tc>
          <w:tcPr>
            <w:tcW w:w="950" w:type="dxa"/>
            <w:vAlign w:val="center"/>
          </w:tcPr>
          <w:p w14:paraId="1745DD06" w14:textId="77777777" w:rsidR="00CC2EE0" w:rsidRDefault="00CC2EE0" w:rsidP="00C16447">
            <w:pPr>
              <w:pStyle w:val="Tablewriting"/>
              <w:spacing w:before="0" w:after="0"/>
            </w:pPr>
          </w:p>
        </w:tc>
        <w:tc>
          <w:tcPr>
            <w:tcW w:w="886" w:type="dxa"/>
            <w:vAlign w:val="center"/>
          </w:tcPr>
          <w:p w14:paraId="6E3CE0B4" w14:textId="77777777" w:rsidR="00CC2EE0" w:rsidRDefault="00CC2EE0" w:rsidP="00C16447">
            <w:pPr>
              <w:pStyle w:val="Tablewriting"/>
              <w:spacing w:before="0" w:after="0"/>
            </w:pPr>
          </w:p>
        </w:tc>
        <w:tc>
          <w:tcPr>
            <w:tcW w:w="1122" w:type="dxa"/>
            <w:vAlign w:val="center"/>
          </w:tcPr>
          <w:p w14:paraId="30855C11" w14:textId="77777777" w:rsidR="00CC2EE0" w:rsidRDefault="00CC2EE0" w:rsidP="00C16447">
            <w:pPr>
              <w:pStyle w:val="Tablewriting"/>
              <w:spacing w:before="0" w:after="0"/>
            </w:pPr>
          </w:p>
        </w:tc>
        <w:tc>
          <w:tcPr>
            <w:tcW w:w="1048" w:type="dxa"/>
            <w:vAlign w:val="center"/>
          </w:tcPr>
          <w:p w14:paraId="0729C9A0" w14:textId="77777777" w:rsidR="00CC2EE0" w:rsidRDefault="00CC2EE0" w:rsidP="00C16447">
            <w:pPr>
              <w:pStyle w:val="Tablewriting"/>
              <w:spacing w:before="0" w:after="0"/>
            </w:pPr>
          </w:p>
        </w:tc>
        <w:tc>
          <w:tcPr>
            <w:tcW w:w="1364" w:type="dxa"/>
            <w:vAlign w:val="center"/>
          </w:tcPr>
          <w:p w14:paraId="6928C39B" w14:textId="77777777" w:rsidR="00CC2EE0" w:rsidRDefault="00CC2EE0" w:rsidP="00C16447">
            <w:pPr>
              <w:pStyle w:val="Tablewriting"/>
              <w:spacing w:before="0" w:after="0"/>
            </w:pPr>
          </w:p>
        </w:tc>
        <w:tc>
          <w:tcPr>
            <w:tcW w:w="1180" w:type="dxa"/>
            <w:vAlign w:val="center"/>
          </w:tcPr>
          <w:p w14:paraId="343EF2C4" w14:textId="155D4612" w:rsidR="00CC2EE0" w:rsidRDefault="00CC2EE0" w:rsidP="00C16447">
            <w:pPr>
              <w:pStyle w:val="Tablewriting"/>
              <w:spacing w:before="0" w:after="0"/>
            </w:pPr>
          </w:p>
        </w:tc>
      </w:tr>
      <w:tr w:rsidR="00CC2EE0" w14:paraId="7CD75002" w14:textId="77777777" w:rsidTr="00CC2EE0">
        <w:trPr>
          <w:tblHeader/>
        </w:trPr>
        <w:tc>
          <w:tcPr>
            <w:tcW w:w="1358" w:type="dxa"/>
          </w:tcPr>
          <w:p w14:paraId="0709945F" w14:textId="77777777" w:rsidR="00C16447" w:rsidRDefault="00C16447" w:rsidP="00C16447">
            <w:pPr>
              <w:pStyle w:val="Tablewriting"/>
              <w:spacing w:before="0" w:after="0"/>
            </w:pPr>
            <w:proofErr w:type="spellStart"/>
            <w:r>
              <w:t>Etanercept</w:t>
            </w:r>
            <w:proofErr w:type="spellEnd"/>
            <w:r>
              <w:t xml:space="preserve"> </w:t>
            </w:r>
          </w:p>
          <w:p w14:paraId="158DAA1A" w14:textId="77777777" w:rsidR="00C16447" w:rsidRDefault="00C16447" w:rsidP="00C16447">
            <w:pPr>
              <w:pStyle w:val="Tablewriting"/>
              <w:spacing w:before="0" w:after="0"/>
            </w:pPr>
            <w:r>
              <w:t>Enbrel®</w:t>
            </w:r>
          </w:p>
          <w:p w14:paraId="477E8ADC" w14:textId="76C353A6" w:rsidR="00C16447" w:rsidRDefault="00C16447" w:rsidP="00C16447">
            <w:pPr>
              <w:pStyle w:val="Tablewriting"/>
              <w:spacing w:before="0" w:after="0"/>
            </w:pPr>
            <w:r>
              <w:t>Pfizer Australia Pty Ltd</w:t>
            </w:r>
          </w:p>
        </w:tc>
        <w:tc>
          <w:tcPr>
            <w:tcW w:w="1265" w:type="dxa"/>
            <w:vAlign w:val="center"/>
          </w:tcPr>
          <w:p w14:paraId="5CA20358" w14:textId="77777777" w:rsidR="00C16447" w:rsidRDefault="00C16447" w:rsidP="00C16447">
            <w:pPr>
              <w:pStyle w:val="Tablewriting"/>
              <w:spacing w:before="0" w:after="0"/>
            </w:pPr>
            <w:r>
              <w:t xml:space="preserve">50mg </w:t>
            </w:r>
            <w:proofErr w:type="spellStart"/>
            <w:r>
              <w:t>autoinjector</w:t>
            </w:r>
            <w:proofErr w:type="spellEnd"/>
            <w:r>
              <w:t>, 4</w:t>
            </w:r>
          </w:p>
        </w:tc>
        <w:tc>
          <w:tcPr>
            <w:tcW w:w="950" w:type="dxa"/>
            <w:vAlign w:val="center"/>
          </w:tcPr>
          <w:p w14:paraId="4E67369D" w14:textId="77777777" w:rsidR="00C16447" w:rsidRDefault="00C16447" w:rsidP="00C16447">
            <w:pPr>
              <w:pStyle w:val="Tablewriting"/>
              <w:spacing w:before="0" w:after="0"/>
              <w:jc w:val="center"/>
            </w:pPr>
            <w:r>
              <w:t>1</w:t>
            </w:r>
          </w:p>
        </w:tc>
        <w:tc>
          <w:tcPr>
            <w:tcW w:w="886" w:type="dxa"/>
            <w:vAlign w:val="center"/>
          </w:tcPr>
          <w:p w14:paraId="68A6F13C" w14:textId="77777777" w:rsidR="00C16447" w:rsidRDefault="00C16447" w:rsidP="00C16447">
            <w:pPr>
              <w:pStyle w:val="Tablewriting"/>
              <w:spacing w:before="0" w:after="0"/>
              <w:jc w:val="center"/>
            </w:pPr>
            <w:r>
              <w:t>3</w:t>
            </w:r>
          </w:p>
        </w:tc>
        <w:tc>
          <w:tcPr>
            <w:tcW w:w="1122" w:type="dxa"/>
            <w:vAlign w:val="center"/>
          </w:tcPr>
          <w:p w14:paraId="67818095" w14:textId="77777777" w:rsidR="00C16447" w:rsidRDefault="00C16447" w:rsidP="00C16447">
            <w:pPr>
              <w:pStyle w:val="Tablewriting"/>
              <w:spacing w:before="0" w:after="0"/>
              <w:jc w:val="center"/>
            </w:pPr>
            <w:r>
              <w:t>1</w:t>
            </w:r>
          </w:p>
        </w:tc>
        <w:tc>
          <w:tcPr>
            <w:tcW w:w="1048" w:type="dxa"/>
            <w:vAlign w:val="center"/>
          </w:tcPr>
          <w:p w14:paraId="6E2EC2A5" w14:textId="77777777" w:rsidR="00C16447" w:rsidRDefault="00C16447" w:rsidP="00C16447">
            <w:pPr>
              <w:pStyle w:val="Tablewriting"/>
              <w:spacing w:before="0" w:after="0"/>
              <w:jc w:val="center"/>
            </w:pPr>
            <w:r>
              <w:t>5</w:t>
            </w:r>
          </w:p>
        </w:tc>
        <w:tc>
          <w:tcPr>
            <w:tcW w:w="1364" w:type="dxa"/>
            <w:vAlign w:val="center"/>
          </w:tcPr>
          <w:p w14:paraId="12EE3113" w14:textId="77777777" w:rsidR="00C16447" w:rsidRDefault="00C16447" w:rsidP="00C16447">
            <w:pPr>
              <w:pStyle w:val="Tablewriting"/>
              <w:spacing w:before="0" w:after="0"/>
              <w:jc w:val="center"/>
            </w:pPr>
            <w:r w:rsidRPr="006D3CBD">
              <w:t>$1774.5</w:t>
            </w:r>
            <w:r>
              <w:t>8</w:t>
            </w:r>
          </w:p>
        </w:tc>
        <w:tc>
          <w:tcPr>
            <w:tcW w:w="1180" w:type="dxa"/>
            <w:vAlign w:val="center"/>
          </w:tcPr>
          <w:p w14:paraId="56DD666A" w14:textId="77777777" w:rsidR="00C16447" w:rsidRDefault="00C16447" w:rsidP="00C16447">
            <w:pPr>
              <w:pStyle w:val="Tablewriting"/>
              <w:spacing w:before="0" w:after="0"/>
            </w:pPr>
            <w:r>
              <w:t>9461Y (initial)</w:t>
            </w:r>
          </w:p>
          <w:p w14:paraId="06AED969" w14:textId="77777777" w:rsidR="00C16447" w:rsidRDefault="00C16447" w:rsidP="00C16447">
            <w:pPr>
              <w:pStyle w:val="Tablewriting"/>
              <w:spacing w:before="0" w:after="0"/>
            </w:pPr>
            <w:r>
              <w:t>9462B (cont.)</w:t>
            </w:r>
          </w:p>
        </w:tc>
      </w:tr>
      <w:tr w:rsidR="00CC2EE0" w14:paraId="6005E2FB" w14:textId="77777777" w:rsidTr="00CC2EE0">
        <w:trPr>
          <w:tblHeader/>
        </w:trPr>
        <w:tc>
          <w:tcPr>
            <w:tcW w:w="1358" w:type="dxa"/>
          </w:tcPr>
          <w:p w14:paraId="3E6D0DF4" w14:textId="77777777" w:rsidR="00C16447" w:rsidRDefault="00C16447" w:rsidP="00C16447">
            <w:pPr>
              <w:pStyle w:val="Tablewriting"/>
              <w:spacing w:before="0" w:after="0"/>
            </w:pPr>
            <w:proofErr w:type="spellStart"/>
            <w:r>
              <w:t>Etanercept</w:t>
            </w:r>
            <w:proofErr w:type="spellEnd"/>
            <w:r>
              <w:t xml:space="preserve"> </w:t>
            </w:r>
          </w:p>
          <w:p w14:paraId="78BD0CD9" w14:textId="77777777" w:rsidR="00C16447" w:rsidRDefault="00C16447" w:rsidP="00C16447">
            <w:pPr>
              <w:pStyle w:val="Tablewriting"/>
              <w:spacing w:before="0" w:after="0"/>
            </w:pPr>
            <w:r>
              <w:t>Enbrel®</w:t>
            </w:r>
          </w:p>
          <w:p w14:paraId="6B2545C6" w14:textId="07A2DE6A" w:rsidR="00C16447" w:rsidRDefault="00C16447" w:rsidP="00C16447">
            <w:pPr>
              <w:pStyle w:val="Tablewriting"/>
              <w:spacing w:before="0" w:after="0"/>
            </w:pPr>
            <w:r>
              <w:t>Pfizer Australia Pty Ltd</w:t>
            </w:r>
          </w:p>
        </w:tc>
        <w:tc>
          <w:tcPr>
            <w:tcW w:w="1265" w:type="dxa"/>
            <w:vAlign w:val="center"/>
          </w:tcPr>
          <w:p w14:paraId="0FF2B019" w14:textId="77777777" w:rsidR="00C16447" w:rsidRDefault="00C16447" w:rsidP="00C16447">
            <w:pPr>
              <w:pStyle w:val="Tablewriting"/>
              <w:spacing w:before="0" w:after="0"/>
            </w:pPr>
            <w:r>
              <w:t>50mg prefilled syringe, 4</w:t>
            </w:r>
          </w:p>
        </w:tc>
        <w:tc>
          <w:tcPr>
            <w:tcW w:w="950" w:type="dxa"/>
            <w:vAlign w:val="center"/>
          </w:tcPr>
          <w:p w14:paraId="6C5A6999" w14:textId="77777777" w:rsidR="00C16447" w:rsidRDefault="00C16447" w:rsidP="00C16447">
            <w:pPr>
              <w:pStyle w:val="Tablewriting"/>
              <w:spacing w:before="0" w:after="0"/>
              <w:jc w:val="center"/>
            </w:pPr>
            <w:r>
              <w:t>1</w:t>
            </w:r>
          </w:p>
        </w:tc>
        <w:tc>
          <w:tcPr>
            <w:tcW w:w="886" w:type="dxa"/>
            <w:vAlign w:val="center"/>
          </w:tcPr>
          <w:p w14:paraId="63920D76" w14:textId="77777777" w:rsidR="00C16447" w:rsidRDefault="00C16447" w:rsidP="00C16447">
            <w:pPr>
              <w:pStyle w:val="Tablewriting"/>
              <w:spacing w:before="0" w:after="0"/>
              <w:jc w:val="center"/>
            </w:pPr>
            <w:r>
              <w:t>3</w:t>
            </w:r>
          </w:p>
        </w:tc>
        <w:tc>
          <w:tcPr>
            <w:tcW w:w="1122" w:type="dxa"/>
            <w:vAlign w:val="center"/>
          </w:tcPr>
          <w:p w14:paraId="751B63DF" w14:textId="77777777" w:rsidR="00C16447" w:rsidRDefault="00C16447" w:rsidP="00C16447">
            <w:pPr>
              <w:pStyle w:val="Tablewriting"/>
              <w:spacing w:before="0" w:after="0"/>
              <w:jc w:val="center"/>
            </w:pPr>
            <w:r>
              <w:t>1</w:t>
            </w:r>
          </w:p>
        </w:tc>
        <w:tc>
          <w:tcPr>
            <w:tcW w:w="1048" w:type="dxa"/>
            <w:vAlign w:val="center"/>
          </w:tcPr>
          <w:p w14:paraId="36D35374" w14:textId="77777777" w:rsidR="00C16447" w:rsidRDefault="00C16447" w:rsidP="00C16447">
            <w:pPr>
              <w:pStyle w:val="Tablewriting"/>
              <w:spacing w:before="0" w:after="0"/>
              <w:jc w:val="center"/>
            </w:pPr>
            <w:r>
              <w:t>5</w:t>
            </w:r>
          </w:p>
        </w:tc>
        <w:tc>
          <w:tcPr>
            <w:tcW w:w="1364" w:type="dxa"/>
            <w:vAlign w:val="center"/>
          </w:tcPr>
          <w:p w14:paraId="64356321" w14:textId="77777777" w:rsidR="00C16447" w:rsidRDefault="00C16447" w:rsidP="00C16447">
            <w:pPr>
              <w:pStyle w:val="Tablewriting"/>
              <w:spacing w:before="0" w:after="0"/>
              <w:jc w:val="center"/>
            </w:pPr>
            <w:r w:rsidRPr="006D3CBD">
              <w:t>$1774.5</w:t>
            </w:r>
            <w:r>
              <w:t>8</w:t>
            </w:r>
          </w:p>
        </w:tc>
        <w:tc>
          <w:tcPr>
            <w:tcW w:w="1180" w:type="dxa"/>
            <w:vAlign w:val="center"/>
          </w:tcPr>
          <w:p w14:paraId="6F28C898" w14:textId="77777777" w:rsidR="00C16447" w:rsidRDefault="00C16447" w:rsidP="00C16447">
            <w:pPr>
              <w:pStyle w:val="Tablewriting"/>
              <w:spacing w:before="0" w:after="0"/>
            </w:pPr>
            <w:r>
              <w:t>9091L (initial)</w:t>
            </w:r>
          </w:p>
          <w:p w14:paraId="0AA466BC" w14:textId="77777777" w:rsidR="00C16447" w:rsidRDefault="00C16447" w:rsidP="00C16447">
            <w:pPr>
              <w:pStyle w:val="Tablewriting"/>
              <w:spacing w:before="0" w:after="0"/>
            </w:pPr>
            <w:r>
              <w:t>9431J (cont.)</w:t>
            </w:r>
          </w:p>
        </w:tc>
      </w:tr>
      <w:tr w:rsidR="00CC2EE0" w14:paraId="0A75920A" w14:textId="77777777" w:rsidTr="00CC2EE0">
        <w:trPr>
          <w:tblHeader/>
        </w:trPr>
        <w:tc>
          <w:tcPr>
            <w:tcW w:w="1358" w:type="dxa"/>
          </w:tcPr>
          <w:p w14:paraId="0E3B4C79" w14:textId="77777777" w:rsidR="00C16447" w:rsidRDefault="00C16447" w:rsidP="00C16447">
            <w:pPr>
              <w:pStyle w:val="Tablewriting"/>
              <w:spacing w:before="0" w:after="0"/>
            </w:pPr>
            <w:proofErr w:type="spellStart"/>
            <w:r>
              <w:lastRenderedPageBreak/>
              <w:t>Etanercept</w:t>
            </w:r>
            <w:proofErr w:type="spellEnd"/>
            <w:r>
              <w:t xml:space="preserve"> </w:t>
            </w:r>
          </w:p>
          <w:p w14:paraId="13F167C5" w14:textId="77777777" w:rsidR="00C16447" w:rsidRDefault="00C16447" w:rsidP="00C16447">
            <w:pPr>
              <w:pStyle w:val="Tablewriting"/>
              <w:spacing w:before="0" w:after="0"/>
            </w:pPr>
            <w:r>
              <w:t>Enbrel®</w:t>
            </w:r>
          </w:p>
          <w:p w14:paraId="5CE1A939" w14:textId="2F26B1AE" w:rsidR="00C16447" w:rsidRDefault="00C16447" w:rsidP="00C16447">
            <w:pPr>
              <w:pStyle w:val="Tablewriting"/>
              <w:spacing w:before="0" w:after="0"/>
            </w:pPr>
            <w:r>
              <w:t>Pfizer Australia Pty Ltd</w:t>
            </w:r>
          </w:p>
        </w:tc>
        <w:tc>
          <w:tcPr>
            <w:tcW w:w="1265" w:type="dxa"/>
            <w:vAlign w:val="center"/>
          </w:tcPr>
          <w:p w14:paraId="5825DB14" w14:textId="77777777" w:rsidR="00C16447" w:rsidRDefault="00C16447" w:rsidP="00C16447">
            <w:pPr>
              <w:pStyle w:val="Tablewriting"/>
              <w:spacing w:before="0" w:after="0"/>
            </w:pPr>
            <w:r>
              <w:t>25mg injection, 4</w:t>
            </w:r>
          </w:p>
        </w:tc>
        <w:tc>
          <w:tcPr>
            <w:tcW w:w="950" w:type="dxa"/>
            <w:vAlign w:val="center"/>
          </w:tcPr>
          <w:p w14:paraId="3F527345" w14:textId="77777777" w:rsidR="00C16447" w:rsidRDefault="00C16447" w:rsidP="00C16447">
            <w:pPr>
              <w:pStyle w:val="Tablewriting"/>
              <w:spacing w:before="0" w:after="0"/>
              <w:jc w:val="center"/>
            </w:pPr>
            <w:r>
              <w:t>2</w:t>
            </w:r>
          </w:p>
        </w:tc>
        <w:tc>
          <w:tcPr>
            <w:tcW w:w="886" w:type="dxa"/>
            <w:vAlign w:val="center"/>
          </w:tcPr>
          <w:p w14:paraId="591CF236" w14:textId="77777777" w:rsidR="00C16447" w:rsidRDefault="00C16447" w:rsidP="00C16447">
            <w:pPr>
              <w:pStyle w:val="Tablewriting"/>
              <w:spacing w:before="0" w:after="0"/>
              <w:jc w:val="center"/>
            </w:pPr>
            <w:r>
              <w:t>3</w:t>
            </w:r>
          </w:p>
        </w:tc>
        <w:tc>
          <w:tcPr>
            <w:tcW w:w="1122" w:type="dxa"/>
            <w:vAlign w:val="center"/>
          </w:tcPr>
          <w:p w14:paraId="4684DAC8" w14:textId="77777777" w:rsidR="00C16447" w:rsidRDefault="00C16447" w:rsidP="00C16447">
            <w:pPr>
              <w:pStyle w:val="Tablewriting"/>
              <w:spacing w:before="0" w:after="0"/>
              <w:jc w:val="center"/>
            </w:pPr>
            <w:r>
              <w:t>2</w:t>
            </w:r>
          </w:p>
        </w:tc>
        <w:tc>
          <w:tcPr>
            <w:tcW w:w="1048" w:type="dxa"/>
            <w:vAlign w:val="center"/>
          </w:tcPr>
          <w:p w14:paraId="71CA0A56" w14:textId="77777777" w:rsidR="00C16447" w:rsidRDefault="00C16447" w:rsidP="00C16447">
            <w:pPr>
              <w:pStyle w:val="Tablewriting"/>
              <w:spacing w:before="0" w:after="0"/>
              <w:jc w:val="center"/>
            </w:pPr>
            <w:r>
              <w:t>5</w:t>
            </w:r>
          </w:p>
        </w:tc>
        <w:tc>
          <w:tcPr>
            <w:tcW w:w="1364" w:type="dxa"/>
            <w:vAlign w:val="center"/>
          </w:tcPr>
          <w:p w14:paraId="6EFB83B8" w14:textId="77777777" w:rsidR="00C16447" w:rsidRDefault="00C16447" w:rsidP="00C16447">
            <w:pPr>
              <w:pStyle w:val="Tablewriting"/>
              <w:spacing w:before="0" w:after="0"/>
              <w:jc w:val="center"/>
            </w:pPr>
            <w:r>
              <w:t>$1774.57</w:t>
            </w:r>
          </w:p>
        </w:tc>
        <w:tc>
          <w:tcPr>
            <w:tcW w:w="1180" w:type="dxa"/>
            <w:vAlign w:val="center"/>
          </w:tcPr>
          <w:p w14:paraId="41F91B10" w14:textId="77777777" w:rsidR="00C16447" w:rsidRDefault="00C16447" w:rsidP="00C16447">
            <w:pPr>
              <w:pStyle w:val="Tablewriting"/>
              <w:spacing w:before="0" w:after="0"/>
            </w:pPr>
            <w:r>
              <w:t>9037P (initial)</w:t>
            </w:r>
          </w:p>
          <w:p w14:paraId="0C8FF9FA" w14:textId="77777777" w:rsidR="00C16447" w:rsidRDefault="00C16447" w:rsidP="00C16447">
            <w:pPr>
              <w:pStyle w:val="Tablewriting"/>
              <w:spacing w:before="0" w:after="0"/>
            </w:pPr>
            <w:r>
              <w:t>9429G (cont.)</w:t>
            </w:r>
          </w:p>
        </w:tc>
      </w:tr>
      <w:tr w:rsidR="00CC2EE0" w14:paraId="771E3C07" w14:textId="77777777" w:rsidTr="00CC2EE0">
        <w:trPr>
          <w:tblHeader/>
        </w:trPr>
        <w:tc>
          <w:tcPr>
            <w:tcW w:w="1358" w:type="dxa"/>
          </w:tcPr>
          <w:p w14:paraId="5B702F2C" w14:textId="77777777" w:rsidR="00F13C4C" w:rsidRDefault="00F13C4C" w:rsidP="00C16447">
            <w:pPr>
              <w:pStyle w:val="Tablewriting"/>
              <w:spacing w:before="0" w:after="0"/>
            </w:pPr>
            <w:r>
              <w:t>Infliximab</w:t>
            </w:r>
          </w:p>
          <w:p w14:paraId="79CE84E5" w14:textId="77777777" w:rsidR="00F13C4C" w:rsidRDefault="00F13C4C" w:rsidP="00C16447">
            <w:pPr>
              <w:pStyle w:val="Tablewriting"/>
              <w:spacing w:before="0" w:after="0"/>
            </w:pPr>
            <w:proofErr w:type="spellStart"/>
            <w:r>
              <w:t>Remicade</w:t>
            </w:r>
            <w:proofErr w:type="spellEnd"/>
            <w:r>
              <w:rPr>
                <w:rFonts w:ascii="Calibri" w:hAnsi="Calibri"/>
              </w:rPr>
              <w:t>®</w:t>
            </w:r>
          </w:p>
          <w:p w14:paraId="02CD4433" w14:textId="77777777" w:rsidR="00F13C4C" w:rsidRDefault="00F13C4C" w:rsidP="00C16447">
            <w:pPr>
              <w:pStyle w:val="Tablewriting"/>
              <w:spacing w:before="0" w:after="0"/>
            </w:pPr>
            <w:r w:rsidRPr="00D16ED5">
              <w:t>Janssen-</w:t>
            </w:r>
            <w:proofErr w:type="spellStart"/>
            <w:r w:rsidRPr="00D16ED5">
              <w:t>Cilag</w:t>
            </w:r>
            <w:proofErr w:type="spellEnd"/>
            <w:r w:rsidRPr="00D16ED5">
              <w:t xml:space="preserve"> Pty Ltd</w:t>
            </w:r>
          </w:p>
        </w:tc>
        <w:tc>
          <w:tcPr>
            <w:tcW w:w="1265" w:type="dxa"/>
            <w:vAlign w:val="center"/>
          </w:tcPr>
          <w:p w14:paraId="17BE0783" w14:textId="77777777" w:rsidR="00F13C4C" w:rsidRDefault="00F13C4C" w:rsidP="00C16447">
            <w:pPr>
              <w:pStyle w:val="Tablewriting"/>
              <w:spacing w:before="0" w:after="0"/>
            </w:pPr>
            <w:r>
              <w:t>100 mg injection, 1</w:t>
            </w:r>
          </w:p>
        </w:tc>
        <w:tc>
          <w:tcPr>
            <w:tcW w:w="950" w:type="dxa"/>
            <w:vAlign w:val="center"/>
          </w:tcPr>
          <w:p w14:paraId="7032DBCB" w14:textId="77777777" w:rsidR="00F13C4C" w:rsidRPr="003C31AC" w:rsidRDefault="00F13C4C" w:rsidP="00C16447">
            <w:pPr>
              <w:pStyle w:val="Tablewriting"/>
              <w:spacing w:before="0" w:after="0"/>
              <w:jc w:val="center"/>
              <w:rPr>
                <w:vertAlign w:val="superscript"/>
              </w:rPr>
            </w:pPr>
            <w:r>
              <w:t>1</w:t>
            </w:r>
            <w:r>
              <w:rPr>
                <w:vertAlign w:val="superscript"/>
              </w:rPr>
              <w:t>b</w:t>
            </w:r>
          </w:p>
        </w:tc>
        <w:tc>
          <w:tcPr>
            <w:tcW w:w="886" w:type="dxa"/>
            <w:vAlign w:val="center"/>
          </w:tcPr>
          <w:p w14:paraId="6A26FC38" w14:textId="77777777" w:rsidR="00F13C4C" w:rsidRDefault="00F13C4C" w:rsidP="00C16447">
            <w:pPr>
              <w:pStyle w:val="Tablewriting"/>
              <w:spacing w:before="0" w:after="0"/>
              <w:jc w:val="center"/>
            </w:pPr>
            <w:r>
              <w:t>3</w:t>
            </w:r>
          </w:p>
        </w:tc>
        <w:tc>
          <w:tcPr>
            <w:tcW w:w="1122" w:type="dxa"/>
            <w:vAlign w:val="center"/>
          </w:tcPr>
          <w:p w14:paraId="74A6EBBF" w14:textId="77777777" w:rsidR="00F13C4C" w:rsidRPr="003C31AC" w:rsidRDefault="00F13C4C" w:rsidP="00C16447">
            <w:pPr>
              <w:pStyle w:val="Tablewriting"/>
              <w:spacing w:before="0" w:after="0"/>
              <w:jc w:val="center"/>
              <w:rPr>
                <w:vertAlign w:val="superscript"/>
              </w:rPr>
            </w:pPr>
            <w:r>
              <w:t>1</w:t>
            </w:r>
            <w:r>
              <w:rPr>
                <w:vertAlign w:val="superscript"/>
              </w:rPr>
              <w:t>b</w:t>
            </w:r>
          </w:p>
        </w:tc>
        <w:tc>
          <w:tcPr>
            <w:tcW w:w="1048" w:type="dxa"/>
            <w:vAlign w:val="center"/>
          </w:tcPr>
          <w:p w14:paraId="42AF04CF" w14:textId="77777777" w:rsidR="00F13C4C" w:rsidRDefault="00F13C4C" w:rsidP="00C16447">
            <w:pPr>
              <w:pStyle w:val="Tablewriting"/>
              <w:spacing w:before="0" w:after="0"/>
              <w:jc w:val="center"/>
            </w:pPr>
            <w:r>
              <w:t>2</w:t>
            </w:r>
          </w:p>
        </w:tc>
        <w:tc>
          <w:tcPr>
            <w:tcW w:w="1364" w:type="dxa"/>
            <w:vAlign w:val="center"/>
          </w:tcPr>
          <w:p w14:paraId="4F584DCB" w14:textId="77777777" w:rsidR="00F13C4C" w:rsidRDefault="00F13C4C" w:rsidP="00C16447">
            <w:pPr>
              <w:pStyle w:val="Tablewriting"/>
              <w:spacing w:before="0" w:after="0"/>
              <w:jc w:val="center"/>
            </w:pPr>
            <w:r>
              <w:t>$751.70 (public)</w:t>
            </w:r>
          </w:p>
          <w:p w14:paraId="09AD415C" w14:textId="77777777" w:rsidR="00F13C4C" w:rsidRDefault="00F13C4C" w:rsidP="00C16447">
            <w:pPr>
              <w:pStyle w:val="Tablewriting"/>
              <w:spacing w:before="0" w:after="0"/>
              <w:jc w:val="center"/>
            </w:pPr>
            <w:r>
              <w:t>$788.40 (private)</w:t>
            </w:r>
          </w:p>
        </w:tc>
        <w:tc>
          <w:tcPr>
            <w:tcW w:w="1180" w:type="dxa"/>
            <w:vAlign w:val="center"/>
          </w:tcPr>
          <w:p w14:paraId="56B12D61" w14:textId="77777777" w:rsidR="00F13C4C" w:rsidRDefault="00F13C4C" w:rsidP="00C16447">
            <w:pPr>
              <w:pStyle w:val="Tablewriting"/>
              <w:spacing w:before="0" w:after="0"/>
            </w:pPr>
            <w:r>
              <w:t>5758C (public)</w:t>
            </w:r>
          </w:p>
          <w:p w14:paraId="6626BC9A" w14:textId="77777777" w:rsidR="00F13C4C" w:rsidRDefault="00F13C4C" w:rsidP="00C16447">
            <w:pPr>
              <w:pStyle w:val="Tablewriting"/>
              <w:spacing w:before="0" w:after="0"/>
            </w:pPr>
            <w:r>
              <w:t>9617E (private)</w:t>
            </w:r>
          </w:p>
        </w:tc>
      </w:tr>
      <w:tr w:rsidR="00CC2EE0" w14:paraId="4AB5C99D" w14:textId="77777777" w:rsidTr="00CC2EE0">
        <w:trPr>
          <w:tblHeader/>
        </w:trPr>
        <w:tc>
          <w:tcPr>
            <w:tcW w:w="1358" w:type="dxa"/>
          </w:tcPr>
          <w:p w14:paraId="5DF1E1CF" w14:textId="77777777" w:rsidR="00F13C4C" w:rsidRDefault="00F13C4C" w:rsidP="00C16447">
            <w:pPr>
              <w:pStyle w:val="Tablewriting"/>
              <w:spacing w:before="0" w:after="0"/>
            </w:pPr>
            <w:proofErr w:type="spellStart"/>
            <w:r>
              <w:t>Ustekinumab</w:t>
            </w:r>
            <w:proofErr w:type="spellEnd"/>
          </w:p>
          <w:p w14:paraId="2370B96A" w14:textId="77777777" w:rsidR="00F13C4C" w:rsidRDefault="00F13C4C" w:rsidP="00C16447">
            <w:pPr>
              <w:pStyle w:val="Tablewriting"/>
              <w:spacing w:before="0" w:after="0"/>
            </w:pPr>
            <w:proofErr w:type="spellStart"/>
            <w:r>
              <w:t>Stelara</w:t>
            </w:r>
            <w:proofErr w:type="spellEnd"/>
            <w:r>
              <w:rPr>
                <w:rFonts w:ascii="Calibri" w:hAnsi="Calibri"/>
              </w:rPr>
              <w:t>®</w:t>
            </w:r>
          </w:p>
          <w:p w14:paraId="3685CA9C" w14:textId="77777777" w:rsidR="00F13C4C" w:rsidRDefault="00F13C4C" w:rsidP="00C16447">
            <w:pPr>
              <w:pStyle w:val="Tablewriting"/>
              <w:spacing w:before="0" w:after="0"/>
            </w:pPr>
            <w:r w:rsidRPr="00D16ED5">
              <w:t>Janssen-</w:t>
            </w:r>
            <w:proofErr w:type="spellStart"/>
            <w:r w:rsidRPr="00D16ED5">
              <w:t>Cilag</w:t>
            </w:r>
            <w:proofErr w:type="spellEnd"/>
            <w:r w:rsidRPr="00D16ED5">
              <w:t xml:space="preserve"> Pty Ltd</w:t>
            </w:r>
          </w:p>
        </w:tc>
        <w:tc>
          <w:tcPr>
            <w:tcW w:w="1265" w:type="dxa"/>
            <w:vAlign w:val="center"/>
          </w:tcPr>
          <w:p w14:paraId="45BA97DE" w14:textId="77777777" w:rsidR="00F13C4C" w:rsidRDefault="00F13C4C" w:rsidP="00C16447">
            <w:pPr>
              <w:pStyle w:val="Tablewriting"/>
              <w:spacing w:before="0" w:after="0"/>
            </w:pPr>
            <w:r>
              <w:t>45 mg injection, 1</w:t>
            </w:r>
          </w:p>
        </w:tc>
        <w:tc>
          <w:tcPr>
            <w:tcW w:w="950" w:type="dxa"/>
            <w:vAlign w:val="center"/>
          </w:tcPr>
          <w:p w14:paraId="2260E748" w14:textId="77777777" w:rsidR="00F13C4C" w:rsidRDefault="00F13C4C" w:rsidP="00C16447">
            <w:pPr>
              <w:pStyle w:val="Tablewriting"/>
              <w:spacing w:before="0" w:after="0"/>
              <w:jc w:val="center"/>
            </w:pPr>
            <w:r>
              <w:t>1</w:t>
            </w:r>
          </w:p>
          <w:p w14:paraId="7A958181" w14:textId="77777777" w:rsidR="00F13C4C" w:rsidRDefault="00F13C4C" w:rsidP="00C16447">
            <w:pPr>
              <w:pStyle w:val="Tablewriting"/>
              <w:spacing w:before="0" w:after="0"/>
              <w:jc w:val="center"/>
            </w:pPr>
            <w:r>
              <w:t xml:space="preserve">2 if </w:t>
            </w:r>
            <w:r>
              <w:br/>
              <w:t>&gt;100kg</w:t>
            </w:r>
          </w:p>
        </w:tc>
        <w:tc>
          <w:tcPr>
            <w:tcW w:w="886" w:type="dxa"/>
            <w:vAlign w:val="center"/>
          </w:tcPr>
          <w:p w14:paraId="54963596" w14:textId="77777777" w:rsidR="00F13C4C" w:rsidRDefault="00F13C4C" w:rsidP="00C16447">
            <w:pPr>
              <w:pStyle w:val="Tablewriting"/>
              <w:spacing w:before="0" w:after="0"/>
              <w:jc w:val="center"/>
            </w:pPr>
            <w:r>
              <w:t>2</w:t>
            </w:r>
          </w:p>
        </w:tc>
        <w:tc>
          <w:tcPr>
            <w:tcW w:w="1122" w:type="dxa"/>
            <w:vAlign w:val="center"/>
          </w:tcPr>
          <w:p w14:paraId="2192A1C6" w14:textId="77777777" w:rsidR="00F13C4C" w:rsidRDefault="00F13C4C" w:rsidP="00C16447">
            <w:pPr>
              <w:pStyle w:val="Tablewriting"/>
              <w:spacing w:before="0" w:after="0"/>
              <w:jc w:val="center"/>
            </w:pPr>
            <w:r>
              <w:t>1</w:t>
            </w:r>
          </w:p>
          <w:p w14:paraId="1154DA16" w14:textId="77777777" w:rsidR="00F13C4C" w:rsidRDefault="00F13C4C" w:rsidP="00C16447">
            <w:pPr>
              <w:pStyle w:val="Tablewriting"/>
              <w:spacing w:before="0" w:after="0"/>
              <w:jc w:val="center"/>
            </w:pPr>
            <w:r>
              <w:t xml:space="preserve">2 if </w:t>
            </w:r>
          </w:p>
          <w:p w14:paraId="7F3F3775" w14:textId="77777777" w:rsidR="00F13C4C" w:rsidRDefault="00F13C4C" w:rsidP="00C16447">
            <w:pPr>
              <w:pStyle w:val="Tablewriting"/>
              <w:spacing w:before="0" w:after="0"/>
              <w:jc w:val="center"/>
            </w:pPr>
            <w:r>
              <w:t>&gt;100kg</w:t>
            </w:r>
          </w:p>
        </w:tc>
        <w:tc>
          <w:tcPr>
            <w:tcW w:w="1048" w:type="dxa"/>
            <w:vAlign w:val="center"/>
          </w:tcPr>
          <w:p w14:paraId="373F8FEC" w14:textId="77777777" w:rsidR="00F13C4C" w:rsidRDefault="00F13C4C" w:rsidP="00C16447">
            <w:pPr>
              <w:pStyle w:val="Tablewriting"/>
              <w:spacing w:before="0" w:after="0"/>
              <w:jc w:val="center"/>
            </w:pPr>
            <w:r>
              <w:t>1</w:t>
            </w:r>
          </w:p>
        </w:tc>
        <w:tc>
          <w:tcPr>
            <w:tcW w:w="1364" w:type="dxa"/>
            <w:vAlign w:val="center"/>
          </w:tcPr>
          <w:p w14:paraId="1C811359" w14:textId="77777777" w:rsidR="00F13C4C" w:rsidRDefault="00F13C4C" w:rsidP="00C16447">
            <w:pPr>
              <w:pStyle w:val="Tablewriting"/>
              <w:spacing w:before="0" w:after="0"/>
              <w:jc w:val="center"/>
            </w:pPr>
            <w:r>
              <w:t>$4601.63</w:t>
            </w:r>
          </w:p>
        </w:tc>
        <w:tc>
          <w:tcPr>
            <w:tcW w:w="1180" w:type="dxa"/>
            <w:vAlign w:val="center"/>
          </w:tcPr>
          <w:p w14:paraId="1ED0032B" w14:textId="77777777" w:rsidR="00F13C4C" w:rsidRDefault="00F13C4C" w:rsidP="00C16447">
            <w:pPr>
              <w:pStyle w:val="Tablewriting"/>
              <w:spacing w:before="0" w:after="0"/>
            </w:pPr>
            <w:r>
              <w:t>9304Q (initial)</w:t>
            </w:r>
          </w:p>
          <w:p w14:paraId="2D164730" w14:textId="77777777" w:rsidR="00F13C4C" w:rsidRDefault="00F13C4C" w:rsidP="00C16447">
            <w:pPr>
              <w:pStyle w:val="Tablewriting"/>
              <w:spacing w:before="0" w:after="0"/>
            </w:pPr>
            <w:r>
              <w:t>9305R (cont.)</w:t>
            </w:r>
          </w:p>
        </w:tc>
      </w:tr>
    </w:tbl>
    <w:p w14:paraId="3B046952" w14:textId="77777777" w:rsidR="00AB7AD6" w:rsidRPr="003C31AC" w:rsidRDefault="00AB7AD6" w:rsidP="00AB7AD6">
      <w:pPr>
        <w:pStyle w:val="Notes"/>
      </w:pPr>
      <w:r w:rsidRPr="00A35800">
        <w:t xml:space="preserve">Source: </w:t>
      </w:r>
      <w:r>
        <w:t xml:space="preserve">April 2014 PBS Schedule. </w:t>
      </w:r>
      <w:r>
        <w:br/>
        <w:t xml:space="preserve">Special Pricing Arrangements apply to all </w:t>
      </w:r>
      <w:proofErr w:type="spellStart"/>
      <w:r>
        <w:t>bDMARD</w:t>
      </w:r>
      <w:proofErr w:type="spellEnd"/>
      <w:r>
        <w:t xml:space="preserve"> listings for psoriasis.  Cont. = continuing, public = public hospital, private = private hospital. </w:t>
      </w:r>
      <w:r>
        <w:br/>
      </w:r>
      <w:proofErr w:type="spellStart"/>
      <w:r>
        <w:rPr>
          <w:vertAlign w:val="superscript"/>
        </w:rPr>
        <w:t>a</w:t>
      </w:r>
      <w:proofErr w:type="spellEnd"/>
      <w:r>
        <w:rPr>
          <w:vertAlign w:val="superscript"/>
        </w:rPr>
        <w:t xml:space="preserve"> </w:t>
      </w:r>
      <w:r>
        <w:t xml:space="preserve">For the paediatric </w:t>
      </w:r>
      <w:proofErr w:type="spellStart"/>
      <w:r>
        <w:t>etanercept</w:t>
      </w:r>
      <w:proofErr w:type="spellEnd"/>
      <w:r>
        <w:t xml:space="preserve"> listing, the continuing Authority is intended to provide the last 8 weeks of treatment </w:t>
      </w:r>
      <w:r>
        <w:br/>
      </w:r>
      <w:r>
        <w:rPr>
          <w:vertAlign w:val="superscript"/>
        </w:rPr>
        <w:t>b</w:t>
      </w:r>
      <w:r>
        <w:t xml:space="preserve"> Infliximab has weight based dosing. The appropriate number of vials for the patient’s weight is approved. </w:t>
      </w:r>
    </w:p>
    <w:p w14:paraId="33494E19" w14:textId="45DFA2C0" w:rsidR="00AB7AD6" w:rsidRPr="008E1598" w:rsidRDefault="00AB7AD6" w:rsidP="00D63F35">
      <w:pPr>
        <w:rPr>
          <w:b/>
        </w:rPr>
      </w:pPr>
      <w:r>
        <w:t>For adult patients, an initi</w:t>
      </w:r>
      <w:r w:rsidR="008E1598">
        <w:t>al authority approval provides:</w:t>
      </w:r>
    </w:p>
    <w:p w14:paraId="188B9B38" w14:textId="77777777" w:rsidR="00182968" w:rsidRDefault="00AB7AD6" w:rsidP="00AC05E5">
      <w:pPr>
        <w:pStyle w:val="ListParagraph"/>
        <w:numPr>
          <w:ilvl w:val="0"/>
          <w:numId w:val="5"/>
        </w:numPr>
        <w:spacing w:after="0"/>
      </w:pPr>
      <w:r>
        <w:t xml:space="preserve">17 weeks </w:t>
      </w:r>
      <w:proofErr w:type="spellStart"/>
      <w:r>
        <w:t>adalimumab</w:t>
      </w:r>
      <w:proofErr w:type="spellEnd"/>
      <w:r>
        <w:t xml:space="preserve"> treatment or, </w:t>
      </w:r>
    </w:p>
    <w:p w14:paraId="7C30A24D" w14:textId="3ECE61BA" w:rsidR="00AB7AD6" w:rsidRDefault="00AB7AD6" w:rsidP="00AC05E5">
      <w:pPr>
        <w:pStyle w:val="ListParagraph"/>
        <w:numPr>
          <w:ilvl w:val="0"/>
          <w:numId w:val="5"/>
        </w:numPr>
        <w:spacing w:after="0"/>
      </w:pPr>
      <w:r>
        <w:t xml:space="preserve">16 weeks </w:t>
      </w:r>
      <w:proofErr w:type="spellStart"/>
      <w:r>
        <w:t>etanercept</w:t>
      </w:r>
      <w:proofErr w:type="spellEnd"/>
      <w:r>
        <w:t xml:space="preserve"> treatment or, </w:t>
      </w:r>
    </w:p>
    <w:p w14:paraId="70CF4D8B" w14:textId="77777777" w:rsidR="00AB7AD6" w:rsidRDefault="00AB7AD6" w:rsidP="00AC05E5">
      <w:pPr>
        <w:pStyle w:val="ListParagraph"/>
        <w:numPr>
          <w:ilvl w:val="0"/>
          <w:numId w:val="5"/>
        </w:numPr>
        <w:spacing w:after="0"/>
      </w:pPr>
      <w:r>
        <w:t xml:space="preserve">22 weeks infliximab treatment or, </w:t>
      </w:r>
    </w:p>
    <w:p w14:paraId="4D6F7BDC" w14:textId="48EF943E" w:rsidR="005922BB" w:rsidRDefault="005922BB" w:rsidP="00AC05E5">
      <w:pPr>
        <w:pStyle w:val="ListParagraph"/>
        <w:numPr>
          <w:ilvl w:val="0"/>
          <w:numId w:val="5"/>
        </w:numPr>
      </w:pPr>
      <w:r>
        <w:t xml:space="preserve">28 weeks </w:t>
      </w:r>
      <w:proofErr w:type="spellStart"/>
      <w:r>
        <w:t>ustekinumab</w:t>
      </w:r>
      <w:proofErr w:type="spellEnd"/>
      <w:r>
        <w:t xml:space="preserve"> treatment.</w:t>
      </w:r>
    </w:p>
    <w:p w14:paraId="0D24622D" w14:textId="77777777" w:rsidR="00AB7AD6" w:rsidRPr="006E7BA6" w:rsidRDefault="00AB7AD6" w:rsidP="00D63F35">
      <w:r>
        <w:t xml:space="preserve">A continuing authority approval provides a sufficient quantity for 24 weeks treatment. </w:t>
      </w:r>
    </w:p>
    <w:p w14:paraId="47D70501" w14:textId="77777777" w:rsidR="00AB7AD6" w:rsidRPr="000C40DB" w:rsidRDefault="00AB7AD6" w:rsidP="004B3EC8">
      <w:pPr>
        <w:pStyle w:val="Heading2"/>
      </w:pPr>
      <w:r>
        <w:t xml:space="preserve">Restriction (abridged) </w:t>
      </w:r>
    </w:p>
    <w:p w14:paraId="1EE7DB18" w14:textId="77777777" w:rsidR="00AB7AD6" w:rsidRPr="00853E76" w:rsidRDefault="00AB7AD6" w:rsidP="00AB7AD6">
      <w:r w:rsidRPr="00853E76">
        <w:t xml:space="preserve">For adult patients to qualify for treatment with a </w:t>
      </w:r>
      <w:proofErr w:type="spellStart"/>
      <w:r w:rsidRPr="00853E76">
        <w:t>bDMARD</w:t>
      </w:r>
      <w:proofErr w:type="spellEnd"/>
      <w:r w:rsidRPr="00853E76">
        <w:t>, patients must have severe chronic plaque psoriasis of:</w:t>
      </w:r>
    </w:p>
    <w:p w14:paraId="3FCCF87E" w14:textId="3863DC31" w:rsidR="00AB7AD6" w:rsidRPr="00853E76" w:rsidRDefault="00AB7AD6" w:rsidP="00CB56DA">
      <w:pPr>
        <w:pStyle w:val="ListParagraph"/>
        <w:numPr>
          <w:ilvl w:val="0"/>
          <w:numId w:val="3"/>
        </w:numPr>
        <w:spacing w:after="0" w:line="276" w:lineRule="auto"/>
      </w:pPr>
      <w:r w:rsidRPr="00853E76">
        <w:t>The whole body</w:t>
      </w:r>
      <w:r w:rsidR="006203EC">
        <w:t xml:space="preserve"> (baseline PASI greater than </w:t>
      </w:r>
      <w:r w:rsidRPr="00853E76">
        <w:t>15)</w:t>
      </w:r>
      <w:r w:rsidR="00431B0B">
        <w:t>;</w:t>
      </w:r>
    </w:p>
    <w:p w14:paraId="3565CC45" w14:textId="77777777" w:rsidR="00AB7AD6" w:rsidRPr="00853E76" w:rsidRDefault="00AB7AD6" w:rsidP="00CB56DA">
      <w:pPr>
        <w:pStyle w:val="ListParagraph"/>
        <w:spacing w:after="0" w:line="276" w:lineRule="auto"/>
      </w:pPr>
      <w:r w:rsidRPr="00853E76">
        <w:t xml:space="preserve"> OR </w:t>
      </w:r>
    </w:p>
    <w:p w14:paraId="1D5A4C62" w14:textId="0C20DE51" w:rsidR="00AB7AD6" w:rsidRPr="00853E76" w:rsidRDefault="008223BF" w:rsidP="00CB56DA">
      <w:pPr>
        <w:pStyle w:val="ListParagraph"/>
        <w:numPr>
          <w:ilvl w:val="0"/>
          <w:numId w:val="3"/>
        </w:numPr>
        <w:spacing w:after="0" w:line="276" w:lineRule="auto"/>
      </w:pPr>
      <w:r>
        <w:t xml:space="preserve">The face, </w:t>
      </w:r>
      <w:r w:rsidR="00AB7AD6" w:rsidRPr="00853E76">
        <w:t xml:space="preserve">a palm of a hand or the sole of a foot (2 of 3 PASI symptom sub-scores rated as ‘severe’ or ‘very severe’ or 30% or more of the area is </w:t>
      </w:r>
      <w:r w:rsidR="00431B0B">
        <w:t>affected);</w:t>
      </w:r>
    </w:p>
    <w:p w14:paraId="2C3112DC" w14:textId="47D96B8C" w:rsidR="00AB7AD6" w:rsidRPr="00853E76" w:rsidRDefault="00AB7AD6" w:rsidP="00CB56DA">
      <w:pPr>
        <w:pStyle w:val="ListParagraph"/>
        <w:numPr>
          <w:ilvl w:val="0"/>
          <w:numId w:val="3"/>
        </w:numPr>
        <w:spacing w:after="0" w:line="276" w:lineRule="auto"/>
      </w:pPr>
      <w:r w:rsidRPr="00853E76">
        <w:t xml:space="preserve">The lesions present for at least </w:t>
      </w:r>
      <w:r w:rsidR="00431B0B">
        <w:t>6 months from initial diagnosis;</w:t>
      </w:r>
    </w:p>
    <w:p w14:paraId="71AD51CB" w14:textId="1953FC21" w:rsidR="00AB7AD6" w:rsidRPr="00853E76" w:rsidRDefault="00AB7AD6" w:rsidP="00CB56DA">
      <w:pPr>
        <w:pStyle w:val="ListParagraph"/>
        <w:numPr>
          <w:ilvl w:val="0"/>
          <w:numId w:val="3"/>
        </w:numPr>
        <w:spacing w:after="0" w:line="276" w:lineRule="auto"/>
        <w:ind w:left="714" w:hanging="357"/>
      </w:pPr>
      <w:r w:rsidRPr="00853E76">
        <w:t>Failed to achieve an adequate response based on PASI assessment, contraindicated or intolerant to at least 3 of the 4 following treatments:</w:t>
      </w:r>
    </w:p>
    <w:p w14:paraId="2127CAB7" w14:textId="77777777" w:rsidR="00AB7AD6" w:rsidRPr="00853E76" w:rsidRDefault="00AB7AD6" w:rsidP="00CB56DA">
      <w:pPr>
        <w:pStyle w:val="NormalWeb"/>
        <w:numPr>
          <w:ilvl w:val="1"/>
          <w:numId w:val="3"/>
        </w:numPr>
        <w:shd w:val="clear" w:color="auto" w:fill="FFFFFF"/>
        <w:spacing w:before="0" w:beforeAutospacing="0" w:after="0" w:afterAutospacing="0"/>
        <w:ind w:left="1434" w:hanging="357"/>
        <w:textAlignment w:val="baseline"/>
        <w:rPr>
          <w:rFonts w:asciiTheme="minorHAnsi" w:hAnsiTheme="minorHAnsi" w:cs="Arial"/>
        </w:rPr>
      </w:pPr>
      <w:r w:rsidRPr="00853E76">
        <w:rPr>
          <w:rFonts w:asciiTheme="minorHAnsi" w:hAnsiTheme="minorHAnsi" w:cs="Arial"/>
        </w:rPr>
        <w:t xml:space="preserve">phototherapy (UVB or PUVA) for 3 treatments per week for at least 6 weeks; </w:t>
      </w:r>
    </w:p>
    <w:p w14:paraId="0E988C99" w14:textId="77777777" w:rsidR="00AB7AD6" w:rsidRPr="00853E76" w:rsidRDefault="00AB7AD6" w:rsidP="00CB56DA">
      <w:pPr>
        <w:pStyle w:val="NormalWeb"/>
        <w:numPr>
          <w:ilvl w:val="1"/>
          <w:numId w:val="3"/>
        </w:numPr>
        <w:shd w:val="clear" w:color="auto" w:fill="FFFFFF"/>
        <w:spacing w:before="0" w:beforeAutospacing="0" w:after="0" w:afterAutospacing="0"/>
        <w:ind w:left="1434" w:hanging="357"/>
        <w:textAlignment w:val="baseline"/>
        <w:rPr>
          <w:rFonts w:asciiTheme="minorHAnsi" w:hAnsiTheme="minorHAnsi" w:cs="Arial"/>
        </w:rPr>
      </w:pPr>
      <w:r w:rsidRPr="00853E76">
        <w:rPr>
          <w:rFonts w:asciiTheme="minorHAnsi" w:hAnsiTheme="minorHAnsi" w:cs="Arial"/>
        </w:rPr>
        <w:t xml:space="preserve">methotrexate at a dose of at least 10 mg weekly for at least 6 weeks; </w:t>
      </w:r>
    </w:p>
    <w:p w14:paraId="0D569351" w14:textId="77777777" w:rsidR="00AB7AD6" w:rsidRPr="00853E76" w:rsidRDefault="00AB7AD6" w:rsidP="00CB56DA">
      <w:pPr>
        <w:pStyle w:val="NormalWeb"/>
        <w:numPr>
          <w:ilvl w:val="1"/>
          <w:numId w:val="3"/>
        </w:numPr>
        <w:shd w:val="clear" w:color="auto" w:fill="FFFFFF"/>
        <w:spacing w:before="0" w:beforeAutospacing="0" w:after="0" w:afterAutospacing="0"/>
        <w:ind w:left="1434" w:hanging="357"/>
        <w:textAlignment w:val="baseline"/>
        <w:rPr>
          <w:rFonts w:asciiTheme="minorHAnsi" w:hAnsiTheme="minorHAnsi" w:cs="Arial"/>
        </w:rPr>
      </w:pPr>
      <w:proofErr w:type="spellStart"/>
      <w:r w:rsidRPr="00853E76">
        <w:rPr>
          <w:rFonts w:asciiTheme="minorHAnsi" w:hAnsiTheme="minorHAnsi" w:cs="Arial"/>
        </w:rPr>
        <w:t>cyclosporin</w:t>
      </w:r>
      <w:proofErr w:type="spellEnd"/>
      <w:r w:rsidRPr="00853E76">
        <w:rPr>
          <w:rFonts w:asciiTheme="minorHAnsi" w:hAnsiTheme="minorHAnsi" w:cs="Arial"/>
        </w:rPr>
        <w:t xml:space="preserve"> at a dose of at least 2 mg per kg per day for at least 6 weeks; </w:t>
      </w:r>
    </w:p>
    <w:p w14:paraId="4D5E33B6" w14:textId="77777777" w:rsidR="00AB7AD6" w:rsidRPr="00853E76" w:rsidRDefault="00AB7AD6" w:rsidP="00DD5099">
      <w:pPr>
        <w:pStyle w:val="NormalWeb"/>
        <w:numPr>
          <w:ilvl w:val="1"/>
          <w:numId w:val="3"/>
        </w:numPr>
        <w:shd w:val="clear" w:color="auto" w:fill="FFFFFF"/>
        <w:spacing w:before="0" w:beforeAutospacing="0" w:after="200" w:afterAutospacing="0"/>
        <w:ind w:left="1434" w:hanging="357"/>
        <w:textAlignment w:val="baseline"/>
        <w:rPr>
          <w:rFonts w:ascii="Arial" w:hAnsi="Arial" w:cs="Arial"/>
        </w:rPr>
      </w:pPr>
      <w:proofErr w:type="spellStart"/>
      <w:proofErr w:type="gramStart"/>
      <w:r w:rsidRPr="00853E76">
        <w:rPr>
          <w:rFonts w:asciiTheme="minorHAnsi" w:hAnsiTheme="minorHAnsi" w:cs="Arial"/>
        </w:rPr>
        <w:t>acitretin</w:t>
      </w:r>
      <w:proofErr w:type="spellEnd"/>
      <w:proofErr w:type="gramEnd"/>
      <w:r w:rsidRPr="00853E76">
        <w:rPr>
          <w:rFonts w:asciiTheme="minorHAnsi" w:hAnsiTheme="minorHAnsi" w:cs="Arial"/>
        </w:rPr>
        <w:t xml:space="preserve"> at a dose of at least 0.4 mg per kg per day for at least 6 weeks</w:t>
      </w:r>
      <w:r w:rsidRPr="00853E76">
        <w:rPr>
          <w:rFonts w:ascii="Arial" w:hAnsi="Arial" w:cs="Arial"/>
        </w:rPr>
        <w:t>.</w:t>
      </w:r>
    </w:p>
    <w:p w14:paraId="31F2AA2E" w14:textId="77777777" w:rsidR="00AB7AD6" w:rsidRPr="00853E76" w:rsidRDefault="00AB7AD6" w:rsidP="00AB7AD6">
      <w:r w:rsidRPr="00853E76">
        <w:t xml:space="preserve">Treatment must be as monotherapy or in combination with methotrexate.  Patients must be treated by a dermatologist. </w:t>
      </w:r>
    </w:p>
    <w:p w14:paraId="4577711D" w14:textId="714D72F1" w:rsidR="00AB7AD6" w:rsidRPr="00853E76" w:rsidRDefault="00AB7AD6" w:rsidP="00AB7AD6">
      <w:pPr>
        <w:pStyle w:val="NormalWeb"/>
        <w:shd w:val="clear" w:color="auto" w:fill="FFFFFF"/>
        <w:spacing w:before="120" w:beforeAutospacing="0" w:after="120" w:afterAutospacing="0"/>
        <w:textAlignment w:val="baseline"/>
        <w:rPr>
          <w:rFonts w:asciiTheme="minorHAnsi" w:hAnsiTheme="minorHAnsi" w:cs="Arial"/>
        </w:rPr>
      </w:pPr>
      <w:r w:rsidRPr="00853E76">
        <w:rPr>
          <w:rFonts w:asciiTheme="minorHAnsi" w:hAnsiTheme="minorHAnsi" w:cs="Arial"/>
        </w:rPr>
        <w:lastRenderedPageBreak/>
        <w:t xml:space="preserve">Patients are required to demonstrate an adequate response or maintenance of an adequate response. </w:t>
      </w:r>
      <w:r w:rsidR="00C81ECE">
        <w:rPr>
          <w:rFonts w:asciiTheme="minorHAnsi" w:hAnsiTheme="minorHAnsi" w:cs="Arial"/>
        </w:rPr>
        <w:t xml:space="preserve"> </w:t>
      </w:r>
      <w:r w:rsidRPr="00853E76">
        <w:rPr>
          <w:rFonts w:asciiTheme="minorHAnsi" w:hAnsiTheme="minorHAnsi" w:cs="Arial"/>
        </w:rPr>
        <w:t>For patients with whole body psoriasis this is defined as a 75% reduction in PASI score from baseline</w:t>
      </w:r>
      <w:r>
        <w:rPr>
          <w:rFonts w:asciiTheme="minorHAnsi" w:hAnsiTheme="minorHAnsi" w:cs="Arial"/>
        </w:rPr>
        <w:t xml:space="preserve"> (PASI 75 response)</w:t>
      </w:r>
      <w:r w:rsidR="003C70D4">
        <w:rPr>
          <w:rFonts w:asciiTheme="minorHAnsi" w:hAnsiTheme="minorHAnsi" w:cs="Arial"/>
        </w:rPr>
        <w:t xml:space="preserve">.  </w:t>
      </w:r>
      <w:r w:rsidRPr="00853E76">
        <w:rPr>
          <w:rFonts w:asciiTheme="minorHAnsi" w:hAnsiTheme="minorHAnsi" w:cs="Arial"/>
        </w:rPr>
        <w:t xml:space="preserve">For patients with face, palm or sole psoriasis, response is defined as a reduction in all three PASI </w:t>
      </w:r>
      <w:proofErr w:type="spellStart"/>
      <w:r w:rsidRPr="00853E76">
        <w:rPr>
          <w:rFonts w:asciiTheme="minorHAnsi" w:hAnsiTheme="minorHAnsi" w:cs="Arial"/>
        </w:rPr>
        <w:t>subscores</w:t>
      </w:r>
      <w:proofErr w:type="spellEnd"/>
      <w:r w:rsidRPr="00853E76">
        <w:rPr>
          <w:rFonts w:asciiTheme="minorHAnsi" w:hAnsiTheme="minorHAnsi" w:cs="Arial"/>
        </w:rPr>
        <w:t xml:space="preserve"> to ‘slight’ or ‘none’ or 75% reduction in the area affected. </w:t>
      </w:r>
    </w:p>
    <w:p w14:paraId="123B4D8A" w14:textId="5545941D" w:rsidR="00AB7AD6" w:rsidRPr="00853E76" w:rsidRDefault="00AB7AD6" w:rsidP="00AB7AD6">
      <w:r w:rsidRPr="00853E76">
        <w:t xml:space="preserve">Initial Authority Approval is limited to 17 weeks treatment for </w:t>
      </w:r>
      <w:proofErr w:type="spellStart"/>
      <w:r w:rsidRPr="00853E76">
        <w:t>adalimumab</w:t>
      </w:r>
      <w:proofErr w:type="spellEnd"/>
      <w:r w:rsidRPr="00853E76">
        <w:t xml:space="preserve">, 16 weeks for </w:t>
      </w:r>
      <w:proofErr w:type="spellStart"/>
      <w:r w:rsidRPr="00853E76">
        <w:t>etanercept</w:t>
      </w:r>
      <w:proofErr w:type="spellEnd"/>
      <w:r w:rsidRPr="00853E76">
        <w:t xml:space="preserve">, 22 weeks for infliximab and 28 weeks for </w:t>
      </w:r>
      <w:proofErr w:type="spellStart"/>
      <w:r w:rsidRPr="00853E76">
        <w:t>ustekinumab</w:t>
      </w:r>
      <w:proofErr w:type="spellEnd"/>
      <w:r w:rsidRPr="00853E76">
        <w:t xml:space="preserve">. </w:t>
      </w:r>
      <w:r w:rsidR="00C94D25">
        <w:t xml:space="preserve"> </w:t>
      </w:r>
      <w:r w:rsidRPr="00853E76">
        <w:t>Patients must be assessed for response to an initial treatment course after at least 12 weeks of treatment.</w:t>
      </w:r>
    </w:p>
    <w:p w14:paraId="081A5F1C" w14:textId="77777777" w:rsidR="00AB7AD6" w:rsidRDefault="00AB7AD6" w:rsidP="00AB7AD6">
      <w:r>
        <w:t xml:space="preserve">Patients are able to switch agents without having to experience a disease exacerbation or treatment failure. </w:t>
      </w:r>
    </w:p>
    <w:p w14:paraId="76BF5C95" w14:textId="0FE5C634" w:rsidR="00AB7AD6" w:rsidRDefault="00AB7AD6" w:rsidP="00AB7AD6">
      <w:proofErr w:type="spellStart"/>
      <w:r>
        <w:t>Etanercept</w:t>
      </w:r>
      <w:proofErr w:type="spellEnd"/>
      <w:r>
        <w:t xml:space="preserve"> has a specific restriction for pa</w:t>
      </w:r>
      <w:r w:rsidR="00C94D25">
        <w:t xml:space="preserve">tients aged less than 18 years.  </w:t>
      </w:r>
      <w:r>
        <w:t>The disease severity criteria for commencing treatment are the same as for adults however patients are limited to a maximum course of 24 weeks.  Patients are able to be re-treated if they experience a disease exacerbation or fail to respond.</w:t>
      </w:r>
      <w:r w:rsidR="00C94D25">
        <w:t xml:space="preserve">  </w:t>
      </w:r>
      <w:r>
        <w:t>Paediatric patients must</w:t>
      </w:r>
      <w:r w:rsidR="006737DB">
        <w:t xml:space="preserve"> be treated by a dermatologist.</w:t>
      </w:r>
    </w:p>
    <w:p w14:paraId="264FAECD" w14:textId="6BE9B935" w:rsidR="00AB7AD6" w:rsidRPr="00E9148F" w:rsidRDefault="00AB7AD6" w:rsidP="00AB7AD6">
      <w:r>
        <w:t>This class of medi</w:t>
      </w:r>
      <w:r w:rsidR="005826EF">
        <w:t xml:space="preserve">cines has complex restrictions.  </w:t>
      </w:r>
      <w:r w:rsidRPr="0051501E">
        <w:t>For</w:t>
      </w:r>
      <w:r w:rsidR="005826EF">
        <w:t xml:space="preserve"> the</w:t>
      </w:r>
      <w:r w:rsidRPr="0051501E">
        <w:t xml:space="preserve"> full wording of the restriction</w:t>
      </w:r>
      <w:r>
        <w:t>s</w:t>
      </w:r>
      <w:r w:rsidRPr="0051501E">
        <w:t>, including notes, refer to the current</w:t>
      </w:r>
      <w:r w:rsidR="005826EF">
        <w:t xml:space="preserve"> </w:t>
      </w:r>
      <w:hyperlink r:id="rId10" w:history="1">
        <w:r w:rsidR="005826EF" w:rsidRPr="005826EF">
          <w:rPr>
            <w:rStyle w:val="Hyperlink"/>
          </w:rPr>
          <w:t>PBS Schedule</w:t>
        </w:r>
      </w:hyperlink>
      <w:r w:rsidR="005826EF">
        <w:t>.</w:t>
      </w:r>
    </w:p>
    <w:p w14:paraId="383E312E" w14:textId="0CD8FBCF" w:rsidR="00736041" w:rsidRPr="006C4620" w:rsidRDefault="0042404D" w:rsidP="00970336">
      <w:pPr>
        <w:pStyle w:val="Heading4"/>
      </w:pPr>
      <w:r>
        <w:t>Listing and r</w:t>
      </w:r>
      <w:r w:rsidR="00C41246" w:rsidRPr="006C4620">
        <w:t xml:space="preserve">elevant aspects of </w:t>
      </w:r>
      <w:r w:rsidR="0063021F" w:rsidRPr="006C4620">
        <w:t xml:space="preserve">the PBAC </w:t>
      </w:r>
      <w:r w:rsidR="00736041" w:rsidRPr="006C4620">
        <w:t>consideration</w:t>
      </w:r>
    </w:p>
    <w:p w14:paraId="6B329CDA" w14:textId="07F7E97E" w:rsidR="00A87833" w:rsidRDefault="00A87833" w:rsidP="007D3D9C">
      <w:proofErr w:type="spellStart"/>
      <w:r w:rsidRPr="00A87833">
        <w:t>Efalizumab</w:t>
      </w:r>
      <w:proofErr w:type="spellEnd"/>
      <w:r w:rsidRPr="00A87833">
        <w:t xml:space="preserve"> was listed in April 2006 and was the first </w:t>
      </w:r>
      <w:proofErr w:type="spellStart"/>
      <w:r w:rsidRPr="00A87833">
        <w:t>bDMARD</w:t>
      </w:r>
      <w:proofErr w:type="spellEnd"/>
      <w:r w:rsidRPr="00A87833">
        <w:t xml:space="preserve"> to be listed on the PBS</w:t>
      </w:r>
      <w:r w:rsidR="00095CBA">
        <w:t xml:space="preserve"> for chronic plaque psoriasis</w:t>
      </w:r>
      <w:r w:rsidRPr="00A87833">
        <w:t xml:space="preserve">.  The other agents were listed subsequently.  </w:t>
      </w:r>
      <w:proofErr w:type="spellStart"/>
      <w:r w:rsidRPr="00A87833">
        <w:t>Efalizumab</w:t>
      </w:r>
      <w:proofErr w:type="spellEnd"/>
      <w:r w:rsidRPr="00A87833">
        <w:t xml:space="preserve"> was withdrawn in March 2009 due to safety concerns. </w:t>
      </w:r>
    </w:p>
    <w:p w14:paraId="1EE66C80" w14:textId="0FB8560D" w:rsidR="007D3D9C" w:rsidRPr="004F4325" w:rsidRDefault="007D3D9C" w:rsidP="007D3D9C">
      <w:r>
        <w:t xml:space="preserve">Table 3 presents a summary of the relevant PBAC recommendations and listing dates. </w:t>
      </w:r>
    </w:p>
    <w:p w14:paraId="08DD37C1" w14:textId="77777777" w:rsidR="007D3D9C" w:rsidRPr="0009402B" w:rsidRDefault="007D3D9C" w:rsidP="007D3D9C">
      <w:pPr>
        <w:pStyle w:val="Tabletitle"/>
      </w:pPr>
      <w:r w:rsidRPr="001420B3">
        <w:t xml:space="preserve">Table </w:t>
      </w:r>
      <w:r>
        <w:t>3</w:t>
      </w:r>
      <w:r w:rsidRPr="001420B3">
        <w:t>:</w:t>
      </w:r>
      <w:r>
        <w:t xml:space="preserve"> Summary of PBAC recommendations and listing dates</w:t>
      </w:r>
    </w:p>
    <w:tbl>
      <w:tblPr>
        <w:tblStyle w:val="TableGrid"/>
        <w:tblW w:w="9173" w:type="dxa"/>
        <w:tblInd w:w="108" w:type="dxa"/>
        <w:tblLook w:val="04A0" w:firstRow="1" w:lastRow="0" w:firstColumn="1" w:lastColumn="0" w:noHBand="0" w:noVBand="1"/>
        <w:tblCaption w:val="Table 3"/>
        <w:tblDescription w:val="A summary of the PBAC recommendations and listing dates is presented."/>
      </w:tblPr>
      <w:tblGrid>
        <w:gridCol w:w="7658"/>
        <w:gridCol w:w="1515"/>
      </w:tblGrid>
      <w:tr w:rsidR="00CE3385" w14:paraId="1D83E73D" w14:textId="77777777" w:rsidTr="0065042B">
        <w:trPr>
          <w:tblHeader/>
        </w:trPr>
        <w:tc>
          <w:tcPr>
            <w:tcW w:w="0" w:type="auto"/>
            <w:shd w:val="clear" w:color="auto" w:fill="BFBFBF" w:themeFill="background1" w:themeFillShade="BF"/>
            <w:vAlign w:val="center"/>
          </w:tcPr>
          <w:p w14:paraId="29B0A501" w14:textId="77777777" w:rsidR="007D3D9C" w:rsidRPr="001D3AC2" w:rsidRDefault="007D3D9C" w:rsidP="00086B38">
            <w:pPr>
              <w:rPr>
                <w:b/>
                <w:sz w:val="20"/>
                <w:szCs w:val="20"/>
              </w:rPr>
            </w:pPr>
            <w:r>
              <w:rPr>
                <w:b/>
                <w:sz w:val="20"/>
                <w:szCs w:val="20"/>
              </w:rPr>
              <w:t>PBAC Consideration</w:t>
            </w:r>
          </w:p>
        </w:tc>
        <w:tc>
          <w:tcPr>
            <w:tcW w:w="0" w:type="auto"/>
            <w:shd w:val="clear" w:color="auto" w:fill="BFBFBF" w:themeFill="background1" w:themeFillShade="BF"/>
          </w:tcPr>
          <w:p w14:paraId="78B6F28C" w14:textId="77777777" w:rsidR="007D3D9C" w:rsidRPr="001D3AC2" w:rsidRDefault="007D3D9C" w:rsidP="00086B38">
            <w:pPr>
              <w:jc w:val="center"/>
              <w:rPr>
                <w:b/>
                <w:sz w:val="20"/>
                <w:szCs w:val="20"/>
              </w:rPr>
            </w:pPr>
            <w:r>
              <w:rPr>
                <w:b/>
                <w:sz w:val="20"/>
                <w:szCs w:val="20"/>
              </w:rPr>
              <w:t>Date of listing</w:t>
            </w:r>
          </w:p>
        </w:tc>
      </w:tr>
      <w:tr w:rsidR="00CE3385" w14:paraId="12387E7E" w14:textId="77777777" w:rsidTr="00BD2633">
        <w:tc>
          <w:tcPr>
            <w:tcW w:w="0" w:type="auto"/>
            <w:vAlign w:val="center"/>
          </w:tcPr>
          <w:p w14:paraId="684AC4BB" w14:textId="77777777" w:rsidR="007D3D9C" w:rsidRDefault="007D3D9C" w:rsidP="00086B38">
            <w:pPr>
              <w:rPr>
                <w:b/>
                <w:sz w:val="20"/>
                <w:szCs w:val="20"/>
              </w:rPr>
            </w:pPr>
            <w:proofErr w:type="spellStart"/>
            <w:r>
              <w:rPr>
                <w:b/>
                <w:sz w:val="20"/>
                <w:szCs w:val="20"/>
              </w:rPr>
              <w:t>Efalizumab</w:t>
            </w:r>
            <w:proofErr w:type="spellEnd"/>
          </w:p>
          <w:p w14:paraId="176A3545" w14:textId="77777777" w:rsidR="007D3D9C" w:rsidRPr="00383006" w:rsidRDefault="007D3D9C" w:rsidP="00086B38">
            <w:pPr>
              <w:rPr>
                <w:b/>
                <w:sz w:val="20"/>
                <w:szCs w:val="20"/>
                <w:u w:val="single"/>
              </w:rPr>
            </w:pPr>
            <w:r w:rsidRPr="00383006">
              <w:rPr>
                <w:sz w:val="20"/>
                <w:szCs w:val="20"/>
                <w:u w:val="single"/>
              </w:rPr>
              <w:t xml:space="preserve">November 2005 PBAC </w:t>
            </w:r>
            <w:r>
              <w:rPr>
                <w:sz w:val="20"/>
                <w:szCs w:val="20"/>
                <w:u w:val="single"/>
              </w:rPr>
              <w:t>m</w:t>
            </w:r>
            <w:r w:rsidRPr="00383006">
              <w:rPr>
                <w:sz w:val="20"/>
                <w:szCs w:val="20"/>
                <w:u w:val="single"/>
              </w:rPr>
              <w:t>eeting</w:t>
            </w:r>
          </w:p>
          <w:p w14:paraId="608A4ACB" w14:textId="77777777" w:rsidR="007D3D9C" w:rsidRDefault="007D3D9C" w:rsidP="00086B38">
            <w:pPr>
              <w:rPr>
                <w:sz w:val="20"/>
                <w:szCs w:val="20"/>
              </w:rPr>
            </w:pPr>
            <w:r>
              <w:rPr>
                <w:sz w:val="20"/>
                <w:szCs w:val="20"/>
              </w:rPr>
              <w:t>R</w:t>
            </w:r>
            <w:r w:rsidRPr="00383006">
              <w:rPr>
                <w:sz w:val="20"/>
                <w:szCs w:val="20"/>
              </w:rPr>
              <w:t xml:space="preserve">ecommended on the basis of acceptable cost-effectiveness over no systemic therapy in patients with severe psoriasis with failure of three of four prior therapies (methotrexate, </w:t>
            </w:r>
            <w:proofErr w:type="spellStart"/>
            <w:r w:rsidRPr="00383006">
              <w:rPr>
                <w:sz w:val="20"/>
                <w:szCs w:val="20"/>
              </w:rPr>
              <w:t>cyclosporin</w:t>
            </w:r>
            <w:proofErr w:type="spellEnd"/>
            <w:r w:rsidRPr="00383006">
              <w:rPr>
                <w:sz w:val="20"/>
                <w:szCs w:val="20"/>
              </w:rPr>
              <w:t xml:space="preserve">, </w:t>
            </w:r>
            <w:proofErr w:type="spellStart"/>
            <w:r w:rsidRPr="00383006">
              <w:rPr>
                <w:sz w:val="20"/>
                <w:szCs w:val="20"/>
              </w:rPr>
              <w:t>acitretin</w:t>
            </w:r>
            <w:proofErr w:type="spellEnd"/>
            <w:r w:rsidRPr="00383006">
              <w:rPr>
                <w:sz w:val="20"/>
                <w:szCs w:val="20"/>
              </w:rPr>
              <w:t xml:space="preserve"> and phototherapy)</w:t>
            </w:r>
          </w:p>
          <w:p w14:paraId="34642676" w14:textId="6A261E51" w:rsidR="007D3D9C" w:rsidRPr="00383006" w:rsidRDefault="006C617C" w:rsidP="005847ED">
            <w:pPr>
              <w:rPr>
                <w:sz w:val="20"/>
                <w:szCs w:val="20"/>
              </w:rPr>
            </w:pPr>
            <w:r>
              <w:rPr>
                <w:sz w:val="20"/>
              </w:rPr>
              <w:t xml:space="preserve">See </w:t>
            </w:r>
            <w:hyperlink r:id="rId11" w:history="1">
              <w:r>
                <w:rPr>
                  <w:rStyle w:val="Hyperlink"/>
                  <w:sz w:val="20"/>
                  <w:szCs w:val="20"/>
                </w:rPr>
                <w:t>Public Summary Document</w:t>
              </w:r>
            </w:hyperlink>
            <w:r w:rsidR="005847ED">
              <w:rPr>
                <w:sz w:val="20"/>
                <w:szCs w:val="20"/>
              </w:rPr>
              <w:t xml:space="preserve"> </w:t>
            </w:r>
            <w:r>
              <w:rPr>
                <w:sz w:val="20"/>
                <w:szCs w:val="20"/>
              </w:rPr>
              <w:t>for further details.</w:t>
            </w:r>
          </w:p>
        </w:tc>
        <w:tc>
          <w:tcPr>
            <w:tcW w:w="0" w:type="auto"/>
            <w:vAlign w:val="center"/>
          </w:tcPr>
          <w:p w14:paraId="0124591C" w14:textId="77777777" w:rsidR="007D3D9C" w:rsidRDefault="007D3D9C" w:rsidP="00086B38">
            <w:pPr>
              <w:jc w:val="center"/>
              <w:rPr>
                <w:sz w:val="20"/>
                <w:szCs w:val="20"/>
              </w:rPr>
            </w:pPr>
            <w:r>
              <w:rPr>
                <w:sz w:val="20"/>
                <w:szCs w:val="20"/>
              </w:rPr>
              <w:t>1 April 2006</w:t>
            </w:r>
          </w:p>
          <w:p w14:paraId="6A7B2B49" w14:textId="77777777" w:rsidR="007D3D9C" w:rsidRPr="001D3AC2" w:rsidRDefault="007D3D9C" w:rsidP="00086B38">
            <w:pPr>
              <w:jc w:val="center"/>
              <w:rPr>
                <w:sz w:val="20"/>
                <w:szCs w:val="20"/>
              </w:rPr>
            </w:pPr>
            <w:r>
              <w:rPr>
                <w:sz w:val="20"/>
                <w:szCs w:val="20"/>
              </w:rPr>
              <w:t>Withdrawn March 2009</w:t>
            </w:r>
          </w:p>
        </w:tc>
      </w:tr>
      <w:tr w:rsidR="00CE3385" w14:paraId="2FB5BA8C" w14:textId="77777777" w:rsidTr="00BD2633">
        <w:tc>
          <w:tcPr>
            <w:tcW w:w="0" w:type="auto"/>
            <w:vAlign w:val="center"/>
          </w:tcPr>
          <w:p w14:paraId="1C596717" w14:textId="77777777" w:rsidR="007D3D9C" w:rsidRPr="00383006" w:rsidRDefault="007D3D9C" w:rsidP="00086B38">
            <w:pPr>
              <w:rPr>
                <w:b/>
                <w:sz w:val="20"/>
                <w:szCs w:val="20"/>
              </w:rPr>
            </w:pPr>
            <w:proofErr w:type="spellStart"/>
            <w:r w:rsidRPr="00383006">
              <w:rPr>
                <w:b/>
                <w:sz w:val="20"/>
                <w:szCs w:val="20"/>
              </w:rPr>
              <w:t>Etanercept</w:t>
            </w:r>
            <w:proofErr w:type="spellEnd"/>
            <w:r w:rsidRPr="00383006">
              <w:rPr>
                <w:b/>
                <w:sz w:val="20"/>
                <w:szCs w:val="20"/>
              </w:rPr>
              <w:t xml:space="preserve"> (intermittent dosing) </w:t>
            </w:r>
          </w:p>
          <w:p w14:paraId="2CD4A37D" w14:textId="77777777" w:rsidR="007D3D9C" w:rsidRPr="00383006" w:rsidRDefault="007D3D9C" w:rsidP="00086B38">
            <w:pPr>
              <w:rPr>
                <w:sz w:val="20"/>
                <w:szCs w:val="20"/>
                <w:u w:val="single"/>
              </w:rPr>
            </w:pPr>
            <w:r w:rsidRPr="00383006">
              <w:rPr>
                <w:sz w:val="20"/>
                <w:szCs w:val="20"/>
                <w:u w:val="single"/>
              </w:rPr>
              <w:t xml:space="preserve">March 2006 PBAC </w:t>
            </w:r>
            <w:r>
              <w:rPr>
                <w:sz w:val="20"/>
                <w:szCs w:val="20"/>
                <w:u w:val="single"/>
              </w:rPr>
              <w:t>m</w:t>
            </w:r>
            <w:r w:rsidRPr="00383006">
              <w:rPr>
                <w:sz w:val="20"/>
                <w:szCs w:val="20"/>
                <w:u w:val="single"/>
              </w:rPr>
              <w:t>eeting</w:t>
            </w:r>
          </w:p>
          <w:p w14:paraId="7490CCD9" w14:textId="77777777" w:rsidR="007D3D9C" w:rsidRDefault="007D3D9C" w:rsidP="00086B38">
            <w:pPr>
              <w:rPr>
                <w:sz w:val="20"/>
                <w:szCs w:val="20"/>
              </w:rPr>
            </w:pPr>
            <w:r>
              <w:rPr>
                <w:sz w:val="20"/>
                <w:szCs w:val="20"/>
              </w:rPr>
              <w:t>R</w:t>
            </w:r>
            <w:r w:rsidRPr="00383006">
              <w:rPr>
                <w:sz w:val="20"/>
                <w:szCs w:val="20"/>
              </w:rPr>
              <w:t xml:space="preserve">ecommended on a cost-minimisation basis that it was no worse than </w:t>
            </w:r>
            <w:proofErr w:type="spellStart"/>
            <w:r w:rsidRPr="00383006">
              <w:rPr>
                <w:sz w:val="20"/>
                <w:szCs w:val="20"/>
              </w:rPr>
              <w:t>efalizumab</w:t>
            </w:r>
            <w:proofErr w:type="spellEnd"/>
            <w:r w:rsidRPr="00383006">
              <w:rPr>
                <w:sz w:val="20"/>
                <w:szCs w:val="20"/>
              </w:rPr>
              <w:t>.</w:t>
            </w:r>
          </w:p>
          <w:p w14:paraId="720F83E2" w14:textId="324A321A" w:rsidR="007D3D9C" w:rsidRPr="001D3AC2" w:rsidRDefault="00B51971" w:rsidP="000C6578">
            <w:pPr>
              <w:rPr>
                <w:sz w:val="20"/>
                <w:szCs w:val="20"/>
              </w:rPr>
            </w:pPr>
            <w:r>
              <w:rPr>
                <w:sz w:val="20"/>
                <w:szCs w:val="20"/>
              </w:rPr>
              <w:t>See</w:t>
            </w:r>
            <w:r w:rsidR="000C6578">
              <w:rPr>
                <w:sz w:val="20"/>
                <w:szCs w:val="20"/>
              </w:rPr>
              <w:t xml:space="preserve"> </w:t>
            </w:r>
            <w:hyperlink r:id="rId12" w:history="1">
              <w:r>
                <w:rPr>
                  <w:rStyle w:val="Hyperlink"/>
                  <w:sz w:val="20"/>
                  <w:szCs w:val="20"/>
                </w:rPr>
                <w:t>Public Summary Document</w:t>
              </w:r>
            </w:hyperlink>
            <w:r>
              <w:rPr>
                <w:sz w:val="20"/>
                <w:szCs w:val="20"/>
              </w:rPr>
              <w:t xml:space="preserve"> for further details.</w:t>
            </w:r>
          </w:p>
        </w:tc>
        <w:tc>
          <w:tcPr>
            <w:tcW w:w="0" w:type="auto"/>
            <w:vAlign w:val="center"/>
          </w:tcPr>
          <w:p w14:paraId="58437A3F" w14:textId="77777777" w:rsidR="007D3D9C" w:rsidRPr="001D3AC2" w:rsidRDefault="007D3D9C" w:rsidP="00086B38">
            <w:pPr>
              <w:jc w:val="center"/>
              <w:rPr>
                <w:sz w:val="20"/>
                <w:szCs w:val="20"/>
              </w:rPr>
            </w:pPr>
            <w:r w:rsidRPr="00383006">
              <w:rPr>
                <w:sz w:val="20"/>
                <w:szCs w:val="20"/>
              </w:rPr>
              <w:t>1 August 2006</w:t>
            </w:r>
          </w:p>
        </w:tc>
      </w:tr>
      <w:tr w:rsidR="00CE3385" w14:paraId="2892460F" w14:textId="77777777" w:rsidTr="00BD2633">
        <w:tc>
          <w:tcPr>
            <w:tcW w:w="0" w:type="auto"/>
            <w:vAlign w:val="center"/>
          </w:tcPr>
          <w:p w14:paraId="69C269C5" w14:textId="77777777" w:rsidR="007D3D9C" w:rsidRPr="0052062A" w:rsidRDefault="007D3D9C" w:rsidP="00086B38">
            <w:pPr>
              <w:rPr>
                <w:b/>
                <w:sz w:val="20"/>
                <w:szCs w:val="20"/>
              </w:rPr>
            </w:pPr>
            <w:r w:rsidRPr="0052062A">
              <w:rPr>
                <w:b/>
                <w:sz w:val="20"/>
                <w:szCs w:val="20"/>
              </w:rPr>
              <w:t>Infliximab</w:t>
            </w:r>
          </w:p>
          <w:p w14:paraId="62608D65" w14:textId="77777777" w:rsidR="007D3D9C" w:rsidRDefault="007D3D9C" w:rsidP="00086B38">
            <w:pPr>
              <w:rPr>
                <w:sz w:val="20"/>
                <w:szCs w:val="20"/>
                <w:u w:val="single"/>
              </w:rPr>
            </w:pPr>
            <w:r>
              <w:rPr>
                <w:sz w:val="20"/>
                <w:szCs w:val="20"/>
                <w:u w:val="single"/>
              </w:rPr>
              <w:t>July 2006 PBAC  meeting</w:t>
            </w:r>
          </w:p>
          <w:p w14:paraId="2D1D4BEF" w14:textId="77777777" w:rsidR="007D3D9C" w:rsidRDefault="007D3D9C" w:rsidP="00086B38">
            <w:pPr>
              <w:rPr>
                <w:sz w:val="20"/>
                <w:szCs w:val="20"/>
              </w:rPr>
            </w:pPr>
            <w:r w:rsidRPr="0052062A">
              <w:rPr>
                <w:sz w:val="20"/>
                <w:szCs w:val="20"/>
              </w:rPr>
              <w:t xml:space="preserve">Recommended on cost-minimisation basis with </w:t>
            </w:r>
            <w:proofErr w:type="spellStart"/>
            <w:r w:rsidRPr="0052062A">
              <w:rPr>
                <w:sz w:val="20"/>
                <w:szCs w:val="20"/>
              </w:rPr>
              <w:t>efalizumab</w:t>
            </w:r>
            <w:proofErr w:type="spellEnd"/>
            <w:r w:rsidRPr="0052062A">
              <w:rPr>
                <w:sz w:val="20"/>
                <w:szCs w:val="20"/>
              </w:rPr>
              <w:t>.</w:t>
            </w:r>
            <w:r>
              <w:rPr>
                <w:sz w:val="20"/>
                <w:szCs w:val="20"/>
              </w:rPr>
              <w:t xml:space="preserve"> </w:t>
            </w:r>
            <w:r w:rsidRPr="0052062A">
              <w:rPr>
                <w:sz w:val="20"/>
                <w:szCs w:val="20"/>
              </w:rPr>
              <w:t xml:space="preserve">Its therapeutic relativity was subsequently revised and was recommended on a cost-effectiveness basis compared to </w:t>
            </w:r>
            <w:proofErr w:type="spellStart"/>
            <w:r w:rsidRPr="0052062A">
              <w:rPr>
                <w:sz w:val="20"/>
                <w:szCs w:val="20"/>
              </w:rPr>
              <w:t>efalizumab</w:t>
            </w:r>
            <w:proofErr w:type="spellEnd"/>
            <w:r w:rsidRPr="0052062A">
              <w:rPr>
                <w:sz w:val="20"/>
                <w:szCs w:val="20"/>
              </w:rPr>
              <w:t xml:space="preserve"> and </w:t>
            </w:r>
            <w:proofErr w:type="spellStart"/>
            <w:r w:rsidRPr="0052062A">
              <w:rPr>
                <w:sz w:val="20"/>
                <w:szCs w:val="20"/>
              </w:rPr>
              <w:t>etanercept</w:t>
            </w:r>
            <w:proofErr w:type="spellEnd"/>
            <w:r w:rsidRPr="0052062A">
              <w:rPr>
                <w:sz w:val="20"/>
                <w:szCs w:val="20"/>
              </w:rPr>
              <w:t>.</w:t>
            </w:r>
          </w:p>
          <w:p w14:paraId="36FEA9F7" w14:textId="55B56B90" w:rsidR="007D3D9C" w:rsidRPr="0052062A" w:rsidRDefault="009C0AD0" w:rsidP="00086B38">
            <w:pPr>
              <w:rPr>
                <w:sz w:val="20"/>
                <w:szCs w:val="20"/>
              </w:rPr>
            </w:pPr>
            <w:r>
              <w:rPr>
                <w:sz w:val="20"/>
                <w:szCs w:val="20"/>
              </w:rPr>
              <w:t>See</w:t>
            </w:r>
            <w:r w:rsidR="00B53A81">
              <w:rPr>
                <w:sz w:val="20"/>
                <w:szCs w:val="20"/>
              </w:rPr>
              <w:t xml:space="preserve"> </w:t>
            </w:r>
            <w:hyperlink r:id="rId13" w:history="1">
              <w:r>
                <w:rPr>
                  <w:rStyle w:val="Hyperlink"/>
                  <w:sz w:val="20"/>
                  <w:szCs w:val="20"/>
                </w:rPr>
                <w:t>Public Summary Document</w:t>
              </w:r>
            </w:hyperlink>
            <w:r w:rsidR="00B53A81">
              <w:rPr>
                <w:sz w:val="20"/>
                <w:szCs w:val="20"/>
              </w:rPr>
              <w:t xml:space="preserve"> </w:t>
            </w:r>
            <w:r>
              <w:rPr>
                <w:sz w:val="20"/>
                <w:szCs w:val="20"/>
              </w:rPr>
              <w:t>for further details.</w:t>
            </w:r>
          </w:p>
        </w:tc>
        <w:tc>
          <w:tcPr>
            <w:tcW w:w="0" w:type="auto"/>
            <w:vAlign w:val="center"/>
          </w:tcPr>
          <w:p w14:paraId="62CB33E2" w14:textId="77777777" w:rsidR="007D3D9C" w:rsidRPr="001D3AC2" w:rsidRDefault="007D3D9C" w:rsidP="00086B38">
            <w:pPr>
              <w:jc w:val="center"/>
              <w:rPr>
                <w:sz w:val="20"/>
                <w:szCs w:val="20"/>
              </w:rPr>
            </w:pPr>
            <w:r>
              <w:rPr>
                <w:sz w:val="20"/>
                <w:szCs w:val="20"/>
              </w:rPr>
              <w:t>1 December 2007</w:t>
            </w:r>
          </w:p>
        </w:tc>
      </w:tr>
      <w:tr w:rsidR="00CE3385" w14:paraId="61274C87" w14:textId="77777777" w:rsidTr="00BD2633">
        <w:tc>
          <w:tcPr>
            <w:tcW w:w="0" w:type="auto"/>
            <w:vAlign w:val="center"/>
          </w:tcPr>
          <w:p w14:paraId="0E9688F1" w14:textId="7559F758" w:rsidR="007D3D9C" w:rsidRDefault="007D3D9C" w:rsidP="00086B38">
            <w:pPr>
              <w:rPr>
                <w:b/>
                <w:sz w:val="20"/>
                <w:szCs w:val="20"/>
              </w:rPr>
            </w:pPr>
            <w:proofErr w:type="spellStart"/>
            <w:r>
              <w:rPr>
                <w:b/>
                <w:sz w:val="20"/>
                <w:szCs w:val="20"/>
              </w:rPr>
              <w:t>Adalimumab</w:t>
            </w:r>
            <w:proofErr w:type="spellEnd"/>
            <w:r>
              <w:rPr>
                <w:b/>
                <w:sz w:val="20"/>
                <w:szCs w:val="20"/>
              </w:rPr>
              <w:t xml:space="preserve"> </w:t>
            </w:r>
          </w:p>
          <w:p w14:paraId="401030B6" w14:textId="77777777" w:rsidR="007D3D9C" w:rsidRPr="00D224F3" w:rsidRDefault="007D3D9C" w:rsidP="00086B38">
            <w:pPr>
              <w:rPr>
                <w:sz w:val="20"/>
                <w:szCs w:val="20"/>
                <w:u w:val="single"/>
              </w:rPr>
            </w:pPr>
            <w:r w:rsidRPr="00D224F3">
              <w:rPr>
                <w:sz w:val="20"/>
                <w:szCs w:val="20"/>
                <w:u w:val="single"/>
              </w:rPr>
              <w:t>March 2009 PBAC  meeting</w:t>
            </w:r>
          </w:p>
          <w:p w14:paraId="48298192" w14:textId="77777777" w:rsidR="007D3D9C" w:rsidRPr="00D224F3" w:rsidRDefault="007D3D9C" w:rsidP="00086B38">
            <w:pPr>
              <w:rPr>
                <w:sz w:val="20"/>
                <w:szCs w:val="20"/>
              </w:rPr>
            </w:pPr>
            <w:r w:rsidRPr="00D224F3">
              <w:rPr>
                <w:sz w:val="20"/>
                <w:szCs w:val="20"/>
              </w:rPr>
              <w:t xml:space="preserve">Recommended on cost-minimisation basis with </w:t>
            </w:r>
            <w:proofErr w:type="spellStart"/>
            <w:r w:rsidRPr="00D224F3">
              <w:rPr>
                <w:sz w:val="20"/>
                <w:szCs w:val="20"/>
              </w:rPr>
              <w:t>efalizumab</w:t>
            </w:r>
            <w:proofErr w:type="spellEnd"/>
            <w:r w:rsidRPr="00D224F3">
              <w:rPr>
                <w:sz w:val="20"/>
                <w:szCs w:val="20"/>
              </w:rPr>
              <w:t>.</w:t>
            </w:r>
          </w:p>
          <w:p w14:paraId="7B5C9481" w14:textId="24F33EC3" w:rsidR="000D2A53" w:rsidRPr="000D2A53" w:rsidRDefault="00BB7C40" w:rsidP="00086B38">
            <w:pPr>
              <w:rPr>
                <w:sz w:val="20"/>
                <w:szCs w:val="20"/>
              </w:rPr>
            </w:pPr>
            <w:r>
              <w:rPr>
                <w:sz w:val="20"/>
                <w:szCs w:val="20"/>
              </w:rPr>
              <w:lastRenderedPageBreak/>
              <w:t>See</w:t>
            </w:r>
            <w:r w:rsidR="00707EDC">
              <w:rPr>
                <w:sz w:val="20"/>
                <w:szCs w:val="20"/>
              </w:rPr>
              <w:t xml:space="preserve"> </w:t>
            </w:r>
            <w:hyperlink r:id="rId14" w:history="1">
              <w:r>
                <w:rPr>
                  <w:rStyle w:val="Hyperlink"/>
                  <w:sz w:val="20"/>
                  <w:szCs w:val="20"/>
                </w:rPr>
                <w:t>Public Summary Document</w:t>
              </w:r>
            </w:hyperlink>
            <w:r w:rsidR="00707EDC">
              <w:rPr>
                <w:sz w:val="20"/>
                <w:szCs w:val="20"/>
              </w:rPr>
              <w:t xml:space="preserve"> </w:t>
            </w:r>
            <w:r>
              <w:rPr>
                <w:sz w:val="20"/>
                <w:szCs w:val="20"/>
              </w:rPr>
              <w:t>for further details.</w:t>
            </w:r>
          </w:p>
        </w:tc>
        <w:tc>
          <w:tcPr>
            <w:tcW w:w="0" w:type="auto"/>
            <w:vAlign w:val="center"/>
          </w:tcPr>
          <w:p w14:paraId="29BA0A3B" w14:textId="77777777" w:rsidR="007D3D9C" w:rsidRDefault="007D3D9C" w:rsidP="00086B38">
            <w:pPr>
              <w:jc w:val="center"/>
              <w:rPr>
                <w:sz w:val="20"/>
                <w:szCs w:val="20"/>
              </w:rPr>
            </w:pPr>
            <w:r>
              <w:rPr>
                <w:sz w:val="20"/>
                <w:szCs w:val="20"/>
              </w:rPr>
              <w:lastRenderedPageBreak/>
              <w:t>1 June 2009</w:t>
            </w:r>
          </w:p>
        </w:tc>
      </w:tr>
      <w:tr w:rsidR="00CE3385" w14:paraId="62657C2E" w14:textId="77777777" w:rsidTr="00BD2633">
        <w:tc>
          <w:tcPr>
            <w:tcW w:w="0" w:type="auto"/>
            <w:vAlign w:val="center"/>
          </w:tcPr>
          <w:p w14:paraId="3BAFC1BE" w14:textId="77777777" w:rsidR="007D3D9C" w:rsidRPr="00383006" w:rsidRDefault="007D3D9C" w:rsidP="00086B38">
            <w:pPr>
              <w:rPr>
                <w:b/>
                <w:sz w:val="20"/>
                <w:szCs w:val="20"/>
              </w:rPr>
            </w:pPr>
            <w:proofErr w:type="spellStart"/>
            <w:r w:rsidRPr="00383006">
              <w:rPr>
                <w:b/>
                <w:sz w:val="20"/>
                <w:szCs w:val="20"/>
              </w:rPr>
              <w:lastRenderedPageBreak/>
              <w:t>Etanercept</w:t>
            </w:r>
            <w:proofErr w:type="spellEnd"/>
            <w:r w:rsidRPr="00383006">
              <w:rPr>
                <w:b/>
                <w:sz w:val="20"/>
                <w:szCs w:val="20"/>
              </w:rPr>
              <w:t xml:space="preserve"> (</w:t>
            </w:r>
            <w:r>
              <w:rPr>
                <w:b/>
                <w:sz w:val="20"/>
                <w:szCs w:val="20"/>
              </w:rPr>
              <w:t>continuous</w:t>
            </w:r>
            <w:r w:rsidRPr="00383006">
              <w:rPr>
                <w:b/>
                <w:sz w:val="20"/>
                <w:szCs w:val="20"/>
              </w:rPr>
              <w:t xml:space="preserve"> dosing) </w:t>
            </w:r>
          </w:p>
          <w:p w14:paraId="60A862AC" w14:textId="77777777" w:rsidR="007D3D9C" w:rsidRPr="00383006" w:rsidRDefault="007D3D9C" w:rsidP="00086B38">
            <w:pPr>
              <w:rPr>
                <w:sz w:val="20"/>
                <w:szCs w:val="20"/>
                <w:u w:val="single"/>
              </w:rPr>
            </w:pPr>
            <w:r w:rsidRPr="00383006">
              <w:rPr>
                <w:sz w:val="20"/>
                <w:szCs w:val="20"/>
                <w:u w:val="single"/>
              </w:rPr>
              <w:t>March 200</w:t>
            </w:r>
            <w:r>
              <w:rPr>
                <w:sz w:val="20"/>
                <w:szCs w:val="20"/>
                <w:u w:val="single"/>
              </w:rPr>
              <w:t>9</w:t>
            </w:r>
            <w:r w:rsidRPr="00383006">
              <w:rPr>
                <w:sz w:val="20"/>
                <w:szCs w:val="20"/>
                <w:u w:val="single"/>
              </w:rPr>
              <w:t xml:space="preserve"> PBAC </w:t>
            </w:r>
            <w:r>
              <w:rPr>
                <w:sz w:val="20"/>
                <w:szCs w:val="20"/>
                <w:u w:val="single"/>
              </w:rPr>
              <w:t>m</w:t>
            </w:r>
            <w:r w:rsidRPr="00383006">
              <w:rPr>
                <w:sz w:val="20"/>
                <w:szCs w:val="20"/>
                <w:u w:val="single"/>
              </w:rPr>
              <w:t>eeting</w:t>
            </w:r>
          </w:p>
          <w:p w14:paraId="36DE59B8" w14:textId="77777777" w:rsidR="007D3D9C" w:rsidRDefault="007D3D9C" w:rsidP="00086B38">
            <w:pPr>
              <w:rPr>
                <w:sz w:val="20"/>
                <w:szCs w:val="20"/>
              </w:rPr>
            </w:pPr>
            <w:r w:rsidRPr="0052062A">
              <w:rPr>
                <w:sz w:val="20"/>
                <w:szCs w:val="20"/>
              </w:rPr>
              <w:t xml:space="preserve">Recommended on a cost-minimisation basis to </w:t>
            </w:r>
            <w:proofErr w:type="spellStart"/>
            <w:r w:rsidRPr="0052062A">
              <w:rPr>
                <w:sz w:val="20"/>
                <w:szCs w:val="20"/>
              </w:rPr>
              <w:t>efalizumab</w:t>
            </w:r>
            <w:proofErr w:type="spellEnd"/>
            <w:r w:rsidRPr="0052062A">
              <w:rPr>
                <w:sz w:val="20"/>
                <w:szCs w:val="20"/>
              </w:rPr>
              <w:t>.</w:t>
            </w:r>
          </w:p>
          <w:p w14:paraId="0B24BDA4" w14:textId="13A2B2DF" w:rsidR="007D3D9C" w:rsidRDefault="00CE5896" w:rsidP="00086B38">
            <w:pPr>
              <w:rPr>
                <w:b/>
                <w:sz w:val="20"/>
                <w:szCs w:val="20"/>
              </w:rPr>
            </w:pPr>
            <w:r>
              <w:rPr>
                <w:sz w:val="20"/>
                <w:szCs w:val="20"/>
              </w:rPr>
              <w:t>See</w:t>
            </w:r>
            <w:r w:rsidR="00A710E7">
              <w:rPr>
                <w:sz w:val="20"/>
                <w:szCs w:val="20"/>
              </w:rPr>
              <w:t xml:space="preserve"> </w:t>
            </w:r>
            <w:hyperlink r:id="rId15" w:history="1">
              <w:r>
                <w:rPr>
                  <w:rStyle w:val="Hyperlink"/>
                  <w:sz w:val="20"/>
                  <w:szCs w:val="20"/>
                </w:rPr>
                <w:t>Public Summary Document</w:t>
              </w:r>
            </w:hyperlink>
            <w:r w:rsidR="00A710E7">
              <w:rPr>
                <w:sz w:val="20"/>
                <w:szCs w:val="20"/>
              </w:rPr>
              <w:t xml:space="preserve"> </w:t>
            </w:r>
            <w:r>
              <w:rPr>
                <w:sz w:val="20"/>
                <w:szCs w:val="20"/>
              </w:rPr>
              <w:t>for further details.</w:t>
            </w:r>
          </w:p>
        </w:tc>
        <w:tc>
          <w:tcPr>
            <w:tcW w:w="0" w:type="auto"/>
            <w:vAlign w:val="center"/>
          </w:tcPr>
          <w:p w14:paraId="1B8BEF3B" w14:textId="77777777" w:rsidR="007D3D9C" w:rsidRDefault="007D3D9C" w:rsidP="00086B38">
            <w:pPr>
              <w:jc w:val="center"/>
              <w:rPr>
                <w:sz w:val="20"/>
                <w:szCs w:val="20"/>
              </w:rPr>
            </w:pPr>
            <w:r>
              <w:rPr>
                <w:sz w:val="20"/>
                <w:szCs w:val="20"/>
              </w:rPr>
              <w:t>1 June 2009</w:t>
            </w:r>
          </w:p>
        </w:tc>
      </w:tr>
      <w:tr w:rsidR="00CE3385" w14:paraId="56D5A245" w14:textId="77777777" w:rsidTr="00BD2633">
        <w:tc>
          <w:tcPr>
            <w:tcW w:w="0" w:type="auto"/>
            <w:vAlign w:val="center"/>
          </w:tcPr>
          <w:p w14:paraId="6A59D111" w14:textId="77777777" w:rsidR="007D3D9C" w:rsidRDefault="007D3D9C" w:rsidP="00086B38">
            <w:pPr>
              <w:rPr>
                <w:b/>
                <w:sz w:val="20"/>
                <w:szCs w:val="20"/>
              </w:rPr>
            </w:pPr>
            <w:proofErr w:type="spellStart"/>
            <w:r>
              <w:rPr>
                <w:b/>
                <w:sz w:val="20"/>
                <w:szCs w:val="20"/>
              </w:rPr>
              <w:t>Ustekinumab</w:t>
            </w:r>
            <w:proofErr w:type="spellEnd"/>
            <w:r>
              <w:rPr>
                <w:b/>
                <w:sz w:val="20"/>
                <w:szCs w:val="20"/>
              </w:rPr>
              <w:t xml:space="preserve">  </w:t>
            </w:r>
          </w:p>
          <w:p w14:paraId="12B669A5" w14:textId="77777777" w:rsidR="007D3D9C" w:rsidRDefault="007D3D9C" w:rsidP="00086B38">
            <w:pPr>
              <w:rPr>
                <w:sz w:val="20"/>
                <w:szCs w:val="20"/>
                <w:u w:val="single"/>
              </w:rPr>
            </w:pPr>
            <w:r>
              <w:rPr>
                <w:sz w:val="20"/>
                <w:szCs w:val="20"/>
                <w:u w:val="single"/>
              </w:rPr>
              <w:t>November 2009 PBAC  meeting</w:t>
            </w:r>
          </w:p>
          <w:p w14:paraId="7AFFAB11" w14:textId="77777777" w:rsidR="007D3D9C" w:rsidRDefault="007D3D9C" w:rsidP="00086B38">
            <w:pPr>
              <w:rPr>
                <w:sz w:val="20"/>
                <w:szCs w:val="20"/>
              </w:rPr>
            </w:pPr>
            <w:r w:rsidRPr="0052062A">
              <w:rPr>
                <w:sz w:val="20"/>
                <w:szCs w:val="20"/>
              </w:rPr>
              <w:t xml:space="preserve">Recommended on a cost-effectiveness basis with </w:t>
            </w:r>
            <w:proofErr w:type="spellStart"/>
            <w:r w:rsidRPr="0052062A">
              <w:rPr>
                <w:sz w:val="20"/>
                <w:szCs w:val="20"/>
              </w:rPr>
              <w:t>etanercept</w:t>
            </w:r>
            <w:proofErr w:type="spellEnd"/>
            <w:r w:rsidRPr="0052062A">
              <w:rPr>
                <w:sz w:val="20"/>
                <w:szCs w:val="20"/>
              </w:rPr>
              <w:t>.</w:t>
            </w:r>
            <w:r>
              <w:rPr>
                <w:sz w:val="20"/>
                <w:szCs w:val="20"/>
              </w:rPr>
              <w:t xml:space="preserve"> </w:t>
            </w:r>
            <w:proofErr w:type="spellStart"/>
            <w:r>
              <w:rPr>
                <w:sz w:val="20"/>
                <w:szCs w:val="20"/>
              </w:rPr>
              <w:t>Ustekinumab</w:t>
            </w:r>
            <w:proofErr w:type="spellEnd"/>
            <w:r>
              <w:rPr>
                <w:sz w:val="20"/>
                <w:szCs w:val="20"/>
              </w:rPr>
              <w:t xml:space="preserve"> was considered to be more effective and no worse in comparative safety. </w:t>
            </w:r>
          </w:p>
          <w:p w14:paraId="3D5299FF" w14:textId="3635A7FD" w:rsidR="007D3D9C" w:rsidRPr="0052062A" w:rsidRDefault="00391678" w:rsidP="00086B38">
            <w:pPr>
              <w:rPr>
                <w:sz w:val="20"/>
                <w:szCs w:val="20"/>
              </w:rPr>
            </w:pPr>
            <w:r>
              <w:rPr>
                <w:sz w:val="20"/>
                <w:szCs w:val="20"/>
              </w:rPr>
              <w:t>See</w:t>
            </w:r>
            <w:r w:rsidR="00EC3C07">
              <w:rPr>
                <w:sz w:val="20"/>
                <w:szCs w:val="20"/>
              </w:rPr>
              <w:t xml:space="preserve"> </w:t>
            </w:r>
            <w:hyperlink r:id="rId16" w:history="1">
              <w:r>
                <w:rPr>
                  <w:rStyle w:val="Hyperlink"/>
                  <w:sz w:val="20"/>
                  <w:szCs w:val="20"/>
                </w:rPr>
                <w:t>Public Summary Document</w:t>
              </w:r>
            </w:hyperlink>
            <w:r w:rsidR="00EC3C07">
              <w:rPr>
                <w:sz w:val="20"/>
                <w:szCs w:val="20"/>
              </w:rPr>
              <w:t xml:space="preserve"> </w:t>
            </w:r>
            <w:r>
              <w:rPr>
                <w:sz w:val="20"/>
                <w:szCs w:val="20"/>
              </w:rPr>
              <w:t>for further details.</w:t>
            </w:r>
          </w:p>
        </w:tc>
        <w:tc>
          <w:tcPr>
            <w:tcW w:w="0" w:type="auto"/>
            <w:vAlign w:val="center"/>
          </w:tcPr>
          <w:p w14:paraId="24EA97FE" w14:textId="77777777" w:rsidR="007D3D9C" w:rsidRDefault="007D3D9C" w:rsidP="00086B38">
            <w:pPr>
              <w:jc w:val="center"/>
              <w:rPr>
                <w:sz w:val="20"/>
                <w:szCs w:val="20"/>
              </w:rPr>
            </w:pPr>
            <w:r>
              <w:rPr>
                <w:sz w:val="20"/>
                <w:szCs w:val="20"/>
              </w:rPr>
              <w:t>1 March 2010</w:t>
            </w:r>
          </w:p>
        </w:tc>
      </w:tr>
      <w:tr w:rsidR="00CE3385" w14:paraId="4D54328B" w14:textId="77777777" w:rsidTr="00BD2633">
        <w:tc>
          <w:tcPr>
            <w:tcW w:w="0" w:type="auto"/>
            <w:vAlign w:val="center"/>
          </w:tcPr>
          <w:p w14:paraId="5CBF1758" w14:textId="77777777" w:rsidR="007D3D9C" w:rsidRPr="00383006" w:rsidRDefault="007D3D9C" w:rsidP="00086B38">
            <w:pPr>
              <w:rPr>
                <w:b/>
                <w:sz w:val="20"/>
                <w:szCs w:val="20"/>
              </w:rPr>
            </w:pPr>
            <w:proofErr w:type="spellStart"/>
            <w:r w:rsidRPr="00383006">
              <w:rPr>
                <w:b/>
                <w:sz w:val="20"/>
                <w:szCs w:val="20"/>
              </w:rPr>
              <w:t>Etanercept</w:t>
            </w:r>
            <w:proofErr w:type="spellEnd"/>
            <w:r w:rsidRPr="00383006">
              <w:rPr>
                <w:b/>
                <w:sz w:val="20"/>
                <w:szCs w:val="20"/>
              </w:rPr>
              <w:t xml:space="preserve"> (</w:t>
            </w:r>
            <w:r>
              <w:rPr>
                <w:b/>
                <w:sz w:val="20"/>
                <w:szCs w:val="20"/>
              </w:rPr>
              <w:t>paediatric listing</w:t>
            </w:r>
            <w:r w:rsidRPr="00383006">
              <w:rPr>
                <w:b/>
                <w:sz w:val="20"/>
                <w:szCs w:val="20"/>
              </w:rPr>
              <w:t xml:space="preserve">) </w:t>
            </w:r>
          </w:p>
          <w:p w14:paraId="29EF627D" w14:textId="77777777" w:rsidR="007D3D9C" w:rsidRPr="00383006" w:rsidRDefault="007D3D9C" w:rsidP="00086B38">
            <w:pPr>
              <w:rPr>
                <w:sz w:val="20"/>
                <w:szCs w:val="20"/>
                <w:u w:val="single"/>
              </w:rPr>
            </w:pPr>
            <w:r w:rsidRPr="00383006">
              <w:rPr>
                <w:sz w:val="20"/>
                <w:szCs w:val="20"/>
                <w:u w:val="single"/>
              </w:rPr>
              <w:t>March 20</w:t>
            </w:r>
            <w:r>
              <w:rPr>
                <w:sz w:val="20"/>
                <w:szCs w:val="20"/>
                <w:u w:val="single"/>
              </w:rPr>
              <w:t>12</w:t>
            </w:r>
            <w:r w:rsidRPr="00383006">
              <w:rPr>
                <w:sz w:val="20"/>
                <w:szCs w:val="20"/>
                <w:u w:val="single"/>
              </w:rPr>
              <w:t xml:space="preserve"> PBAC </w:t>
            </w:r>
            <w:r>
              <w:rPr>
                <w:sz w:val="20"/>
                <w:szCs w:val="20"/>
                <w:u w:val="single"/>
              </w:rPr>
              <w:t>m</w:t>
            </w:r>
            <w:r w:rsidRPr="00383006">
              <w:rPr>
                <w:sz w:val="20"/>
                <w:szCs w:val="20"/>
                <w:u w:val="single"/>
              </w:rPr>
              <w:t>eeting</w:t>
            </w:r>
          </w:p>
          <w:p w14:paraId="5FA20EE1" w14:textId="77777777" w:rsidR="007D3D9C" w:rsidRDefault="007D3D9C" w:rsidP="00086B38">
            <w:pPr>
              <w:rPr>
                <w:sz w:val="20"/>
                <w:szCs w:val="20"/>
              </w:rPr>
            </w:pPr>
            <w:r w:rsidRPr="00316025">
              <w:rPr>
                <w:sz w:val="20"/>
                <w:szCs w:val="20"/>
              </w:rPr>
              <w:t xml:space="preserve">Recommended on the basis of acceptable cost effectiveness to </w:t>
            </w:r>
            <w:r>
              <w:rPr>
                <w:sz w:val="20"/>
                <w:szCs w:val="20"/>
              </w:rPr>
              <w:t>best supportive care</w:t>
            </w:r>
            <w:r w:rsidRPr="00316025">
              <w:rPr>
                <w:sz w:val="20"/>
                <w:szCs w:val="20"/>
              </w:rPr>
              <w:t xml:space="preserve"> in the context of a high clinical need.</w:t>
            </w:r>
          </w:p>
          <w:p w14:paraId="12FB355C" w14:textId="7003A742" w:rsidR="007D3D9C" w:rsidRPr="00316025" w:rsidRDefault="006C13AB" w:rsidP="00086B38">
            <w:pPr>
              <w:rPr>
                <w:sz w:val="20"/>
                <w:szCs w:val="20"/>
              </w:rPr>
            </w:pPr>
            <w:r>
              <w:rPr>
                <w:sz w:val="20"/>
                <w:szCs w:val="20"/>
              </w:rPr>
              <w:t>See</w:t>
            </w:r>
            <w:r w:rsidR="00CE3385">
              <w:rPr>
                <w:sz w:val="20"/>
                <w:szCs w:val="20"/>
              </w:rPr>
              <w:t xml:space="preserve"> </w:t>
            </w:r>
            <w:hyperlink r:id="rId17" w:history="1">
              <w:r>
                <w:rPr>
                  <w:rStyle w:val="Hyperlink"/>
                  <w:sz w:val="20"/>
                  <w:szCs w:val="20"/>
                </w:rPr>
                <w:t>Public Summary Document</w:t>
              </w:r>
            </w:hyperlink>
            <w:r w:rsidR="00CE3385">
              <w:rPr>
                <w:sz w:val="20"/>
                <w:szCs w:val="20"/>
              </w:rPr>
              <w:t xml:space="preserve"> </w:t>
            </w:r>
            <w:r>
              <w:rPr>
                <w:sz w:val="20"/>
                <w:szCs w:val="20"/>
              </w:rPr>
              <w:t>for further details.</w:t>
            </w:r>
          </w:p>
        </w:tc>
        <w:tc>
          <w:tcPr>
            <w:tcW w:w="0" w:type="auto"/>
            <w:vAlign w:val="center"/>
          </w:tcPr>
          <w:p w14:paraId="4A3AD041" w14:textId="77777777" w:rsidR="007D3D9C" w:rsidRDefault="007D3D9C" w:rsidP="00086B38">
            <w:pPr>
              <w:jc w:val="center"/>
              <w:rPr>
                <w:sz w:val="20"/>
                <w:szCs w:val="20"/>
              </w:rPr>
            </w:pPr>
            <w:r>
              <w:rPr>
                <w:sz w:val="20"/>
                <w:szCs w:val="20"/>
              </w:rPr>
              <w:t>1 August 2012</w:t>
            </w:r>
          </w:p>
        </w:tc>
      </w:tr>
    </w:tbl>
    <w:p w14:paraId="02168317" w14:textId="77777777" w:rsidR="000524CA" w:rsidRDefault="000524CA" w:rsidP="00805D47"/>
    <w:p w14:paraId="3223CBAC" w14:textId="7A5F88B9" w:rsidR="007D3D9C" w:rsidRPr="003B6051" w:rsidRDefault="007D3D9C" w:rsidP="00805D47">
      <w:pPr>
        <w:rPr>
          <w:b/>
          <w:i/>
        </w:rPr>
      </w:pPr>
      <w:r>
        <w:t xml:space="preserve">The PBAC has considered issues relating to </w:t>
      </w:r>
      <w:proofErr w:type="spellStart"/>
      <w:r>
        <w:t>bDMARD</w:t>
      </w:r>
      <w:proofErr w:type="spellEnd"/>
      <w:r>
        <w:t xml:space="preserve"> use in psoriasis on a number of other occasions.</w:t>
      </w:r>
      <w:r w:rsidR="00400A0F">
        <w:t xml:space="preserve">  </w:t>
      </w:r>
      <w:r>
        <w:t xml:space="preserve">A summary of </w:t>
      </w:r>
      <w:r w:rsidR="004904C7">
        <w:t xml:space="preserve">other </w:t>
      </w:r>
      <w:r>
        <w:t xml:space="preserve">relevant considerations are presented as follows.  </w:t>
      </w:r>
    </w:p>
    <w:p w14:paraId="224962C6" w14:textId="77777777" w:rsidR="007D3D9C" w:rsidRDefault="007D3D9C" w:rsidP="00AE2570">
      <w:pPr>
        <w:pStyle w:val="Heading2"/>
      </w:pPr>
      <w:r w:rsidRPr="00EF7865">
        <w:t>Stakeholder meeting</w:t>
      </w:r>
    </w:p>
    <w:p w14:paraId="745EFEDF" w14:textId="29938429" w:rsidR="007D3D9C" w:rsidRPr="00D224F3" w:rsidRDefault="007D3D9C" w:rsidP="00AE2570">
      <w:pPr>
        <w:rPr>
          <w:b/>
          <w:i/>
        </w:rPr>
      </w:pPr>
      <w:r w:rsidRPr="00D224F3">
        <w:t xml:space="preserve">In December 2004, a </w:t>
      </w:r>
      <w:r w:rsidR="00361883">
        <w:t>PBAC S</w:t>
      </w:r>
      <w:r w:rsidRPr="00D224F3">
        <w:t xml:space="preserve">takeholder meeting was held regarding the role of </w:t>
      </w:r>
      <w:proofErr w:type="spellStart"/>
      <w:r w:rsidRPr="00D224F3">
        <w:t>bDMARDs</w:t>
      </w:r>
      <w:proofErr w:type="spellEnd"/>
      <w:r w:rsidRPr="00D224F3">
        <w:t xml:space="preserve"> in psoriasis following the rejection of </w:t>
      </w:r>
      <w:proofErr w:type="spellStart"/>
      <w:r w:rsidRPr="00D224F3">
        <w:t>efalizumab</w:t>
      </w:r>
      <w:proofErr w:type="spellEnd"/>
      <w:r w:rsidRPr="00D224F3">
        <w:t xml:space="preserve"> and </w:t>
      </w:r>
      <w:proofErr w:type="spellStart"/>
      <w:r w:rsidRPr="00D224F3">
        <w:t>alefacept</w:t>
      </w:r>
      <w:proofErr w:type="spellEnd"/>
      <w:r w:rsidRPr="00D224F3">
        <w:t xml:space="preserve">.  The meeting included the </w:t>
      </w:r>
      <w:r w:rsidR="00E27B64">
        <w:t xml:space="preserve">PBAC Chair and members of the PBAC, </w:t>
      </w:r>
      <w:r w:rsidRPr="00D224F3">
        <w:t xml:space="preserve">representatives from the Department, </w:t>
      </w:r>
      <w:r w:rsidR="00E27B64">
        <w:t xml:space="preserve">the </w:t>
      </w:r>
      <w:r w:rsidRPr="00D224F3">
        <w:t xml:space="preserve">Australasian College of Dermatologists, </w:t>
      </w:r>
      <w:r w:rsidR="008E6B0B">
        <w:t>pharmaceutical sponsors</w:t>
      </w:r>
      <w:r w:rsidRPr="00D224F3">
        <w:t xml:space="preserve"> and Medicines Australia.</w:t>
      </w:r>
      <w:r w:rsidR="00361883">
        <w:t xml:space="preserve">  </w:t>
      </w:r>
      <w:r w:rsidRPr="00D224F3">
        <w:t xml:space="preserve">With respect to utilisation issues, it was estimated there could be 5,000 to 10,000 patients eligible for treatment with </w:t>
      </w:r>
      <w:proofErr w:type="spellStart"/>
      <w:r w:rsidRPr="00D224F3">
        <w:t>bDMARDs</w:t>
      </w:r>
      <w:proofErr w:type="spellEnd"/>
      <w:r w:rsidRPr="00D224F3">
        <w:t>.</w:t>
      </w:r>
      <w:r w:rsidR="00361883">
        <w:t xml:space="preserve">  </w:t>
      </w:r>
      <w:proofErr w:type="spellStart"/>
      <w:r w:rsidRPr="00D224F3">
        <w:t>Aleface</w:t>
      </w:r>
      <w:r w:rsidR="00506365">
        <w:t>pt</w:t>
      </w:r>
      <w:proofErr w:type="spellEnd"/>
      <w:r w:rsidR="00506365">
        <w:t xml:space="preserve"> was never listed on the PBS.</w:t>
      </w:r>
    </w:p>
    <w:p w14:paraId="305F1961" w14:textId="77777777" w:rsidR="007D3D9C" w:rsidRPr="00D224F3" w:rsidRDefault="007D3D9C" w:rsidP="00621EDC">
      <w:pPr>
        <w:pStyle w:val="Heading2"/>
      </w:pPr>
      <w:proofErr w:type="spellStart"/>
      <w:r w:rsidRPr="00D224F3">
        <w:t>Etanercept</w:t>
      </w:r>
      <w:proofErr w:type="spellEnd"/>
      <w:r w:rsidRPr="00D224F3">
        <w:t xml:space="preserve"> - July 2008</w:t>
      </w:r>
    </w:p>
    <w:p w14:paraId="4B5D784D" w14:textId="77777777" w:rsidR="007D3D9C" w:rsidRPr="00D224F3" w:rsidRDefault="007D3D9C" w:rsidP="007D3D9C">
      <w:r w:rsidRPr="00D224F3">
        <w:t xml:space="preserve">The PBAC also considered a submission for </w:t>
      </w:r>
      <w:proofErr w:type="spellStart"/>
      <w:r w:rsidRPr="00D224F3">
        <w:t>etanercept</w:t>
      </w:r>
      <w:proofErr w:type="spellEnd"/>
      <w:r w:rsidRPr="00D224F3">
        <w:t xml:space="preserve"> to consider changes to allow: </w:t>
      </w:r>
    </w:p>
    <w:p w14:paraId="5BDD088C" w14:textId="77777777" w:rsidR="007D3D9C" w:rsidRPr="00D224F3" w:rsidRDefault="007D3D9C" w:rsidP="007D3D9C">
      <w:pPr>
        <w:pStyle w:val="ListParagraph"/>
        <w:numPr>
          <w:ilvl w:val="0"/>
          <w:numId w:val="6"/>
        </w:numPr>
      </w:pPr>
      <w:r w:rsidRPr="00D224F3">
        <w:t xml:space="preserve">An additional 12 weeks initial treatment, to a total of 24 weeks, for patients with a response less than PASI 75 but greater than PASI 50; and </w:t>
      </w:r>
    </w:p>
    <w:p w14:paraId="2442FAEF" w14:textId="77777777" w:rsidR="005847ED" w:rsidRDefault="007D3D9C" w:rsidP="007D3D9C">
      <w:pPr>
        <w:pStyle w:val="ListParagraph"/>
        <w:numPr>
          <w:ilvl w:val="0"/>
          <w:numId w:val="6"/>
        </w:numPr>
      </w:pPr>
      <w:r w:rsidRPr="00D224F3">
        <w:t xml:space="preserve">Patients qualifying for continuing treatment to receive continuous or intermittent treatment. </w:t>
      </w:r>
    </w:p>
    <w:p w14:paraId="499DD640" w14:textId="38A163CA" w:rsidR="007D3D9C" w:rsidRPr="00D224F3" w:rsidRDefault="007D3D9C" w:rsidP="005847ED">
      <w:proofErr w:type="spellStart"/>
      <w:r w:rsidRPr="00D224F3">
        <w:t>Etanercept</w:t>
      </w:r>
      <w:proofErr w:type="spellEnd"/>
      <w:r w:rsidRPr="00D224F3">
        <w:t xml:space="preserve"> was only listed for intermittent therapy at the time of the meeting. </w:t>
      </w:r>
    </w:p>
    <w:p w14:paraId="47312499" w14:textId="7C183DBC" w:rsidR="007D3D9C" w:rsidRPr="00D224F3" w:rsidRDefault="007D3D9C" w:rsidP="007D3D9C">
      <w:r w:rsidRPr="00D224F3">
        <w:t>The PBAC rejected the submission at the time, noting that while more patients achieve a PASI 75 after 24 weeks compared to 12 weeks of initial therapy and that the continuous regimen offers advantages over the intermittent regimen in maintaining PASI 75 r</w:t>
      </w:r>
      <w:r w:rsidR="002755DD">
        <w:t>esponse; the trial evidence did</w:t>
      </w:r>
      <w:r w:rsidRPr="00D224F3">
        <w:t xml:space="preserve"> not allow a comparison with the current regimen.</w:t>
      </w:r>
      <w:r w:rsidR="005847ED">
        <w:t xml:space="preserve"> </w:t>
      </w:r>
      <w:r w:rsidRPr="00D224F3">
        <w:t xml:space="preserve"> As a result, and considering uncertainties in the economic model, the PBAC considered that the cost-effectiveness of the proposed changes to the continuing treatment period has not been established compared to the current listing restrictions.</w:t>
      </w:r>
    </w:p>
    <w:p w14:paraId="4355E922" w14:textId="182E772A" w:rsidR="007D3D9C" w:rsidRPr="00D224F3" w:rsidRDefault="00B75F16" w:rsidP="007D3D9C">
      <w:r>
        <w:t>See</w:t>
      </w:r>
      <w:r w:rsidR="005847ED">
        <w:t xml:space="preserve"> </w:t>
      </w:r>
      <w:hyperlink r:id="rId18" w:history="1">
        <w:r>
          <w:rPr>
            <w:rStyle w:val="Hyperlink"/>
          </w:rPr>
          <w:t>Public Summary Document</w:t>
        </w:r>
      </w:hyperlink>
      <w:r>
        <w:t xml:space="preserve"> from </w:t>
      </w:r>
      <w:r w:rsidR="007D3D9C" w:rsidRPr="00D224F3">
        <w:t>the July 2008 PBAC meeting</w:t>
      </w:r>
      <w:r>
        <w:t xml:space="preserve"> for further details.</w:t>
      </w:r>
    </w:p>
    <w:p w14:paraId="51DD983D" w14:textId="77777777" w:rsidR="007D3D9C" w:rsidRPr="00D224F3" w:rsidRDefault="007D3D9C" w:rsidP="001D5EE5">
      <w:pPr>
        <w:pStyle w:val="Heading2"/>
      </w:pPr>
      <w:proofErr w:type="spellStart"/>
      <w:r w:rsidRPr="00D224F3">
        <w:lastRenderedPageBreak/>
        <w:t>Etanercept</w:t>
      </w:r>
      <w:proofErr w:type="spellEnd"/>
      <w:r w:rsidRPr="00D224F3">
        <w:t xml:space="preserve"> – March 2009</w:t>
      </w:r>
    </w:p>
    <w:p w14:paraId="3D2642AA" w14:textId="07EF4237" w:rsidR="007D3D9C" w:rsidRDefault="0037194C" w:rsidP="007D3D9C">
      <w:r>
        <w:t xml:space="preserve">The PBAC recommended changing </w:t>
      </w:r>
      <w:r w:rsidR="007D3D9C" w:rsidRPr="00D224F3">
        <w:t xml:space="preserve">the listing of </w:t>
      </w:r>
      <w:proofErr w:type="spellStart"/>
      <w:r w:rsidR="007D3D9C" w:rsidRPr="00D224F3">
        <w:t>etanercept</w:t>
      </w:r>
      <w:proofErr w:type="spellEnd"/>
      <w:r w:rsidR="007D3D9C" w:rsidRPr="00D224F3">
        <w:t xml:space="preserve"> to allow for continuous treatment in the management of chronic plaque psoriasis on the basis of cost-minimisation against </w:t>
      </w:r>
      <w:proofErr w:type="spellStart"/>
      <w:r w:rsidR="007D3D9C" w:rsidRPr="00D224F3">
        <w:t>efalizumab</w:t>
      </w:r>
      <w:proofErr w:type="spellEnd"/>
      <w:r w:rsidR="007D3D9C" w:rsidRPr="00D224F3">
        <w:t xml:space="preserve"> continuous tr</w:t>
      </w:r>
      <w:r w:rsidR="003D5D40">
        <w:t xml:space="preserve">eatment at the requested price.  </w:t>
      </w:r>
      <w:r w:rsidR="007D3D9C" w:rsidRPr="00D224F3">
        <w:t xml:space="preserve">Unlike the previous consideration, the sponsor did not request the PBAC allow an additional 12 weeks initial treatment for patients with a PASI response between 50 and 75. </w:t>
      </w:r>
    </w:p>
    <w:p w14:paraId="241D780C" w14:textId="2C19566C" w:rsidR="008119A6" w:rsidRPr="00D224F3" w:rsidRDefault="00782E99" w:rsidP="007D3D9C">
      <w:r>
        <w:t>See</w:t>
      </w:r>
      <w:r w:rsidR="008119A6">
        <w:t xml:space="preserve"> </w:t>
      </w:r>
      <w:hyperlink r:id="rId19" w:history="1">
        <w:r>
          <w:rPr>
            <w:rStyle w:val="Hyperlink"/>
          </w:rPr>
          <w:t>Public Summary Document</w:t>
        </w:r>
      </w:hyperlink>
      <w:r w:rsidR="008119A6">
        <w:t xml:space="preserve"> </w:t>
      </w:r>
      <w:r>
        <w:t>from the March 2009 PBAC meeting for further details.</w:t>
      </w:r>
    </w:p>
    <w:p w14:paraId="08E61E32" w14:textId="77777777" w:rsidR="007D3D9C" w:rsidRPr="00D224F3" w:rsidRDefault="007D3D9C" w:rsidP="00B14C52">
      <w:pPr>
        <w:pStyle w:val="Heading2"/>
      </w:pPr>
      <w:proofErr w:type="spellStart"/>
      <w:r w:rsidRPr="00D224F3">
        <w:t>Adalimumab</w:t>
      </w:r>
      <w:proofErr w:type="spellEnd"/>
      <w:r w:rsidRPr="00D224F3">
        <w:t xml:space="preserve"> for moderate psoriasis – March 2013</w:t>
      </w:r>
    </w:p>
    <w:p w14:paraId="7F212858" w14:textId="4547E1F3" w:rsidR="007D3D9C" w:rsidRPr="00D224F3" w:rsidRDefault="007D3D9C" w:rsidP="007D3D9C">
      <w:r w:rsidRPr="00D224F3">
        <w:t xml:space="preserve">At its March 2013 meeting, the PBAC considered an extension to the listing of </w:t>
      </w:r>
      <w:proofErr w:type="spellStart"/>
      <w:r w:rsidRPr="00D224F3">
        <w:t>adalimumab</w:t>
      </w:r>
      <w:proofErr w:type="spellEnd"/>
      <w:r w:rsidRPr="00D224F3">
        <w:t xml:space="preserve"> to include moderate psoriasis defined as patients with PASI or Dermatological Life Quality Index (DLQI) greater than 10 but a PASI less than or equal to 15 and </w:t>
      </w:r>
      <w:r w:rsidR="00506EB0">
        <w:t>who had</w:t>
      </w:r>
      <w:r w:rsidRPr="00D224F3">
        <w:t xml:space="preserve"> failed 2 prior systemic therapies, instead of three.</w:t>
      </w:r>
      <w:r w:rsidR="00565669">
        <w:t xml:space="preserve">  T</w:t>
      </w:r>
      <w:r w:rsidRPr="00D224F3">
        <w:t xml:space="preserve">he PBAC rejected the submission on the basis of highly uncertain cost-effectiveness. The PBAC was particularly concerned with the use of </w:t>
      </w:r>
      <w:proofErr w:type="spellStart"/>
      <w:r w:rsidRPr="00D224F3">
        <w:t>adalimumab</w:t>
      </w:r>
      <w:proofErr w:type="spellEnd"/>
      <w:r w:rsidRPr="00D224F3">
        <w:t xml:space="preserve"> (and monoclonal antibodies in general) in larger patient populations to treat milder forms of disease, albeit with high health distress, insofar as it increases exposure of patients to the adverse effects associated with use of these agents, particularly infection and malignancy.</w:t>
      </w:r>
    </w:p>
    <w:p w14:paraId="3615C369" w14:textId="2FB5372B" w:rsidR="007D3D9C" w:rsidRPr="00D224F3" w:rsidRDefault="00E85A7A" w:rsidP="007D3D9C">
      <w:r>
        <w:t>See</w:t>
      </w:r>
      <w:r w:rsidR="002606CC">
        <w:t xml:space="preserve"> </w:t>
      </w:r>
      <w:hyperlink r:id="rId20" w:history="1">
        <w:r>
          <w:rPr>
            <w:rStyle w:val="Hyperlink"/>
          </w:rPr>
          <w:t>Public Summary Document</w:t>
        </w:r>
      </w:hyperlink>
      <w:r w:rsidR="002606CC">
        <w:t xml:space="preserve"> </w:t>
      </w:r>
      <w:r w:rsidR="007D3D9C" w:rsidRPr="00D224F3">
        <w:t>from the March 2013 PBAC meeting</w:t>
      </w:r>
      <w:r>
        <w:t xml:space="preserve"> for further details.</w:t>
      </w:r>
    </w:p>
    <w:p w14:paraId="72C2CA24" w14:textId="4A28B89A" w:rsidR="000F2F51" w:rsidRDefault="00ED633B" w:rsidP="00C81F99">
      <w:pPr>
        <w:pStyle w:val="Heading4"/>
      </w:pPr>
      <w:r w:rsidRPr="006C4620">
        <w:t>A</w:t>
      </w:r>
      <w:r w:rsidR="000F2F51" w:rsidRPr="006C4620">
        <w:t xml:space="preserve">pproach </w:t>
      </w:r>
      <w:r w:rsidRPr="006C4620">
        <w:t xml:space="preserve">taken to </w:t>
      </w:r>
      <w:r w:rsidR="000F2F51" w:rsidRPr="006C4620">
        <w:t>estimat</w:t>
      </w:r>
      <w:r w:rsidRPr="006C4620">
        <w:t>e</w:t>
      </w:r>
      <w:r w:rsidR="000F2F51" w:rsidRPr="006C4620">
        <w:t xml:space="preserve"> utilisation</w:t>
      </w:r>
    </w:p>
    <w:p w14:paraId="0B90B296" w14:textId="2C30A06E" w:rsidR="007564F0" w:rsidRDefault="000431F8" w:rsidP="007564F0">
      <w:r>
        <w:t xml:space="preserve">The submissions </w:t>
      </w:r>
      <w:r w:rsidRPr="000431F8">
        <w:t>estimate</w:t>
      </w:r>
      <w:r>
        <w:t>d</w:t>
      </w:r>
      <w:r w:rsidRPr="000431F8">
        <w:t xml:space="preserve"> the population eligible for p</w:t>
      </w:r>
      <w:r>
        <w:t xml:space="preserve">soriasis treatment with </w:t>
      </w:r>
      <w:proofErr w:type="spellStart"/>
      <w:r>
        <w:t>bDMARDs</w:t>
      </w:r>
      <w:proofErr w:type="spellEnd"/>
      <w:r>
        <w:t xml:space="preserve"> by estimating the prevalence of psoriasis, the prevalence of plaque psoriasis</w:t>
      </w:r>
      <w:r w:rsidR="00F73F72">
        <w:t>, the proportion of severe disease and failure of other therapies.</w:t>
      </w:r>
    </w:p>
    <w:p w14:paraId="7E87B500" w14:textId="6E60D7A3" w:rsidR="00141C8A" w:rsidRDefault="00141C8A" w:rsidP="007564F0">
      <w:r>
        <w:t>Psoriasis prevalence was estimated to be between 1.8 to 4.8% of the population.  The percentage of plaque psoriasis was estimated to be between 85 and 90%, and severe disease was estimated to affect between 0.5 and 10% of people with psoriasis.</w:t>
      </w:r>
    </w:p>
    <w:p w14:paraId="6ADB4565" w14:textId="784282FF" w:rsidR="009D5D27" w:rsidRDefault="009D5D27" w:rsidP="007564F0">
      <w:r>
        <w:t xml:space="preserve">There was considerable variation in the estimations of eligible patients for treatment with </w:t>
      </w:r>
      <w:proofErr w:type="spellStart"/>
      <w:r>
        <w:t>bDMARDs</w:t>
      </w:r>
      <w:proofErr w:type="spellEnd"/>
      <w:r>
        <w:t xml:space="preserve"> for severe chronic plaque psoriasis across the PBAC submissions.</w:t>
      </w:r>
    </w:p>
    <w:p w14:paraId="2AA872CA" w14:textId="696D2761" w:rsidR="009D5D27" w:rsidRPr="007564F0" w:rsidRDefault="009D5D27" w:rsidP="007564F0">
      <w:r>
        <w:t>The proportion of patients achieving a PASI of 75 were estimated based on response rates in clinical trials were estimated across the submissions to be between 30 and 80% of patients, with approximately 65 to almost 100% estimated to maintain treatment.</w:t>
      </w:r>
    </w:p>
    <w:p w14:paraId="0DEBD50F" w14:textId="15FAF547" w:rsidR="00094DCF" w:rsidRDefault="00ED633B" w:rsidP="000933D3">
      <w:pPr>
        <w:pStyle w:val="Heading4"/>
      </w:pPr>
      <w:r w:rsidRPr="005C25A2">
        <w:t xml:space="preserve">Previous reviews by </w:t>
      </w:r>
      <w:r w:rsidR="005C597F" w:rsidRPr="005C25A2">
        <w:t xml:space="preserve">the </w:t>
      </w:r>
      <w:r w:rsidRPr="005C25A2">
        <w:t>DUSC</w:t>
      </w:r>
    </w:p>
    <w:p w14:paraId="4C6D8C92" w14:textId="1AC4A85A" w:rsidR="00746D63" w:rsidRPr="00D224F3" w:rsidRDefault="00746D63" w:rsidP="00746D63">
      <w:r w:rsidRPr="00D224F3">
        <w:t xml:space="preserve">At its September 2007 meeting, </w:t>
      </w:r>
      <w:r w:rsidR="00083EC9">
        <w:t xml:space="preserve">the </w:t>
      </w:r>
      <w:r w:rsidRPr="00D224F3">
        <w:t xml:space="preserve">DUSC examined the utilisation of </w:t>
      </w:r>
      <w:proofErr w:type="spellStart"/>
      <w:r w:rsidRPr="00D224F3">
        <w:t>efalizumab</w:t>
      </w:r>
      <w:proofErr w:type="spellEnd"/>
      <w:r w:rsidRPr="00D224F3">
        <w:t xml:space="preserve"> in </w:t>
      </w:r>
      <w:r w:rsidR="00083EC9">
        <w:t xml:space="preserve">the first 12 months of listing.  </w:t>
      </w:r>
      <w:r w:rsidRPr="00D224F3">
        <w:t>The analysis found lower than expected patient numbers (</w:t>
      </w:r>
      <w:r w:rsidR="00083EC9">
        <w:t xml:space="preserve">approximately </w:t>
      </w:r>
      <w:r w:rsidRPr="00D224F3">
        <w:t>2</w:t>
      </w:r>
      <w:r w:rsidR="00083EC9">
        <w:t>0</w:t>
      </w:r>
      <w:r w:rsidRPr="00D224F3">
        <w:t xml:space="preserve">% of predicted) but a higher rate </w:t>
      </w:r>
      <w:r w:rsidR="00AD49A7">
        <w:t xml:space="preserve">of continuation than predicted.  The </w:t>
      </w:r>
      <w:r w:rsidRPr="00D224F3">
        <w:t xml:space="preserve">DUSC considered the eligible population was probably overestimated due to uncertainty in </w:t>
      </w:r>
      <w:r w:rsidRPr="00D224F3">
        <w:lastRenderedPageBreak/>
        <w:t>the prevalence of the disease and the proportion of patients with severe disease th</w:t>
      </w:r>
      <w:r w:rsidR="00362931">
        <w:t xml:space="preserve">at would qualify for treatment.  The </w:t>
      </w:r>
      <w:r w:rsidRPr="00D224F3">
        <w:t xml:space="preserve">DUSC also noted this was the first written Authority for dermatologists and experience with rheumatologists showed that uptake of new treatments may be slow. </w:t>
      </w:r>
    </w:p>
    <w:p w14:paraId="0312FFEC" w14:textId="5C6A9662" w:rsidR="00E677DD" w:rsidRDefault="00E677DD" w:rsidP="00E11A6D">
      <w:pPr>
        <w:pStyle w:val="Heading3"/>
      </w:pPr>
      <w:r w:rsidRPr="005E22C2">
        <w:t>Method</w:t>
      </w:r>
      <w:r w:rsidR="001B5D37" w:rsidRPr="005E22C2">
        <w:t>s</w:t>
      </w:r>
    </w:p>
    <w:p w14:paraId="6DBE0BFA" w14:textId="54AFABB8" w:rsidR="00EB2EB1" w:rsidRPr="00D224F3" w:rsidRDefault="00EB2EB1" w:rsidP="00EB2EB1">
      <w:r w:rsidRPr="00D224F3">
        <w:t>The Authority Approvals database was used to examine the number of patients, patient age and the proportion of patients continuing treatment after their initial course of therapy. Patients were counted as receiving treatment in a particular year if they received a</w:t>
      </w:r>
      <w:r w:rsidR="00795C1A">
        <w:t xml:space="preserve">n Authority approval that year.  </w:t>
      </w:r>
      <w:r w:rsidRPr="00D224F3">
        <w:t xml:space="preserve">It is assumed patients will receive at least one approval a year because no more than 28 weeks of treatment is approved for psoriasis at one time.  This may be a small overestimate because some patients will receive an Authority approval but not have the medicine dispensed. </w:t>
      </w:r>
    </w:p>
    <w:p w14:paraId="2EDE5967" w14:textId="478E2884" w:rsidR="00EB2EB1" w:rsidRPr="00D224F3" w:rsidRDefault="00EB2EB1" w:rsidP="00EB2EB1">
      <w:r w:rsidRPr="00D224F3">
        <w:t xml:space="preserve">The DHS </w:t>
      </w:r>
      <w:r w:rsidR="00795C1A">
        <w:t xml:space="preserve">Medicare </w:t>
      </w:r>
      <w:r w:rsidRPr="00D224F3">
        <w:t xml:space="preserve">Supplied Prescriptions Database was used for expenditure and prescriptions supplied data for </w:t>
      </w:r>
      <w:proofErr w:type="spellStart"/>
      <w:r w:rsidRPr="00D224F3">
        <w:t>adalimumab</w:t>
      </w:r>
      <w:proofErr w:type="spellEnd"/>
      <w:r w:rsidRPr="00D224F3">
        <w:t xml:space="preserve">, </w:t>
      </w:r>
      <w:proofErr w:type="spellStart"/>
      <w:r w:rsidRPr="00D224F3">
        <w:t>etanerce</w:t>
      </w:r>
      <w:r w:rsidR="004F3203">
        <w:t>pt</w:t>
      </w:r>
      <w:proofErr w:type="spellEnd"/>
      <w:r w:rsidR="004F3203">
        <w:t xml:space="preserve">, </w:t>
      </w:r>
      <w:proofErr w:type="spellStart"/>
      <w:r w:rsidR="004F3203">
        <w:t>ustekinumab</w:t>
      </w:r>
      <w:proofErr w:type="spellEnd"/>
      <w:r w:rsidR="004F3203">
        <w:t xml:space="preserve"> and </w:t>
      </w:r>
      <w:proofErr w:type="spellStart"/>
      <w:r w:rsidR="004F3203">
        <w:t>efalizumab</w:t>
      </w:r>
      <w:proofErr w:type="spellEnd"/>
      <w:r w:rsidR="004F3203">
        <w:t xml:space="preserve">.  </w:t>
      </w:r>
      <w:r w:rsidRPr="00D224F3">
        <w:t xml:space="preserve">The Highly Specialised Drugs Database was used for expenditure and quantity supplied data for infliximab. </w:t>
      </w:r>
    </w:p>
    <w:p w14:paraId="23188755" w14:textId="12F28420" w:rsidR="00EB2EB1" w:rsidRPr="00D224F3" w:rsidRDefault="00EB2EB1" w:rsidP="00EB2EB1">
      <w:r w:rsidRPr="00D224F3">
        <w:t xml:space="preserve">As this analysis uses date of supply data, there may be small differences compared with publicly available </w:t>
      </w:r>
      <w:r w:rsidR="004F3203">
        <w:t xml:space="preserve">DHS </w:t>
      </w:r>
      <w:r w:rsidRPr="00D224F3">
        <w:t xml:space="preserve">Medicare date of processing data.  </w:t>
      </w:r>
    </w:p>
    <w:p w14:paraId="4F91A98A" w14:textId="00180E30" w:rsidR="00C714D0" w:rsidRPr="005E22C2" w:rsidRDefault="00C714D0" w:rsidP="00E11A6D">
      <w:pPr>
        <w:pStyle w:val="Heading3"/>
      </w:pPr>
      <w:r w:rsidRPr="005E22C2">
        <w:t>Results</w:t>
      </w:r>
    </w:p>
    <w:p w14:paraId="2221FF19" w14:textId="336CE8B2" w:rsidR="00736041" w:rsidRPr="005E22C2" w:rsidRDefault="001B5D37" w:rsidP="0038097B">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5A9AB1D2" w:rsidR="006A44F5" w:rsidRDefault="004A253E" w:rsidP="0038097B">
      <w:pPr>
        <w:pStyle w:val="Heading5"/>
      </w:pPr>
      <w:r>
        <w:t>Patient numbers</w:t>
      </w:r>
    </w:p>
    <w:p w14:paraId="21B5E1C7" w14:textId="14DB1A3E" w:rsidR="001606A4" w:rsidRPr="00D224F3" w:rsidRDefault="001606A4" w:rsidP="001606A4">
      <w:r w:rsidRPr="00D224F3">
        <w:t xml:space="preserve">Figure 1 presents the number of patients receiving </w:t>
      </w:r>
      <w:proofErr w:type="spellStart"/>
      <w:r w:rsidRPr="00D224F3">
        <w:t>bDMARDs</w:t>
      </w:r>
      <w:proofErr w:type="spellEnd"/>
      <w:r w:rsidRPr="00D224F3">
        <w:t xml:space="preserve"> for </w:t>
      </w:r>
      <w:r w:rsidR="005A0487">
        <w:t xml:space="preserve">severe chronic plaque </w:t>
      </w:r>
      <w:r w:rsidRPr="00D224F3">
        <w:t>psoriasis.</w:t>
      </w:r>
      <w:r w:rsidR="003B073D">
        <w:t xml:space="preserve"> </w:t>
      </w:r>
      <w:r w:rsidRPr="00D224F3">
        <w:t xml:space="preserve"> The figure presents the total number of patients as well as the number of patients who</w:t>
      </w:r>
      <w:r w:rsidR="003B073D">
        <w:t xml:space="preserve"> commenced treatment that year.  </w:t>
      </w:r>
      <w:r w:rsidRPr="00D224F3">
        <w:t xml:space="preserve">New patients were those who had not previously received a </w:t>
      </w:r>
      <w:proofErr w:type="spellStart"/>
      <w:r w:rsidRPr="00D224F3">
        <w:t>bDMARD</w:t>
      </w:r>
      <w:proofErr w:type="spellEnd"/>
      <w:r w:rsidRPr="00D224F3">
        <w:t xml:space="preserve"> Authorit</w:t>
      </w:r>
      <w:r w:rsidR="00CD4605">
        <w:t>y approval for psoriasis.</w:t>
      </w:r>
    </w:p>
    <w:p w14:paraId="59A34697" w14:textId="3467F827" w:rsidR="001606A4" w:rsidRPr="00D224F3" w:rsidRDefault="001606A4" w:rsidP="001606A4">
      <w:pPr>
        <w:rPr>
          <w:b/>
        </w:rPr>
      </w:pPr>
      <w:r w:rsidRPr="00D224F3">
        <w:rPr>
          <w:b/>
          <w:noProof/>
        </w:rPr>
        <w:lastRenderedPageBreak/>
        <w:drawing>
          <wp:inline distT="0" distB="0" distL="0" distR="0" wp14:anchorId="67D7EAA4" wp14:editId="11A2323A">
            <wp:extent cx="5676405" cy="2422632"/>
            <wp:effectExtent l="0" t="0" r="635" b="0"/>
            <wp:docPr id="5" name="Picture 5" descr="The figure shows the total number of patients receiving a bDMARD via the PBS for chronic plaque psoriasis and the total number of new patients per year."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7447" cy="2423077"/>
                    </a:xfrm>
                    <a:prstGeom prst="rect">
                      <a:avLst/>
                    </a:prstGeom>
                    <a:noFill/>
                  </pic:spPr>
                </pic:pic>
              </a:graphicData>
            </a:graphic>
          </wp:inline>
        </w:drawing>
      </w:r>
      <w:r w:rsidRPr="00D224F3">
        <w:rPr>
          <w:b/>
        </w:rPr>
        <w:t xml:space="preserve">Figure 1: Patients receiving </w:t>
      </w:r>
      <w:proofErr w:type="spellStart"/>
      <w:r w:rsidRPr="00D224F3">
        <w:rPr>
          <w:b/>
        </w:rPr>
        <w:t>bDMARDs</w:t>
      </w:r>
      <w:proofErr w:type="spellEnd"/>
      <w:r w:rsidRPr="00D224F3">
        <w:rPr>
          <w:b/>
        </w:rPr>
        <w:t xml:space="preserve"> for </w:t>
      </w:r>
      <w:r w:rsidR="005A0487">
        <w:rPr>
          <w:b/>
        </w:rPr>
        <w:t xml:space="preserve">severe chronic plaque </w:t>
      </w:r>
      <w:r w:rsidRPr="00D224F3">
        <w:rPr>
          <w:b/>
        </w:rPr>
        <w:t>psoriasis</w:t>
      </w:r>
      <w:r w:rsidRPr="00D224F3">
        <w:rPr>
          <w:b/>
        </w:rPr>
        <w:br/>
      </w:r>
      <w:r w:rsidRPr="001606A4">
        <w:rPr>
          <w:rStyle w:val="FigurecaptionChar"/>
        </w:rPr>
        <w:t>Source: Authority Approvals database, extracted March 2014</w:t>
      </w:r>
    </w:p>
    <w:p w14:paraId="6AD2186B" w14:textId="570FBF98" w:rsidR="00703D68" w:rsidRPr="00D224F3" w:rsidRDefault="00703D68" w:rsidP="00703D68">
      <w:r>
        <w:t>T</w:t>
      </w:r>
      <w:r w:rsidRPr="00D224F3">
        <w:t xml:space="preserve">he total number of patients receiving </w:t>
      </w:r>
      <w:proofErr w:type="spellStart"/>
      <w:r w:rsidRPr="00D224F3">
        <w:t>bDMARDs</w:t>
      </w:r>
      <w:proofErr w:type="spellEnd"/>
      <w:r w:rsidRPr="00D224F3">
        <w:t xml:space="preserve"> for ps</w:t>
      </w:r>
      <w:r>
        <w:t xml:space="preserve">oriasis is increasing steadily.  </w:t>
      </w:r>
      <w:r w:rsidRPr="00D224F3">
        <w:t xml:space="preserve">The number of new patients starting treatment each year has been relatively consistent since </w:t>
      </w:r>
      <w:r w:rsidR="00973E1D">
        <w:t xml:space="preserve">the first </w:t>
      </w:r>
      <w:proofErr w:type="spellStart"/>
      <w:r w:rsidR="00973E1D">
        <w:t>bDMARD</w:t>
      </w:r>
      <w:proofErr w:type="spellEnd"/>
      <w:r w:rsidR="00973E1D">
        <w:t xml:space="preserve"> for severe chronic plaque psoriasis was listed.</w:t>
      </w:r>
      <w:r w:rsidRPr="00D224F3">
        <w:t xml:space="preserve"> </w:t>
      </w:r>
    </w:p>
    <w:p w14:paraId="18FFA68D" w14:textId="24A510A4" w:rsidR="00703D68" w:rsidRPr="00D224F3" w:rsidRDefault="007628A9" w:rsidP="00703D68">
      <w:pPr>
        <w:rPr>
          <w:noProof/>
        </w:rPr>
      </w:pPr>
      <w:r>
        <w:t>F</w:t>
      </w:r>
      <w:r w:rsidR="00703D68" w:rsidRPr="00D224F3">
        <w:t xml:space="preserve">igure </w:t>
      </w:r>
      <w:r>
        <w:t xml:space="preserve">2 </w:t>
      </w:r>
      <w:r w:rsidR="00703D68" w:rsidRPr="00D224F3">
        <w:t xml:space="preserve">shows the number of patients treated </w:t>
      </w:r>
      <w:r w:rsidR="00054C74">
        <w:t xml:space="preserve">with each </w:t>
      </w:r>
      <w:proofErr w:type="spellStart"/>
      <w:r w:rsidR="00054C74">
        <w:t>bDMARD</w:t>
      </w:r>
      <w:proofErr w:type="spellEnd"/>
      <w:r w:rsidR="00054C74">
        <w:t xml:space="preserve"> for psoriasis.  </w:t>
      </w:r>
      <w:r w:rsidR="00703D68" w:rsidRPr="00D224F3">
        <w:t xml:space="preserve">The number of patients in this figure cannot be added because patients may have switched medicines during the year. </w:t>
      </w:r>
    </w:p>
    <w:p w14:paraId="22A5356F" w14:textId="77777777" w:rsidR="00703D68" w:rsidRPr="00D224F3" w:rsidRDefault="00703D68" w:rsidP="00703D68">
      <w:r w:rsidRPr="00D224F3">
        <w:rPr>
          <w:b/>
          <w:noProof/>
        </w:rPr>
        <w:drawing>
          <wp:inline distT="0" distB="0" distL="0" distR="0" wp14:anchorId="3C9213CA" wp14:editId="68D9BC04">
            <wp:extent cx="5687695" cy="3051810"/>
            <wp:effectExtent l="0" t="0" r="8255" b="0"/>
            <wp:docPr id="12" name="Picture 12" descr="The figure illustrates the total number of patients receiving a bDMARD for chronic plaque each year by individual bDMARDs presented in a stacked line graph."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5B37.tmp"/>
                    <pic:cNvPicPr/>
                  </pic:nvPicPr>
                  <pic:blipFill>
                    <a:blip r:embed="rId22">
                      <a:extLst>
                        <a:ext uri="{28A0092B-C50C-407E-A947-70E740481C1C}">
                          <a14:useLocalDpi xmlns:a14="http://schemas.microsoft.com/office/drawing/2010/main" val="0"/>
                        </a:ext>
                      </a:extLst>
                    </a:blip>
                    <a:stretch>
                      <a:fillRect/>
                    </a:stretch>
                  </pic:blipFill>
                  <pic:spPr>
                    <a:xfrm>
                      <a:off x="0" y="0"/>
                      <a:ext cx="5687695" cy="3051810"/>
                    </a:xfrm>
                    <a:prstGeom prst="rect">
                      <a:avLst/>
                    </a:prstGeom>
                  </pic:spPr>
                </pic:pic>
              </a:graphicData>
            </a:graphic>
          </wp:inline>
        </w:drawing>
      </w:r>
      <w:r w:rsidRPr="00D224F3">
        <w:rPr>
          <w:b/>
        </w:rPr>
        <w:t xml:space="preserve">Figure 2: Patients receiving </w:t>
      </w:r>
      <w:proofErr w:type="spellStart"/>
      <w:r w:rsidRPr="00D224F3">
        <w:rPr>
          <w:b/>
        </w:rPr>
        <w:t>bDMARDs</w:t>
      </w:r>
      <w:proofErr w:type="spellEnd"/>
      <w:r w:rsidRPr="00D224F3">
        <w:rPr>
          <w:b/>
        </w:rPr>
        <w:t xml:space="preserve"> for psoriasis by drug (stacked) </w:t>
      </w:r>
      <w:r w:rsidRPr="00D224F3">
        <w:rPr>
          <w:b/>
        </w:rPr>
        <w:br/>
      </w:r>
      <w:r w:rsidRPr="00D224F3">
        <w:rPr>
          <w:sz w:val="20"/>
          <w:szCs w:val="20"/>
        </w:rPr>
        <w:t>Source: Authority Approvals database, extracted March 2014</w:t>
      </w:r>
    </w:p>
    <w:p w14:paraId="36FF9E5E" w14:textId="34BEF484" w:rsidR="00703D68" w:rsidRPr="00D224F3" w:rsidRDefault="00C02E70" w:rsidP="00703D68">
      <w:r>
        <w:t>Figure 2</w:t>
      </w:r>
      <w:r w:rsidR="00703D68" w:rsidRPr="00D224F3">
        <w:t xml:space="preserve"> shows an increasing number of patients being treated with </w:t>
      </w:r>
      <w:proofErr w:type="spellStart"/>
      <w:r w:rsidR="00703D68" w:rsidRPr="00D224F3">
        <w:t>bDMARDs</w:t>
      </w:r>
      <w:proofErr w:type="spellEnd"/>
      <w:r w:rsidR="00703D68" w:rsidRPr="00D224F3">
        <w:t xml:space="preserve"> for psoriasis. </w:t>
      </w:r>
      <w:proofErr w:type="spellStart"/>
      <w:r w:rsidR="00703D68" w:rsidRPr="00D224F3">
        <w:t>Ustekinumab</w:t>
      </w:r>
      <w:proofErr w:type="spellEnd"/>
      <w:r w:rsidR="00703D68" w:rsidRPr="00D224F3">
        <w:t xml:space="preserve"> has been gaining an increasing share of the market.  The number of patients treated with </w:t>
      </w:r>
      <w:proofErr w:type="spellStart"/>
      <w:r w:rsidR="00703D68" w:rsidRPr="00D224F3">
        <w:t>adalimumab</w:t>
      </w:r>
      <w:proofErr w:type="spellEnd"/>
      <w:r w:rsidR="00703D68" w:rsidRPr="00D224F3">
        <w:t xml:space="preserve"> has also increased, albeit at a</w:t>
      </w:r>
      <w:r w:rsidR="00B3590B">
        <w:t xml:space="preserve"> slower rate.</w:t>
      </w:r>
    </w:p>
    <w:p w14:paraId="411B50B6" w14:textId="6D9693B1" w:rsidR="008C746D" w:rsidRDefault="00BD51D8" w:rsidP="00703D68">
      <w:r>
        <w:lastRenderedPageBreak/>
        <w:t>F</w:t>
      </w:r>
      <w:r w:rsidR="00703D68" w:rsidRPr="00D224F3">
        <w:t xml:space="preserve">igure </w:t>
      </w:r>
      <w:r>
        <w:t xml:space="preserve">3 </w:t>
      </w:r>
      <w:r w:rsidR="00703D68" w:rsidRPr="00D224F3">
        <w:t>presents the number of patients start</w:t>
      </w:r>
      <w:r w:rsidR="00C76F09">
        <w:t xml:space="preserve">ing treatment with each </w:t>
      </w:r>
      <w:proofErr w:type="spellStart"/>
      <w:r w:rsidR="00C76F09">
        <w:t>bDMARD</w:t>
      </w:r>
      <w:proofErr w:type="spellEnd"/>
      <w:r w:rsidR="00C76F09">
        <w:t xml:space="preserve">.  </w:t>
      </w:r>
      <w:r w:rsidR="00703D68" w:rsidRPr="00D224F3">
        <w:t xml:space="preserve">The data in this figure include patients who started a </w:t>
      </w:r>
      <w:proofErr w:type="spellStart"/>
      <w:r w:rsidR="00703D68" w:rsidRPr="00D224F3">
        <w:t>bDMARD</w:t>
      </w:r>
      <w:proofErr w:type="spellEnd"/>
      <w:r w:rsidR="00703D68" w:rsidRPr="00D224F3">
        <w:t xml:space="preserve"> for the first time as well as patients who switched to a different </w:t>
      </w:r>
      <w:proofErr w:type="spellStart"/>
      <w:r w:rsidR="00703D68" w:rsidRPr="00D224F3">
        <w:t>bDMARD</w:t>
      </w:r>
      <w:proofErr w:type="spellEnd"/>
      <w:r w:rsidR="00703D68" w:rsidRPr="00D224F3">
        <w:t>.</w:t>
      </w:r>
    </w:p>
    <w:p w14:paraId="77564676" w14:textId="77777777" w:rsidR="00817C5C" w:rsidRPr="00D224F3" w:rsidRDefault="00817C5C" w:rsidP="00817C5C">
      <w:r w:rsidRPr="00D224F3">
        <w:rPr>
          <w:b/>
          <w:noProof/>
        </w:rPr>
        <w:drawing>
          <wp:inline distT="0" distB="0" distL="0" distR="0" wp14:anchorId="20AE57E5" wp14:editId="54753DF9">
            <wp:extent cx="5609230" cy="3059961"/>
            <wp:effectExtent l="0" t="0" r="0" b="7620"/>
            <wp:docPr id="8" name="Picture 8" descr="The figure illustrates the number of new patients each year receiving a bDMARD for chronic plaque psoriasis by individual bDMARDs.  The figure presents this as a stacked line graph."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1178" cy="3061024"/>
                    </a:xfrm>
                    <a:prstGeom prst="rect">
                      <a:avLst/>
                    </a:prstGeom>
                    <a:noFill/>
                  </pic:spPr>
                </pic:pic>
              </a:graphicData>
            </a:graphic>
          </wp:inline>
        </w:drawing>
      </w:r>
      <w:r w:rsidRPr="00D224F3">
        <w:t xml:space="preserve"> </w:t>
      </w:r>
      <w:r w:rsidRPr="00D224F3">
        <w:rPr>
          <w:b/>
        </w:rPr>
        <w:t xml:space="preserve">Figure 3: Patients starting a </w:t>
      </w:r>
      <w:proofErr w:type="spellStart"/>
      <w:r w:rsidRPr="00D224F3">
        <w:rPr>
          <w:b/>
        </w:rPr>
        <w:t>bDMARDs</w:t>
      </w:r>
      <w:proofErr w:type="spellEnd"/>
      <w:r w:rsidRPr="00D224F3">
        <w:rPr>
          <w:b/>
        </w:rPr>
        <w:t xml:space="preserve"> for psoriasis by drug (stacked) </w:t>
      </w:r>
      <w:r w:rsidRPr="00D224F3">
        <w:rPr>
          <w:b/>
        </w:rPr>
        <w:br/>
      </w:r>
      <w:r w:rsidRPr="00D224F3">
        <w:rPr>
          <w:sz w:val="20"/>
          <w:szCs w:val="20"/>
        </w:rPr>
        <w:t>Source: Authority Approvals database, extracted March 2014</w:t>
      </w:r>
    </w:p>
    <w:p w14:paraId="43DA16ED" w14:textId="07AECFBC" w:rsidR="00817C5C" w:rsidRPr="00D224F3" w:rsidRDefault="00817C5C" w:rsidP="00817C5C">
      <w:r w:rsidRPr="00D224F3">
        <w:t xml:space="preserve">A large number of patients started a new </w:t>
      </w:r>
      <w:proofErr w:type="spellStart"/>
      <w:r w:rsidRPr="00D224F3">
        <w:t>bDMARD</w:t>
      </w:r>
      <w:proofErr w:type="spellEnd"/>
      <w:r w:rsidRPr="00D224F3">
        <w:t xml:space="preserve"> in 2009.</w:t>
      </w:r>
      <w:r w:rsidR="00EA0948">
        <w:rPr>
          <w:i/>
        </w:rPr>
        <w:t xml:space="preserve">  </w:t>
      </w:r>
      <w:proofErr w:type="spellStart"/>
      <w:r w:rsidRPr="00D224F3">
        <w:t>Ustekinumab</w:t>
      </w:r>
      <w:proofErr w:type="spellEnd"/>
      <w:r w:rsidRPr="00D224F3">
        <w:t xml:space="preserve"> has been the most popular medicine for patients starting a </w:t>
      </w:r>
      <w:proofErr w:type="spellStart"/>
      <w:r w:rsidRPr="00D224F3">
        <w:t>bDMARD</w:t>
      </w:r>
      <w:proofErr w:type="spellEnd"/>
      <w:r w:rsidRPr="00D224F3">
        <w:t xml:space="preserve"> for psoriasis since listing in 2010. The number of patients starting the oth</w:t>
      </w:r>
      <w:r w:rsidR="00EA0948">
        <w:t xml:space="preserve">er three </w:t>
      </w:r>
      <w:proofErr w:type="spellStart"/>
      <w:r w:rsidR="00EA0948">
        <w:t>bDMARDs</w:t>
      </w:r>
      <w:proofErr w:type="spellEnd"/>
      <w:r w:rsidR="00EA0948">
        <w:t xml:space="preserve"> has decreased.</w:t>
      </w:r>
      <w:r w:rsidR="00760096">
        <w:t xml:space="preserve">  The </w:t>
      </w:r>
      <w:r w:rsidR="00760096" w:rsidRPr="00760096">
        <w:t xml:space="preserve">DUSC noted the response by the sponsor of </w:t>
      </w:r>
      <w:proofErr w:type="spellStart"/>
      <w:r w:rsidR="00760096" w:rsidRPr="00760096">
        <w:t>etanercept</w:t>
      </w:r>
      <w:proofErr w:type="spellEnd"/>
      <w:r w:rsidR="00760096" w:rsidRPr="00760096">
        <w:t xml:space="preserve"> that </w:t>
      </w:r>
      <w:proofErr w:type="spellStart"/>
      <w:r w:rsidR="00760096" w:rsidRPr="00760096">
        <w:t>bDMARDs</w:t>
      </w:r>
      <w:proofErr w:type="spellEnd"/>
      <w:r w:rsidR="00760096" w:rsidRPr="00760096">
        <w:t xml:space="preserve"> have differing onset of action. Fast response is important to patients and therefore slower onset drugs, such as </w:t>
      </w:r>
      <w:proofErr w:type="spellStart"/>
      <w:r w:rsidR="00760096" w:rsidRPr="00760096">
        <w:t>etanercept</w:t>
      </w:r>
      <w:proofErr w:type="spellEnd"/>
      <w:r w:rsidR="00760096" w:rsidRPr="00760096">
        <w:t>, may have lower uptake as a result.</w:t>
      </w:r>
    </w:p>
    <w:p w14:paraId="18BDAB54" w14:textId="57691CE4" w:rsidR="008337D8" w:rsidRPr="00D224F3" w:rsidRDefault="008337D8" w:rsidP="001B7CBE">
      <w:pPr>
        <w:pStyle w:val="Heading5"/>
      </w:pPr>
      <w:r w:rsidRPr="00D224F3">
        <w:t>Age of patients treated wit</w:t>
      </w:r>
      <w:r w:rsidR="007D551A">
        <w:t xml:space="preserve">h </w:t>
      </w:r>
      <w:proofErr w:type="spellStart"/>
      <w:r w:rsidR="007D551A">
        <w:t>bDMARDs</w:t>
      </w:r>
      <w:proofErr w:type="spellEnd"/>
      <w:r w:rsidR="007D551A">
        <w:t xml:space="preserve"> for psoriasis in 2013</w:t>
      </w:r>
    </w:p>
    <w:p w14:paraId="3F627FC5" w14:textId="73D9EF3B" w:rsidR="008337D8" w:rsidRPr="00D224F3" w:rsidRDefault="00E94FAF" w:rsidP="008337D8">
      <w:r>
        <w:t>F</w:t>
      </w:r>
      <w:r w:rsidR="008337D8" w:rsidRPr="00D224F3">
        <w:t xml:space="preserve">igure </w:t>
      </w:r>
      <w:r>
        <w:t xml:space="preserve">4 </w:t>
      </w:r>
      <w:r w:rsidR="008337D8" w:rsidRPr="00D224F3">
        <w:t>presents the age of patients who received at least one su</w:t>
      </w:r>
      <w:r w:rsidR="00903E0B">
        <w:t xml:space="preserve">pply of a </w:t>
      </w:r>
      <w:proofErr w:type="spellStart"/>
      <w:r w:rsidR="00903E0B">
        <w:t>bDMARD</w:t>
      </w:r>
      <w:proofErr w:type="spellEnd"/>
      <w:r w:rsidR="00903E0B">
        <w:t xml:space="preserve"> for psoriasis.  </w:t>
      </w:r>
      <w:r w:rsidR="008337D8" w:rsidRPr="00D224F3">
        <w:t xml:space="preserve">The ‘all patients’ series includes all patients who received at least one </w:t>
      </w:r>
      <w:r w:rsidR="00325CA3">
        <w:t xml:space="preserve">Authority approval in 2013.  </w:t>
      </w:r>
      <w:r w:rsidR="008337D8" w:rsidRPr="00D224F3">
        <w:t xml:space="preserve">The ‘initiating patients’ series only includes patients who received their first approval in 2013. </w:t>
      </w:r>
    </w:p>
    <w:p w14:paraId="40CC82A1" w14:textId="77777777" w:rsidR="008337D8" w:rsidRPr="00D224F3" w:rsidRDefault="008337D8" w:rsidP="008337D8">
      <w:r w:rsidRPr="00D224F3">
        <w:rPr>
          <w:b/>
          <w:noProof/>
        </w:rPr>
        <w:lastRenderedPageBreak/>
        <w:drawing>
          <wp:inline distT="0" distB="0" distL="0" distR="0" wp14:anchorId="5118F634" wp14:editId="5E37BC9D">
            <wp:extent cx="5605153" cy="2639446"/>
            <wp:effectExtent l="0" t="0" r="0" b="8890"/>
            <wp:docPr id="3" name="Picture 3" descr="The figure illustrates the age distribution of patients receiving a bDMARD via the PBS for chronic plaque psoriasis.  The data is based on authority approvals."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7365" cy="2645197"/>
                    </a:xfrm>
                    <a:prstGeom prst="rect">
                      <a:avLst/>
                    </a:prstGeom>
                    <a:noFill/>
                  </pic:spPr>
                </pic:pic>
              </a:graphicData>
            </a:graphic>
          </wp:inline>
        </w:drawing>
      </w:r>
      <w:r w:rsidRPr="00D224F3">
        <w:br/>
      </w:r>
      <w:r w:rsidRPr="00D224F3">
        <w:rPr>
          <w:b/>
        </w:rPr>
        <w:t xml:space="preserve">Figure 4: Age distribution of psoriasis patients with approval for a </w:t>
      </w:r>
      <w:proofErr w:type="spellStart"/>
      <w:r w:rsidRPr="00D224F3">
        <w:rPr>
          <w:b/>
        </w:rPr>
        <w:t>bDMARD</w:t>
      </w:r>
      <w:proofErr w:type="spellEnd"/>
      <w:r w:rsidRPr="00D224F3">
        <w:rPr>
          <w:b/>
        </w:rPr>
        <w:t xml:space="preserve"> in 2013</w:t>
      </w:r>
      <w:r w:rsidRPr="00D224F3">
        <w:rPr>
          <w:b/>
        </w:rPr>
        <w:br/>
      </w:r>
      <w:r w:rsidRPr="00D224F3">
        <w:rPr>
          <w:sz w:val="20"/>
          <w:szCs w:val="20"/>
        </w:rPr>
        <w:t>Source: Authority Approvals database, extracted March</w:t>
      </w:r>
      <w:r>
        <w:rPr>
          <w:sz w:val="20"/>
          <w:szCs w:val="20"/>
        </w:rPr>
        <w:t xml:space="preserve"> </w:t>
      </w:r>
      <w:r w:rsidRPr="00D224F3">
        <w:rPr>
          <w:sz w:val="20"/>
          <w:szCs w:val="20"/>
        </w:rPr>
        <w:t>2014</w:t>
      </w:r>
      <w:r>
        <w:rPr>
          <w:sz w:val="20"/>
          <w:szCs w:val="20"/>
        </w:rPr>
        <w:t xml:space="preserve">. </w:t>
      </w:r>
      <w:r w:rsidRPr="00D224F3">
        <w:rPr>
          <w:sz w:val="20"/>
          <w:szCs w:val="20"/>
        </w:rPr>
        <w:t xml:space="preserve">Note: Age data were missing for 4 patients in the all </w:t>
      </w:r>
      <w:proofErr w:type="gramStart"/>
      <w:r w:rsidRPr="00D224F3">
        <w:rPr>
          <w:sz w:val="20"/>
          <w:szCs w:val="20"/>
        </w:rPr>
        <w:t>patients</w:t>
      </w:r>
      <w:proofErr w:type="gramEnd"/>
      <w:r w:rsidRPr="00D224F3">
        <w:rPr>
          <w:sz w:val="20"/>
          <w:szCs w:val="20"/>
        </w:rPr>
        <w:t xml:space="preserve"> series and 3 patients in the initiating patients series.</w:t>
      </w:r>
      <w:r w:rsidRPr="00D224F3">
        <w:t xml:space="preserve"> </w:t>
      </w:r>
    </w:p>
    <w:p w14:paraId="00BC4112" w14:textId="421EBB71" w:rsidR="008337D8" w:rsidRPr="00D224F3" w:rsidRDefault="008337D8" w:rsidP="008337D8">
      <w:r w:rsidRPr="00D224F3">
        <w:t>The mean and median for all patients was 48 years (standard deviation = 13.13 for the mean)</w:t>
      </w:r>
      <w:r w:rsidR="00B80F5E">
        <w:t xml:space="preserve">.  </w:t>
      </w:r>
      <w:r w:rsidRPr="00D224F3">
        <w:t>The mean age of initiators was 45 years (standard deviation = 14.24)</w:t>
      </w:r>
      <w:r w:rsidR="00B80F5E">
        <w:t xml:space="preserve">.  </w:t>
      </w:r>
      <w:r w:rsidRPr="00D224F3">
        <w:t xml:space="preserve">The median age of initiating patients was 46 years. </w:t>
      </w:r>
    </w:p>
    <w:p w14:paraId="3043F27A" w14:textId="77777777" w:rsidR="00AF16EF" w:rsidRPr="00D224F3" w:rsidRDefault="00AF16EF" w:rsidP="00E906E9">
      <w:pPr>
        <w:pStyle w:val="Heading5"/>
      </w:pPr>
      <w:r w:rsidRPr="00D224F3">
        <w:t xml:space="preserve">Continuation </w:t>
      </w:r>
    </w:p>
    <w:p w14:paraId="39BA0F9B" w14:textId="4F49521D" w:rsidR="00644550" w:rsidRDefault="002A669F" w:rsidP="00AF16EF">
      <w:r>
        <w:t>T</w:t>
      </w:r>
      <w:r w:rsidR="00AF16EF" w:rsidRPr="00D224F3">
        <w:t xml:space="preserve">able </w:t>
      </w:r>
      <w:r w:rsidR="008946AC">
        <w:t>4</w:t>
      </w:r>
      <w:r>
        <w:t xml:space="preserve"> </w:t>
      </w:r>
      <w:r w:rsidR="00AF16EF" w:rsidRPr="00D224F3">
        <w:t>presents the percentage of initiating patients who received a second (continuing) Authorit</w:t>
      </w:r>
      <w:r w:rsidR="005C4757">
        <w:t xml:space="preserve">y approval for the same </w:t>
      </w:r>
      <w:proofErr w:type="spellStart"/>
      <w:r w:rsidR="005C4757">
        <w:t>bDMARD</w:t>
      </w:r>
      <w:proofErr w:type="spellEnd"/>
      <w:r w:rsidR="00B659DA">
        <w:t xml:space="preserve"> and the percentage continuing with a different </w:t>
      </w:r>
      <w:proofErr w:type="spellStart"/>
      <w:r w:rsidR="00B659DA">
        <w:t>bDMARD</w:t>
      </w:r>
      <w:proofErr w:type="spellEnd"/>
      <w:r w:rsidR="005C4757">
        <w:t xml:space="preserve">.  </w:t>
      </w:r>
      <w:r w:rsidR="00AF16EF" w:rsidRPr="00D224F3">
        <w:t xml:space="preserve">These patients started a </w:t>
      </w:r>
      <w:proofErr w:type="spellStart"/>
      <w:r w:rsidR="00AF16EF" w:rsidRPr="00D224F3">
        <w:t>bDMARD</w:t>
      </w:r>
      <w:proofErr w:type="spellEnd"/>
      <w:r w:rsidR="00AF16EF" w:rsidRPr="00D224F3">
        <w:t xml:space="preserve"> for psoriasis in </w:t>
      </w:r>
      <w:r w:rsidR="00644550">
        <w:t>2011 or 2012.</w:t>
      </w:r>
    </w:p>
    <w:p w14:paraId="5C625FD0" w14:textId="77777777" w:rsidR="00644550" w:rsidRDefault="00644550">
      <w:pPr>
        <w:spacing w:line="276" w:lineRule="auto"/>
      </w:pPr>
      <w:r>
        <w:br w:type="page"/>
      </w:r>
    </w:p>
    <w:p w14:paraId="31F58C9E" w14:textId="6230284E" w:rsidR="00AF16EF" w:rsidRPr="00D224F3" w:rsidRDefault="00AF16EF" w:rsidP="00AF16EF">
      <w:pPr>
        <w:pStyle w:val="Tabletitle"/>
      </w:pPr>
      <w:r w:rsidRPr="00D224F3">
        <w:lastRenderedPageBreak/>
        <w:t xml:space="preserve">Table </w:t>
      </w:r>
      <w:r w:rsidR="008946AC">
        <w:t>4</w:t>
      </w:r>
      <w:r w:rsidRPr="00D224F3">
        <w:t xml:space="preserve">: Continuation of </w:t>
      </w:r>
      <w:proofErr w:type="spellStart"/>
      <w:r w:rsidRPr="00D224F3">
        <w:t>bDMARDs</w:t>
      </w:r>
      <w:proofErr w:type="spellEnd"/>
      <w:r w:rsidRPr="00D224F3">
        <w:t xml:space="preserve"> for patients starting treatment in 2011 and 2012</w:t>
      </w:r>
    </w:p>
    <w:tbl>
      <w:tblPr>
        <w:tblStyle w:val="TableGrid"/>
        <w:tblW w:w="0" w:type="auto"/>
        <w:tblLook w:val="04A0" w:firstRow="1" w:lastRow="0" w:firstColumn="1" w:lastColumn="0" w:noHBand="0" w:noVBand="1"/>
        <w:tblCaption w:val="Table 4"/>
        <w:tblDescription w:val="The table provides numbers of patients initiating individual bDMARDs via the PBS for chronic plaque psoriasis in 2011 and 2012.  The percentages continuing with the same bDMARD, percentage obtaining a PASI greater than or equal to 75, the percentages continuing with a different bDMARD and the total percentages of patients continuing treatment with a bDMARD are presented."/>
      </w:tblPr>
      <w:tblGrid>
        <w:gridCol w:w="1376"/>
        <w:gridCol w:w="1037"/>
        <w:gridCol w:w="1664"/>
        <w:gridCol w:w="1639"/>
        <w:gridCol w:w="1837"/>
        <w:gridCol w:w="1620"/>
      </w:tblGrid>
      <w:tr w:rsidR="00AF16EF" w:rsidRPr="00D224F3" w14:paraId="48414CE9" w14:textId="77777777" w:rsidTr="00B626CE">
        <w:trPr>
          <w:tblHeader/>
        </w:trPr>
        <w:tc>
          <w:tcPr>
            <w:tcW w:w="1376" w:type="dxa"/>
            <w:shd w:val="clear" w:color="auto" w:fill="BFBFBF" w:themeFill="background1" w:themeFillShade="BF"/>
            <w:vAlign w:val="center"/>
          </w:tcPr>
          <w:p w14:paraId="34206509" w14:textId="77777777" w:rsidR="00AF16EF" w:rsidRPr="00D224F3" w:rsidRDefault="00AF16EF" w:rsidP="007B5E6C">
            <w:pPr>
              <w:rPr>
                <w:b/>
                <w:sz w:val="20"/>
                <w:szCs w:val="20"/>
              </w:rPr>
            </w:pPr>
            <w:r w:rsidRPr="00D224F3">
              <w:rPr>
                <w:b/>
                <w:sz w:val="20"/>
                <w:szCs w:val="20"/>
              </w:rPr>
              <w:t>Initiating</w:t>
            </w:r>
            <w:r w:rsidRPr="00D224F3">
              <w:rPr>
                <w:b/>
                <w:sz w:val="20"/>
                <w:szCs w:val="20"/>
              </w:rPr>
              <w:br/>
              <w:t xml:space="preserve"> </w:t>
            </w:r>
            <w:proofErr w:type="spellStart"/>
            <w:r w:rsidRPr="00D224F3">
              <w:rPr>
                <w:b/>
                <w:sz w:val="20"/>
                <w:szCs w:val="20"/>
              </w:rPr>
              <w:t>bDMARD</w:t>
            </w:r>
            <w:proofErr w:type="spellEnd"/>
          </w:p>
        </w:tc>
        <w:tc>
          <w:tcPr>
            <w:tcW w:w="1037" w:type="dxa"/>
            <w:tcBorders>
              <w:right w:val="single" w:sz="12" w:space="0" w:color="auto"/>
            </w:tcBorders>
            <w:shd w:val="clear" w:color="auto" w:fill="BFBFBF" w:themeFill="background1" w:themeFillShade="BF"/>
            <w:vAlign w:val="center"/>
          </w:tcPr>
          <w:p w14:paraId="59D0E9BA" w14:textId="77777777" w:rsidR="00AF16EF" w:rsidRPr="00D224F3" w:rsidRDefault="00AF16EF" w:rsidP="007B5E6C">
            <w:pPr>
              <w:jc w:val="center"/>
              <w:rPr>
                <w:b/>
                <w:sz w:val="20"/>
                <w:szCs w:val="20"/>
              </w:rPr>
            </w:pPr>
            <w:r w:rsidRPr="00D224F3">
              <w:rPr>
                <w:b/>
                <w:sz w:val="20"/>
                <w:szCs w:val="20"/>
              </w:rPr>
              <w:t>Initiating patients</w:t>
            </w:r>
          </w:p>
        </w:tc>
        <w:tc>
          <w:tcPr>
            <w:tcW w:w="1664" w:type="dxa"/>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3EA36E25" w14:textId="77777777" w:rsidR="00AF16EF" w:rsidRPr="00D224F3" w:rsidRDefault="00AF16EF" w:rsidP="007B5E6C">
            <w:pPr>
              <w:jc w:val="center"/>
              <w:rPr>
                <w:b/>
                <w:sz w:val="20"/>
                <w:szCs w:val="20"/>
              </w:rPr>
            </w:pPr>
            <w:r w:rsidRPr="00D224F3">
              <w:rPr>
                <w:b/>
                <w:sz w:val="20"/>
                <w:szCs w:val="20"/>
              </w:rPr>
              <w:t xml:space="preserve">% continuing with same </w:t>
            </w:r>
            <w:proofErr w:type="spellStart"/>
            <w:r w:rsidRPr="00D224F3">
              <w:rPr>
                <w:b/>
                <w:sz w:val="20"/>
                <w:szCs w:val="20"/>
              </w:rPr>
              <w:t>bDMARD</w:t>
            </w:r>
            <w:proofErr w:type="spellEnd"/>
          </w:p>
        </w:tc>
        <w:tc>
          <w:tcPr>
            <w:tcW w:w="1639" w:type="dxa"/>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tcPr>
          <w:p w14:paraId="1EC558A9" w14:textId="77777777" w:rsidR="00AF16EF" w:rsidRPr="00D224F3" w:rsidRDefault="00AF16EF" w:rsidP="007B5E6C">
            <w:pPr>
              <w:jc w:val="center"/>
              <w:rPr>
                <w:b/>
                <w:sz w:val="20"/>
                <w:szCs w:val="20"/>
              </w:rPr>
            </w:pPr>
            <w:r w:rsidRPr="00D224F3">
              <w:rPr>
                <w:b/>
                <w:sz w:val="20"/>
                <w:szCs w:val="20"/>
              </w:rPr>
              <w:t xml:space="preserve">PASI </w:t>
            </w:r>
            <w:r w:rsidRPr="00D224F3">
              <w:rPr>
                <w:b/>
                <w:sz w:val="20"/>
                <w:szCs w:val="20"/>
              </w:rPr>
              <w:sym w:font="Symbol" w:char="F0B3"/>
            </w:r>
            <w:r w:rsidRPr="00D224F3">
              <w:rPr>
                <w:b/>
                <w:sz w:val="20"/>
                <w:szCs w:val="20"/>
              </w:rPr>
              <w:t>75 response in trials</w:t>
            </w:r>
          </w:p>
        </w:tc>
        <w:tc>
          <w:tcPr>
            <w:tcW w:w="1837" w:type="dxa"/>
            <w:tcBorders>
              <w:left w:val="single" w:sz="12" w:space="0" w:color="auto"/>
            </w:tcBorders>
            <w:shd w:val="clear" w:color="auto" w:fill="BFBFBF" w:themeFill="background1" w:themeFillShade="BF"/>
            <w:vAlign w:val="center"/>
          </w:tcPr>
          <w:p w14:paraId="13E70F5C" w14:textId="77777777" w:rsidR="00AF16EF" w:rsidRPr="00D224F3" w:rsidRDefault="00AF16EF" w:rsidP="007B5E6C">
            <w:pPr>
              <w:jc w:val="center"/>
              <w:rPr>
                <w:b/>
                <w:sz w:val="20"/>
                <w:szCs w:val="20"/>
              </w:rPr>
            </w:pPr>
            <w:r w:rsidRPr="00D224F3">
              <w:rPr>
                <w:b/>
                <w:sz w:val="20"/>
                <w:szCs w:val="20"/>
              </w:rPr>
              <w:t xml:space="preserve">% continuing with different  </w:t>
            </w:r>
            <w:proofErr w:type="spellStart"/>
            <w:r w:rsidRPr="00D224F3">
              <w:rPr>
                <w:b/>
                <w:sz w:val="20"/>
                <w:szCs w:val="20"/>
              </w:rPr>
              <w:t>bDMARD</w:t>
            </w:r>
            <w:proofErr w:type="spellEnd"/>
          </w:p>
        </w:tc>
        <w:tc>
          <w:tcPr>
            <w:tcW w:w="1620" w:type="dxa"/>
            <w:shd w:val="clear" w:color="auto" w:fill="BFBFBF" w:themeFill="background1" w:themeFillShade="BF"/>
            <w:vAlign w:val="center"/>
          </w:tcPr>
          <w:p w14:paraId="2244E63C" w14:textId="77777777" w:rsidR="00AF16EF" w:rsidRPr="00D224F3" w:rsidRDefault="00AF16EF" w:rsidP="007B5E6C">
            <w:pPr>
              <w:jc w:val="center"/>
              <w:rPr>
                <w:b/>
                <w:sz w:val="20"/>
                <w:szCs w:val="20"/>
              </w:rPr>
            </w:pPr>
            <w:r w:rsidRPr="00D224F3">
              <w:rPr>
                <w:b/>
                <w:sz w:val="20"/>
                <w:szCs w:val="20"/>
              </w:rPr>
              <w:t xml:space="preserve">Total continuing </w:t>
            </w:r>
            <w:proofErr w:type="spellStart"/>
            <w:r w:rsidRPr="00D224F3">
              <w:rPr>
                <w:b/>
                <w:sz w:val="20"/>
                <w:szCs w:val="20"/>
              </w:rPr>
              <w:t>bDMARDs</w:t>
            </w:r>
            <w:proofErr w:type="spellEnd"/>
          </w:p>
        </w:tc>
      </w:tr>
      <w:tr w:rsidR="00AF16EF" w:rsidRPr="00D224F3" w14:paraId="0E3C520C" w14:textId="77777777" w:rsidTr="007B5E6C">
        <w:tc>
          <w:tcPr>
            <w:tcW w:w="1376" w:type="dxa"/>
            <w:vAlign w:val="center"/>
          </w:tcPr>
          <w:p w14:paraId="0C305A91" w14:textId="77777777" w:rsidR="00AF16EF" w:rsidRPr="00D224F3" w:rsidRDefault="00AF16EF" w:rsidP="007B5E6C">
            <w:pPr>
              <w:rPr>
                <w:sz w:val="20"/>
                <w:szCs w:val="20"/>
              </w:rPr>
            </w:pPr>
            <w:proofErr w:type="spellStart"/>
            <w:r w:rsidRPr="00D224F3">
              <w:rPr>
                <w:sz w:val="20"/>
                <w:szCs w:val="20"/>
              </w:rPr>
              <w:t>Adalimumab</w:t>
            </w:r>
            <w:proofErr w:type="spellEnd"/>
          </w:p>
        </w:tc>
        <w:tc>
          <w:tcPr>
            <w:tcW w:w="1037" w:type="dxa"/>
            <w:tcBorders>
              <w:right w:val="single" w:sz="12" w:space="0" w:color="auto"/>
            </w:tcBorders>
            <w:vAlign w:val="center"/>
          </w:tcPr>
          <w:p w14:paraId="360F30F0" w14:textId="77777777" w:rsidR="00AF16EF" w:rsidRPr="00D224F3" w:rsidRDefault="00AF16EF" w:rsidP="007B5E6C">
            <w:pPr>
              <w:jc w:val="center"/>
              <w:rPr>
                <w:sz w:val="20"/>
                <w:szCs w:val="20"/>
              </w:rPr>
            </w:pPr>
            <w:r w:rsidRPr="00D224F3">
              <w:rPr>
                <w:sz w:val="20"/>
                <w:szCs w:val="20"/>
              </w:rPr>
              <w:t>465</w:t>
            </w:r>
          </w:p>
        </w:tc>
        <w:tc>
          <w:tcPr>
            <w:tcW w:w="1664" w:type="dxa"/>
            <w:tcBorders>
              <w:top w:val="single" w:sz="4" w:space="0" w:color="auto"/>
              <w:left w:val="single" w:sz="12" w:space="0" w:color="auto"/>
              <w:bottom w:val="single" w:sz="4" w:space="0" w:color="auto"/>
              <w:right w:val="single" w:sz="4" w:space="0" w:color="auto"/>
            </w:tcBorders>
            <w:vAlign w:val="center"/>
          </w:tcPr>
          <w:p w14:paraId="7FD52CDE" w14:textId="77777777" w:rsidR="00AF16EF" w:rsidRPr="00D224F3" w:rsidRDefault="00AF16EF" w:rsidP="007B5E6C">
            <w:pPr>
              <w:jc w:val="center"/>
              <w:rPr>
                <w:sz w:val="20"/>
                <w:szCs w:val="20"/>
              </w:rPr>
            </w:pPr>
            <w:r w:rsidRPr="00D224F3">
              <w:rPr>
                <w:rFonts w:ascii="Calibri" w:hAnsi="Calibri"/>
                <w:sz w:val="20"/>
                <w:szCs w:val="20"/>
              </w:rPr>
              <w:t>90.3%</w:t>
            </w:r>
          </w:p>
        </w:tc>
        <w:tc>
          <w:tcPr>
            <w:tcW w:w="163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0273E01" w14:textId="42BFF342" w:rsidR="00AF16EF" w:rsidRPr="00D224F3" w:rsidRDefault="00AF16EF" w:rsidP="007B5E6C">
            <w:pPr>
              <w:jc w:val="center"/>
              <w:rPr>
                <w:sz w:val="20"/>
                <w:szCs w:val="20"/>
              </w:rPr>
            </w:pPr>
            <w:r w:rsidRPr="00D224F3">
              <w:rPr>
                <w:sz w:val="20"/>
                <w:szCs w:val="20"/>
              </w:rPr>
              <w:t>70.9%</w:t>
            </w:r>
            <w:r w:rsidRPr="00D224F3">
              <w:rPr>
                <w:sz w:val="20"/>
                <w:szCs w:val="20"/>
              </w:rPr>
              <w:br/>
              <w:t>(16 w</w:t>
            </w:r>
            <w:r w:rsidR="00E873B8">
              <w:rPr>
                <w:sz w:val="20"/>
                <w:szCs w:val="20"/>
              </w:rPr>
              <w:t>ee</w:t>
            </w:r>
            <w:r w:rsidRPr="00D224F3">
              <w:rPr>
                <w:sz w:val="20"/>
                <w:szCs w:val="20"/>
              </w:rPr>
              <w:t>ks) – Jul08</w:t>
            </w:r>
          </w:p>
        </w:tc>
        <w:tc>
          <w:tcPr>
            <w:tcW w:w="1837" w:type="dxa"/>
            <w:tcBorders>
              <w:left w:val="single" w:sz="12" w:space="0" w:color="auto"/>
            </w:tcBorders>
            <w:vAlign w:val="center"/>
          </w:tcPr>
          <w:p w14:paraId="6C8281DB" w14:textId="77777777" w:rsidR="00AF16EF" w:rsidRPr="00D224F3" w:rsidRDefault="00AF16EF" w:rsidP="007B5E6C">
            <w:pPr>
              <w:jc w:val="center"/>
              <w:rPr>
                <w:rFonts w:ascii="Calibri" w:hAnsi="Calibri"/>
                <w:sz w:val="20"/>
                <w:szCs w:val="20"/>
              </w:rPr>
            </w:pPr>
            <w:r w:rsidRPr="00D224F3">
              <w:rPr>
                <w:sz w:val="20"/>
                <w:szCs w:val="20"/>
              </w:rPr>
              <w:t>7.1%</w:t>
            </w:r>
          </w:p>
        </w:tc>
        <w:tc>
          <w:tcPr>
            <w:tcW w:w="1620" w:type="dxa"/>
            <w:vAlign w:val="center"/>
          </w:tcPr>
          <w:p w14:paraId="65BC9210" w14:textId="77777777" w:rsidR="00AF16EF" w:rsidRPr="00D224F3" w:rsidRDefault="00AF16EF" w:rsidP="007B5E6C">
            <w:pPr>
              <w:jc w:val="center"/>
              <w:rPr>
                <w:sz w:val="20"/>
                <w:szCs w:val="20"/>
              </w:rPr>
            </w:pPr>
            <w:r w:rsidRPr="00D224F3">
              <w:rPr>
                <w:rFonts w:ascii="Calibri" w:hAnsi="Calibri"/>
                <w:sz w:val="20"/>
                <w:szCs w:val="20"/>
              </w:rPr>
              <w:t>97.4%</w:t>
            </w:r>
          </w:p>
        </w:tc>
      </w:tr>
      <w:tr w:rsidR="00AF16EF" w:rsidRPr="00D224F3" w14:paraId="08F86892" w14:textId="77777777" w:rsidTr="007B5E6C">
        <w:tc>
          <w:tcPr>
            <w:tcW w:w="1376" w:type="dxa"/>
            <w:vAlign w:val="center"/>
          </w:tcPr>
          <w:p w14:paraId="3B244EDB" w14:textId="77777777" w:rsidR="00AF16EF" w:rsidRPr="00D224F3" w:rsidRDefault="00AF16EF" w:rsidP="007B5E6C">
            <w:pPr>
              <w:rPr>
                <w:sz w:val="20"/>
                <w:szCs w:val="20"/>
              </w:rPr>
            </w:pPr>
            <w:proofErr w:type="spellStart"/>
            <w:r w:rsidRPr="00D224F3">
              <w:rPr>
                <w:sz w:val="20"/>
                <w:szCs w:val="20"/>
              </w:rPr>
              <w:t>Etanercept</w:t>
            </w:r>
            <w:proofErr w:type="spellEnd"/>
          </w:p>
        </w:tc>
        <w:tc>
          <w:tcPr>
            <w:tcW w:w="1037" w:type="dxa"/>
            <w:tcBorders>
              <w:right w:val="single" w:sz="12" w:space="0" w:color="auto"/>
            </w:tcBorders>
            <w:vAlign w:val="center"/>
          </w:tcPr>
          <w:p w14:paraId="7AF1FFBF" w14:textId="77777777" w:rsidR="00AF16EF" w:rsidRPr="00D224F3" w:rsidRDefault="00AF16EF" w:rsidP="007B5E6C">
            <w:pPr>
              <w:jc w:val="center"/>
              <w:rPr>
                <w:sz w:val="20"/>
                <w:szCs w:val="20"/>
              </w:rPr>
            </w:pPr>
            <w:r w:rsidRPr="00D224F3">
              <w:rPr>
                <w:sz w:val="20"/>
                <w:szCs w:val="20"/>
              </w:rPr>
              <w:t>127</w:t>
            </w:r>
          </w:p>
        </w:tc>
        <w:tc>
          <w:tcPr>
            <w:tcW w:w="1664" w:type="dxa"/>
            <w:tcBorders>
              <w:top w:val="single" w:sz="4" w:space="0" w:color="auto"/>
              <w:left w:val="single" w:sz="12" w:space="0" w:color="auto"/>
              <w:bottom w:val="single" w:sz="4" w:space="0" w:color="auto"/>
              <w:right w:val="single" w:sz="4" w:space="0" w:color="auto"/>
            </w:tcBorders>
            <w:vAlign w:val="center"/>
          </w:tcPr>
          <w:p w14:paraId="30ED3A93" w14:textId="77777777" w:rsidR="00AF16EF" w:rsidRPr="00D224F3" w:rsidRDefault="00AF16EF" w:rsidP="007B5E6C">
            <w:pPr>
              <w:jc w:val="center"/>
              <w:rPr>
                <w:sz w:val="20"/>
                <w:szCs w:val="20"/>
              </w:rPr>
            </w:pPr>
            <w:r w:rsidRPr="00D224F3">
              <w:rPr>
                <w:rFonts w:ascii="Calibri" w:hAnsi="Calibri"/>
                <w:sz w:val="20"/>
                <w:szCs w:val="20"/>
              </w:rPr>
              <w:t>78.7%</w:t>
            </w:r>
          </w:p>
        </w:tc>
        <w:tc>
          <w:tcPr>
            <w:tcW w:w="163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7ECDA5E" w14:textId="77777777" w:rsidR="00AF16EF" w:rsidRPr="00D224F3" w:rsidRDefault="00AF16EF" w:rsidP="007B5E6C">
            <w:pPr>
              <w:jc w:val="center"/>
              <w:rPr>
                <w:sz w:val="20"/>
                <w:szCs w:val="20"/>
              </w:rPr>
            </w:pPr>
            <w:r w:rsidRPr="00D224F3">
              <w:rPr>
                <w:sz w:val="20"/>
                <w:szCs w:val="20"/>
              </w:rPr>
              <w:t xml:space="preserve">49.4% </w:t>
            </w:r>
            <w:r w:rsidRPr="00D224F3">
              <w:rPr>
                <w:sz w:val="20"/>
                <w:szCs w:val="20"/>
              </w:rPr>
              <w:br/>
              <w:t>(12 weeks)</w:t>
            </w:r>
          </w:p>
        </w:tc>
        <w:tc>
          <w:tcPr>
            <w:tcW w:w="1837" w:type="dxa"/>
            <w:tcBorders>
              <w:left w:val="single" w:sz="12" w:space="0" w:color="auto"/>
            </w:tcBorders>
            <w:vAlign w:val="center"/>
          </w:tcPr>
          <w:p w14:paraId="74820E21" w14:textId="77777777" w:rsidR="00AF16EF" w:rsidRPr="00D224F3" w:rsidRDefault="00AF16EF" w:rsidP="007B5E6C">
            <w:pPr>
              <w:jc w:val="center"/>
              <w:rPr>
                <w:rFonts w:ascii="Calibri" w:hAnsi="Calibri"/>
                <w:sz w:val="20"/>
                <w:szCs w:val="20"/>
              </w:rPr>
            </w:pPr>
            <w:r w:rsidRPr="00D224F3">
              <w:rPr>
                <w:sz w:val="20"/>
                <w:szCs w:val="20"/>
              </w:rPr>
              <w:t>19.7%</w:t>
            </w:r>
          </w:p>
        </w:tc>
        <w:tc>
          <w:tcPr>
            <w:tcW w:w="1620" w:type="dxa"/>
            <w:vAlign w:val="center"/>
          </w:tcPr>
          <w:p w14:paraId="3C64FADB" w14:textId="77777777" w:rsidR="00AF16EF" w:rsidRPr="00D224F3" w:rsidRDefault="00AF16EF" w:rsidP="007B5E6C">
            <w:pPr>
              <w:jc w:val="center"/>
              <w:rPr>
                <w:sz w:val="20"/>
                <w:szCs w:val="20"/>
              </w:rPr>
            </w:pPr>
            <w:r w:rsidRPr="00D224F3">
              <w:rPr>
                <w:rFonts w:ascii="Calibri" w:hAnsi="Calibri"/>
                <w:sz w:val="20"/>
                <w:szCs w:val="20"/>
              </w:rPr>
              <w:t>98.4%</w:t>
            </w:r>
          </w:p>
        </w:tc>
      </w:tr>
      <w:tr w:rsidR="00AF16EF" w:rsidRPr="00D224F3" w14:paraId="4AFF2826" w14:textId="77777777" w:rsidTr="007B5E6C">
        <w:tc>
          <w:tcPr>
            <w:tcW w:w="1376" w:type="dxa"/>
            <w:vAlign w:val="center"/>
          </w:tcPr>
          <w:p w14:paraId="3CD067AE" w14:textId="77777777" w:rsidR="00AF16EF" w:rsidRPr="00D224F3" w:rsidRDefault="00AF16EF" w:rsidP="007B5E6C">
            <w:pPr>
              <w:rPr>
                <w:sz w:val="20"/>
                <w:szCs w:val="20"/>
              </w:rPr>
            </w:pPr>
            <w:r w:rsidRPr="00D224F3">
              <w:rPr>
                <w:sz w:val="20"/>
                <w:szCs w:val="20"/>
              </w:rPr>
              <w:t>Infliximab</w:t>
            </w:r>
          </w:p>
        </w:tc>
        <w:tc>
          <w:tcPr>
            <w:tcW w:w="1037" w:type="dxa"/>
            <w:tcBorders>
              <w:right w:val="single" w:sz="12" w:space="0" w:color="auto"/>
            </w:tcBorders>
            <w:vAlign w:val="center"/>
          </w:tcPr>
          <w:p w14:paraId="2226525C" w14:textId="77777777" w:rsidR="00AF16EF" w:rsidRPr="00D224F3" w:rsidRDefault="00AF16EF" w:rsidP="007B5E6C">
            <w:pPr>
              <w:jc w:val="center"/>
              <w:rPr>
                <w:sz w:val="20"/>
                <w:szCs w:val="20"/>
              </w:rPr>
            </w:pPr>
            <w:r w:rsidRPr="00D224F3">
              <w:rPr>
                <w:sz w:val="20"/>
                <w:szCs w:val="20"/>
              </w:rPr>
              <w:t>66</w:t>
            </w:r>
          </w:p>
        </w:tc>
        <w:tc>
          <w:tcPr>
            <w:tcW w:w="1664" w:type="dxa"/>
            <w:tcBorders>
              <w:top w:val="single" w:sz="4" w:space="0" w:color="auto"/>
              <w:left w:val="single" w:sz="12" w:space="0" w:color="auto"/>
              <w:bottom w:val="single" w:sz="4" w:space="0" w:color="auto"/>
              <w:right w:val="single" w:sz="4" w:space="0" w:color="auto"/>
            </w:tcBorders>
            <w:vAlign w:val="center"/>
          </w:tcPr>
          <w:p w14:paraId="33324639" w14:textId="77777777" w:rsidR="00AF16EF" w:rsidRPr="00D224F3" w:rsidRDefault="00AF16EF" w:rsidP="007B5E6C">
            <w:pPr>
              <w:jc w:val="center"/>
              <w:rPr>
                <w:sz w:val="20"/>
                <w:szCs w:val="20"/>
              </w:rPr>
            </w:pPr>
            <w:r w:rsidRPr="00D224F3">
              <w:rPr>
                <w:rFonts w:ascii="Calibri" w:hAnsi="Calibri"/>
                <w:sz w:val="20"/>
                <w:szCs w:val="20"/>
              </w:rPr>
              <w:t>80.3%</w:t>
            </w:r>
          </w:p>
        </w:tc>
        <w:tc>
          <w:tcPr>
            <w:tcW w:w="163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ABCD864" w14:textId="77777777" w:rsidR="00AF16EF" w:rsidRPr="00D224F3" w:rsidRDefault="00AF16EF" w:rsidP="007B5E6C">
            <w:pPr>
              <w:jc w:val="center"/>
              <w:rPr>
                <w:sz w:val="20"/>
                <w:szCs w:val="20"/>
              </w:rPr>
            </w:pPr>
            <w:r w:rsidRPr="00D224F3">
              <w:rPr>
                <w:sz w:val="20"/>
                <w:szCs w:val="20"/>
              </w:rPr>
              <w:t>79%</w:t>
            </w:r>
            <w:r w:rsidRPr="00D224F3">
              <w:rPr>
                <w:sz w:val="20"/>
                <w:szCs w:val="20"/>
              </w:rPr>
              <w:br/>
              <w:t>(10 weeks)</w:t>
            </w:r>
          </w:p>
        </w:tc>
        <w:tc>
          <w:tcPr>
            <w:tcW w:w="1837" w:type="dxa"/>
            <w:tcBorders>
              <w:left w:val="single" w:sz="12" w:space="0" w:color="auto"/>
            </w:tcBorders>
            <w:vAlign w:val="center"/>
          </w:tcPr>
          <w:p w14:paraId="29C64C72" w14:textId="77777777" w:rsidR="00AF16EF" w:rsidRPr="00D224F3" w:rsidRDefault="00AF16EF" w:rsidP="007B5E6C">
            <w:pPr>
              <w:jc w:val="center"/>
              <w:rPr>
                <w:rFonts w:ascii="Calibri" w:hAnsi="Calibri"/>
                <w:sz w:val="20"/>
                <w:szCs w:val="20"/>
              </w:rPr>
            </w:pPr>
            <w:r w:rsidRPr="00D224F3">
              <w:rPr>
                <w:sz w:val="20"/>
                <w:szCs w:val="20"/>
              </w:rPr>
              <w:t>10.6%</w:t>
            </w:r>
          </w:p>
        </w:tc>
        <w:tc>
          <w:tcPr>
            <w:tcW w:w="1620" w:type="dxa"/>
            <w:vAlign w:val="center"/>
          </w:tcPr>
          <w:p w14:paraId="376F7C45" w14:textId="77777777" w:rsidR="00AF16EF" w:rsidRPr="00D224F3" w:rsidRDefault="00AF16EF" w:rsidP="007B5E6C">
            <w:pPr>
              <w:jc w:val="center"/>
              <w:rPr>
                <w:sz w:val="20"/>
                <w:szCs w:val="20"/>
              </w:rPr>
            </w:pPr>
            <w:r w:rsidRPr="00D224F3">
              <w:rPr>
                <w:rFonts w:ascii="Calibri" w:hAnsi="Calibri"/>
                <w:sz w:val="20"/>
                <w:szCs w:val="20"/>
              </w:rPr>
              <w:t>90.9%</w:t>
            </w:r>
          </w:p>
        </w:tc>
      </w:tr>
      <w:tr w:rsidR="00AF16EF" w:rsidRPr="00D224F3" w14:paraId="28B5A8BD" w14:textId="77777777" w:rsidTr="007B5E6C">
        <w:tc>
          <w:tcPr>
            <w:tcW w:w="1376" w:type="dxa"/>
            <w:vAlign w:val="center"/>
          </w:tcPr>
          <w:p w14:paraId="39B425C7" w14:textId="77777777" w:rsidR="00AF16EF" w:rsidRPr="00D224F3" w:rsidRDefault="00AF16EF" w:rsidP="007B5E6C">
            <w:pPr>
              <w:rPr>
                <w:sz w:val="20"/>
                <w:szCs w:val="20"/>
              </w:rPr>
            </w:pPr>
            <w:proofErr w:type="spellStart"/>
            <w:r w:rsidRPr="00D224F3">
              <w:rPr>
                <w:sz w:val="20"/>
                <w:szCs w:val="20"/>
              </w:rPr>
              <w:t>Ustekinumab</w:t>
            </w:r>
            <w:proofErr w:type="spellEnd"/>
          </w:p>
        </w:tc>
        <w:tc>
          <w:tcPr>
            <w:tcW w:w="1037" w:type="dxa"/>
            <w:tcBorders>
              <w:right w:val="single" w:sz="12" w:space="0" w:color="auto"/>
            </w:tcBorders>
            <w:vAlign w:val="center"/>
          </w:tcPr>
          <w:p w14:paraId="4F1A1351" w14:textId="77777777" w:rsidR="00AF16EF" w:rsidRPr="00D224F3" w:rsidRDefault="00AF16EF" w:rsidP="007B5E6C">
            <w:pPr>
              <w:jc w:val="center"/>
              <w:rPr>
                <w:sz w:val="20"/>
                <w:szCs w:val="20"/>
              </w:rPr>
            </w:pPr>
            <w:r w:rsidRPr="00D224F3">
              <w:rPr>
                <w:sz w:val="20"/>
                <w:szCs w:val="20"/>
              </w:rPr>
              <w:t>404</w:t>
            </w:r>
          </w:p>
        </w:tc>
        <w:tc>
          <w:tcPr>
            <w:tcW w:w="1664" w:type="dxa"/>
            <w:tcBorders>
              <w:top w:val="single" w:sz="4" w:space="0" w:color="auto"/>
              <w:left w:val="single" w:sz="12" w:space="0" w:color="auto"/>
              <w:bottom w:val="single" w:sz="12" w:space="0" w:color="auto"/>
              <w:right w:val="single" w:sz="4" w:space="0" w:color="auto"/>
            </w:tcBorders>
            <w:vAlign w:val="center"/>
          </w:tcPr>
          <w:p w14:paraId="3663E3F7" w14:textId="77777777" w:rsidR="00AF16EF" w:rsidRPr="00D224F3" w:rsidRDefault="00AF16EF" w:rsidP="007B5E6C">
            <w:pPr>
              <w:jc w:val="center"/>
              <w:rPr>
                <w:sz w:val="20"/>
                <w:szCs w:val="20"/>
              </w:rPr>
            </w:pPr>
            <w:r w:rsidRPr="00D224F3">
              <w:rPr>
                <w:rFonts w:ascii="Calibri" w:hAnsi="Calibri"/>
                <w:sz w:val="20"/>
                <w:szCs w:val="20"/>
              </w:rPr>
              <w:t>91.1%</w:t>
            </w:r>
          </w:p>
        </w:tc>
        <w:tc>
          <w:tcPr>
            <w:tcW w:w="1639"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312D56E5" w14:textId="77777777" w:rsidR="00AF16EF" w:rsidRPr="00D224F3" w:rsidRDefault="00AF16EF" w:rsidP="007B5E6C">
            <w:pPr>
              <w:jc w:val="center"/>
              <w:rPr>
                <w:sz w:val="20"/>
                <w:szCs w:val="20"/>
              </w:rPr>
            </w:pPr>
            <w:r w:rsidRPr="00D224F3">
              <w:rPr>
                <w:sz w:val="20"/>
                <w:szCs w:val="20"/>
              </w:rPr>
              <w:t>67.5%</w:t>
            </w:r>
            <w:r w:rsidRPr="00D224F3">
              <w:rPr>
                <w:sz w:val="20"/>
                <w:szCs w:val="20"/>
              </w:rPr>
              <w:br/>
              <w:t>(12 weeks)</w:t>
            </w:r>
          </w:p>
        </w:tc>
        <w:tc>
          <w:tcPr>
            <w:tcW w:w="1837" w:type="dxa"/>
            <w:tcBorders>
              <w:left w:val="single" w:sz="12" w:space="0" w:color="auto"/>
            </w:tcBorders>
            <w:vAlign w:val="center"/>
          </w:tcPr>
          <w:p w14:paraId="336B52B4" w14:textId="77777777" w:rsidR="00AF16EF" w:rsidRPr="00D224F3" w:rsidRDefault="00AF16EF" w:rsidP="007B5E6C">
            <w:pPr>
              <w:jc w:val="center"/>
              <w:rPr>
                <w:rFonts w:ascii="Calibri" w:hAnsi="Calibri"/>
                <w:sz w:val="20"/>
                <w:szCs w:val="20"/>
              </w:rPr>
            </w:pPr>
            <w:r w:rsidRPr="00D224F3">
              <w:rPr>
                <w:sz w:val="20"/>
                <w:szCs w:val="20"/>
              </w:rPr>
              <w:t>6.4%</w:t>
            </w:r>
          </w:p>
        </w:tc>
        <w:tc>
          <w:tcPr>
            <w:tcW w:w="1620" w:type="dxa"/>
            <w:vAlign w:val="center"/>
          </w:tcPr>
          <w:p w14:paraId="3750901E" w14:textId="77777777" w:rsidR="00AF16EF" w:rsidRPr="00D224F3" w:rsidRDefault="00AF16EF" w:rsidP="007B5E6C">
            <w:pPr>
              <w:jc w:val="center"/>
              <w:rPr>
                <w:sz w:val="20"/>
                <w:szCs w:val="20"/>
              </w:rPr>
            </w:pPr>
            <w:r w:rsidRPr="00D224F3">
              <w:rPr>
                <w:rFonts w:ascii="Calibri" w:hAnsi="Calibri"/>
                <w:sz w:val="20"/>
                <w:szCs w:val="20"/>
              </w:rPr>
              <w:t>97.5%</w:t>
            </w:r>
          </w:p>
        </w:tc>
      </w:tr>
    </w:tbl>
    <w:p w14:paraId="5C172C55" w14:textId="77777777" w:rsidR="00AF16EF" w:rsidRPr="00D224F3" w:rsidRDefault="00AF16EF" w:rsidP="00AF16EF">
      <w:pPr>
        <w:pStyle w:val="Notes"/>
      </w:pPr>
      <w:r w:rsidRPr="00D224F3">
        <w:t>Source: Authority Approvals database, extracted March 2014</w:t>
      </w:r>
      <w:r w:rsidRPr="00D224F3">
        <w:br/>
        <w:t>UST = PASI response in ITT, ETN = March 2009 continuous treatment</w:t>
      </w:r>
    </w:p>
    <w:p w14:paraId="000C9246" w14:textId="72A417DF" w:rsidR="00AF16EF" w:rsidRDefault="00AF16EF" w:rsidP="00AF16EF">
      <w:proofErr w:type="spellStart"/>
      <w:r w:rsidRPr="00D224F3">
        <w:t>Adalimumab</w:t>
      </w:r>
      <w:proofErr w:type="spellEnd"/>
      <w:r w:rsidRPr="00D224F3">
        <w:t xml:space="preserve"> and </w:t>
      </w:r>
      <w:proofErr w:type="spellStart"/>
      <w:r w:rsidRPr="00D224F3">
        <w:t>ustekinumab</w:t>
      </w:r>
      <w:proofErr w:type="spellEnd"/>
      <w:r w:rsidRPr="00D224F3">
        <w:t xml:space="preserve"> have higher continuation rates </w:t>
      </w:r>
      <w:r w:rsidR="00304F83">
        <w:t xml:space="preserve">than </w:t>
      </w:r>
      <w:proofErr w:type="spellStart"/>
      <w:r w:rsidR="00304F83">
        <w:t>etanercept</w:t>
      </w:r>
      <w:proofErr w:type="spellEnd"/>
      <w:r w:rsidR="00304F83">
        <w:t xml:space="preserve"> and infliximab.  </w:t>
      </w:r>
      <w:r w:rsidR="00D45671">
        <w:t>Actual c</w:t>
      </w:r>
      <w:r w:rsidRPr="00D224F3">
        <w:t xml:space="preserve">ontinuation rates were higher than in the trials for all </w:t>
      </w:r>
      <w:proofErr w:type="spellStart"/>
      <w:r w:rsidRPr="00D224F3">
        <w:t>bDMARDs</w:t>
      </w:r>
      <w:proofErr w:type="spellEnd"/>
      <w:r w:rsidRPr="00D224F3">
        <w:t xml:space="preserve"> except infliximab which has a similar continuation rate to the clinical trials. </w:t>
      </w:r>
    </w:p>
    <w:p w14:paraId="4571E1CD" w14:textId="53941F30" w:rsidR="00664861" w:rsidRDefault="00A05E61" w:rsidP="00664861">
      <w:r>
        <w:t xml:space="preserve">The </w:t>
      </w:r>
      <w:r w:rsidR="00664861">
        <w:t xml:space="preserve">DUSC agreed with the sponsors of </w:t>
      </w:r>
      <w:proofErr w:type="spellStart"/>
      <w:r w:rsidR="00664861">
        <w:t>etanercept</w:t>
      </w:r>
      <w:proofErr w:type="spellEnd"/>
      <w:r w:rsidR="00664861">
        <w:t xml:space="preserve">, infliximab and </w:t>
      </w:r>
      <w:proofErr w:type="spellStart"/>
      <w:r w:rsidR="00664861">
        <w:t>ustekinumab</w:t>
      </w:r>
      <w:proofErr w:type="spellEnd"/>
      <w:r w:rsidR="00664861">
        <w:t xml:space="preserve"> that due to assessment of response being later than the primary outcomes in the key trials, a larger proportion of PBS patients </w:t>
      </w:r>
      <w:r w:rsidR="006A2E52">
        <w:t xml:space="preserve">may achieve a PASI 75 response.  The </w:t>
      </w:r>
      <w:r w:rsidR="00664861">
        <w:t xml:space="preserve">DUSC acknowledged there may be clinician and patient reluctance to withdraw a treatment where patients are achieving a partial response and are refractory to other treatment. </w:t>
      </w:r>
    </w:p>
    <w:p w14:paraId="4EA6E477" w14:textId="77777777" w:rsidR="00A6220D" w:rsidRPr="00D224F3" w:rsidRDefault="00A6220D" w:rsidP="00A6220D">
      <w:pPr>
        <w:pStyle w:val="Heading5"/>
      </w:pPr>
      <w:r w:rsidRPr="00D224F3">
        <w:t xml:space="preserve">Longer term continuation </w:t>
      </w:r>
    </w:p>
    <w:p w14:paraId="73977C79" w14:textId="7F9DBCE1" w:rsidR="00A6220D" w:rsidRPr="00D224F3" w:rsidRDefault="00A34E3A" w:rsidP="00A6220D">
      <w:r>
        <w:t>F</w:t>
      </w:r>
      <w:r w:rsidR="00A6220D" w:rsidRPr="00D224F3">
        <w:t xml:space="preserve">igure </w:t>
      </w:r>
      <w:r>
        <w:t xml:space="preserve">5 </w:t>
      </w:r>
      <w:r w:rsidR="00A6220D" w:rsidRPr="00D224F3">
        <w:t xml:space="preserve">presents the proportion of patients who started their first </w:t>
      </w:r>
      <w:proofErr w:type="spellStart"/>
      <w:r w:rsidR="00A6220D" w:rsidRPr="00D224F3">
        <w:t>bDMARD</w:t>
      </w:r>
      <w:proofErr w:type="spellEnd"/>
      <w:r w:rsidR="00A6220D" w:rsidRPr="00D224F3">
        <w:t xml:space="preserve"> for psoriasis in 2011 who received first, second and third conti</w:t>
      </w:r>
      <w:r w:rsidR="00280897">
        <w:t>nuing approvals</w:t>
      </w:r>
      <w:r w:rsidR="001E42CD">
        <w:t xml:space="preserve"> for the same </w:t>
      </w:r>
      <w:proofErr w:type="spellStart"/>
      <w:r w:rsidR="001E42CD">
        <w:t>bDMARD</w:t>
      </w:r>
      <w:proofErr w:type="spellEnd"/>
      <w:r w:rsidR="00280897">
        <w:t xml:space="preserve">.  </w:t>
      </w:r>
      <w:r w:rsidR="00A6220D" w:rsidRPr="00D224F3">
        <w:t>The average time to the third continuing approval was 70 weeks (median = 69 weeks, i</w:t>
      </w:r>
      <w:r w:rsidR="002248B7">
        <w:t>nterquartile range = 15 weeks).</w:t>
      </w:r>
    </w:p>
    <w:p w14:paraId="7583790C" w14:textId="77777777" w:rsidR="00A34E3A" w:rsidRPr="00D224F3" w:rsidRDefault="00A34E3A" w:rsidP="00A34E3A">
      <w:pPr>
        <w:rPr>
          <w:sz w:val="20"/>
          <w:szCs w:val="20"/>
        </w:rPr>
      </w:pPr>
      <w:r w:rsidRPr="00D224F3">
        <w:rPr>
          <w:b/>
          <w:noProof/>
        </w:rPr>
        <w:lastRenderedPageBreak/>
        <w:drawing>
          <wp:inline distT="0" distB="0" distL="0" distR="0" wp14:anchorId="25ABBFA9" wp14:editId="0CC995DC">
            <wp:extent cx="5688330" cy="2767965"/>
            <wp:effectExtent l="0" t="0" r="7620" b="0"/>
            <wp:docPr id="13" name="Picture 13" descr="The figure illustrates the percentage of patients continuing with individual bDMARDs for chronic plaque psoriasis by the number of continuing authority approvals for the same bDMARD."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88330" cy="2767965"/>
                    </a:xfrm>
                    <a:prstGeom prst="rect">
                      <a:avLst/>
                    </a:prstGeom>
                    <a:noFill/>
                  </pic:spPr>
                </pic:pic>
              </a:graphicData>
            </a:graphic>
          </wp:inline>
        </w:drawing>
      </w:r>
      <w:r w:rsidRPr="00D224F3">
        <w:rPr>
          <w:b/>
        </w:rPr>
        <w:t xml:space="preserve">Figure 5: Continuation with same </w:t>
      </w:r>
      <w:proofErr w:type="spellStart"/>
      <w:r w:rsidRPr="00D224F3">
        <w:rPr>
          <w:b/>
        </w:rPr>
        <w:t>bDMARD</w:t>
      </w:r>
      <w:proofErr w:type="spellEnd"/>
      <w:r w:rsidRPr="00D224F3">
        <w:rPr>
          <w:b/>
        </w:rPr>
        <w:t xml:space="preserve"> – 2011 initiators</w:t>
      </w:r>
      <w:r w:rsidRPr="00D224F3">
        <w:rPr>
          <w:b/>
        </w:rPr>
        <w:br/>
      </w:r>
      <w:r w:rsidRPr="00D224F3">
        <w:rPr>
          <w:sz w:val="20"/>
          <w:szCs w:val="20"/>
        </w:rPr>
        <w:t>Source: Authority Approvals database, extracted March 2014</w:t>
      </w:r>
    </w:p>
    <w:p w14:paraId="4FC7BFFD" w14:textId="2E0FD6ED" w:rsidR="00A34E3A" w:rsidRPr="00D224F3" w:rsidRDefault="00A34E3A" w:rsidP="00A34E3A">
      <w:proofErr w:type="spellStart"/>
      <w:r w:rsidRPr="00D224F3">
        <w:t>Ustekinumab</w:t>
      </w:r>
      <w:proofErr w:type="spellEnd"/>
      <w:r w:rsidRPr="00D224F3">
        <w:t xml:space="preserve"> has the highest rate of conti</w:t>
      </w:r>
      <w:r w:rsidR="00974650">
        <w:t xml:space="preserve">nuation followed by </w:t>
      </w:r>
      <w:proofErr w:type="spellStart"/>
      <w:r w:rsidR="00974650">
        <w:t>adalimumab</w:t>
      </w:r>
      <w:proofErr w:type="spellEnd"/>
      <w:r w:rsidR="00974650">
        <w:t xml:space="preserve">.  </w:t>
      </w:r>
      <w:proofErr w:type="spellStart"/>
      <w:r w:rsidRPr="00D224F3">
        <w:t>Etanercept</w:t>
      </w:r>
      <w:proofErr w:type="spellEnd"/>
      <w:r w:rsidRPr="00D224F3">
        <w:t xml:space="preserve"> and infliximab had lower rates of continuation. </w:t>
      </w:r>
    </w:p>
    <w:p w14:paraId="3D1D3CA1" w14:textId="4FF2B214" w:rsidR="00A34E3A" w:rsidRPr="00D224F3" w:rsidRDefault="00C6083A" w:rsidP="00A34E3A">
      <w:r>
        <w:t>F</w:t>
      </w:r>
      <w:r w:rsidR="00A34E3A" w:rsidRPr="00D224F3">
        <w:t xml:space="preserve">igure </w:t>
      </w:r>
      <w:r>
        <w:t xml:space="preserve">6 </w:t>
      </w:r>
      <w:r w:rsidR="00A34E3A" w:rsidRPr="00D224F3">
        <w:t xml:space="preserve">presents the rates of treatment continuation with any </w:t>
      </w:r>
      <w:proofErr w:type="spellStart"/>
      <w:r w:rsidR="00A34E3A" w:rsidRPr="00D224F3">
        <w:t>bDMARD</w:t>
      </w:r>
      <w:proofErr w:type="spellEnd"/>
      <w:r w:rsidR="00A34E3A" w:rsidRPr="00D224F3">
        <w:t xml:space="preserve"> for psoriasis for patients who started their first</w:t>
      </w:r>
      <w:r w:rsidR="00793812">
        <w:t xml:space="preserve"> </w:t>
      </w:r>
      <w:proofErr w:type="spellStart"/>
      <w:r w:rsidR="00793812">
        <w:t>bDMARD</w:t>
      </w:r>
      <w:proofErr w:type="spellEnd"/>
      <w:r w:rsidR="00793812">
        <w:t xml:space="preserve"> in 2011.  </w:t>
      </w:r>
      <w:r w:rsidR="00A34E3A" w:rsidRPr="00D224F3">
        <w:t xml:space="preserve">Patients are classified in the graph based on the </w:t>
      </w:r>
      <w:proofErr w:type="spellStart"/>
      <w:r w:rsidR="00A34E3A" w:rsidRPr="00D224F3">
        <w:t>bDMARD</w:t>
      </w:r>
      <w:proofErr w:type="spellEnd"/>
      <w:r w:rsidR="00A34E3A" w:rsidRPr="00D224F3">
        <w:t xml:space="preserve"> with which they started treatment. </w:t>
      </w:r>
    </w:p>
    <w:p w14:paraId="0A0F7947" w14:textId="77777777" w:rsidR="006236B9" w:rsidRPr="00D224F3" w:rsidRDefault="006236B9" w:rsidP="006236B9">
      <w:r w:rsidRPr="00D224F3">
        <w:rPr>
          <w:b/>
          <w:noProof/>
        </w:rPr>
        <w:drawing>
          <wp:inline distT="0" distB="0" distL="0" distR="0" wp14:anchorId="0141D866" wp14:editId="1722B4D7">
            <wp:extent cx="5582429" cy="2772162"/>
            <wp:effectExtent l="0" t="0" r="0" b="9525"/>
            <wp:docPr id="16" name="Picture 16" descr="The figure illustrates the percentage continuation rate for individual bDMARDs for chronic plaque psoriasis by the number of continuing authority approvals for any bDMARD." title="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E4F2CE.tmp"/>
                    <pic:cNvPicPr/>
                  </pic:nvPicPr>
                  <pic:blipFill>
                    <a:blip r:embed="rId26">
                      <a:extLst>
                        <a:ext uri="{28A0092B-C50C-407E-A947-70E740481C1C}">
                          <a14:useLocalDpi xmlns:a14="http://schemas.microsoft.com/office/drawing/2010/main" val="0"/>
                        </a:ext>
                      </a:extLst>
                    </a:blip>
                    <a:stretch>
                      <a:fillRect/>
                    </a:stretch>
                  </pic:blipFill>
                  <pic:spPr>
                    <a:xfrm>
                      <a:off x="0" y="0"/>
                      <a:ext cx="5582429" cy="2772162"/>
                    </a:xfrm>
                    <a:prstGeom prst="rect">
                      <a:avLst/>
                    </a:prstGeom>
                  </pic:spPr>
                </pic:pic>
              </a:graphicData>
            </a:graphic>
          </wp:inline>
        </w:drawing>
      </w:r>
      <w:r w:rsidRPr="00D224F3">
        <w:rPr>
          <w:b/>
        </w:rPr>
        <w:t xml:space="preserve">Figure 6: Continuation with any </w:t>
      </w:r>
      <w:proofErr w:type="spellStart"/>
      <w:r w:rsidRPr="00D224F3">
        <w:rPr>
          <w:b/>
        </w:rPr>
        <w:t>bDMARD</w:t>
      </w:r>
      <w:proofErr w:type="spellEnd"/>
      <w:r w:rsidRPr="00D224F3">
        <w:rPr>
          <w:b/>
        </w:rPr>
        <w:t xml:space="preserve"> – 2011 initiators</w:t>
      </w:r>
      <w:r w:rsidRPr="00D224F3">
        <w:rPr>
          <w:b/>
        </w:rPr>
        <w:br/>
      </w:r>
      <w:r w:rsidRPr="00D224F3">
        <w:rPr>
          <w:sz w:val="20"/>
          <w:szCs w:val="20"/>
        </w:rPr>
        <w:t>Source: Authority Approvals database, extracted March 2014</w:t>
      </w:r>
    </w:p>
    <w:p w14:paraId="0EAC40E2" w14:textId="3A52D85E" w:rsidR="006236B9" w:rsidRDefault="006236B9" w:rsidP="006236B9">
      <w:r w:rsidRPr="00D224F3">
        <w:t xml:space="preserve">Patients starting treatment with </w:t>
      </w:r>
      <w:proofErr w:type="spellStart"/>
      <w:r w:rsidRPr="00D224F3">
        <w:t>ustekinumab</w:t>
      </w:r>
      <w:proofErr w:type="spellEnd"/>
      <w:r w:rsidRPr="00D224F3">
        <w:t xml:space="preserve">, </w:t>
      </w:r>
      <w:proofErr w:type="spellStart"/>
      <w:r w:rsidRPr="00D224F3">
        <w:t>etanercept</w:t>
      </w:r>
      <w:proofErr w:type="spellEnd"/>
      <w:r w:rsidRPr="00D224F3">
        <w:t xml:space="preserve"> and </w:t>
      </w:r>
      <w:proofErr w:type="spellStart"/>
      <w:r w:rsidRPr="00D224F3">
        <w:t>adalimumab</w:t>
      </w:r>
      <w:proofErr w:type="spellEnd"/>
      <w:r w:rsidRPr="00D224F3">
        <w:t xml:space="preserve"> have relatively similar rates of treatment continuation with </w:t>
      </w:r>
      <w:proofErr w:type="spellStart"/>
      <w:r w:rsidRPr="00D224F3">
        <w:t>bDMARDs</w:t>
      </w:r>
      <w:proofErr w:type="spellEnd"/>
      <w:r w:rsidR="007C0699">
        <w:t xml:space="preserve">.  </w:t>
      </w:r>
      <w:r w:rsidRPr="00D224F3">
        <w:t xml:space="preserve">Patients who initiated treatment on infliximab appear to be more likely to discontinue PBS </w:t>
      </w:r>
      <w:proofErr w:type="spellStart"/>
      <w:r w:rsidRPr="00D224F3">
        <w:t>bDMARDs</w:t>
      </w:r>
      <w:proofErr w:type="spellEnd"/>
      <w:r w:rsidRPr="00D224F3">
        <w:t xml:space="preserve"> for psoriasis.</w:t>
      </w:r>
      <w:r w:rsidR="007C0699">
        <w:t xml:space="preserve">  </w:t>
      </w:r>
      <w:r w:rsidRPr="00D224F3">
        <w:t xml:space="preserve">Of the 555 patients who started a </w:t>
      </w:r>
      <w:proofErr w:type="spellStart"/>
      <w:r w:rsidRPr="00D224F3">
        <w:t>bDMARD</w:t>
      </w:r>
      <w:proofErr w:type="spellEnd"/>
      <w:r w:rsidRPr="00D224F3">
        <w:t xml:space="preserve"> for psoriasis in 2011, 86% received a third continuing approval for a </w:t>
      </w:r>
      <w:proofErr w:type="spellStart"/>
      <w:r w:rsidRPr="00D224F3">
        <w:t>bDMARD</w:t>
      </w:r>
      <w:proofErr w:type="spellEnd"/>
      <w:r w:rsidRPr="00D224F3">
        <w:t xml:space="preserve">.  </w:t>
      </w:r>
    </w:p>
    <w:p w14:paraId="492E7211" w14:textId="77777777" w:rsidR="006A2E52" w:rsidRPr="00D224F3" w:rsidRDefault="006A2E52" w:rsidP="006A2E52">
      <w:r>
        <w:lastRenderedPageBreak/>
        <w:t xml:space="preserve">A relatively small proportion of patients appear to discontinue </w:t>
      </w:r>
      <w:proofErr w:type="spellStart"/>
      <w:r>
        <w:t>bDMARD</w:t>
      </w:r>
      <w:proofErr w:type="spellEnd"/>
      <w:r>
        <w:t xml:space="preserve"> treatment.  The DUSC noted advice provided by the College of Dermatologists stating that although there are improvements and regressions in the natural history of psoriasis, remission is rare, hence chronic treatment is required.</w:t>
      </w:r>
    </w:p>
    <w:p w14:paraId="1F5B50A1" w14:textId="77777777" w:rsidR="003103D7" w:rsidRPr="00D224F3" w:rsidRDefault="003103D7" w:rsidP="001219DB">
      <w:pPr>
        <w:pStyle w:val="Heading5"/>
      </w:pPr>
      <w:r w:rsidRPr="00D224F3">
        <w:t xml:space="preserve">Prescriptions and quantity </w:t>
      </w:r>
    </w:p>
    <w:p w14:paraId="0D310682" w14:textId="7960A90D" w:rsidR="003103D7" w:rsidRPr="00D224F3" w:rsidRDefault="00A5435F" w:rsidP="003103D7">
      <w:r>
        <w:t xml:space="preserve">Table 5 </w:t>
      </w:r>
      <w:r w:rsidR="003103D7" w:rsidRPr="00D224F3">
        <w:t xml:space="preserve">presents the number of prescriptions dispensed for </w:t>
      </w:r>
      <w:proofErr w:type="spellStart"/>
      <w:r w:rsidR="003103D7" w:rsidRPr="00D224F3">
        <w:t>adalimumab</w:t>
      </w:r>
      <w:proofErr w:type="spellEnd"/>
      <w:r w:rsidR="003103D7" w:rsidRPr="00D224F3">
        <w:t xml:space="preserve">, </w:t>
      </w:r>
      <w:proofErr w:type="spellStart"/>
      <w:r w:rsidR="003103D7" w:rsidRPr="00D224F3">
        <w:t>efalizumab</w:t>
      </w:r>
      <w:proofErr w:type="spellEnd"/>
      <w:r w:rsidR="003103D7" w:rsidRPr="00D224F3">
        <w:t xml:space="preserve">, </w:t>
      </w:r>
      <w:proofErr w:type="spellStart"/>
      <w:r w:rsidR="003103D7" w:rsidRPr="00D224F3">
        <w:t>etanercept</w:t>
      </w:r>
      <w:proofErr w:type="spellEnd"/>
      <w:r w:rsidR="003103D7" w:rsidRPr="00D224F3">
        <w:t xml:space="preserve"> and </w:t>
      </w:r>
      <w:proofErr w:type="spellStart"/>
      <w:r w:rsidR="003103D7" w:rsidRPr="00D224F3">
        <w:t>ustekinumab</w:t>
      </w:r>
      <w:proofErr w:type="spellEnd"/>
      <w:r w:rsidR="003103D7" w:rsidRPr="00D224F3">
        <w:t xml:space="preserve"> as well the number of</w:t>
      </w:r>
      <w:r w:rsidR="00D5179A">
        <w:t xml:space="preserve"> infliximab vials supplied.  </w:t>
      </w:r>
      <w:r w:rsidR="003103D7" w:rsidRPr="00D224F3">
        <w:t>Infliximab has a weight based dosing regimen.</w:t>
      </w:r>
      <w:r w:rsidR="00D5179A">
        <w:t xml:space="preserve">  </w:t>
      </w:r>
      <w:r w:rsidR="003103D7" w:rsidRPr="00D224F3">
        <w:t xml:space="preserve">Patients generally require multiple vials for a full dose. </w:t>
      </w:r>
    </w:p>
    <w:p w14:paraId="2CD370C9" w14:textId="7D746DA0" w:rsidR="003103D7" w:rsidRPr="00D224F3" w:rsidRDefault="00A5435F" w:rsidP="003103D7">
      <w:pPr>
        <w:spacing w:before="200" w:after="20"/>
        <w:rPr>
          <w:b/>
        </w:rPr>
      </w:pPr>
      <w:r>
        <w:rPr>
          <w:b/>
        </w:rPr>
        <w:t>Table 5</w:t>
      </w:r>
      <w:r w:rsidR="003103D7" w:rsidRPr="00D224F3">
        <w:rPr>
          <w:b/>
        </w:rPr>
        <w:t xml:space="preserve">: PBS </w:t>
      </w:r>
      <w:proofErr w:type="spellStart"/>
      <w:r w:rsidR="003103D7" w:rsidRPr="00D224F3">
        <w:rPr>
          <w:b/>
        </w:rPr>
        <w:t>bDMARD</w:t>
      </w:r>
      <w:proofErr w:type="spellEnd"/>
      <w:r w:rsidR="003103D7" w:rsidRPr="00D224F3">
        <w:rPr>
          <w:b/>
        </w:rPr>
        <w:t xml:space="preserve"> prescriptions supplied for psoriasis</w:t>
      </w:r>
    </w:p>
    <w:tbl>
      <w:tblPr>
        <w:tblStyle w:val="TableGrid"/>
        <w:tblW w:w="0" w:type="auto"/>
        <w:tblLook w:val="04A0" w:firstRow="1" w:lastRow="0" w:firstColumn="1" w:lastColumn="0" w:noHBand="0" w:noVBand="1"/>
        <w:tblCaption w:val="Table 5"/>
        <w:tblDescription w:val="PBS bDMARD prescriptions supplied by year and by individual bDMARD."/>
      </w:tblPr>
      <w:tblGrid>
        <w:gridCol w:w="1528"/>
        <w:gridCol w:w="1529"/>
        <w:gridCol w:w="1529"/>
        <w:gridCol w:w="1529"/>
        <w:gridCol w:w="1529"/>
        <w:gridCol w:w="1529"/>
      </w:tblGrid>
      <w:tr w:rsidR="003103D7" w:rsidRPr="00D224F3" w14:paraId="034B5B91" w14:textId="77777777" w:rsidTr="00B626CE">
        <w:trPr>
          <w:trHeight w:val="143"/>
          <w:tblHeader/>
        </w:trPr>
        <w:tc>
          <w:tcPr>
            <w:tcW w:w="1528" w:type="dxa"/>
            <w:shd w:val="clear" w:color="auto" w:fill="BFBFBF" w:themeFill="background1" w:themeFillShade="BF"/>
            <w:vAlign w:val="center"/>
          </w:tcPr>
          <w:p w14:paraId="469A9467" w14:textId="77777777" w:rsidR="003103D7" w:rsidRPr="00D224F3" w:rsidRDefault="003103D7" w:rsidP="007B5E6C">
            <w:pPr>
              <w:jc w:val="center"/>
              <w:rPr>
                <w:b/>
                <w:sz w:val="20"/>
                <w:szCs w:val="20"/>
              </w:rPr>
            </w:pPr>
            <w:r w:rsidRPr="00D224F3">
              <w:rPr>
                <w:b/>
                <w:sz w:val="20"/>
                <w:szCs w:val="20"/>
              </w:rPr>
              <w:t>Year</w:t>
            </w:r>
          </w:p>
        </w:tc>
        <w:tc>
          <w:tcPr>
            <w:tcW w:w="1529" w:type="dxa"/>
            <w:shd w:val="clear" w:color="auto" w:fill="BFBFBF" w:themeFill="background1" w:themeFillShade="BF"/>
            <w:vAlign w:val="center"/>
          </w:tcPr>
          <w:p w14:paraId="333C14E7" w14:textId="77777777" w:rsidR="003103D7" w:rsidRPr="00D224F3" w:rsidRDefault="003103D7" w:rsidP="007B5E6C">
            <w:pPr>
              <w:jc w:val="center"/>
              <w:rPr>
                <w:b/>
                <w:sz w:val="20"/>
                <w:szCs w:val="20"/>
              </w:rPr>
            </w:pPr>
            <w:proofErr w:type="spellStart"/>
            <w:r w:rsidRPr="00D224F3">
              <w:rPr>
                <w:b/>
                <w:sz w:val="20"/>
                <w:szCs w:val="20"/>
              </w:rPr>
              <w:t>Adalimumab</w:t>
            </w:r>
            <w:proofErr w:type="spellEnd"/>
          </w:p>
        </w:tc>
        <w:tc>
          <w:tcPr>
            <w:tcW w:w="1529" w:type="dxa"/>
            <w:shd w:val="clear" w:color="auto" w:fill="BFBFBF" w:themeFill="background1" w:themeFillShade="BF"/>
            <w:vAlign w:val="center"/>
          </w:tcPr>
          <w:p w14:paraId="22FAA176" w14:textId="77777777" w:rsidR="003103D7" w:rsidRPr="00D224F3" w:rsidRDefault="003103D7" w:rsidP="007B5E6C">
            <w:pPr>
              <w:jc w:val="center"/>
              <w:rPr>
                <w:b/>
                <w:sz w:val="20"/>
                <w:szCs w:val="20"/>
              </w:rPr>
            </w:pPr>
            <w:proofErr w:type="spellStart"/>
            <w:r w:rsidRPr="00D224F3">
              <w:rPr>
                <w:b/>
                <w:sz w:val="20"/>
                <w:szCs w:val="20"/>
              </w:rPr>
              <w:t>Efalizumab</w:t>
            </w:r>
            <w:proofErr w:type="spellEnd"/>
          </w:p>
        </w:tc>
        <w:tc>
          <w:tcPr>
            <w:tcW w:w="1529" w:type="dxa"/>
            <w:shd w:val="clear" w:color="auto" w:fill="BFBFBF" w:themeFill="background1" w:themeFillShade="BF"/>
            <w:vAlign w:val="center"/>
          </w:tcPr>
          <w:p w14:paraId="0410E08C" w14:textId="77777777" w:rsidR="003103D7" w:rsidRPr="00D224F3" w:rsidRDefault="003103D7" w:rsidP="007B5E6C">
            <w:pPr>
              <w:jc w:val="center"/>
              <w:rPr>
                <w:b/>
                <w:sz w:val="20"/>
                <w:szCs w:val="20"/>
              </w:rPr>
            </w:pPr>
            <w:proofErr w:type="spellStart"/>
            <w:r w:rsidRPr="00D224F3">
              <w:rPr>
                <w:b/>
                <w:sz w:val="20"/>
                <w:szCs w:val="20"/>
              </w:rPr>
              <w:t>Etanercept</w:t>
            </w:r>
            <w:proofErr w:type="spellEnd"/>
          </w:p>
        </w:tc>
        <w:tc>
          <w:tcPr>
            <w:tcW w:w="1529" w:type="dxa"/>
            <w:shd w:val="clear" w:color="auto" w:fill="BFBFBF" w:themeFill="background1" w:themeFillShade="BF"/>
            <w:vAlign w:val="center"/>
          </w:tcPr>
          <w:p w14:paraId="16830293" w14:textId="77777777" w:rsidR="003103D7" w:rsidRPr="00D224F3" w:rsidRDefault="003103D7" w:rsidP="007B5E6C">
            <w:pPr>
              <w:jc w:val="center"/>
              <w:rPr>
                <w:b/>
                <w:sz w:val="20"/>
                <w:szCs w:val="20"/>
              </w:rPr>
            </w:pPr>
            <w:r w:rsidRPr="00D224F3">
              <w:rPr>
                <w:b/>
                <w:sz w:val="20"/>
                <w:szCs w:val="20"/>
              </w:rPr>
              <w:t>Infliximab (vials)</w:t>
            </w:r>
          </w:p>
        </w:tc>
        <w:tc>
          <w:tcPr>
            <w:tcW w:w="1529" w:type="dxa"/>
            <w:shd w:val="clear" w:color="auto" w:fill="BFBFBF" w:themeFill="background1" w:themeFillShade="BF"/>
            <w:vAlign w:val="center"/>
          </w:tcPr>
          <w:p w14:paraId="3B067F38" w14:textId="77777777" w:rsidR="003103D7" w:rsidRPr="00D224F3" w:rsidRDefault="003103D7" w:rsidP="007B5E6C">
            <w:pPr>
              <w:jc w:val="center"/>
              <w:rPr>
                <w:b/>
                <w:sz w:val="20"/>
                <w:szCs w:val="20"/>
              </w:rPr>
            </w:pPr>
            <w:proofErr w:type="spellStart"/>
            <w:r w:rsidRPr="00D224F3">
              <w:rPr>
                <w:b/>
                <w:sz w:val="20"/>
                <w:szCs w:val="20"/>
              </w:rPr>
              <w:t>Ustekinumab</w:t>
            </w:r>
            <w:proofErr w:type="spellEnd"/>
          </w:p>
        </w:tc>
      </w:tr>
      <w:tr w:rsidR="003103D7" w:rsidRPr="00D224F3" w14:paraId="6F466CF0" w14:textId="77777777" w:rsidTr="007B5E6C">
        <w:tc>
          <w:tcPr>
            <w:tcW w:w="1528" w:type="dxa"/>
            <w:vAlign w:val="center"/>
          </w:tcPr>
          <w:p w14:paraId="7D048371" w14:textId="77777777" w:rsidR="003103D7" w:rsidRPr="00D224F3" w:rsidRDefault="003103D7" w:rsidP="007B5E6C">
            <w:pPr>
              <w:jc w:val="center"/>
              <w:rPr>
                <w:sz w:val="20"/>
                <w:szCs w:val="20"/>
              </w:rPr>
            </w:pPr>
            <w:r w:rsidRPr="00D224F3">
              <w:rPr>
                <w:sz w:val="20"/>
                <w:szCs w:val="20"/>
              </w:rPr>
              <w:t>2006</w:t>
            </w:r>
          </w:p>
        </w:tc>
        <w:tc>
          <w:tcPr>
            <w:tcW w:w="1529" w:type="dxa"/>
            <w:vAlign w:val="bottom"/>
          </w:tcPr>
          <w:p w14:paraId="313387FB" w14:textId="77777777" w:rsidR="003103D7" w:rsidRPr="00D224F3" w:rsidRDefault="003103D7" w:rsidP="007B5E6C">
            <w:pPr>
              <w:jc w:val="center"/>
              <w:rPr>
                <w:sz w:val="20"/>
                <w:szCs w:val="20"/>
              </w:rPr>
            </w:pPr>
            <w:r w:rsidRPr="00D224F3">
              <w:rPr>
                <w:rFonts w:ascii="Calibri" w:hAnsi="Calibri"/>
                <w:sz w:val="20"/>
                <w:szCs w:val="20"/>
              </w:rPr>
              <w:t>-</w:t>
            </w:r>
          </w:p>
        </w:tc>
        <w:tc>
          <w:tcPr>
            <w:tcW w:w="1529" w:type="dxa"/>
            <w:vAlign w:val="bottom"/>
          </w:tcPr>
          <w:p w14:paraId="20F4713E" w14:textId="77777777" w:rsidR="003103D7" w:rsidRPr="00D224F3" w:rsidRDefault="003103D7" w:rsidP="007B5E6C">
            <w:pPr>
              <w:jc w:val="center"/>
              <w:rPr>
                <w:sz w:val="20"/>
                <w:szCs w:val="20"/>
              </w:rPr>
            </w:pPr>
            <w:r w:rsidRPr="00D224F3">
              <w:rPr>
                <w:rFonts w:ascii="Calibri" w:hAnsi="Calibri"/>
                <w:sz w:val="20"/>
                <w:szCs w:val="20"/>
              </w:rPr>
              <w:t>2,701</w:t>
            </w:r>
          </w:p>
        </w:tc>
        <w:tc>
          <w:tcPr>
            <w:tcW w:w="1529" w:type="dxa"/>
            <w:vAlign w:val="bottom"/>
          </w:tcPr>
          <w:p w14:paraId="5CA90ED2" w14:textId="77777777" w:rsidR="003103D7" w:rsidRPr="00D224F3" w:rsidRDefault="003103D7" w:rsidP="007B5E6C">
            <w:pPr>
              <w:jc w:val="center"/>
              <w:rPr>
                <w:sz w:val="20"/>
                <w:szCs w:val="20"/>
              </w:rPr>
            </w:pPr>
            <w:r w:rsidRPr="00D224F3">
              <w:rPr>
                <w:rFonts w:ascii="Calibri" w:hAnsi="Calibri"/>
                <w:sz w:val="20"/>
                <w:szCs w:val="20"/>
              </w:rPr>
              <w:t>196</w:t>
            </w:r>
          </w:p>
        </w:tc>
        <w:tc>
          <w:tcPr>
            <w:tcW w:w="1529" w:type="dxa"/>
            <w:vAlign w:val="bottom"/>
          </w:tcPr>
          <w:p w14:paraId="5CAA6A13" w14:textId="77777777" w:rsidR="003103D7" w:rsidRPr="00D224F3" w:rsidRDefault="003103D7" w:rsidP="007B5E6C">
            <w:pPr>
              <w:jc w:val="center"/>
              <w:rPr>
                <w:sz w:val="20"/>
                <w:szCs w:val="20"/>
              </w:rPr>
            </w:pPr>
            <w:r w:rsidRPr="00D224F3">
              <w:rPr>
                <w:sz w:val="20"/>
                <w:szCs w:val="20"/>
              </w:rPr>
              <w:t>-</w:t>
            </w:r>
          </w:p>
        </w:tc>
        <w:tc>
          <w:tcPr>
            <w:tcW w:w="1529" w:type="dxa"/>
            <w:vAlign w:val="bottom"/>
          </w:tcPr>
          <w:p w14:paraId="10B4484D" w14:textId="77777777" w:rsidR="003103D7" w:rsidRPr="00D224F3" w:rsidRDefault="003103D7" w:rsidP="007B5E6C">
            <w:pPr>
              <w:jc w:val="center"/>
              <w:rPr>
                <w:sz w:val="20"/>
                <w:szCs w:val="20"/>
              </w:rPr>
            </w:pPr>
            <w:r w:rsidRPr="00D224F3">
              <w:rPr>
                <w:rFonts w:ascii="Calibri" w:hAnsi="Calibri"/>
                <w:sz w:val="20"/>
                <w:szCs w:val="20"/>
              </w:rPr>
              <w:t>-</w:t>
            </w:r>
          </w:p>
        </w:tc>
      </w:tr>
      <w:tr w:rsidR="003103D7" w:rsidRPr="00D224F3" w14:paraId="31456085" w14:textId="77777777" w:rsidTr="007B5E6C">
        <w:tc>
          <w:tcPr>
            <w:tcW w:w="1528" w:type="dxa"/>
            <w:vAlign w:val="center"/>
          </w:tcPr>
          <w:p w14:paraId="7BCE3183" w14:textId="77777777" w:rsidR="003103D7" w:rsidRPr="00D224F3" w:rsidRDefault="003103D7" w:rsidP="007B5E6C">
            <w:pPr>
              <w:jc w:val="center"/>
              <w:rPr>
                <w:sz w:val="20"/>
                <w:szCs w:val="20"/>
              </w:rPr>
            </w:pPr>
            <w:r w:rsidRPr="00D224F3">
              <w:rPr>
                <w:sz w:val="20"/>
                <w:szCs w:val="20"/>
              </w:rPr>
              <w:t>2007</w:t>
            </w:r>
          </w:p>
        </w:tc>
        <w:tc>
          <w:tcPr>
            <w:tcW w:w="1529" w:type="dxa"/>
            <w:vAlign w:val="bottom"/>
          </w:tcPr>
          <w:p w14:paraId="304E783C" w14:textId="77777777" w:rsidR="003103D7" w:rsidRPr="00D224F3" w:rsidRDefault="003103D7" w:rsidP="007B5E6C">
            <w:pPr>
              <w:jc w:val="center"/>
              <w:rPr>
                <w:sz w:val="20"/>
                <w:szCs w:val="20"/>
              </w:rPr>
            </w:pPr>
            <w:r w:rsidRPr="00D224F3">
              <w:rPr>
                <w:rFonts w:ascii="Calibri" w:hAnsi="Calibri"/>
                <w:sz w:val="20"/>
                <w:szCs w:val="20"/>
              </w:rPr>
              <w:t>-</w:t>
            </w:r>
          </w:p>
        </w:tc>
        <w:tc>
          <w:tcPr>
            <w:tcW w:w="1529" w:type="dxa"/>
            <w:vAlign w:val="bottom"/>
          </w:tcPr>
          <w:p w14:paraId="4D676333" w14:textId="77777777" w:rsidR="003103D7" w:rsidRPr="00D224F3" w:rsidRDefault="003103D7" w:rsidP="007B5E6C">
            <w:pPr>
              <w:jc w:val="center"/>
              <w:rPr>
                <w:sz w:val="20"/>
                <w:szCs w:val="20"/>
              </w:rPr>
            </w:pPr>
            <w:r w:rsidRPr="00D224F3">
              <w:rPr>
                <w:rFonts w:ascii="Calibri" w:hAnsi="Calibri"/>
                <w:sz w:val="20"/>
                <w:szCs w:val="20"/>
              </w:rPr>
              <w:t>4,710</w:t>
            </w:r>
          </w:p>
        </w:tc>
        <w:tc>
          <w:tcPr>
            <w:tcW w:w="1529" w:type="dxa"/>
            <w:vAlign w:val="bottom"/>
          </w:tcPr>
          <w:p w14:paraId="1255675C" w14:textId="77777777" w:rsidR="003103D7" w:rsidRPr="00D224F3" w:rsidRDefault="003103D7" w:rsidP="007B5E6C">
            <w:pPr>
              <w:jc w:val="center"/>
              <w:rPr>
                <w:sz w:val="20"/>
                <w:szCs w:val="20"/>
              </w:rPr>
            </w:pPr>
            <w:r w:rsidRPr="00D224F3">
              <w:rPr>
                <w:rFonts w:ascii="Calibri" w:hAnsi="Calibri"/>
                <w:sz w:val="20"/>
                <w:szCs w:val="20"/>
              </w:rPr>
              <w:t>838</w:t>
            </w:r>
          </w:p>
        </w:tc>
        <w:tc>
          <w:tcPr>
            <w:tcW w:w="1529" w:type="dxa"/>
            <w:vAlign w:val="bottom"/>
          </w:tcPr>
          <w:p w14:paraId="716AE100" w14:textId="77777777" w:rsidR="003103D7" w:rsidRPr="00D224F3" w:rsidRDefault="003103D7" w:rsidP="007B5E6C">
            <w:pPr>
              <w:jc w:val="center"/>
              <w:rPr>
                <w:sz w:val="20"/>
                <w:szCs w:val="20"/>
              </w:rPr>
            </w:pPr>
            <w:r w:rsidRPr="00D224F3">
              <w:rPr>
                <w:rFonts w:ascii="Calibri" w:hAnsi="Calibri"/>
                <w:sz w:val="20"/>
                <w:szCs w:val="20"/>
              </w:rPr>
              <w:t>38</w:t>
            </w:r>
          </w:p>
        </w:tc>
        <w:tc>
          <w:tcPr>
            <w:tcW w:w="1529" w:type="dxa"/>
            <w:vAlign w:val="bottom"/>
          </w:tcPr>
          <w:p w14:paraId="2C46C020" w14:textId="77777777" w:rsidR="003103D7" w:rsidRPr="00D224F3" w:rsidRDefault="003103D7" w:rsidP="007B5E6C">
            <w:pPr>
              <w:jc w:val="center"/>
              <w:rPr>
                <w:sz w:val="20"/>
                <w:szCs w:val="20"/>
              </w:rPr>
            </w:pPr>
            <w:r w:rsidRPr="00D224F3">
              <w:rPr>
                <w:rFonts w:ascii="Calibri" w:hAnsi="Calibri"/>
                <w:sz w:val="20"/>
                <w:szCs w:val="20"/>
              </w:rPr>
              <w:t>-</w:t>
            </w:r>
          </w:p>
        </w:tc>
      </w:tr>
      <w:tr w:rsidR="003103D7" w:rsidRPr="00D224F3" w14:paraId="3F66A451" w14:textId="77777777" w:rsidTr="007B5E6C">
        <w:tc>
          <w:tcPr>
            <w:tcW w:w="1528" w:type="dxa"/>
            <w:vAlign w:val="center"/>
          </w:tcPr>
          <w:p w14:paraId="4D94A070" w14:textId="77777777" w:rsidR="003103D7" w:rsidRPr="00D224F3" w:rsidRDefault="003103D7" w:rsidP="007B5E6C">
            <w:pPr>
              <w:jc w:val="center"/>
              <w:rPr>
                <w:sz w:val="20"/>
                <w:szCs w:val="20"/>
              </w:rPr>
            </w:pPr>
            <w:r w:rsidRPr="00D224F3">
              <w:rPr>
                <w:sz w:val="20"/>
                <w:szCs w:val="20"/>
              </w:rPr>
              <w:t>2008</w:t>
            </w:r>
          </w:p>
        </w:tc>
        <w:tc>
          <w:tcPr>
            <w:tcW w:w="1529" w:type="dxa"/>
            <w:vAlign w:val="bottom"/>
          </w:tcPr>
          <w:p w14:paraId="59DBC586" w14:textId="77777777" w:rsidR="003103D7" w:rsidRPr="00D224F3" w:rsidRDefault="003103D7" w:rsidP="007B5E6C">
            <w:pPr>
              <w:jc w:val="center"/>
              <w:rPr>
                <w:sz w:val="20"/>
                <w:szCs w:val="20"/>
              </w:rPr>
            </w:pPr>
            <w:r w:rsidRPr="00D224F3">
              <w:rPr>
                <w:rFonts w:ascii="Calibri" w:hAnsi="Calibri"/>
                <w:sz w:val="20"/>
                <w:szCs w:val="20"/>
              </w:rPr>
              <w:t>-</w:t>
            </w:r>
          </w:p>
        </w:tc>
        <w:tc>
          <w:tcPr>
            <w:tcW w:w="1529" w:type="dxa"/>
            <w:vAlign w:val="bottom"/>
          </w:tcPr>
          <w:p w14:paraId="5F35818A" w14:textId="77777777" w:rsidR="003103D7" w:rsidRPr="00D224F3" w:rsidRDefault="003103D7" w:rsidP="007B5E6C">
            <w:pPr>
              <w:jc w:val="center"/>
              <w:rPr>
                <w:sz w:val="20"/>
                <w:szCs w:val="20"/>
              </w:rPr>
            </w:pPr>
            <w:r w:rsidRPr="00D224F3">
              <w:rPr>
                <w:rFonts w:ascii="Calibri" w:hAnsi="Calibri"/>
                <w:sz w:val="20"/>
                <w:szCs w:val="20"/>
              </w:rPr>
              <w:t>5,169</w:t>
            </w:r>
          </w:p>
        </w:tc>
        <w:tc>
          <w:tcPr>
            <w:tcW w:w="1529" w:type="dxa"/>
            <w:vAlign w:val="bottom"/>
          </w:tcPr>
          <w:p w14:paraId="22B77F80" w14:textId="77777777" w:rsidR="003103D7" w:rsidRPr="00D224F3" w:rsidRDefault="003103D7" w:rsidP="007B5E6C">
            <w:pPr>
              <w:jc w:val="center"/>
              <w:rPr>
                <w:sz w:val="20"/>
                <w:szCs w:val="20"/>
              </w:rPr>
            </w:pPr>
            <w:r w:rsidRPr="00D224F3">
              <w:rPr>
                <w:rFonts w:ascii="Calibri" w:hAnsi="Calibri"/>
                <w:sz w:val="20"/>
                <w:szCs w:val="20"/>
              </w:rPr>
              <w:t>1,168</w:t>
            </w:r>
          </w:p>
        </w:tc>
        <w:tc>
          <w:tcPr>
            <w:tcW w:w="1529" w:type="dxa"/>
            <w:vAlign w:val="bottom"/>
          </w:tcPr>
          <w:p w14:paraId="74A30858" w14:textId="77777777" w:rsidR="003103D7" w:rsidRPr="00D224F3" w:rsidRDefault="003103D7" w:rsidP="007B5E6C">
            <w:pPr>
              <w:jc w:val="center"/>
              <w:rPr>
                <w:sz w:val="20"/>
                <w:szCs w:val="20"/>
              </w:rPr>
            </w:pPr>
            <w:r w:rsidRPr="00D224F3">
              <w:rPr>
                <w:rFonts w:ascii="Calibri" w:hAnsi="Calibri"/>
                <w:sz w:val="20"/>
                <w:szCs w:val="20"/>
              </w:rPr>
              <w:t>11,137</w:t>
            </w:r>
          </w:p>
        </w:tc>
        <w:tc>
          <w:tcPr>
            <w:tcW w:w="1529" w:type="dxa"/>
            <w:vAlign w:val="bottom"/>
          </w:tcPr>
          <w:p w14:paraId="2D8416AD" w14:textId="77777777" w:rsidR="003103D7" w:rsidRPr="00D224F3" w:rsidRDefault="003103D7" w:rsidP="007B5E6C">
            <w:pPr>
              <w:jc w:val="center"/>
              <w:rPr>
                <w:sz w:val="20"/>
                <w:szCs w:val="20"/>
              </w:rPr>
            </w:pPr>
            <w:r w:rsidRPr="00D224F3">
              <w:rPr>
                <w:rFonts w:ascii="Calibri" w:hAnsi="Calibri"/>
                <w:sz w:val="20"/>
                <w:szCs w:val="20"/>
              </w:rPr>
              <w:t>-</w:t>
            </w:r>
          </w:p>
        </w:tc>
      </w:tr>
      <w:tr w:rsidR="003103D7" w:rsidRPr="00D224F3" w14:paraId="219CD111" w14:textId="77777777" w:rsidTr="007B5E6C">
        <w:tc>
          <w:tcPr>
            <w:tcW w:w="1528" w:type="dxa"/>
            <w:vAlign w:val="center"/>
          </w:tcPr>
          <w:p w14:paraId="5FBA9D7A" w14:textId="77777777" w:rsidR="003103D7" w:rsidRPr="00D224F3" w:rsidRDefault="003103D7" w:rsidP="007B5E6C">
            <w:pPr>
              <w:jc w:val="center"/>
              <w:rPr>
                <w:sz w:val="20"/>
                <w:szCs w:val="20"/>
              </w:rPr>
            </w:pPr>
            <w:r w:rsidRPr="00D224F3">
              <w:rPr>
                <w:sz w:val="20"/>
                <w:szCs w:val="20"/>
              </w:rPr>
              <w:t>2009</w:t>
            </w:r>
          </w:p>
        </w:tc>
        <w:tc>
          <w:tcPr>
            <w:tcW w:w="1529" w:type="dxa"/>
            <w:vAlign w:val="bottom"/>
          </w:tcPr>
          <w:p w14:paraId="15383A4C" w14:textId="77777777" w:rsidR="003103D7" w:rsidRPr="00D224F3" w:rsidRDefault="003103D7" w:rsidP="007B5E6C">
            <w:pPr>
              <w:jc w:val="center"/>
              <w:rPr>
                <w:sz w:val="20"/>
                <w:szCs w:val="20"/>
              </w:rPr>
            </w:pPr>
            <w:r w:rsidRPr="00D224F3">
              <w:rPr>
                <w:rFonts w:ascii="Calibri" w:hAnsi="Calibri"/>
                <w:sz w:val="20"/>
                <w:szCs w:val="20"/>
              </w:rPr>
              <w:t>3,112</w:t>
            </w:r>
          </w:p>
        </w:tc>
        <w:tc>
          <w:tcPr>
            <w:tcW w:w="1529" w:type="dxa"/>
            <w:vAlign w:val="bottom"/>
          </w:tcPr>
          <w:p w14:paraId="29213B72" w14:textId="77777777" w:rsidR="003103D7" w:rsidRPr="00D224F3" w:rsidRDefault="003103D7" w:rsidP="007B5E6C">
            <w:pPr>
              <w:jc w:val="center"/>
              <w:rPr>
                <w:sz w:val="20"/>
                <w:szCs w:val="20"/>
              </w:rPr>
            </w:pPr>
            <w:r w:rsidRPr="00D224F3">
              <w:rPr>
                <w:rFonts w:ascii="Calibri" w:hAnsi="Calibri"/>
                <w:sz w:val="20"/>
                <w:szCs w:val="20"/>
              </w:rPr>
              <w:t>1,351</w:t>
            </w:r>
          </w:p>
        </w:tc>
        <w:tc>
          <w:tcPr>
            <w:tcW w:w="1529" w:type="dxa"/>
            <w:vAlign w:val="bottom"/>
          </w:tcPr>
          <w:p w14:paraId="7AF242FA" w14:textId="77777777" w:rsidR="003103D7" w:rsidRPr="00D224F3" w:rsidRDefault="003103D7" w:rsidP="007B5E6C">
            <w:pPr>
              <w:jc w:val="center"/>
              <w:rPr>
                <w:sz w:val="20"/>
                <w:szCs w:val="20"/>
              </w:rPr>
            </w:pPr>
            <w:r w:rsidRPr="00D224F3">
              <w:rPr>
                <w:rFonts w:ascii="Calibri" w:hAnsi="Calibri"/>
                <w:sz w:val="20"/>
                <w:szCs w:val="20"/>
              </w:rPr>
              <w:t>3,681</w:t>
            </w:r>
          </w:p>
        </w:tc>
        <w:tc>
          <w:tcPr>
            <w:tcW w:w="1529" w:type="dxa"/>
            <w:vAlign w:val="bottom"/>
          </w:tcPr>
          <w:p w14:paraId="3B00645C" w14:textId="77777777" w:rsidR="003103D7" w:rsidRPr="00D224F3" w:rsidRDefault="003103D7" w:rsidP="007B5E6C">
            <w:pPr>
              <w:jc w:val="center"/>
              <w:rPr>
                <w:sz w:val="20"/>
                <w:szCs w:val="20"/>
              </w:rPr>
            </w:pPr>
            <w:r w:rsidRPr="00D224F3">
              <w:rPr>
                <w:rFonts w:ascii="Calibri" w:hAnsi="Calibri"/>
                <w:sz w:val="20"/>
                <w:szCs w:val="20"/>
              </w:rPr>
              <w:t>18,061</w:t>
            </w:r>
          </w:p>
        </w:tc>
        <w:tc>
          <w:tcPr>
            <w:tcW w:w="1529" w:type="dxa"/>
            <w:vAlign w:val="bottom"/>
          </w:tcPr>
          <w:p w14:paraId="1916FAB6" w14:textId="77777777" w:rsidR="003103D7" w:rsidRPr="00D224F3" w:rsidRDefault="003103D7" w:rsidP="007B5E6C">
            <w:pPr>
              <w:jc w:val="center"/>
              <w:rPr>
                <w:sz w:val="20"/>
                <w:szCs w:val="20"/>
              </w:rPr>
            </w:pPr>
            <w:r w:rsidRPr="00D224F3">
              <w:rPr>
                <w:rFonts w:ascii="Calibri" w:hAnsi="Calibri"/>
                <w:sz w:val="20"/>
                <w:szCs w:val="20"/>
              </w:rPr>
              <w:t>-</w:t>
            </w:r>
          </w:p>
        </w:tc>
      </w:tr>
      <w:tr w:rsidR="003103D7" w:rsidRPr="00D224F3" w14:paraId="0A191844" w14:textId="77777777" w:rsidTr="007B5E6C">
        <w:tc>
          <w:tcPr>
            <w:tcW w:w="1528" w:type="dxa"/>
            <w:vAlign w:val="center"/>
          </w:tcPr>
          <w:p w14:paraId="180D2E74" w14:textId="77777777" w:rsidR="003103D7" w:rsidRPr="00D224F3" w:rsidRDefault="003103D7" w:rsidP="007B5E6C">
            <w:pPr>
              <w:jc w:val="center"/>
              <w:rPr>
                <w:sz w:val="20"/>
                <w:szCs w:val="20"/>
              </w:rPr>
            </w:pPr>
            <w:r w:rsidRPr="00D224F3">
              <w:rPr>
                <w:sz w:val="20"/>
                <w:szCs w:val="20"/>
              </w:rPr>
              <w:t>2010</w:t>
            </w:r>
          </w:p>
        </w:tc>
        <w:tc>
          <w:tcPr>
            <w:tcW w:w="1529" w:type="dxa"/>
            <w:vAlign w:val="bottom"/>
          </w:tcPr>
          <w:p w14:paraId="4CBBD13C" w14:textId="77777777" w:rsidR="003103D7" w:rsidRPr="00D224F3" w:rsidRDefault="003103D7" w:rsidP="007B5E6C">
            <w:pPr>
              <w:jc w:val="center"/>
              <w:rPr>
                <w:sz w:val="20"/>
                <w:szCs w:val="20"/>
              </w:rPr>
            </w:pPr>
            <w:r w:rsidRPr="00D224F3">
              <w:rPr>
                <w:rFonts w:ascii="Calibri" w:hAnsi="Calibri"/>
                <w:sz w:val="20"/>
                <w:szCs w:val="20"/>
              </w:rPr>
              <w:t>8,182</w:t>
            </w:r>
          </w:p>
        </w:tc>
        <w:tc>
          <w:tcPr>
            <w:tcW w:w="1529" w:type="dxa"/>
            <w:vAlign w:val="bottom"/>
          </w:tcPr>
          <w:p w14:paraId="5C56D45F" w14:textId="77777777" w:rsidR="003103D7" w:rsidRPr="00D224F3" w:rsidRDefault="003103D7" w:rsidP="007B5E6C">
            <w:pPr>
              <w:jc w:val="center"/>
              <w:rPr>
                <w:sz w:val="20"/>
                <w:szCs w:val="20"/>
              </w:rPr>
            </w:pPr>
            <w:r w:rsidRPr="00D224F3">
              <w:rPr>
                <w:rFonts w:ascii="Calibri" w:hAnsi="Calibri"/>
                <w:sz w:val="20"/>
                <w:szCs w:val="20"/>
              </w:rPr>
              <w:t>-</w:t>
            </w:r>
          </w:p>
        </w:tc>
        <w:tc>
          <w:tcPr>
            <w:tcW w:w="1529" w:type="dxa"/>
            <w:vAlign w:val="bottom"/>
          </w:tcPr>
          <w:p w14:paraId="0A1E17BB" w14:textId="77777777" w:rsidR="003103D7" w:rsidRPr="00D224F3" w:rsidRDefault="003103D7" w:rsidP="007B5E6C">
            <w:pPr>
              <w:jc w:val="center"/>
              <w:rPr>
                <w:sz w:val="20"/>
                <w:szCs w:val="20"/>
              </w:rPr>
            </w:pPr>
            <w:r w:rsidRPr="00D224F3">
              <w:rPr>
                <w:rFonts w:ascii="Calibri" w:hAnsi="Calibri"/>
                <w:sz w:val="20"/>
                <w:szCs w:val="20"/>
              </w:rPr>
              <w:t>4,700</w:t>
            </w:r>
          </w:p>
        </w:tc>
        <w:tc>
          <w:tcPr>
            <w:tcW w:w="1529" w:type="dxa"/>
            <w:vAlign w:val="bottom"/>
          </w:tcPr>
          <w:p w14:paraId="3F8124E5" w14:textId="77777777" w:rsidR="003103D7" w:rsidRPr="00D224F3" w:rsidRDefault="003103D7" w:rsidP="007B5E6C">
            <w:pPr>
              <w:jc w:val="center"/>
              <w:rPr>
                <w:sz w:val="20"/>
                <w:szCs w:val="20"/>
              </w:rPr>
            </w:pPr>
            <w:r w:rsidRPr="00D224F3">
              <w:rPr>
                <w:rFonts w:ascii="Calibri" w:hAnsi="Calibri"/>
                <w:sz w:val="20"/>
                <w:szCs w:val="20"/>
              </w:rPr>
              <w:t>17,328</w:t>
            </w:r>
          </w:p>
        </w:tc>
        <w:tc>
          <w:tcPr>
            <w:tcW w:w="1529" w:type="dxa"/>
            <w:vAlign w:val="bottom"/>
          </w:tcPr>
          <w:p w14:paraId="5871355D" w14:textId="77777777" w:rsidR="003103D7" w:rsidRPr="00D224F3" w:rsidRDefault="003103D7" w:rsidP="007B5E6C">
            <w:pPr>
              <w:jc w:val="center"/>
              <w:rPr>
                <w:sz w:val="20"/>
                <w:szCs w:val="20"/>
              </w:rPr>
            </w:pPr>
            <w:r w:rsidRPr="00D224F3">
              <w:rPr>
                <w:rFonts w:ascii="Calibri" w:hAnsi="Calibri"/>
                <w:sz w:val="20"/>
                <w:szCs w:val="20"/>
              </w:rPr>
              <w:t>1,344</w:t>
            </w:r>
          </w:p>
        </w:tc>
      </w:tr>
      <w:tr w:rsidR="003103D7" w:rsidRPr="00D224F3" w14:paraId="3C0B33E8" w14:textId="77777777" w:rsidTr="007B5E6C">
        <w:tc>
          <w:tcPr>
            <w:tcW w:w="1528" w:type="dxa"/>
            <w:vAlign w:val="center"/>
          </w:tcPr>
          <w:p w14:paraId="7FC49642" w14:textId="77777777" w:rsidR="003103D7" w:rsidRPr="00D224F3" w:rsidRDefault="003103D7" w:rsidP="007B5E6C">
            <w:pPr>
              <w:jc w:val="center"/>
              <w:rPr>
                <w:sz w:val="20"/>
                <w:szCs w:val="20"/>
              </w:rPr>
            </w:pPr>
            <w:r w:rsidRPr="00D224F3">
              <w:rPr>
                <w:sz w:val="20"/>
                <w:szCs w:val="20"/>
              </w:rPr>
              <w:t>2011</w:t>
            </w:r>
          </w:p>
        </w:tc>
        <w:tc>
          <w:tcPr>
            <w:tcW w:w="1529" w:type="dxa"/>
            <w:vAlign w:val="bottom"/>
          </w:tcPr>
          <w:p w14:paraId="33C54C9A" w14:textId="77777777" w:rsidR="003103D7" w:rsidRPr="00D224F3" w:rsidRDefault="003103D7" w:rsidP="007B5E6C">
            <w:pPr>
              <w:jc w:val="center"/>
              <w:rPr>
                <w:sz w:val="20"/>
                <w:szCs w:val="20"/>
              </w:rPr>
            </w:pPr>
            <w:r w:rsidRPr="00D224F3">
              <w:rPr>
                <w:rFonts w:ascii="Calibri" w:hAnsi="Calibri"/>
                <w:sz w:val="20"/>
                <w:szCs w:val="20"/>
              </w:rPr>
              <w:t>9,554</w:t>
            </w:r>
          </w:p>
        </w:tc>
        <w:tc>
          <w:tcPr>
            <w:tcW w:w="1529" w:type="dxa"/>
            <w:vAlign w:val="bottom"/>
          </w:tcPr>
          <w:p w14:paraId="331875B4" w14:textId="77777777" w:rsidR="003103D7" w:rsidRPr="00D224F3" w:rsidRDefault="003103D7" w:rsidP="007B5E6C">
            <w:pPr>
              <w:jc w:val="center"/>
              <w:rPr>
                <w:sz w:val="20"/>
                <w:szCs w:val="20"/>
              </w:rPr>
            </w:pPr>
            <w:r w:rsidRPr="00D224F3">
              <w:rPr>
                <w:rFonts w:ascii="Calibri" w:hAnsi="Calibri"/>
                <w:sz w:val="20"/>
                <w:szCs w:val="20"/>
              </w:rPr>
              <w:t>-</w:t>
            </w:r>
          </w:p>
        </w:tc>
        <w:tc>
          <w:tcPr>
            <w:tcW w:w="1529" w:type="dxa"/>
            <w:vAlign w:val="bottom"/>
          </w:tcPr>
          <w:p w14:paraId="4C68585A" w14:textId="77777777" w:rsidR="003103D7" w:rsidRPr="00D224F3" w:rsidRDefault="003103D7" w:rsidP="007B5E6C">
            <w:pPr>
              <w:jc w:val="center"/>
              <w:rPr>
                <w:sz w:val="20"/>
                <w:szCs w:val="20"/>
              </w:rPr>
            </w:pPr>
            <w:r w:rsidRPr="00D224F3">
              <w:rPr>
                <w:rFonts w:ascii="Calibri" w:hAnsi="Calibri"/>
                <w:sz w:val="20"/>
                <w:szCs w:val="20"/>
              </w:rPr>
              <w:t>4,116</w:t>
            </w:r>
          </w:p>
        </w:tc>
        <w:tc>
          <w:tcPr>
            <w:tcW w:w="1529" w:type="dxa"/>
            <w:vAlign w:val="bottom"/>
          </w:tcPr>
          <w:p w14:paraId="5A1245FE" w14:textId="77777777" w:rsidR="003103D7" w:rsidRPr="00D224F3" w:rsidRDefault="003103D7" w:rsidP="007B5E6C">
            <w:pPr>
              <w:jc w:val="center"/>
              <w:rPr>
                <w:sz w:val="20"/>
                <w:szCs w:val="20"/>
              </w:rPr>
            </w:pPr>
            <w:r w:rsidRPr="00D224F3">
              <w:rPr>
                <w:rFonts w:ascii="Calibri" w:hAnsi="Calibri"/>
                <w:sz w:val="20"/>
                <w:szCs w:val="20"/>
              </w:rPr>
              <w:t>17,693</w:t>
            </w:r>
          </w:p>
        </w:tc>
        <w:tc>
          <w:tcPr>
            <w:tcW w:w="1529" w:type="dxa"/>
            <w:vAlign w:val="bottom"/>
          </w:tcPr>
          <w:p w14:paraId="0A13FE30" w14:textId="77777777" w:rsidR="003103D7" w:rsidRPr="00D224F3" w:rsidRDefault="003103D7" w:rsidP="007B5E6C">
            <w:pPr>
              <w:jc w:val="center"/>
              <w:rPr>
                <w:sz w:val="20"/>
                <w:szCs w:val="20"/>
              </w:rPr>
            </w:pPr>
            <w:r w:rsidRPr="00D224F3">
              <w:rPr>
                <w:rFonts w:ascii="Calibri" w:hAnsi="Calibri"/>
                <w:sz w:val="20"/>
                <w:szCs w:val="20"/>
              </w:rPr>
              <w:t>2,831</w:t>
            </w:r>
          </w:p>
        </w:tc>
      </w:tr>
      <w:tr w:rsidR="003103D7" w:rsidRPr="00D224F3" w14:paraId="76AA8117" w14:textId="77777777" w:rsidTr="007B5E6C">
        <w:tc>
          <w:tcPr>
            <w:tcW w:w="1528" w:type="dxa"/>
            <w:vAlign w:val="center"/>
          </w:tcPr>
          <w:p w14:paraId="14D3152A" w14:textId="77777777" w:rsidR="003103D7" w:rsidRPr="00D224F3" w:rsidRDefault="003103D7" w:rsidP="007B5E6C">
            <w:pPr>
              <w:jc w:val="center"/>
              <w:rPr>
                <w:sz w:val="20"/>
                <w:szCs w:val="20"/>
              </w:rPr>
            </w:pPr>
            <w:r w:rsidRPr="00D224F3">
              <w:rPr>
                <w:sz w:val="20"/>
                <w:szCs w:val="20"/>
              </w:rPr>
              <w:t>2012</w:t>
            </w:r>
          </w:p>
        </w:tc>
        <w:tc>
          <w:tcPr>
            <w:tcW w:w="1529" w:type="dxa"/>
            <w:vAlign w:val="bottom"/>
          </w:tcPr>
          <w:p w14:paraId="00DFA37C" w14:textId="77777777" w:rsidR="003103D7" w:rsidRPr="00D224F3" w:rsidRDefault="003103D7" w:rsidP="007B5E6C">
            <w:pPr>
              <w:jc w:val="center"/>
              <w:rPr>
                <w:sz w:val="20"/>
                <w:szCs w:val="20"/>
              </w:rPr>
            </w:pPr>
            <w:r w:rsidRPr="00D224F3">
              <w:rPr>
                <w:rFonts w:ascii="Calibri" w:hAnsi="Calibri"/>
                <w:sz w:val="20"/>
                <w:szCs w:val="20"/>
              </w:rPr>
              <w:t>11,415</w:t>
            </w:r>
          </w:p>
        </w:tc>
        <w:tc>
          <w:tcPr>
            <w:tcW w:w="1529" w:type="dxa"/>
            <w:vAlign w:val="bottom"/>
          </w:tcPr>
          <w:p w14:paraId="1E8F7A81" w14:textId="77777777" w:rsidR="003103D7" w:rsidRPr="00D224F3" w:rsidRDefault="003103D7" w:rsidP="007B5E6C">
            <w:pPr>
              <w:jc w:val="center"/>
              <w:rPr>
                <w:sz w:val="20"/>
                <w:szCs w:val="20"/>
              </w:rPr>
            </w:pPr>
            <w:r w:rsidRPr="00D224F3">
              <w:rPr>
                <w:rFonts w:ascii="Calibri" w:hAnsi="Calibri"/>
                <w:sz w:val="20"/>
                <w:szCs w:val="20"/>
              </w:rPr>
              <w:t>-</w:t>
            </w:r>
          </w:p>
        </w:tc>
        <w:tc>
          <w:tcPr>
            <w:tcW w:w="1529" w:type="dxa"/>
            <w:vAlign w:val="bottom"/>
          </w:tcPr>
          <w:p w14:paraId="015B7206" w14:textId="77777777" w:rsidR="003103D7" w:rsidRPr="00D224F3" w:rsidRDefault="003103D7" w:rsidP="007B5E6C">
            <w:pPr>
              <w:jc w:val="center"/>
              <w:rPr>
                <w:sz w:val="20"/>
                <w:szCs w:val="20"/>
              </w:rPr>
            </w:pPr>
            <w:r w:rsidRPr="00D224F3">
              <w:rPr>
                <w:rFonts w:ascii="Calibri" w:hAnsi="Calibri"/>
                <w:sz w:val="20"/>
                <w:szCs w:val="20"/>
              </w:rPr>
              <w:t>3,864</w:t>
            </w:r>
          </w:p>
        </w:tc>
        <w:tc>
          <w:tcPr>
            <w:tcW w:w="1529" w:type="dxa"/>
            <w:vAlign w:val="bottom"/>
          </w:tcPr>
          <w:p w14:paraId="2C31EFEA" w14:textId="77777777" w:rsidR="003103D7" w:rsidRPr="00D224F3" w:rsidRDefault="003103D7" w:rsidP="007B5E6C">
            <w:pPr>
              <w:jc w:val="center"/>
              <w:rPr>
                <w:sz w:val="20"/>
                <w:szCs w:val="20"/>
              </w:rPr>
            </w:pPr>
            <w:r w:rsidRPr="00D224F3">
              <w:rPr>
                <w:rFonts w:ascii="Calibri" w:hAnsi="Calibri"/>
                <w:sz w:val="20"/>
                <w:szCs w:val="20"/>
              </w:rPr>
              <w:t>17,746</w:t>
            </w:r>
          </w:p>
        </w:tc>
        <w:tc>
          <w:tcPr>
            <w:tcW w:w="1529" w:type="dxa"/>
            <w:vAlign w:val="bottom"/>
          </w:tcPr>
          <w:p w14:paraId="12CDA7C9" w14:textId="77777777" w:rsidR="003103D7" w:rsidRPr="00D224F3" w:rsidRDefault="003103D7" w:rsidP="007B5E6C">
            <w:pPr>
              <w:jc w:val="center"/>
              <w:rPr>
                <w:sz w:val="20"/>
                <w:szCs w:val="20"/>
              </w:rPr>
            </w:pPr>
            <w:r w:rsidRPr="00D224F3">
              <w:rPr>
                <w:rFonts w:ascii="Calibri" w:hAnsi="Calibri"/>
                <w:sz w:val="20"/>
                <w:szCs w:val="20"/>
              </w:rPr>
              <w:t>4,047</w:t>
            </w:r>
          </w:p>
        </w:tc>
      </w:tr>
      <w:tr w:rsidR="003103D7" w:rsidRPr="00D224F3" w14:paraId="7CB8EF96" w14:textId="77777777" w:rsidTr="007B5E6C">
        <w:tc>
          <w:tcPr>
            <w:tcW w:w="1528" w:type="dxa"/>
            <w:vAlign w:val="center"/>
          </w:tcPr>
          <w:p w14:paraId="06273C9B" w14:textId="77777777" w:rsidR="003103D7" w:rsidRPr="00D224F3" w:rsidRDefault="003103D7" w:rsidP="007B5E6C">
            <w:pPr>
              <w:jc w:val="center"/>
              <w:rPr>
                <w:sz w:val="20"/>
                <w:szCs w:val="20"/>
              </w:rPr>
            </w:pPr>
            <w:r w:rsidRPr="00D224F3">
              <w:rPr>
                <w:sz w:val="20"/>
                <w:szCs w:val="20"/>
              </w:rPr>
              <w:t>2013</w:t>
            </w:r>
          </w:p>
          <w:p w14:paraId="2A4CB358" w14:textId="77777777" w:rsidR="003103D7" w:rsidRPr="00D224F3" w:rsidRDefault="003103D7" w:rsidP="007B5E6C">
            <w:pPr>
              <w:jc w:val="center"/>
              <w:rPr>
                <w:sz w:val="20"/>
                <w:szCs w:val="20"/>
              </w:rPr>
            </w:pPr>
            <w:r w:rsidRPr="00D224F3">
              <w:rPr>
                <w:sz w:val="20"/>
                <w:szCs w:val="20"/>
              </w:rPr>
              <w:t>(Jan-Sept only)</w:t>
            </w:r>
          </w:p>
        </w:tc>
        <w:tc>
          <w:tcPr>
            <w:tcW w:w="1529" w:type="dxa"/>
            <w:vAlign w:val="bottom"/>
          </w:tcPr>
          <w:p w14:paraId="5B88F0D0" w14:textId="77777777" w:rsidR="003103D7" w:rsidRPr="00D224F3" w:rsidRDefault="003103D7" w:rsidP="007B5E6C">
            <w:pPr>
              <w:jc w:val="center"/>
              <w:rPr>
                <w:sz w:val="20"/>
                <w:szCs w:val="20"/>
              </w:rPr>
            </w:pPr>
            <w:r w:rsidRPr="00D224F3">
              <w:rPr>
                <w:rFonts w:ascii="Calibri" w:hAnsi="Calibri"/>
                <w:sz w:val="20"/>
                <w:szCs w:val="20"/>
              </w:rPr>
              <w:t>9,347</w:t>
            </w:r>
          </w:p>
        </w:tc>
        <w:tc>
          <w:tcPr>
            <w:tcW w:w="1529" w:type="dxa"/>
            <w:vAlign w:val="bottom"/>
          </w:tcPr>
          <w:p w14:paraId="2F8B3E18" w14:textId="77777777" w:rsidR="003103D7" w:rsidRPr="00D224F3" w:rsidRDefault="003103D7" w:rsidP="007B5E6C">
            <w:pPr>
              <w:jc w:val="center"/>
              <w:rPr>
                <w:sz w:val="20"/>
                <w:szCs w:val="20"/>
              </w:rPr>
            </w:pPr>
            <w:r w:rsidRPr="00D224F3">
              <w:rPr>
                <w:rFonts w:ascii="Calibri" w:hAnsi="Calibri"/>
                <w:sz w:val="20"/>
                <w:szCs w:val="20"/>
              </w:rPr>
              <w:t>-</w:t>
            </w:r>
          </w:p>
        </w:tc>
        <w:tc>
          <w:tcPr>
            <w:tcW w:w="1529" w:type="dxa"/>
            <w:vAlign w:val="bottom"/>
          </w:tcPr>
          <w:p w14:paraId="0BD9F317" w14:textId="77777777" w:rsidR="003103D7" w:rsidRPr="00D224F3" w:rsidRDefault="003103D7" w:rsidP="007B5E6C">
            <w:pPr>
              <w:jc w:val="center"/>
              <w:rPr>
                <w:sz w:val="20"/>
                <w:szCs w:val="20"/>
              </w:rPr>
            </w:pPr>
            <w:r w:rsidRPr="00D224F3">
              <w:rPr>
                <w:rFonts w:ascii="Calibri" w:hAnsi="Calibri"/>
                <w:sz w:val="20"/>
                <w:szCs w:val="20"/>
              </w:rPr>
              <w:t>2,714</w:t>
            </w:r>
          </w:p>
        </w:tc>
        <w:tc>
          <w:tcPr>
            <w:tcW w:w="1529" w:type="dxa"/>
            <w:vAlign w:val="bottom"/>
          </w:tcPr>
          <w:p w14:paraId="434F8110" w14:textId="77777777" w:rsidR="003103D7" w:rsidRPr="00D224F3" w:rsidRDefault="003103D7" w:rsidP="007B5E6C">
            <w:pPr>
              <w:jc w:val="center"/>
              <w:rPr>
                <w:sz w:val="20"/>
                <w:szCs w:val="20"/>
              </w:rPr>
            </w:pPr>
            <w:r w:rsidRPr="00D224F3">
              <w:rPr>
                <w:rFonts w:ascii="Calibri" w:hAnsi="Calibri"/>
                <w:sz w:val="20"/>
                <w:szCs w:val="20"/>
              </w:rPr>
              <w:t>14,472</w:t>
            </w:r>
          </w:p>
        </w:tc>
        <w:tc>
          <w:tcPr>
            <w:tcW w:w="1529" w:type="dxa"/>
            <w:vAlign w:val="bottom"/>
          </w:tcPr>
          <w:p w14:paraId="5C171622" w14:textId="77777777" w:rsidR="003103D7" w:rsidRPr="00D224F3" w:rsidRDefault="003103D7" w:rsidP="007B5E6C">
            <w:pPr>
              <w:jc w:val="center"/>
              <w:rPr>
                <w:sz w:val="20"/>
                <w:szCs w:val="20"/>
              </w:rPr>
            </w:pPr>
            <w:r w:rsidRPr="00D224F3">
              <w:rPr>
                <w:rFonts w:ascii="Calibri" w:hAnsi="Calibri"/>
                <w:sz w:val="20"/>
                <w:szCs w:val="20"/>
              </w:rPr>
              <w:t>3,941</w:t>
            </w:r>
          </w:p>
        </w:tc>
      </w:tr>
    </w:tbl>
    <w:p w14:paraId="5DCC5A81" w14:textId="1DE435DC" w:rsidR="003103D7" w:rsidRPr="00D224F3" w:rsidRDefault="003103D7" w:rsidP="003103D7">
      <w:pPr>
        <w:rPr>
          <w:sz w:val="20"/>
          <w:szCs w:val="20"/>
        </w:rPr>
      </w:pPr>
      <w:r w:rsidRPr="00D224F3">
        <w:rPr>
          <w:sz w:val="20"/>
          <w:szCs w:val="20"/>
        </w:rPr>
        <w:t xml:space="preserve">Source: DHS </w:t>
      </w:r>
      <w:r w:rsidR="006408E6">
        <w:rPr>
          <w:sz w:val="20"/>
          <w:szCs w:val="20"/>
        </w:rPr>
        <w:t xml:space="preserve">Medicare </w:t>
      </w:r>
      <w:r w:rsidRPr="00D224F3">
        <w:rPr>
          <w:sz w:val="20"/>
          <w:szCs w:val="20"/>
        </w:rPr>
        <w:t>Supplied Prescription Database, extracted March 2014, Highly Specialised Drugs Database (infliximab only), extracted March 2014</w:t>
      </w:r>
    </w:p>
    <w:p w14:paraId="43177E54" w14:textId="4A80910D" w:rsidR="00817C5C" w:rsidRPr="008C746D" w:rsidRDefault="003103D7" w:rsidP="003103D7">
      <w:r w:rsidRPr="00D224F3">
        <w:t xml:space="preserve">The number of prescriptions dispensed has increased for most medicines </w:t>
      </w:r>
      <w:r w:rsidR="00BF040B">
        <w:t xml:space="preserve">except </w:t>
      </w:r>
      <w:proofErr w:type="spellStart"/>
      <w:r w:rsidR="00BF040B">
        <w:t>etanercept</w:t>
      </w:r>
      <w:proofErr w:type="spellEnd"/>
      <w:r w:rsidR="00BF040B">
        <w:t xml:space="preserve">.  </w:t>
      </w:r>
      <w:r w:rsidRPr="00D224F3">
        <w:t>The number of infliximab vials dispensed remained steady between 2010 and 2012.</w:t>
      </w:r>
    </w:p>
    <w:p w14:paraId="4F8723A6" w14:textId="3B792516" w:rsidR="00736041" w:rsidRDefault="001B5D37" w:rsidP="0085256D">
      <w:pPr>
        <w:pStyle w:val="Heading4"/>
      </w:pPr>
      <w:r w:rsidRPr="005E22C2">
        <w:t xml:space="preserve">Analysis </w:t>
      </w:r>
      <w:r w:rsidR="00481108" w:rsidRPr="005E22C2">
        <w:t xml:space="preserve">of </w:t>
      </w:r>
      <w:r w:rsidR="0063631C">
        <w:t>e</w:t>
      </w:r>
      <w:r w:rsidR="00736041" w:rsidRPr="005E22C2">
        <w:t>xpenditure</w:t>
      </w:r>
    </w:p>
    <w:p w14:paraId="1777F6DB" w14:textId="5C4E2B41" w:rsidR="00B32DDF" w:rsidRPr="00864885" w:rsidRDefault="00A25A66" w:rsidP="00B32DDF">
      <w:r>
        <w:t>T</w:t>
      </w:r>
      <w:r w:rsidR="00B32DDF" w:rsidRPr="00D224F3">
        <w:t xml:space="preserve">able </w:t>
      </w:r>
      <w:r>
        <w:t xml:space="preserve">6 </w:t>
      </w:r>
      <w:r w:rsidR="00B32DDF" w:rsidRPr="00D224F3">
        <w:t xml:space="preserve">presents the PBS benefits paid for </w:t>
      </w:r>
      <w:proofErr w:type="spellStart"/>
      <w:r w:rsidR="00B32DDF" w:rsidRPr="00D224F3">
        <w:t>bDMARDs</w:t>
      </w:r>
      <w:proofErr w:type="spellEnd"/>
      <w:r w:rsidR="00B32DDF" w:rsidRPr="00D224F3">
        <w:t xml:space="preserve"> for use in psoriasis by calendar year since the listing of </w:t>
      </w:r>
      <w:proofErr w:type="spellStart"/>
      <w:r w:rsidR="00B32DDF" w:rsidRPr="00D224F3">
        <w:t>efalizumab</w:t>
      </w:r>
      <w:proofErr w:type="spellEnd"/>
      <w:r w:rsidR="00B32DDF" w:rsidRPr="00D224F3">
        <w:t xml:space="preserve"> in April </w:t>
      </w:r>
      <w:r w:rsidR="00864885">
        <w:t xml:space="preserve">2006.  The following table is based on the published prices of </w:t>
      </w:r>
      <w:proofErr w:type="spellStart"/>
      <w:r w:rsidR="00864885">
        <w:t>bDMARDs</w:t>
      </w:r>
      <w:proofErr w:type="spellEnd"/>
      <w:r w:rsidR="00864885">
        <w:t xml:space="preserve"> for psoriasis.  </w:t>
      </w:r>
      <w:r w:rsidR="00864885" w:rsidRPr="00864885">
        <w:t xml:space="preserve">Special pricing arrangements apply for all </w:t>
      </w:r>
      <w:proofErr w:type="spellStart"/>
      <w:r w:rsidR="00864885" w:rsidRPr="00864885">
        <w:t>bDMARDs</w:t>
      </w:r>
      <w:proofErr w:type="spellEnd"/>
      <w:r w:rsidR="00864885" w:rsidRPr="00864885">
        <w:t xml:space="preserve"> listed for </w:t>
      </w:r>
      <w:r w:rsidR="00E873B8" w:rsidRPr="00864885">
        <w:t>psoriasis</w:t>
      </w:r>
      <w:r w:rsidR="00E873B8">
        <w:t>;</w:t>
      </w:r>
      <w:r w:rsidR="00864885">
        <w:t xml:space="preserve"> hence the figures in the table are only indicative of trends.</w:t>
      </w:r>
      <w:r w:rsidR="00BF3A44">
        <w:t xml:space="preserve">  </w:t>
      </w:r>
      <w:r w:rsidR="00BF3A44" w:rsidRPr="00BF3A44">
        <w:t>Expenditure has been reported based on date of supply data.</w:t>
      </w:r>
    </w:p>
    <w:p w14:paraId="7045DF83" w14:textId="2464A8C8" w:rsidR="00B32DDF" w:rsidRPr="00D224F3" w:rsidRDefault="00B32DDF" w:rsidP="00B32DDF">
      <w:pPr>
        <w:tabs>
          <w:tab w:val="left" w:pos="7013"/>
        </w:tabs>
        <w:spacing w:before="200" w:after="20"/>
        <w:rPr>
          <w:b/>
        </w:rPr>
      </w:pPr>
      <w:r w:rsidRPr="00D224F3">
        <w:rPr>
          <w:b/>
        </w:rPr>
        <w:t xml:space="preserve">Table </w:t>
      </w:r>
      <w:r w:rsidR="00A25A66">
        <w:rPr>
          <w:b/>
        </w:rPr>
        <w:t>6</w:t>
      </w:r>
      <w:r w:rsidRPr="00D224F3">
        <w:rPr>
          <w:b/>
        </w:rPr>
        <w:t xml:space="preserve">: PBS benefits paid (published) for psoriasis </w:t>
      </w:r>
      <w:proofErr w:type="spellStart"/>
      <w:r w:rsidRPr="00D224F3">
        <w:rPr>
          <w:b/>
        </w:rPr>
        <w:t>bDMARDs</w:t>
      </w:r>
      <w:proofErr w:type="spellEnd"/>
      <w:r w:rsidRPr="00D224F3">
        <w:rPr>
          <w:b/>
        </w:rPr>
        <w:tab/>
      </w:r>
    </w:p>
    <w:tbl>
      <w:tblPr>
        <w:tblStyle w:val="TableGrid"/>
        <w:tblW w:w="5129" w:type="pct"/>
        <w:tblLook w:val="04A0" w:firstRow="1" w:lastRow="0" w:firstColumn="1" w:lastColumn="0" w:noHBand="0" w:noVBand="1"/>
        <w:tblCaption w:val="Table 6"/>
        <w:tblDescription w:val="PBS benefits paid (based on the published, rather than the actual price) for bDMARDs for chronic plaque psoriasis by individual bDMARD and year."/>
      </w:tblPr>
      <w:tblGrid>
        <w:gridCol w:w="1189"/>
        <w:gridCol w:w="1039"/>
        <w:gridCol w:w="1039"/>
        <w:gridCol w:w="1130"/>
        <w:gridCol w:w="1130"/>
        <w:gridCol w:w="1130"/>
        <w:gridCol w:w="1130"/>
        <w:gridCol w:w="1130"/>
        <w:gridCol w:w="1130"/>
      </w:tblGrid>
      <w:tr w:rsidR="00B32DDF" w:rsidRPr="00D224F3" w14:paraId="1E9B04CA" w14:textId="77777777" w:rsidTr="00B626CE">
        <w:trPr>
          <w:tblHeader/>
        </w:trPr>
        <w:tc>
          <w:tcPr>
            <w:tcW w:w="702" w:type="pct"/>
            <w:shd w:val="clear" w:color="auto" w:fill="BFBFBF" w:themeFill="background1" w:themeFillShade="BF"/>
          </w:tcPr>
          <w:p w14:paraId="439C8805" w14:textId="77777777" w:rsidR="00B32DDF" w:rsidRPr="00D224F3" w:rsidRDefault="00B32DDF" w:rsidP="007B5E6C">
            <w:pPr>
              <w:rPr>
                <w:sz w:val="20"/>
                <w:szCs w:val="20"/>
              </w:rPr>
            </w:pPr>
          </w:p>
        </w:tc>
        <w:tc>
          <w:tcPr>
            <w:tcW w:w="505" w:type="pct"/>
            <w:shd w:val="clear" w:color="auto" w:fill="BFBFBF" w:themeFill="background1" w:themeFillShade="BF"/>
            <w:vAlign w:val="center"/>
          </w:tcPr>
          <w:p w14:paraId="671B0327" w14:textId="77777777" w:rsidR="00B32DDF" w:rsidRPr="00D224F3" w:rsidRDefault="00B32DDF" w:rsidP="007B5E6C">
            <w:pPr>
              <w:jc w:val="center"/>
              <w:rPr>
                <w:b/>
                <w:sz w:val="20"/>
                <w:szCs w:val="20"/>
              </w:rPr>
            </w:pPr>
            <w:r w:rsidRPr="00D224F3">
              <w:rPr>
                <w:b/>
                <w:sz w:val="20"/>
                <w:szCs w:val="20"/>
              </w:rPr>
              <w:t>2006</w:t>
            </w:r>
          </w:p>
        </w:tc>
        <w:tc>
          <w:tcPr>
            <w:tcW w:w="505" w:type="pct"/>
            <w:shd w:val="clear" w:color="auto" w:fill="BFBFBF" w:themeFill="background1" w:themeFillShade="BF"/>
            <w:vAlign w:val="center"/>
          </w:tcPr>
          <w:p w14:paraId="1254D91F" w14:textId="77777777" w:rsidR="00B32DDF" w:rsidRPr="00D224F3" w:rsidRDefault="00B32DDF" w:rsidP="007B5E6C">
            <w:pPr>
              <w:jc w:val="center"/>
              <w:rPr>
                <w:b/>
                <w:sz w:val="20"/>
                <w:szCs w:val="20"/>
              </w:rPr>
            </w:pPr>
            <w:r w:rsidRPr="00D224F3">
              <w:rPr>
                <w:b/>
                <w:sz w:val="20"/>
                <w:szCs w:val="20"/>
              </w:rPr>
              <w:t>2007</w:t>
            </w:r>
          </w:p>
        </w:tc>
        <w:tc>
          <w:tcPr>
            <w:tcW w:w="548" w:type="pct"/>
            <w:shd w:val="clear" w:color="auto" w:fill="BFBFBF" w:themeFill="background1" w:themeFillShade="BF"/>
            <w:vAlign w:val="center"/>
          </w:tcPr>
          <w:p w14:paraId="5C1A2798" w14:textId="77777777" w:rsidR="00B32DDF" w:rsidRPr="00D224F3" w:rsidRDefault="00B32DDF" w:rsidP="007B5E6C">
            <w:pPr>
              <w:jc w:val="center"/>
              <w:rPr>
                <w:b/>
                <w:sz w:val="20"/>
                <w:szCs w:val="20"/>
              </w:rPr>
            </w:pPr>
            <w:r w:rsidRPr="00D224F3">
              <w:rPr>
                <w:b/>
                <w:sz w:val="20"/>
                <w:szCs w:val="20"/>
              </w:rPr>
              <w:t>2008</w:t>
            </w:r>
          </w:p>
        </w:tc>
        <w:tc>
          <w:tcPr>
            <w:tcW w:w="548" w:type="pct"/>
            <w:shd w:val="clear" w:color="auto" w:fill="BFBFBF" w:themeFill="background1" w:themeFillShade="BF"/>
            <w:vAlign w:val="center"/>
          </w:tcPr>
          <w:p w14:paraId="726DC7EF" w14:textId="77777777" w:rsidR="00B32DDF" w:rsidRPr="00D224F3" w:rsidRDefault="00B32DDF" w:rsidP="007B5E6C">
            <w:pPr>
              <w:jc w:val="center"/>
              <w:rPr>
                <w:b/>
                <w:sz w:val="20"/>
                <w:szCs w:val="20"/>
              </w:rPr>
            </w:pPr>
            <w:r w:rsidRPr="00D224F3">
              <w:rPr>
                <w:b/>
                <w:sz w:val="20"/>
                <w:szCs w:val="20"/>
              </w:rPr>
              <w:t>2009</w:t>
            </w:r>
          </w:p>
        </w:tc>
        <w:tc>
          <w:tcPr>
            <w:tcW w:w="548" w:type="pct"/>
            <w:shd w:val="clear" w:color="auto" w:fill="BFBFBF" w:themeFill="background1" w:themeFillShade="BF"/>
            <w:vAlign w:val="center"/>
          </w:tcPr>
          <w:p w14:paraId="789C143B" w14:textId="77777777" w:rsidR="00B32DDF" w:rsidRPr="00D224F3" w:rsidRDefault="00B32DDF" w:rsidP="007B5E6C">
            <w:pPr>
              <w:jc w:val="center"/>
              <w:rPr>
                <w:b/>
                <w:sz w:val="20"/>
                <w:szCs w:val="20"/>
              </w:rPr>
            </w:pPr>
            <w:r w:rsidRPr="00D224F3">
              <w:rPr>
                <w:b/>
                <w:sz w:val="20"/>
                <w:szCs w:val="20"/>
              </w:rPr>
              <w:t>2010</w:t>
            </w:r>
          </w:p>
        </w:tc>
        <w:tc>
          <w:tcPr>
            <w:tcW w:w="548" w:type="pct"/>
            <w:shd w:val="clear" w:color="auto" w:fill="BFBFBF" w:themeFill="background1" w:themeFillShade="BF"/>
            <w:vAlign w:val="center"/>
          </w:tcPr>
          <w:p w14:paraId="16C117BE" w14:textId="77777777" w:rsidR="00B32DDF" w:rsidRPr="00D224F3" w:rsidRDefault="00B32DDF" w:rsidP="007B5E6C">
            <w:pPr>
              <w:jc w:val="center"/>
              <w:rPr>
                <w:b/>
                <w:sz w:val="20"/>
                <w:szCs w:val="20"/>
              </w:rPr>
            </w:pPr>
            <w:r w:rsidRPr="00D224F3">
              <w:rPr>
                <w:b/>
                <w:sz w:val="20"/>
                <w:szCs w:val="20"/>
              </w:rPr>
              <w:t>2011</w:t>
            </w:r>
          </w:p>
        </w:tc>
        <w:tc>
          <w:tcPr>
            <w:tcW w:w="548" w:type="pct"/>
            <w:shd w:val="clear" w:color="auto" w:fill="BFBFBF" w:themeFill="background1" w:themeFillShade="BF"/>
            <w:vAlign w:val="center"/>
          </w:tcPr>
          <w:p w14:paraId="08B894B1" w14:textId="77777777" w:rsidR="00B32DDF" w:rsidRPr="00D224F3" w:rsidRDefault="00B32DDF" w:rsidP="007B5E6C">
            <w:pPr>
              <w:jc w:val="center"/>
              <w:rPr>
                <w:b/>
                <w:sz w:val="20"/>
                <w:szCs w:val="20"/>
              </w:rPr>
            </w:pPr>
            <w:r w:rsidRPr="00D224F3">
              <w:rPr>
                <w:b/>
                <w:sz w:val="20"/>
                <w:szCs w:val="20"/>
              </w:rPr>
              <w:t>2012</w:t>
            </w:r>
          </w:p>
        </w:tc>
        <w:tc>
          <w:tcPr>
            <w:tcW w:w="548" w:type="pct"/>
            <w:shd w:val="clear" w:color="auto" w:fill="BFBFBF" w:themeFill="background1" w:themeFillShade="BF"/>
            <w:vAlign w:val="center"/>
          </w:tcPr>
          <w:p w14:paraId="2C2CF469" w14:textId="77777777" w:rsidR="00B32DDF" w:rsidRPr="00D224F3" w:rsidRDefault="00B32DDF" w:rsidP="007B5E6C">
            <w:pPr>
              <w:jc w:val="center"/>
              <w:rPr>
                <w:b/>
                <w:sz w:val="20"/>
                <w:szCs w:val="20"/>
              </w:rPr>
            </w:pPr>
            <w:r w:rsidRPr="00D224F3">
              <w:rPr>
                <w:b/>
                <w:sz w:val="20"/>
                <w:szCs w:val="20"/>
              </w:rPr>
              <w:t>2013</w:t>
            </w:r>
          </w:p>
          <w:p w14:paraId="53A93D21" w14:textId="77777777" w:rsidR="00B32DDF" w:rsidRPr="00D224F3" w:rsidRDefault="00B32DDF" w:rsidP="007B5E6C">
            <w:pPr>
              <w:jc w:val="center"/>
              <w:rPr>
                <w:b/>
                <w:sz w:val="20"/>
                <w:szCs w:val="20"/>
              </w:rPr>
            </w:pPr>
            <w:r w:rsidRPr="00D224F3">
              <w:rPr>
                <w:b/>
                <w:sz w:val="20"/>
                <w:szCs w:val="20"/>
              </w:rPr>
              <w:t>(Jan-Sept only)</w:t>
            </w:r>
          </w:p>
        </w:tc>
      </w:tr>
      <w:tr w:rsidR="00B32DDF" w:rsidRPr="00D224F3" w14:paraId="08300E6A" w14:textId="77777777" w:rsidTr="00864885">
        <w:tc>
          <w:tcPr>
            <w:tcW w:w="702" w:type="pct"/>
            <w:vAlign w:val="center"/>
          </w:tcPr>
          <w:p w14:paraId="3C137F24" w14:textId="77777777" w:rsidR="00B32DDF" w:rsidRPr="009510D5" w:rsidRDefault="00B32DDF" w:rsidP="007B5E6C">
            <w:pPr>
              <w:rPr>
                <w:sz w:val="18"/>
                <w:szCs w:val="18"/>
              </w:rPr>
            </w:pPr>
            <w:proofErr w:type="spellStart"/>
            <w:r w:rsidRPr="009510D5">
              <w:rPr>
                <w:sz w:val="18"/>
                <w:szCs w:val="18"/>
              </w:rPr>
              <w:t>Adalimumab</w:t>
            </w:r>
            <w:proofErr w:type="spellEnd"/>
          </w:p>
        </w:tc>
        <w:tc>
          <w:tcPr>
            <w:tcW w:w="505" w:type="pct"/>
            <w:vAlign w:val="center"/>
          </w:tcPr>
          <w:p w14:paraId="5301660A" w14:textId="77777777" w:rsidR="00B32DDF" w:rsidRPr="009510D5" w:rsidRDefault="00B32DDF" w:rsidP="007B5E6C">
            <w:pPr>
              <w:jc w:val="center"/>
              <w:rPr>
                <w:sz w:val="18"/>
                <w:szCs w:val="18"/>
              </w:rPr>
            </w:pPr>
            <w:r w:rsidRPr="009510D5">
              <w:rPr>
                <w:rFonts w:ascii="Calibri" w:hAnsi="Calibri"/>
                <w:sz w:val="18"/>
                <w:szCs w:val="18"/>
              </w:rPr>
              <w:t>-</w:t>
            </w:r>
          </w:p>
        </w:tc>
        <w:tc>
          <w:tcPr>
            <w:tcW w:w="505" w:type="pct"/>
            <w:vAlign w:val="center"/>
          </w:tcPr>
          <w:p w14:paraId="77B45EED" w14:textId="77777777" w:rsidR="00B32DDF" w:rsidRPr="009510D5" w:rsidRDefault="00B32DDF" w:rsidP="007B5E6C">
            <w:pPr>
              <w:jc w:val="center"/>
              <w:rPr>
                <w:sz w:val="18"/>
                <w:szCs w:val="18"/>
              </w:rPr>
            </w:pPr>
            <w:r w:rsidRPr="009510D5">
              <w:rPr>
                <w:rFonts w:ascii="Calibri" w:hAnsi="Calibri"/>
                <w:sz w:val="18"/>
                <w:szCs w:val="18"/>
              </w:rPr>
              <w:t>-</w:t>
            </w:r>
          </w:p>
        </w:tc>
        <w:tc>
          <w:tcPr>
            <w:tcW w:w="548" w:type="pct"/>
            <w:vAlign w:val="center"/>
          </w:tcPr>
          <w:p w14:paraId="5DAAAD5F" w14:textId="77777777" w:rsidR="00B32DDF" w:rsidRPr="009510D5" w:rsidRDefault="00B32DDF" w:rsidP="007B5E6C">
            <w:pPr>
              <w:jc w:val="center"/>
              <w:rPr>
                <w:sz w:val="18"/>
                <w:szCs w:val="18"/>
              </w:rPr>
            </w:pPr>
            <w:r w:rsidRPr="009510D5">
              <w:rPr>
                <w:rFonts w:ascii="Calibri" w:hAnsi="Calibri"/>
                <w:sz w:val="18"/>
                <w:szCs w:val="18"/>
              </w:rPr>
              <w:t>-</w:t>
            </w:r>
          </w:p>
        </w:tc>
        <w:tc>
          <w:tcPr>
            <w:tcW w:w="548" w:type="pct"/>
            <w:vAlign w:val="center"/>
          </w:tcPr>
          <w:p w14:paraId="77C9F857" w14:textId="77777777" w:rsidR="00B32DDF" w:rsidRPr="009510D5" w:rsidRDefault="00B32DDF" w:rsidP="007B5E6C">
            <w:pPr>
              <w:jc w:val="right"/>
              <w:rPr>
                <w:sz w:val="18"/>
                <w:szCs w:val="18"/>
              </w:rPr>
            </w:pPr>
            <w:r w:rsidRPr="009510D5">
              <w:rPr>
                <w:rFonts w:ascii="Calibri" w:hAnsi="Calibri"/>
                <w:sz w:val="18"/>
                <w:szCs w:val="18"/>
              </w:rPr>
              <w:t>$5,450,864</w:t>
            </w:r>
          </w:p>
        </w:tc>
        <w:tc>
          <w:tcPr>
            <w:tcW w:w="548" w:type="pct"/>
            <w:vAlign w:val="center"/>
          </w:tcPr>
          <w:p w14:paraId="1A4911DA" w14:textId="77777777" w:rsidR="00B32DDF" w:rsidRPr="009510D5" w:rsidRDefault="00B32DDF" w:rsidP="007B5E6C">
            <w:pPr>
              <w:jc w:val="right"/>
              <w:rPr>
                <w:sz w:val="18"/>
                <w:szCs w:val="18"/>
              </w:rPr>
            </w:pPr>
            <w:r w:rsidRPr="009510D5">
              <w:rPr>
                <w:rFonts w:ascii="Calibri" w:hAnsi="Calibri"/>
                <w:sz w:val="18"/>
                <w:szCs w:val="18"/>
              </w:rPr>
              <w:t>$14,314,340</w:t>
            </w:r>
          </w:p>
        </w:tc>
        <w:tc>
          <w:tcPr>
            <w:tcW w:w="548" w:type="pct"/>
            <w:vAlign w:val="center"/>
          </w:tcPr>
          <w:p w14:paraId="003E8F6C" w14:textId="77777777" w:rsidR="00B32DDF" w:rsidRPr="009510D5" w:rsidRDefault="00B32DDF" w:rsidP="007B5E6C">
            <w:pPr>
              <w:jc w:val="right"/>
              <w:rPr>
                <w:sz w:val="18"/>
                <w:szCs w:val="18"/>
              </w:rPr>
            </w:pPr>
            <w:r w:rsidRPr="009510D5">
              <w:rPr>
                <w:rFonts w:ascii="Calibri" w:hAnsi="Calibri"/>
                <w:sz w:val="18"/>
                <w:szCs w:val="18"/>
              </w:rPr>
              <w:t>$16,706,187</w:t>
            </w:r>
          </w:p>
        </w:tc>
        <w:tc>
          <w:tcPr>
            <w:tcW w:w="548" w:type="pct"/>
            <w:vAlign w:val="center"/>
          </w:tcPr>
          <w:p w14:paraId="7B10D0B0" w14:textId="77777777" w:rsidR="00B32DDF" w:rsidRPr="009510D5" w:rsidRDefault="00B32DDF" w:rsidP="007B5E6C">
            <w:pPr>
              <w:jc w:val="right"/>
              <w:rPr>
                <w:sz w:val="18"/>
                <w:szCs w:val="18"/>
              </w:rPr>
            </w:pPr>
            <w:r w:rsidRPr="009510D5">
              <w:rPr>
                <w:rFonts w:ascii="Calibri" w:hAnsi="Calibri"/>
                <w:sz w:val="18"/>
                <w:szCs w:val="18"/>
              </w:rPr>
              <w:t>$19,958,072</w:t>
            </w:r>
          </w:p>
        </w:tc>
        <w:tc>
          <w:tcPr>
            <w:tcW w:w="548" w:type="pct"/>
            <w:vAlign w:val="center"/>
          </w:tcPr>
          <w:p w14:paraId="4F22E174" w14:textId="77777777" w:rsidR="00B32DDF" w:rsidRPr="009510D5" w:rsidRDefault="00B32DDF" w:rsidP="007B5E6C">
            <w:pPr>
              <w:jc w:val="right"/>
              <w:rPr>
                <w:sz w:val="18"/>
                <w:szCs w:val="18"/>
              </w:rPr>
            </w:pPr>
            <w:r w:rsidRPr="009510D5">
              <w:rPr>
                <w:rFonts w:ascii="Calibri" w:hAnsi="Calibri"/>
                <w:sz w:val="18"/>
                <w:szCs w:val="18"/>
              </w:rPr>
              <w:t>$16,334,139</w:t>
            </w:r>
          </w:p>
        </w:tc>
      </w:tr>
      <w:tr w:rsidR="00B32DDF" w:rsidRPr="00D224F3" w14:paraId="4F0C1A8B" w14:textId="77777777" w:rsidTr="00864885">
        <w:tc>
          <w:tcPr>
            <w:tcW w:w="702" w:type="pct"/>
            <w:vAlign w:val="center"/>
          </w:tcPr>
          <w:p w14:paraId="36A5A1DE" w14:textId="77777777" w:rsidR="00B32DDF" w:rsidRPr="009510D5" w:rsidRDefault="00B32DDF" w:rsidP="007B5E6C">
            <w:pPr>
              <w:rPr>
                <w:sz w:val="18"/>
                <w:szCs w:val="18"/>
              </w:rPr>
            </w:pPr>
            <w:proofErr w:type="spellStart"/>
            <w:r w:rsidRPr="009510D5">
              <w:rPr>
                <w:sz w:val="18"/>
                <w:szCs w:val="18"/>
              </w:rPr>
              <w:t>Efalizumab</w:t>
            </w:r>
            <w:proofErr w:type="spellEnd"/>
          </w:p>
        </w:tc>
        <w:tc>
          <w:tcPr>
            <w:tcW w:w="505" w:type="pct"/>
            <w:vAlign w:val="center"/>
          </w:tcPr>
          <w:p w14:paraId="0B3FA5AE" w14:textId="77777777" w:rsidR="00B32DDF" w:rsidRPr="009510D5" w:rsidRDefault="00B32DDF" w:rsidP="007B5E6C">
            <w:pPr>
              <w:jc w:val="right"/>
              <w:rPr>
                <w:sz w:val="18"/>
                <w:szCs w:val="18"/>
              </w:rPr>
            </w:pPr>
            <w:r w:rsidRPr="009510D5">
              <w:rPr>
                <w:rFonts w:ascii="Calibri" w:hAnsi="Calibri"/>
                <w:sz w:val="18"/>
                <w:szCs w:val="18"/>
              </w:rPr>
              <w:t>$3,968,628</w:t>
            </w:r>
          </w:p>
        </w:tc>
        <w:tc>
          <w:tcPr>
            <w:tcW w:w="505" w:type="pct"/>
            <w:vAlign w:val="center"/>
          </w:tcPr>
          <w:p w14:paraId="23C3CA7F" w14:textId="77777777" w:rsidR="00B32DDF" w:rsidRPr="009510D5" w:rsidRDefault="00B32DDF" w:rsidP="007B5E6C">
            <w:pPr>
              <w:jc w:val="right"/>
              <w:rPr>
                <w:sz w:val="18"/>
                <w:szCs w:val="18"/>
              </w:rPr>
            </w:pPr>
            <w:r w:rsidRPr="009510D5">
              <w:rPr>
                <w:rFonts w:ascii="Calibri" w:hAnsi="Calibri"/>
                <w:sz w:val="18"/>
                <w:szCs w:val="18"/>
              </w:rPr>
              <w:t>$4,932,434</w:t>
            </w:r>
          </w:p>
        </w:tc>
        <w:tc>
          <w:tcPr>
            <w:tcW w:w="548" w:type="pct"/>
            <w:vAlign w:val="center"/>
          </w:tcPr>
          <w:p w14:paraId="293C2C26" w14:textId="77777777" w:rsidR="00B32DDF" w:rsidRPr="009510D5" w:rsidRDefault="00B32DDF" w:rsidP="007B5E6C">
            <w:pPr>
              <w:jc w:val="right"/>
              <w:rPr>
                <w:sz w:val="18"/>
                <w:szCs w:val="18"/>
              </w:rPr>
            </w:pPr>
            <w:r w:rsidRPr="009510D5">
              <w:rPr>
                <w:rFonts w:ascii="Calibri" w:hAnsi="Calibri"/>
                <w:sz w:val="18"/>
                <w:szCs w:val="18"/>
              </w:rPr>
              <w:t>$5,350,535</w:t>
            </w:r>
          </w:p>
        </w:tc>
        <w:tc>
          <w:tcPr>
            <w:tcW w:w="548" w:type="pct"/>
            <w:vAlign w:val="center"/>
          </w:tcPr>
          <w:p w14:paraId="0476889F" w14:textId="77777777" w:rsidR="00B32DDF" w:rsidRPr="009510D5" w:rsidRDefault="00B32DDF" w:rsidP="007B5E6C">
            <w:pPr>
              <w:jc w:val="right"/>
              <w:rPr>
                <w:sz w:val="18"/>
                <w:szCs w:val="18"/>
              </w:rPr>
            </w:pPr>
            <w:r w:rsidRPr="009510D5">
              <w:rPr>
                <w:rFonts w:ascii="Calibri" w:hAnsi="Calibri"/>
                <w:sz w:val="18"/>
                <w:szCs w:val="18"/>
              </w:rPr>
              <w:t>$1,371,880</w:t>
            </w:r>
          </w:p>
        </w:tc>
        <w:tc>
          <w:tcPr>
            <w:tcW w:w="548" w:type="pct"/>
            <w:vAlign w:val="center"/>
          </w:tcPr>
          <w:p w14:paraId="5263F4EE" w14:textId="77777777" w:rsidR="00B32DDF" w:rsidRPr="009510D5" w:rsidRDefault="00B32DDF" w:rsidP="007B5E6C">
            <w:pPr>
              <w:jc w:val="center"/>
              <w:rPr>
                <w:sz w:val="18"/>
                <w:szCs w:val="18"/>
              </w:rPr>
            </w:pPr>
            <w:r w:rsidRPr="009510D5">
              <w:rPr>
                <w:rFonts w:ascii="Calibri" w:hAnsi="Calibri"/>
                <w:sz w:val="18"/>
                <w:szCs w:val="18"/>
              </w:rPr>
              <w:t>-</w:t>
            </w:r>
          </w:p>
        </w:tc>
        <w:tc>
          <w:tcPr>
            <w:tcW w:w="548" w:type="pct"/>
            <w:vAlign w:val="center"/>
          </w:tcPr>
          <w:p w14:paraId="5FB83F00" w14:textId="77777777" w:rsidR="00B32DDF" w:rsidRPr="009510D5" w:rsidRDefault="00B32DDF" w:rsidP="007B5E6C">
            <w:pPr>
              <w:jc w:val="center"/>
              <w:rPr>
                <w:sz w:val="18"/>
                <w:szCs w:val="18"/>
              </w:rPr>
            </w:pPr>
            <w:r w:rsidRPr="009510D5">
              <w:rPr>
                <w:rFonts w:ascii="Calibri" w:hAnsi="Calibri"/>
                <w:sz w:val="18"/>
                <w:szCs w:val="18"/>
              </w:rPr>
              <w:t>-</w:t>
            </w:r>
          </w:p>
        </w:tc>
        <w:tc>
          <w:tcPr>
            <w:tcW w:w="548" w:type="pct"/>
            <w:vAlign w:val="center"/>
          </w:tcPr>
          <w:p w14:paraId="3A55DC76" w14:textId="77777777" w:rsidR="00B32DDF" w:rsidRPr="009510D5" w:rsidRDefault="00B32DDF" w:rsidP="007B5E6C">
            <w:pPr>
              <w:jc w:val="center"/>
              <w:rPr>
                <w:sz w:val="18"/>
                <w:szCs w:val="18"/>
              </w:rPr>
            </w:pPr>
            <w:r w:rsidRPr="009510D5">
              <w:rPr>
                <w:rFonts w:ascii="Calibri" w:hAnsi="Calibri"/>
                <w:sz w:val="18"/>
                <w:szCs w:val="18"/>
              </w:rPr>
              <w:t>-</w:t>
            </w:r>
          </w:p>
        </w:tc>
        <w:tc>
          <w:tcPr>
            <w:tcW w:w="548" w:type="pct"/>
            <w:vAlign w:val="center"/>
          </w:tcPr>
          <w:p w14:paraId="0AF75F35" w14:textId="77777777" w:rsidR="00B32DDF" w:rsidRPr="009510D5" w:rsidRDefault="00B32DDF" w:rsidP="007B5E6C">
            <w:pPr>
              <w:jc w:val="center"/>
              <w:rPr>
                <w:sz w:val="18"/>
                <w:szCs w:val="18"/>
              </w:rPr>
            </w:pPr>
            <w:r w:rsidRPr="009510D5">
              <w:rPr>
                <w:rFonts w:ascii="Calibri" w:hAnsi="Calibri"/>
                <w:sz w:val="18"/>
                <w:szCs w:val="18"/>
              </w:rPr>
              <w:t>-</w:t>
            </w:r>
          </w:p>
        </w:tc>
      </w:tr>
      <w:tr w:rsidR="00B32DDF" w:rsidRPr="00D224F3" w14:paraId="2310E675" w14:textId="77777777" w:rsidTr="00864885">
        <w:tc>
          <w:tcPr>
            <w:tcW w:w="702" w:type="pct"/>
            <w:vAlign w:val="center"/>
          </w:tcPr>
          <w:p w14:paraId="1E63195F" w14:textId="77777777" w:rsidR="00B32DDF" w:rsidRPr="009510D5" w:rsidRDefault="00B32DDF" w:rsidP="007B5E6C">
            <w:pPr>
              <w:rPr>
                <w:sz w:val="18"/>
                <w:szCs w:val="18"/>
              </w:rPr>
            </w:pPr>
            <w:proofErr w:type="spellStart"/>
            <w:r w:rsidRPr="009510D5">
              <w:rPr>
                <w:sz w:val="18"/>
                <w:szCs w:val="18"/>
              </w:rPr>
              <w:t>Etanercept</w:t>
            </w:r>
            <w:proofErr w:type="spellEnd"/>
          </w:p>
        </w:tc>
        <w:tc>
          <w:tcPr>
            <w:tcW w:w="505" w:type="pct"/>
            <w:vAlign w:val="center"/>
          </w:tcPr>
          <w:p w14:paraId="5AD100F1" w14:textId="77777777" w:rsidR="00B32DDF" w:rsidRPr="009510D5" w:rsidRDefault="00B32DDF" w:rsidP="007B5E6C">
            <w:pPr>
              <w:jc w:val="right"/>
              <w:rPr>
                <w:sz w:val="18"/>
                <w:szCs w:val="18"/>
              </w:rPr>
            </w:pPr>
            <w:r w:rsidRPr="009510D5">
              <w:rPr>
                <w:rFonts w:ascii="Calibri" w:hAnsi="Calibri"/>
                <w:sz w:val="18"/>
                <w:szCs w:val="18"/>
              </w:rPr>
              <w:t>$604,224</w:t>
            </w:r>
          </w:p>
        </w:tc>
        <w:tc>
          <w:tcPr>
            <w:tcW w:w="505" w:type="pct"/>
            <w:vAlign w:val="center"/>
          </w:tcPr>
          <w:p w14:paraId="1F1DF691" w14:textId="77777777" w:rsidR="00B32DDF" w:rsidRPr="009510D5" w:rsidRDefault="00B32DDF" w:rsidP="007B5E6C">
            <w:pPr>
              <w:jc w:val="right"/>
              <w:rPr>
                <w:sz w:val="18"/>
                <w:szCs w:val="18"/>
              </w:rPr>
            </w:pPr>
            <w:r w:rsidRPr="009510D5">
              <w:rPr>
                <w:rFonts w:ascii="Calibri" w:hAnsi="Calibri"/>
                <w:sz w:val="18"/>
                <w:szCs w:val="18"/>
              </w:rPr>
              <w:t>$1,456,979</w:t>
            </w:r>
          </w:p>
        </w:tc>
        <w:tc>
          <w:tcPr>
            <w:tcW w:w="548" w:type="pct"/>
            <w:vAlign w:val="center"/>
          </w:tcPr>
          <w:p w14:paraId="5B88EA6C" w14:textId="77777777" w:rsidR="00B32DDF" w:rsidRPr="009510D5" w:rsidRDefault="00B32DDF" w:rsidP="007B5E6C">
            <w:pPr>
              <w:jc w:val="right"/>
              <w:rPr>
                <w:sz w:val="18"/>
                <w:szCs w:val="18"/>
              </w:rPr>
            </w:pPr>
            <w:r w:rsidRPr="009510D5">
              <w:rPr>
                <w:rFonts w:ascii="Calibri" w:hAnsi="Calibri"/>
                <w:sz w:val="18"/>
                <w:szCs w:val="18"/>
              </w:rPr>
              <w:t>$2,040,310</w:t>
            </w:r>
          </w:p>
        </w:tc>
        <w:tc>
          <w:tcPr>
            <w:tcW w:w="548" w:type="pct"/>
            <w:vAlign w:val="center"/>
          </w:tcPr>
          <w:p w14:paraId="2E961198" w14:textId="77777777" w:rsidR="00B32DDF" w:rsidRPr="009510D5" w:rsidRDefault="00B32DDF" w:rsidP="007B5E6C">
            <w:pPr>
              <w:jc w:val="right"/>
              <w:rPr>
                <w:sz w:val="18"/>
                <w:szCs w:val="18"/>
              </w:rPr>
            </w:pPr>
            <w:r w:rsidRPr="009510D5">
              <w:rPr>
                <w:rFonts w:ascii="Calibri" w:hAnsi="Calibri"/>
                <w:sz w:val="18"/>
                <w:szCs w:val="18"/>
              </w:rPr>
              <w:t>$6,468,347</w:t>
            </w:r>
          </w:p>
        </w:tc>
        <w:tc>
          <w:tcPr>
            <w:tcW w:w="548" w:type="pct"/>
            <w:vAlign w:val="center"/>
          </w:tcPr>
          <w:p w14:paraId="4E2DBE53" w14:textId="77777777" w:rsidR="00B32DDF" w:rsidRPr="009510D5" w:rsidRDefault="00B32DDF" w:rsidP="007B5E6C">
            <w:pPr>
              <w:jc w:val="right"/>
              <w:rPr>
                <w:sz w:val="18"/>
                <w:szCs w:val="18"/>
              </w:rPr>
            </w:pPr>
            <w:r w:rsidRPr="009510D5">
              <w:rPr>
                <w:rFonts w:ascii="Calibri" w:hAnsi="Calibri"/>
                <w:sz w:val="18"/>
                <w:szCs w:val="18"/>
              </w:rPr>
              <w:t>$8,258,117</w:t>
            </w:r>
          </w:p>
        </w:tc>
        <w:tc>
          <w:tcPr>
            <w:tcW w:w="548" w:type="pct"/>
            <w:vAlign w:val="center"/>
          </w:tcPr>
          <w:p w14:paraId="4BEB4247" w14:textId="77777777" w:rsidR="00B32DDF" w:rsidRPr="009510D5" w:rsidRDefault="00B32DDF" w:rsidP="007B5E6C">
            <w:pPr>
              <w:jc w:val="right"/>
              <w:rPr>
                <w:sz w:val="18"/>
                <w:szCs w:val="18"/>
              </w:rPr>
            </w:pPr>
            <w:r w:rsidRPr="009510D5">
              <w:rPr>
                <w:rFonts w:ascii="Calibri" w:hAnsi="Calibri"/>
                <w:sz w:val="18"/>
                <w:szCs w:val="18"/>
              </w:rPr>
              <w:t>$7,210,082</w:t>
            </w:r>
          </w:p>
        </w:tc>
        <w:tc>
          <w:tcPr>
            <w:tcW w:w="548" w:type="pct"/>
            <w:vAlign w:val="center"/>
          </w:tcPr>
          <w:p w14:paraId="1B5A8C9D" w14:textId="77777777" w:rsidR="00B32DDF" w:rsidRPr="009510D5" w:rsidRDefault="00B32DDF" w:rsidP="007B5E6C">
            <w:pPr>
              <w:jc w:val="right"/>
              <w:rPr>
                <w:sz w:val="18"/>
                <w:szCs w:val="18"/>
              </w:rPr>
            </w:pPr>
            <w:r w:rsidRPr="009510D5">
              <w:rPr>
                <w:rFonts w:ascii="Calibri" w:hAnsi="Calibri"/>
                <w:sz w:val="18"/>
                <w:szCs w:val="18"/>
              </w:rPr>
              <w:t>$6,772,361</w:t>
            </w:r>
          </w:p>
        </w:tc>
        <w:tc>
          <w:tcPr>
            <w:tcW w:w="548" w:type="pct"/>
            <w:vAlign w:val="center"/>
          </w:tcPr>
          <w:p w14:paraId="7BD12F4F" w14:textId="77777777" w:rsidR="00B32DDF" w:rsidRPr="009510D5" w:rsidRDefault="00B32DDF" w:rsidP="007B5E6C">
            <w:pPr>
              <w:jc w:val="right"/>
              <w:rPr>
                <w:sz w:val="18"/>
                <w:szCs w:val="18"/>
              </w:rPr>
            </w:pPr>
            <w:r w:rsidRPr="009510D5">
              <w:rPr>
                <w:rFonts w:ascii="Calibri" w:hAnsi="Calibri"/>
                <w:sz w:val="18"/>
                <w:szCs w:val="18"/>
              </w:rPr>
              <w:t>$4,744,748</w:t>
            </w:r>
          </w:p>
        </w:tc>
      </w:tr>
      <w:tr w:rsidR="00B32DDF" w:rsidRPr="00D224F3" w14:paraId="67634DD9" w14:textId="77777777" w:rsidTr="00864885">
        <w:tc>
          <w:tcPr>
            <w:tcW w:w="702" w:type="pct"/>
            <w:vAlign w:val="center"/>
          </w:tcPr>
          <w:p w14:paraId="5A65DA9D" w14:textId="77777777" w:rsidR="00B32DDF" w:rsidRPr="009510D5" w:rsidRDefault="00B32DDF" w:rsidP="007B5E6C">
            <w:pPr>
              <w:rPr>
                <w:sz w:val="18"/>
                <w:szCs w:val="18"/>
              </w:rPr>
            </w:pPr>
            <w:r w:rsidRPr="009510D5">
              <w:rPr>
                <w:sz w:val="18"/>
                <w:szCs w:val="18"/>
              </w:rPr>
              <w:t>Infliximab</w:t>
            </w:r>
          </w:p>
        </w:tc>
        <w:tc>
          <w:tcPr>
            <w:tcW w:w="505" w:type="pct"/>
            <w:vAlign w:val="center"/>
          </w:tcPr>
          <w:p w14:paraId="10809726" w14:textId="77777777" w:rsidR="00B32DDF" w:rsidRPr="009510D5" w:rsidRDefault="00B32DDF" w:rsidP="007B5E6C">
            <w:pPr>
              <w:jc w:val="center"/>
              <w:rPr>
                <w:sz w:val="18"/>
                <w:szCs w:val="18"/>
              </w:rPr>
            </w:pPr>
            <w:r w:rsidRPr="009510D5">
              <w:rPr>
                <w:rFonts w:ascii="Calibri" w:hAnsi="Calibri"/>
                <w:sz w:val="18"/>
                <w:szCs w:val="18"/>
              </w:rPr>
              <w:t>-</w:t>
            </w:r>
          </w:p>
        </w:tc>
        <w:tc>
          <w:tcPr>
            <w:tcW w:w="505" w:type="pct"/>
            <w:vAlign w:val="center"/>
          </w:tcPr>
          <w:p w14:paraId="303345AD" w14:textId="77777777" w:rsidR="00B32DDF" w:rsidRPr="009510D5" w:rsidRDefault="00B32DDF" w:rsidP="007B5E6C">
            <w:pPr>
              <w:jc w:val="right"/>
              <w:rPr>
                <w:sz w:val="18"/>
                <w:szCs w:val="18"/>
              </w:rPr>
            </w:pPr>
            <w:r w:rsidRPr="009510D5">
              <w:rPr>
                <w:rFonts w:ascii="Calibri" w:hAnsi="Calibri"/>
                <w:sz w:val="18"/>
                <w:szCs w:val="18"/>
              </w:rPr>
              <w:t>$639,352</w:t>
            </w:r>
          </w:p>
        </w:tc>
        <w:tc>
          <w:tcPr>
            <w:tcW w:w="548" w:type="pct"/>
            <w:vAlign w:val="center"/>
          </w:tcPr>
          <w:p w14:paraId="3A04D284" w14:textId="77777777" w:rsidR="00B32DDF" w:rsidRPr="009510D5" w:rsidRDefault="00B32DDF" w:rsidP="007B5E6C">
            <w:pPr>
              <w:jc w:val="right"/>
              <w:rPr>
                <w:sz w:val="18"/>
                <w:szCs w:val="18"/>
              </w:rPr>
            </w:pPr>
            <w:r w:rsidRPr="009510D5">
              <w:rPr>
                <w:rFonts w:ascii="Calibri" w:hAnsi="Calibri"/>
                <w:sz w:val="18"/>
                <w:szCs w:val="18"/>
              </w:rPr>
              <w:t>$7,415,453</w:t>
            </w:r>
          </w:p>
        </w:tc>
        <w:tc>
          <w:tcPr>
            <w:tcW w:w="548" w:type="pct"/>
            <w:vAlign w:val="center"/>
          </w:tcPr>
          <w:p w14:paraId="660CF588" w14:textId="77777777" w:rsidR="00B32DDF" w:rsidRPr="009510D5" w:rsidRDefault="00B32DDF" w:rsidP="007B5E6C">
            <w:pPr>
              <w:jc w:val="right"/>
              <w:rPr>
                <w:sz w:val="18"/>
                <w:szCs w:val="18"/>
              </w:rPr>
            </w:pPr>
            <w:r w:rsidRPr="009510D5">
              <w:rPr>
                <w:rFonts w:ascii="Calibri" w:hAnsi="Calibri"/>
                <w:sz w:val="18"/>
                <w:szCs w:val="18"/>
              </w:rPr>
              <w:t>$8,521,039</w:t>
            </w:r>
          </w:p>
        </w:tc>
        <w:tc>
          <w:tcPr>
            <w:tcW w:w="548" w:type="pct"/>
            <w:vAlign w:val="center"/>
          </w:tcPr>
          <w:p w14:paraId="1A344B9C" w14:textId="77777777" w:rsidR="00B32DDF" w:rsidRPr="009510D5" w:rsidRDefault="00B32DDF" w:rsidP="007B5E6C">
            <w:pPr>
              <w:jc w:val="right"/>
              <w:rPr>
                <w:sz w:val="18"/>
                <w:szCs w:val="18"/>
              </w:rPr>
            </w:pPr>
            <w:r w:rsidRPr="009510D5">
              <w:rPr>
                <w:rFonts w:ascii="Calibri" w:hAnsi="Calibri"/>
                <w:sz w:val="18"/>
                <w:szCs w:val="18"/>
              </w:rPr>
              <w:t>$9,464,637</w:t>
            </w:r>
          </w:p>
        </w:tc>
        <w:tc>
          <w:tcPr>
            <w:tcW w:w="548" w:type="pct"/>
            <w:vAlign w:val="center"/>
          </w:tcPr>
          <w:p w14:paraId="6345540C" w14:textId="77777777" w:rsidR="00B32DDF" w:rsidRPr="009510D5" w:rsidRDefault="00B32DDF" w:rsidP="007B5E6C">
            <w:pPr>
              <w:jc w:val="right"/>
              <w:rPr>
                <w:sz w:val="18"/>
                <w:szCs w:val="18"/>
              </w:rPr>
            </w:pPr>
            <w:r w:rsidRPr="009510D5">
              <w:rPr>
                <w:rFonts w:ascii="Calibri" w:hAnsi="Calibri"/>
                <w:sz w:val="18"/>
                <w:szCs w:val="18"/>
              </w:rPr>
              <w:t>$8,474,020</w:t>
            </w:r>
          </w:p>
        </w:tc>
        <w:tc>
          <w:tcPr>
            <w:tcW w:w="548" w:type="pct"/>
            <w:vAlign w:val="center"/>
          </w:tcPr>
          <w:p w14:paraId="75B628EC" w14:textId="77777777" w:rsidR="00B32DDF" w:rsidRPr="009510D5" w:rsidRDefault="00B32DDF" w:rsidP="007B5E6C">
            <w:pPr>
              <w:jc w:val="right"/>
              <w:rPr>
                <w:sz w:val="18"/>
                <w:szCs w:val="18"/>
              </w:rPr>
            </w:pPr>
            <w:r w:rsidRPr="009510D5">
              <w:rPr>
                <w:rFonts w:ascii="Calibri" w:hAnsi="Calibri"/>
                <w:sz w:val="18"/>
                <w:szCs w:val="18"/>
              </w:rPr>
              <w:t>$8,051,959</w:t>
            </w:r>
          </w:p>
        </w:tc>
        <w:tc>
          <w:tcPr>
            <w:tcW w:w="548" w:type="pct"/>
            <w:vAlign w:val="center"/>
          </w:tcPr>
          <w:p w14:paraId="684CDA65" w14:textId="77777777" w:rsidR="00B32DDF" w:rsidRPr="009510D5" w:rsidRDefault="00B32DDF" w:rsidP="007B5E6C">
            <w:pPr>
              <w:jc w:val="right"/>
              <w:rPr>
                <w:sz w:val="18"/>
                <w:szCs w:val="18"/>
              </w:rPr>
            </w:pPr>
            <w:r w:rsidRPr="009510D5">
              <w:rPr>
                <w:rFonts w:ascii="Calibri" w:hAnsi="Calibri"/>
                <w:sz w:val="18"/>
                <w:szCs w:val="18"/>
              </w:rPr>
              <w:t>$4,998,282</w:t>
            </w:r>
          </w:p>
        </w:tc>
      </w:tr>
      <w:tr w:rsidR="00B32DDF" w:rsidRPr="00D224F3" w14:paraId="0C7A1018" w14:textId="77777777" w:rsidTr="00864885">
        <w:tc>
          <w:tcPr>
            <w:tcW w:w="702" w:type="pct"/>
            <w:vAlign w:val="center"/>
          </w:tcPr>
          <w:p w14:paraId="67AE7305" w14:textId="77777777" w:rsidR="00B32DDF" w:rsidRPr="009510D5" w:rsidRDefault="00B32DDF" w:rsidP="007B5E6C">
            <w:pPr>
              <w:rPr>
                <w:sz w:val="18"/>
                <w:szCs w:val="18"/>
              </w:rPr>
            </w:pPr>
            <w:proofErr w:type="spellStart"/>
            <w:r w:rsidRPr="009510D5">
              <w:rPr>
                <w:sz w:val="18"/>
                <w:szCs w:val="18"/>
              </w:rPr>
              <w:t>Ustekinumab</w:t>
            </w:r>
            <w:proofErr w:type="spellEnd"/>
          </w:p>
        </w:tc>
        <w:tc>
          <w:tcPr>
            <w:tcW w:w="505" w:type="pct"/>
            <w:vAlign w:val="center"/>
          </w:tcPr>
          <w:p w14:paraId="2A7F63F4" w14:textId="77777777" w:rsidR="00B32DDF" w:rsidRPr="009510D5" w:rsidRDefault="00B32DDF" w:rsidP="007B5E6C">
            <w:pPr>
              <w:jc w:val="center"/>
              <w:rPr>
                <w:sz w:val="18"/>
                <w:szCs w:val="18"/>
              </w:rPr>
            </w:pPr>
            <w:r w:rsidRPr="009510D5">
              <w:rPr>
                <w:rFonts w:ascii="Calibri" w:hAnsi="Calibri"/>
                <w:sz w:val="18"/>
                <w:szCs w:val="18"/>
              </w:rPr>
              <w:t>-</w:t>
            </w:r>
          </w:p>
        </w:tc>
        <w:tc>
          <w:tcPr>
            <w:tcW w:w="505" w:type="pct"/>
            <w:vAlign w:val="center"/>
          </w:tcPr>
          <w:p w14:paraId="742A5903" w14:textId="77777777" w:rsidR="00B32DDF" w:rsidRPr="009510D5" w:rsidRDefault="00B32DDF" w:rsidP="007B5E6C">
            <w:pPr>
              <w:jc w:val="center"/>
              <w:rPr>
                <w:sz w:val="18"/>
                <w:szCs w:val="18"/>
              </w:rPr>
            </w:pPr>
            <w:r w:rsidRPr="009510D5">
              <w:rPr>
                <w:rFonts w:ascii="Calibri" w:hAnsi="Calibri"/>
                <w:sz w:val="18"/>
                <w:szCs w:val="18"/>
              </w:rPr>
              <w:t>-</w:t>
            </w:r>
          </w:p>
        </w:tc>
        <w:tc>
          <w:tcPr>
            <w:tcW w:w="548" w:type="pct"/>
            <w:vAlign w:val="center"/>
          </w:tcPr>
          <w:p w14:paraId="17A5ABF9" w14:textId="77777777" w:rsidR="00B32DDF" w:rsidRPr="009510D5" w:rsidRDefault="00B32DDF" w:rsidP="007B5E6C">
            <w:pPr>
              <w:jc w:val="center"/>
              <w:rPr>
                <w:sz w:val="18"/>
                <w:szCs w:val="18"/>
              </w:rPr>
            </w:pPr>
            <w:r w:rsidRPr="009510D5">
              <w:rPr>
                <w:rFonts w:ascii="Calibri" w:hAnsi="Calibri"/>
                <w:sz w:val="18"/>
                <w:szCs w:val="18"/>
              </w:rPr>
              <w:t>-</w:t>
            </w:r>
          </w:p>
        </w:tc>
        <w:tc>
          <w:tcPr>
            <w:tcW w:w="548" w:type="pct"/>
            <w:vAlign w:val="center"/>
          </w:tcPr>
          <w:p w14:paraId="49C327E1" w14:textId="77777777" w:rsidR="00B32DDF" w:rsidRPr="009510D5" w:rsidRDefault="00B32DDF" w:rsidP="007B5E6C">
            <w:pPr>
              <w:jc w:val="center"/>
              <w:rPr>
                <w:sz w:val="18"/>
                <w:szCs w:val="18"/>
              </w:rPr>
            </w:pPr>
            <w:r w:rsidRPr="009510D5">
              <w:rPr>
                <w:rFonts w:ascii="Calibri" w:hAnsi="Calibri"/>
                <w:sz w:val="18"/>
                <w:szCs w:val="18"/>
              </w:rPr>
              <w:t>-</w:t>
            </w:r>
          </w:p>
        </w:tc>
        <w:tc>
          <w:tcPr>
            <w:tcW w:w="548" w:type="pct"/>
            <w:vAlign w:val="center"/>
          </w:tcPr>
          <w:p w14:paraId="5EDDB3F6" w14:textId="77777777" w:rsidR="00B32DDF" w:rsidRPr="009510D5" w:rsidRDefault="00B32DDF" w:rsidP="007B5E6C">
            <w:pPr>
              <w:jc w:val="right"/>
              <w:rPr>
                <w:sz w:val="18"/>
                <w:szCs w:val="18"/>
              </w:rPr>
            </w:pPr>
            <w:r w:rsidRPr="009510D5">
              <w:rPr>
                <w:rFonts w:ascii="Calibri" w:hAnsi="Calibri"/>
                <w:sz w:val="18"/>
                <w:szCs w:val="18"/>
              </w:rPr>
              <w:t>$8,726,002</w:t>
            </w:r>
          </w:p>
        </w:tc>
        <w:tc>
          <w:tcPr>
            <w:tcW w:w="548" w:type="pct"/>
            <w:vAlign w:val="center"/>
          </w:tcPr>
          <w:p w14:paraId="7A4DBA4F" w14:textId="77777777" w:rsidR="00B32DDF" w:rsidRPr="009510D5" w:rsidRDefault="00B32DDF" w:rsidP="007B5E6C">
            <w:pPr>
              <w:jc w:val="right"/>
              <w:rPr>
                <w:sz w:val="18"/>
                <w:szCs w:val="18"/>
              </w:rPr>
            </w:pPr>
            <w:r w:rsidRPr="009510D5">
              <w:rPr>
                <w:rFonts w:ascii="Calibri" w:hAnsi="Calibri"/>
                <w:sz w:val="18"/>
                <w:szCs w:val="18"/>
              </w:rPr>
              <w:t>$17,930,733</w:t>
            </w:r>
          </w:p>
        </w:tc>
        <w:tc>
          <w:tcPr>
            <w:tcW w:w="548" w:type="pct"/>
            <w:vAlign w:val="center"/>
          </w:tcPr>
          <w:p w14:paraId="12F14FA7" w14:textId="77777777" w:rsidR="00B32DDF" w:rsidRPr="009510D5" w:rsidRDefault="00B32DDF" w:rsidP="007B5E6C">
            <w:pPr>
              <w:jc w:val="right"/>
              <w:rPr>
                <w:sz w:val="18"/>
                <w:szCs w:val="18"/>
              </w:rPr>
            </w:pPr>
            <w:r w:rsidRPr="009510D5">
              <w:rPr>
                <w:rFonts w:ascii="Calibri" w:hAnsi="Calibri"/>
                <w:sz w:val="18"/>
                <w:szCs w:val="18"/>
              </w:rPr>
              <w:t>$25,489,886</w:t>
            </w:r>
          </w:p>
        </w:tc>
        <w:tc>
          <w:tcPr>
            <w:tcW w:w="548" w:type="pct"/>
            <w:vAlign w:val="center"/>
          </w:tcPr>
          <w:p w14:paraId="4E89832C" w14:textId="77777777" w:rsidR="00B32DDF" w:rsidRPr="009510D5" w:rsidRDefault="00B32DDF" w:rsidP="007B5E6C">
            <w:pPr>
              <w:jc w:val="right"/>
              <w:rPr>
                <w:sz w:val="18"/>
                <w:szCs w:val="18"/>
              </w:rPr>
            </w:pPr>
            <w:r w:rsidRPr="009510D5">
              <w:rPr>
                <w:rFonts w:ascii="Calibri" w:hAnsi="Calibri"/>
                <w:sz w:val="18"/>
                <w:szCs w:val="18"/>
              </w:rPr>
              <w:t>$24,606,551</w:t>
            </w:r>
          </w:p>
        </w:tc>
      </w:tr>
      <w:tr w:rsidR="00B32DDF" w:rsidRPr="00D224F3" w14:paraId="3DCDEBFA" w14:textId="77777777" w:rsidTr="00864885">
        <w:tc>
          <w:tcPr>
            <w:tcW w:w="702" w:type="pct"/>
            <w:vAlign w:val="center"/>
          </w:tcPr>
          <w:p w14:paraId="41C82BC8" w14:textId="77777777" w:rsidR="00B32DDF" w:rsidRPr="009510D5" w:rsidRDefault="00B32DDF" w:rsidP="007B5E6C">
            <w:pPr>
              <w:rPr>
                <w:b/>
                <w:sz w:val="18"/>
                <w:szCs w:val="18"/>
              </w:rPr>
            </w:pPr>
            <w:r w:rsidRPr="009510D5">
              <w:rPr>
                <w:b/>
                <w:sz w:val="18"/>
                <w:szCs w:val="18"/>
              </w:rPr>
              <w:t>Total</w:t>
            </w:r>
          </w:p>
        </w:tc>
        <w:tc>
          <w:tcPr>
            <w:tcW w:w="505" w:type="pct"/>
            <w:vAlign w:val="center"/>
          </w:tcPr>
          <w:p w14:paraId="374460F0" w14:textId="77777777" w:rsidR="00B32DDF" w:rsidRPr="009510D5" w:rsidRDefault="00B32DDF" w:rsidP="007B5E6C">
            <w:pPr>
              <w:jc w:val="right"/>
              <w:rPr>
                <w:b/>
                <w:sz w:val="18"/>
                <w:szCs w:val="18"/>
              </w:rPr>
            </w:pPr>
            <w:r w:rsidRPr="009510D5">
              <w:rPr>
                <w:rFonts w:ascii="Calibri" w:hAnsi="Calibri"/>
                <w:b/>
                <w:sz w:val="18"/>
                <w:szCs w:val="18"/>
              </w:rPr>
              <w:t>$4,572,853</w:t>
            </w:r>
          </w:p>
        </w:tc>
        <w:tc>
          <w:tcPr>
            <w:tcW w:w="505" w:type="pct"/>
            <w:vAlign w:val="center"/>
          </w:tcPr>
          <w:p w14:paraId="5547A363" w14:textId="77777777" w:rsidR="00B32DDF" w:rsidRPr="009510D5" w:rsidRDefault="00B32DDF" w:rsidP="007B5E6C">
            <w:pPr>
              <w:jc w:val="right"/>
              <w:rPr>
                <w:b/>
                <w:sz w:val="18"/>
                <w:szCs w:val="18"/>
              </w:rPr>
            </w:pPr>
            <w:r w:rsidRPr="009510D5">
              <w:rPr>
                <w:rFonts w:ascii="Calibri" w:hAnsi="Calibri"/>
                <w:b/>
                <w:sz w:val="18"/>
                <w:szCs w:val="18"/>
              </w:rPr>
              <w:t>$7,028,765</w:t>
            </w:r>
          </w:p>
        </w:tc>
        <w:tc>
          <w:tcPr>
            <w:tcW w:w="548" w:type="pct"/>
            <w:vAlign w:val="center"/>
          </w:tcPr>
          <w:p w14:paraId="385402C1" w14:textId="77777777" w:rsidR="00B32DDF" w:rsidRPr="009510D5" w:rsidRDefault="00B32DDF" w:rsidP="007B5E6C">
            <w:pPr>
              <w:jc w:val="right"/>
              <w:rPr>
                <w:b/>
                <w:sz w:val="18"/>
                <w:szCs w:val="18"/>
              </w:rPr>
            </w:pPr>
            <w:r w:rsidRPr="009510D5">
              <w:rPr>
                <w:rFonts w:ascii="Calibri" w:hAnsi="Calibri"/>
                <w:b/>
                <w:sz w:val="18"/>
                <w:szCs w:val="18"/>
              </w:rPr>
              <w:t>$14,806,298</w:t>
            </w:r>
          </w:p>
        </w:tc>
        <w:tc>
          <w:tcPr>
            <w:tcW w:w="548" w:type="pct"/>
            <w:vAlign w:val="center"/>
          </w:tcPr>
          <w:p w14:paraId="09FA6E46" w14:textId="77777777" w:rsidR="00B32DDF" w:rsidRPr="009510D5" w:rsidRDefault="00B32DDF" w:rsidP="007B5E6C">
            <w:pPr>
              <w:jc w:val="right"/>
              <w:rPr>
                <w:b/>
                <w:sz w:val="18"/>
                <w:szCs w:val="18"/>
              </w:rPr>
            </w:pPr>
            <w:r w:rsidRPr="009510D5">
              <w:rPr>
                <w:rFonts w:ascii="Calibri" w:hAnsi="Calibri"/>
                <w:b/>
                <w:sz w:val="18"/>
                <w:szCs w:val="18"/>
              </w:rPr>
              <w:t>$21,812,130</w:t>
            </w:r>
          </w:p>
        </w:tc>
        <w:tc>
          <w:tcPr>
            <w:tcW w:w="548" w:type="pct"/>
            <w:vAlign w:val="center"/>
          </w:tcPr>
          <w:p w14:paraId="676523D5" w14:textId="77777777" w:rsidR="00B32DDF" w:rsidRPr="009510D5" w:rsidRDefault="00B32DDF" w:rsidP="007B5E6C">
            <w:pPr>
              <w:jc w:val="right"/>
              <w:rPr>
                <w:b/>
                <w:sz w:val="18"/>
                <w:szCs w:val="18"/>
              </w:rPr>
            </w:pPr>
            <w:r w:rsidRPr="009510D5">
              <w:rPr>
                <w:rFonts w:ascii="Calibri" w:hAnsi="Calibri"/>
                <w:b/>
                <w:sz w:val="18"/>
                <w:szCs w:val="18"/>
              </w:rPr>
              <w:t>$40,763,096</w:t>
            </w:r>
          </w:p>
        </w:tc>
        <w:tc>
          <w:tcPr>
            <w:tcW w:w="548" w:type="pct"/>
            <w:vAlign w:val="center"/>
          </w:tcPr>
          <w:p w14:paraId="2E1C8942" w14:textId="77777777" w:rsidR="00B32DDF" w:rsidRPr="009510D5" w:rsidRDefault="00B32DDF" w:rsidP="007B5E6C">
            <w:pPr>
              <w:jc w:val="right"/>
              <w:rPr>
                <w:b/>
                <w:sz w:val="18"/>
                <w:szCs w:val="18"/>
              </w:rPr>
            </w:pPr>
            <w:r w:rsidRPr="009510D5">
              <w:rPr>
                <w:rFonts w:ascii="Calibri" w:hAnsi="Calibri"/>
                <w:b/>
                <w:sz w:val="18"/>
                <w:szCs w:val="18"/>
              </w:rPr>
              <w:t>$50,321,022</w:t>
            </w:r>
          </w:p>
        </w:tc>
        <w:tc>
          <w:tcPr>
            <w:tcW w:w="548" w:type="pct"/>
            <w:vAlign w:val="center"/>
          </w:tcPr>
          <w:p w14:paraId="17CA6B84" w14:textId="77777777" w:rsidR="00B32DDF" w:rsidRPr="009510D5" w:rsidRDefault="00B32DDF" w:rsidP="007B5E6C">
            <w:pPr>
              <w:jc w:val="right"/>
              <w:rPr>
                <w:b/>
                <w:sz w:val="18"/>
                <w:szCs w:val="18"/>
              </w:rPr>
            </w:pPr>
            <w:r w:rsidRPr="009510D5">
              <w:rPr>
                <w:rFonts w:ascii="Calibri" w:hAnsi="Calibri"/>
                <w:b/>
                <w:sz w:val="18"/>
                <w:szCs w:val="18"/>
              </w:rPr>
              <w:t>$60,272,278</w:t>
            </w:r>
          </w:p>
        </w:tc>
        <w:tc>
          <w:tcPr>
            <w:tcW w:w="548" w:type="pct"/>
            <w:vAlign w:val="center"/>
          </w:tcPr>
          <w:p w14:paraId="4B8B65D1" w14:textId="77777777" w:rsidR="00B32DDF" w:rsidRPr="009510D5" w:rsidRDefault="00B32DDF" w:rsidP="007B5E6C">
            <w:pPr>
              <w:jc w:val="right"/>
              <w:rPr>
                <w:b/>
                <w:sz w:val="18"/>
                <w:szCs w:val="18"/>
              </w:rPr>
            </w:pPr>
            <w:r w:rsidRPr="009510D5">
              <w:rPr>
                <w:rFonts w:ascii="Calibri" w:hAnsi="Calibri"/>
                <w:b/>
                <w:sz w:val="18"/>
                <w:szCs w:val="18"/>
              </w:rPr>
              <w:t>$50,683,719</w:t>
            </w:r>
          </w:p>
        </w:tc>
      </w:tr>
    </w:tbl>
    <w:p w14:paraId="1FE2A2A0" w14:textId="2E332231" w:rsidR="00B32DDF" w:rsidRPr="00D224F3" w:rsidRDefault="00B32DDF" w:rsidP="00B32DDF">
      <w:pPr>
        <w:rPr>
          <w:sz w:val="20"/>
          <w:szCs w:val="20"/>
        </w:rPr>
      </w:pPr>
      <w:r w:rsidRPr="00D224F3">
        <w:rPr>
          <w:sz w:val="20"/>
          <w:szCs w:val="20"/>
        </w:rPr>
        <w:lastRenderedPageBreak/>
        <w:t>Source: DHS</w:t>
      </w:r>
      <w:r w:rsidR="005F7394">
        <w:rPr>
          <w:sz w:val="20"/>
          <w:szCs w:val="20"/>
        </w:rPr>
        <w:t xml:space="preserve"> Medicare</w:t>
      </w:r>
      <w:r w:rsidRPr="00D224F3">
        <w:rPr>
          <w:sz w:val="20"/>
          <w:szCs w:val="20"/>
        </w:rPr>
        <w:t xml:space="preserve"> Supplied Prescription Database, extracted March 2014, Highly Specialised Drugs Database (infliximab only), extracted March 2014</w:t>
      </w:r>
      <w:r w:rsidRPr="00D224F3">
        <w:rPr>
          <w:sz w:val="20"/>
          <w:szCs w:val="20"/>
        </w:rPr>
        <w:br/>
        <w:t xml:space="preserve">Note: Special pricing arrangements apply for all </w:t>
      </w:r>
      <w:proofErr w:type="spellStart"/>
      <w:r w:rsidRPr="00D224F3">
        <w:rPr>
          <w:sz w:val="20"/>
          <w:szCs w:val="20"/>
        </w:rPr>
        <w:t>bDMARDs</w:t>
      </w:r>
      <w:proofErr w:type="spellEnd"/>
      <w:r w:rsidRPr="00D224F3">
        <w:rPr>
          <w:sz w:val="20"/>
          <w:szCs w:val="20"/>
        </w:rPr>
        <w:t xml:space="preserve"> listed for psoriasis</w:t>
      </w:r>
      <w:r w:rsidR="00FE1718">
        <w:rPr>
          <w:sz w:val="20"/>
          <w:szCs w:val="20"/>
        </w:rPr>
        <w:t>.</w:t>
      </w:r>
    </w:p>
    <w:p w14:paraId="54858E91" w14:textId="313A3259" w:rsidR="00B32DDF" w:rsidRPr="00D224F3" w:rsidRDefault="00B32DDF" w:rsidP="00B32DDF">
      <w:r w:rsidRPr="00D224F3">
        <w:t>Annual expenditure has increased</w:t>
      </w:r>
      <w:r w:rsidR="00975055">
        <w:t xml:space="preserve"> for most of the </w:t>
      </w:r>
      <w:proofErr w:type="spellStart"/>
      <w:r w:rsidR="00975055">
        <w:t>bDMARDs</w:t>
      </w:r>
      <w:proofErr w:type="spellEnd"/>
      <w:r w:rsidR="00975055">
        <w:t xml:space="preserve"> for psoriasis</w:t>
      </w:r>
      <w:r w:rsidR="00EC70F2">
        <w:t xml:space="preserve">.  </w:t>
      </w:r>
      <w:r w:rsidRPr="00D224F3">
        <w:t xml:space="preserve">Annual expenditure on infliximab and </w:t>
      </w:r>
      <w:proofErr w:type="spellStart"/>
      <w:r w:rsidRPr="00D224F3">
        <w:t>etanercept</w:t>
      </w:r>
      <w:proofErr w:type="spellEnd"/>
      <w:r w:rsidRPr="00D224F3">
        <w:t xml:space="preserve"> has slightly</w:t>
      </w:r>
      <w:r w:rsidR="00725CCC">
        <w:t xml:space="preserve"> decreased.  </w:t>
      </w:r>
      <w:proofErr w:type="spellStart"/>
      <w:r w:rsidR="00725CCC">
        <w:t>U</w:t>
      </w:r>
      <w:r w:rsidRPr="00D224F3">
        <w:t>stekinumab</w:t>
      </w:r>
      <w:proofErr w:type="spellEnd"/>
      <w:r w:rsidRPr="00D224F3">
        <w:t xml:space="preserve"> and infliximab have highe</w:t>
      </w:r>
      <w:r w:rsidR="00FE1718">
        <w:t>r prices than the other agents.</w:t>
      </w:r>
    </w:p>
    <w:p w14:paraId="1F088AFA" w14:textId="77777777" w:rsidR="00572B4F" w:rsidRPr="00D224F3" w:rsidRDefault="00572B4F" w:rsidP="00572B4F">
      <w:r w:rsidRPr="00D224F3">
        <w:t xml:space="preserve">PBS benefits on </w:t>
      </w:r>
      <w:proofErr w:type="spellStart"/>
      <w:r w:rsidRPr="00D224F3">
        <w:t>bDMARDs</w:t>
      </w:r>
      <w:proofErr w:type="spellEnd"/>
      <w:r w:rsidRPr="00D224F3">
        <w:t xml:space="preserve"> for psoriasis have increased substantially since the first years of listing, with a particularly large increase in 2009 where expenditure almost doubled. </w:t>
      </w:r>
    </w:p>
    <w:p w14:paraId="3555DFBA" w14:textId="60E8E761" w:rsidR="00591512" w:rsidRDefault="00AB3733" w:rsidP="00FD13CD">
      <w:pPr>
        <w:pStyle w:val="Heading3"/>
      </w:pPr>
      <w:r>
        <w:t>D</w:t>
      </w:r>
      <w:r w:rsidR="007346C7" w:rsidRPr="005E22C2">
        <w:t>iscussion</w:t>
      </w:r>
    </w:p>
    <w:p w14:paraId="231DCDC8" w14:textId="52C4D271" w:rsidR="001B5482" w:rsidRPr="00D224F3" w:rsidRDefault="001B5482" w:rsidP="001B5482">
      <w:r w:rsidRPr="00D224F3">
        <w:t xml:space="preserve">There has been a steady increase in the total number of patients treated with </w:t>
      </w:r>
      <w:proofErr w:type="spellStart"/>
      <w:r w:rsidRPr="00D224F3">
        <w:t>bDMARDs</w:t>
      </w:r>
      <w:proofErr w:type="spellEnd"/>
      <w:r w:rsidRPr="00D224F3">
        <w:t xml:space="preserve"> for psoriasis</w:t>
      </w:r>
      <w:r w:rsidR="0056188D">
        <w:t xml:space="preserve">.  </w:t>
      </w:r>
      <w:r w:rsidRPr="00D224F3">
        <w:t xml:space="preserve">The number of new patients starting treatment has been relatively constant since the first listing in 2006 of approximately 500 new patients per year. </w:t>
      </w:r>
    </w:p>
    <w:p w14:paraId="496C3099" w14:textId="5F297CB6" w:rsidR="001B5482" w:rsidRPr="001A1C72" w:rsidRDefault="001B5482" w:rsidP="001B5482">
      <w:r w:rsidRPr="00D224F3">
        <w:t xml:space="preserve">There was substantial variation in the estimated eligible patient numbers among the submissions. These varied from less than 1,500 patients treated with </w:t>
      </w:r>
      <w:proofErr w:type="spellStart"/>
      <w:r w:rsidRPr="00D224F3">
        <w:t>bDMARDs</w:t>
      </w:r>
      <w:proofErr w:type="spellEnd"/>
      <w:r w:rsidRPr="00D224F3">
        <w:t xml:space="preserve"> to over 10,000 patients eligi</w:t>
      </w:r>
      <w:r w:rsidR="00EB4564">
        <w:t xml:space="preserve">ble for treatment with </w:t>
      </w:r>
      <w:proofErr w:type="spellStart"/>
      <w:r w:rsidR="00EB4564">
        <w:t>bDMARDs</w:t>
      </w:r>
      <w:proofErr w:type="spellEnd"/>
      <w:r w:rsidR="00EB4564" w:rsidRPr="001A1C72">
        <w:t xml:space="preserve">.  </w:t>
      </w:r>
      <w:r w:rsidRPr="001A1C72">
        <w:t xml:space="preserve">There were large variations in the estimates of severe disease and how many patients would have failed other therapies. </w:t>
      </w:r>
      <w:r w:rsidR="00B24E41">
        <w:t xml:space="preserve"> </w:t>
      </w:r>
      <w:r w:rsidRPr="001A1C72">
        <w:t xml:space="preserve">This is likely to reflect a lack of data on the severity of psoriasis and the number of patients unsatisfactorily treated with non-biological therapies. </w:t>
      </w:r>
    </w:p>
    <w:p w14:paraId="00903EE8" w14:textId="77777777" w:rsidR="00DF69B0" w:rsidRDefault="001B5482" w:rsidP="00DF69B0">
      <w:pPr>
        <w:contextualSpacing/>
        <w:rPr>
          <w:bCs/>
        </w:rPr>
      </w:pPr>
      <w:r w:rsidRPr="00D8502D">
        <w:t>Psoriasis has a bimodal age of onset with the first peak of onset occurring from age 15 to 20 years of age and the second peak occurring at 55-60 years.</w:t>
      </w:r>
      <w:r w:rsidRPr="00D8502D">
        <w:rPr>
          <w:rStyle w:val="FootnoteReference"/>
        </w:rPr>
        <w:footnoteReference w:id="3"/>
      </w:r>
      <w:r w:rsidRPr="00D8502D">
        <w:t xml:space="preserve">  Early onset psoriasis is considered to be more s</w:t>
      </w:r>
      <w:r w:rsidR="00EF053A">
        <w:t xml:space="preserve">evere than later onset disease.  </w:t>
      </w:r>
      <w:r w:rsidR="00D8502D" w:rsidRPr="00D8502D">
        <w:rPr>
          <w:bCs/>
        </w:rPr>
        <w:t xml:space="preserve">The age analysis showed that the highest use </w:t>
      </w:r>
      <w:r w:rsidR="00065E0B">
        <w:rPr>
          <w:bCs/>
        </w:rPr>
        <w:t xml:space="preserve">of PBS subsidised </w:t>
      </w:r>
      <w:proofErr w:type="spellStart"/>
      <w:r w:rsidR="00065E0B">
        <w:rPr>
          <w:bCs/>
        </w:rPr>
        <w:t>bDMARDs</w:t>
      </w:r>
      <w:proofErr w:type="spellEnd"/>
      <w:r w:rsidR="00065E0B">
        <w:rPr>
          <w:bCs/>
        </w:rPr>
        <w:t xml:space="preserve"> for psoriasis </w:t>
      </w:r>
      <w:r w:rsidR="00D8502D" w:rsidRPr="00D8502D">
        <w:rPr>
          <w:bCs/>
        </w:rPr>
        <w:t>was in patients aged between 40-55</w:t>
      </w:r>
      <w:r w:rsidR="002B67A2">
        <w:rPr>
          <w:bCs/>
        </w:rPr>
        <w:t xml:space="preserve"> </w:t>
      </w:r>
      <w:r w:rsidR="00EF053A">
        <w:rPr>
          <w:bCs/>
        </w:rPr>
        <w:t xml:space="preserve">years.  The </w:t>
      </w:r>
      <w:r w:rsidR="00D8502D" w:rsidRPr="00D8502D">
        <w:rPr>
          <w:bCs/>
        </w:rPr>
        <w:t>DUSC considered that this might be due to older patients having had the opportunity to trial and fail other therapies; and hence meet the restriction crite</w:t>
      </w:r>
      <w:r w:rsidR="00065E0B">
        <w:rPr>
          <w:bCs/>
        </w:rPr>
        <w:t>ria</w:t>
      </w:r>
      <w:r w:rsidR="00794685">
        <w:rPr>
          <w:bCs/>
        </w:rPr>
        <w:t>.</w:t>
      </w:r>
    </w:p>
    <w:p w14:paraId="35C5C7EC" w14:textId="77777777" w:rsidR="00DF69B0" w:rsidRDefault="00DF69B0" w:rsidP="00DF69B0">
      <w:pPr>
        <w:contextualSpacing/>
        <w:rPr>
          <w:bCs/>
        </w:rPr>
      </w:pPr>
    </w:p>
    <w:p w14:paraId="2D5F51D3" w14:textId="77777777" w:rsidR="009C707D" w:rsidRDefault="00C27995" w:rsidP="009C707D">
      <w:pPr>
        <w:contextualSpacing/>
        <w:rPr>
          <w:bCs/>
        </w:rPr>
      </w:pPr>
      <w:r w:rsidRPr="00DB667D">
        <w:rPr>
          <w:bCs/>
        </w:rPr>
        <w:t xml:space="preserve">The DUSC acknowledged that there may be use of </w:t>
      </w:r>
      <w:proofErr w:type="spellStart"/>
      <w:r w:rsidRPr="00DB667D">
        <w:rPr>
          <w:bCs/>
        </w:rPr>
        <w:t>bDMARDs</w:t>
      </w:r>
      <w:proofErr w:type="spellEnd"/>
      <w:r w:rsidRPr="00DB667D">
        <w:rPr>
          <w:bCs/>
        </w:rPr>
        <w:t xml:space="preserve"> for the treatment of moderate psoriasis through the PBS, although this cannot be ascertained from prescription data.  In addition to the Baker et al 2013 </w:t>
      </w:r>
      <w:r w:rsidRPr="00DB667D">
        <w:rPr>
          <w:rFonts w:eastAsia="Calibri" w:cs="Times New Roman"/>
          <w:lang w:val="en-US"/>
        </w:rPr>
        <w:t>consensus repor</w:t>
      </w:r>
      <w:r w:rsidR="00635058" w:rsidRPr="00DB667D">
        <w:rPr>
          <w:rFonts w:eastAsia="Calibri" w:cs="Times New Roman"/>
          <w:lang w:val="en-US"/>
        </w:rPr>
        <w:t>t</w:t>
      </w:r>
      <w:r w:rsidRPr="00DB667D">
        <w:rPr>
          <w:rStyle w:val="FootnoteReference"/>
          <w:rFonts w:eastAsia="Calibri" w:cs="Times New Roman"/>
          <w:lang w:val="en-US"/>
        </w:rPr>
        <w:footnoteReference w:id="4"/>
      </w:r>
      <w:r w:rsidRPr="00DB667D">
        <w:rPr>
          <w:rFonts w:eastAsia="Calibri" w:cs="Times New Roman"/>
          <w:lang w:val="en-US"/>
        </w:rPr>
        <w:t xml:space="preserve"> that considers a wider group of patients are suitable for biological therapies than currently </w:t>
      </w:r>
      <w:proofErr w:type="spellStart"/>
      <w:r w:rsidRPr="00DB667D">
        <w:rPr>
          <w:rFonts w:eastAsia="Calibri" w:cs="Times New Roman"/>
          <w:lang w:val="en-US"/>
        </w:rPr>
        <w:t>subsidised</w:t>
      </w:r>
      <w:proofErr w:type="spellEnd"/>
      <w:r w:rsidRPr="00DB667D">
        <w:rPr>
          <w:bCs/>
        </w:rPr>
        <w:t xml:space="preserve">, </w:t>
      </w:r>
      <w:r w:rsidR="00965310" w:rsidRPr="00DB667D">
        <w:rPr>
          <w:bCs/>
        </w:rPr>
        <w:t xml:space="preserve">the </w:t>
      </w:r>
      <w:r w:rsidRPr="00DB667D">
        <w:rPr>
          <w:bCs/>
        </w:rPr>
        <w:t xml:space="preserve">DUSC noted all four </w:t>
      </w:r>
      <w:proofErr w:type="spellStart"/>
      <w:r w:rsidRPr="00DB667D">
        <w:rPr>
          <w:bCs/>
        </w:rPr>
        <w:t>bDMARDs</w:t>
      </w:r>
      <w:proofErr w:type="spellEnd"/>
      <w:r w:rsidRPr="00DB667D">
        <w:rPr>
          <w:bCs/>
        </w:rPr>
        <w:t xml:space="preserve"> have clinical trial evidence and TGA registration for the broader moderate to severe psoriasis indication.  </w:t>
      </w:r>
      <w:r w:rsidR="00965310" w:rsidRPr="00DB667D">
        <w:rPr>
          <w:bCs/>
        </w:rPr>
        <w:t xml:space="preserve">The </w:t>
      </w:r>
      <w:r w:rsidRPr="00DB667D">
        <w:rPr>
          <w:bCs/>
        </w:rPr>
        <w:t>DUSC also noted the National Institute of Health and Care Excellence (NICE) guidance recommend use</w:t>
      </w:r>
      <w:r w:rsidR="007F5F84" w:rsidRPr="00DB667D">
        <w:rPr>
          <w:bCs/>
        </w:rPr>
        <w:t xml:space="preserve"> in moderate to severe disease.  The </w:t>
      </w:r>
      <w:r w:rsidR="00DB667D" w:rsidRPr="00DB667D">
        <w:rPr>
          <w:bCs/>
        </w:rPr>
        <w:t>DUSC considered that use outside the PBS restriction</w:t>
      </w:r>
      <w:r w:rsidRPr="00DB667D">
        <w:rPr>
          <w:bCs/>
        </w:rPr>
        <w:t xml:space="preserve"> to patients with less severe disease might be occurring, while some patients with severe refractory disease re</w:t>
      </w:r>
      <w:r w:rsidR="009C707D">
        <w:rPr>
          <w:bCs/>
        </w:rPr>
        <w:t xml:space="preserve">main unable to access </w:t>
      </w:r>
      <w:proofErr w:type="spellStart"/>
      <w:r w:rsidR="009C707D">
        <w:rPr>
          <w:bCs/>
        </w:rPr>
        <w:t>bDMARDs</w:t>
      </w:r>
      <w:proofErr w:type="spellEnd"/>
      <w:r w:rsidR="009C707D">
        <w:rPr>
          <w:bCs/>
        </w:rPr>
        <w:t>.</w:t>
      </w:r>
    </w:p>
    <w:p w14:paraId="7E70AA56" w14:textId="77777777" w:rsidR="009C707D" w:rsidRDefault="009C707D" w:rsidP="009C707D">
      <w:pPr>
        <w:contextualSpacing/>
        <w:rPr>
          <w:bCs/>
        </w:rPr>
      </w:pPr>
    </w:p>
    <w:p w14:paraId="48180224" w14:textId="0CF4AE37" w:rsidR="00C27995" w:rsidRPr="00D11A43" w:rsidRDefault="00C918BF" w:rsidP="009C707D">
      <w:pPr>
        <w:contextualSpacing/>
        <w:rPr>
          <w:bCs/>
        </w:rPr>
      </w:pPr>
      <w:r>
        <w:rPr>
          <w:bCs/>
        </w:rPr>
        <w:lastRenderedPageBreak/>
        <w:t xml:space="preserve">The </w:t>
      </w:r>
      <w:r w:rsidR="00C27995" w:rsidRPr="00D11A43">
        <w:rPr>
          <w:bCs/>
        </w:rPr>
        <w:t>DUSC agreed with advice from the Australasian College of Dermatologists that the lack of access to dermatologist</w:t>
      </w:r>
      <w:r w:rsidR="009C707D" w:rsidRPr="00D11A43">
        <w:rPr>
          <w:bCs/>
        </w:rPr>
        <w:t xml:space="preserve">s might be a barrier to access.  </w:t>
      </w:r>
      <w:r w:rsidR="00C27995" w:rsidRPr="00D11A43">
        <w:rPr>
          <w:bCs/>
        </w:rPr>
        <w:t>This was considered to be particularly likely for patients unable to access private dermatologists</w:t>
      </w:r>
      <w:r w:rsidR="009C707D" w:rsidRPr="00D11A43">
        <w:rPr>
          <w:bCs/>
        </w:rPr>
        <w:t xml:space="preserve"> due to cost or rural locality.  The </w:t>
      </w:r>
      <w:r w:rsidR="00C27995" w:rsidRPr="00D11A43">
        <w:rPr>
          <w:bCs/>
        </w:rPr>
        <w:t>DUSC noted that there are generally long waiting lists for appointments wi</w:t>
      </w:r>
      <w:r w:rsidR="009C707D" w:rsidRPr="00D11A43">
        <w:rPr>
          <w:bCs/>
        </w:rPr>
        <w:t xml:space="preserve">th public hospital specialists.  </w:t>
      </w:r>
      <w:r w:rsidR="00D11A43" w:rsidRPr="00D11A43">
        <w:rPr>
          <w:bCs/>
        </w:rPr>
        <w:t xml:space="preserve">The </w:t>
      </w:r>
      <w:r w:rsidR="00C27995" w:rsidRPr="00D11A43">
        <w:rPr>
          <w:bCs/>
        </w:rPr>
        <w:t>DUSC noted from the College’s response that some patients are unwilling to use non-</w:t>
      </w:r>
      <w:proofErr w:type="spellStart"/>
      <w:r w:rsidR="00C27995" w:rsidRPr="00D11A43">
        <w:rPr>
          <w:bCs/>
        </w:rPr>
        <w:t>bDMARD</w:t>
      </w:r>
      <w:proofErr w:type="spellEnd"/>
      <w:r w:rsidR="00C27995" w:rsidRPr="00D11A43">
        <w:rPr>
          <w:bCs/>
        </w:rPr>
        <w:t xml:space="preserve"> systemic therapies due to the associated toxicity. </w:t>
      </w:r>
    </w:p>
    <w:p w14:paraId="4B80DD73" w14:textId="77777777" w:rsidR="009C707D" w:rsidRDefault="009C707D" w:rsidP="001B5482">
      <w:pPr>
        <w:contextualSpacing/>
        <w:rPr>
          <w:i/>
        </w:rPr>
      </w:pPr>
    </w:p>
    <w:p w14:paraId="65F94A2A" w14:textId="4576BD49" w:rsidR="001B5482" w:rsidRDefault="00D11A43" w:rsidP="001B5482">
      <w:pPr>
        <w:contextualSpacing/>
      </w:pPr>
      <w:r w:rsidRPr="00A30835">
        <w:t xml:space="preserve">Long term extension studies suggest there may be some loss of response over time to </w:t>
      </w:r>
      <w:proofErr w:type="spellStart"/>
      <w:r w:rsidRPr="00A30835">
        <w:t>bDMARD</w:t>
      </w:r>
      <w:proofErr w:type="spellEnd"/>
      <w:r w:rsidRPr="00A30835">
        <w:t xml:space="preserve"> </w:t>
      </w:r>
      <w:r w:rsidR="00583F38">
        <w:t xml:space="preserve">treatment.  </w:t>
      </w:r>
      <w:r w:rsidR="001B5482" w:rsidRPr="00D224F3">
        <w:t xml:space="preserve">In an </w:t>
      </w:r>
      <w:proofErr w:type="spellStart"/>
      <w:r w:rsidR="001B5482" w:rsidRPr="00D224F3">
        <w:t>ustekinumab</w:t>
      </w:r>
      <w:proofErr w:type="spellEnd"/>
      <w:r w:rsidR="001B5482" w:rsidRPr="00D224F3">
        <w:t xml:space="preserve"> long term extension study, 80.1% of participants who achieved a PASI 75 response at week 12 maintained the response at 3 years.</w:t>
      </w:r>
      <w:r w:rsidR="001B5482" w:rsidRPr="00D224F3">
        <w:rPr>
          <w:rStyle w:val="FootnoteReference"/>
        </w:rPr>
        <w:footnoteReference w:id="5"/>
      </w:r>
      <w:r w:rsidR="00F31898">
        <w:t xml:space="preserve"> </w:t>
      </w:r>
      <w:r w:rsidR="001B5482" w:rsidRPr="00D224F3">
        <w:t xml:space="preserve"> Similarly, an </w:t>
      </w:r>
      <w:proofErr w:type="spellStart"/>
      <w:r w:rsidR="001B5482" w:rsidRPr="00D224F3">
        <w:t>adalimumab</w:t>
      </w:r>
      <w:proofErr w:type="spellEnd"/>
      <w:r w:rsidR="001B5482" w:rsidRPr="00D224F3">
        <w:t xml:space="preserve"> long term extension study</w:t>
      </w:r>
      <w:r w:rsidR="001B5482" w:rsidRPr="00D224F3">
        <w:rPr>
          <w:rStyle w:val="FootnoteReference"/>
        </w:rPr>
        <w:footnoteReference w:id="6"/>
      </w:r>
      <w:r w:rsidR="001B5482" w:rsidRPr="00D224F3">
        <w:t xml:space="preserve"> demonstrated that 76% of patients who had a PASI 75 response at 33 weeks maintained r</w:t>
      </w:r>
      <w:r w:rsidR="000A6E95">
        <w:t xml:space="preserve">esponse at 160 weeks (3 years).  </w:t>
      </w:r>
      <w:r w:rsidR="001B5482" w:rsidRPr="00D224F3">
        <w:t xml:space="preserve">In a long term follow up of </w:t>
      </w:r>
      <w:proofErr w:type="spellStart"/>
      <w:r w:rsidR="001B5482" w:rsidRPr="00D224F3">
        <w:t>etanercept</w:t>
      </w:r>
      <w:proofErr w:type="spellEnd"/>
      <w:r w:rsidR="001B5482" w:rsidRPr="00D224F3">
        <w:t>,</w:t>
      </w:r>
      <w:r w:rsidR="001B5482" w:rsidRPr="00D224F3">
        <w:rPr>
          <w:rStyle w:val="FootnoteReference"/>
        </w:rPr>
        <w:footnoteReference w:id="7"/>
      </w:r>
      <w:r w:rsidR="001B5482" w:rsidRPr="00D224F3">
        <w:t xml:space="preserve"> 51.1% of patients originally randomised to </w:t>
      </w:r>
      <w:proofErr w:type="spellStart"/>
      <w:r w:rsidR="001B5482" w:rsidRPr="00D224F3">
        <w:t>etanercept</w:t>
      </w:r>
      <w:proofErr w:type="spellEnd"/>
      <w:r w:rsidR="001B5482" w:rsidRPr="00D224F3">
        <w:t xml:space="preserve"> had a PASI 75 response at 96 weeks. </w:t>
      </w:r>
      <w:r w:rsidR="00ED4BE4">
        <w:t xml:space="preserve"> </w:t>
      </w:r>
      <w:r w:rsidR="001B5482" w:rsidRPr="00D224F3">
        <w:t xml:space="preserve">This study found PASI 75 response peaks at week 48 when 63.0% of patients randomised to </w:t>
      </w:r>
      <w:proofErr w:type="spellStart"/>
      <w:r w:rsidR="001B5482" w:rsidRPr="00D224F3">
        <w:t>etanercept</w:t>
      </w:r>
      <w:proofErr w:type="spellEnd"/>
      <w:r w:rsidR="001B5482" w:rsidRPr="00D224F3">
        <w:t xml:space="preserve"> had a PASI 75 response.</w:t>
      </w:r>
      <w:r w:rsidR="00ED4BE4">
        <w:t xml:space="preserve"> </w:t>
      </w:r>
      <w:r w:rsidR="001B5482" w:rsidRPr="00D224F3">
        <w:t xml:space="preserve"> It should be noted that this study examined the use of </w:t>
      </w:r>
      <w:proofErr w:type="spellStart"/>
      <w:r w:rsidR="001B5482" w:rsidRPr="00D224F3">
        <w:t>etanercept</w:t>
      </w:r>
      <w:proofErr w:type="spellEnd"/>
      <w:r w:rsidR="001B5482" w:rsidRPr="00D224F3">
        <w:t xml:space="preserve"> 50mg twice weekly, not the once weekly regimen listed on the PBS.</w:t>
      </w:r>
    </w:p>
    <w:p w14:paraId="7B3D02E2" w14:textId="77777777" w:rsidR="005B75D0" w:rsidRPr="00DD22CB" w:rsidRDefault="005B75D0" w:rsidP="001B5482">
      <w:pPr>
        <w:contextualSpacing/>
        <w:rPr>
          <w:bCs/>
        </w:rPr>
      </w:pPr>
    </w:p>
    <w:p w14:paraId="279F2046" w14:textId="70C7F775" w:rsidR="001B5482" w:rsidRPr="00433AD3" w:rsidRDefault="001B5482" w:rsidP="001B5482">
      <w:r w:rsidRPr="00D224F3">
        <w:t xml:space="preserve">There is some evidence to suggest that </w:t>
      </w:r>
      <w:proofErr w:type="spellStart"/>
      <w:r w:rsidRPr="00D224F3">
        <w:t>bDMARD</w:t>
      </w:r>
      <w:proofErr w:type="spellEnd"/>
      <w:r w:rsidRPr="00D224F3">
        <w:t xml:space="preserve"> withdrawal ma</w:t>
      </w:r>
      <w:r w:rsidR="00433AD3">
        <w:t xml:space="preserve">y result in disease recurrence.  </w:t>
      </w:r>
      <w:r w:rsidRPr="00D224F3">
        <w:t xml:space="preserve">An </w:t>
      </w:r>
      <w:proofErr w:type="spellStart"/>
      <w:r w:rsidRPr="00D224F3">
        <w:t>ustekinumab</w:t>
      </w:r>
      <w:proofErr w:type="spellEnd"/>
      <w:r w:rsidRPr="00D224F3">
        <w:t xml:space="preserve"> long term extension study</w:t>
      </w:r>
      <w:r w:rsidRPr="00D224F3">
        <w:rPr>
          <w:rStyle w:val="FootnoteReference"/>
        </w:rPr>
        <w:footnoteReference w:id="8"/>
      </w:r>
      <w:r w:rsidRPr="00D224F3">
        <w:t xml:space="preserve"> included a group of patients who</w:t>
      </w:r>
      <w:r w:rsidR="00433AD3">
        <w:t xml:space="preserve"> were re-randomised to placebo.  </w:t>
      </w:r>
      <w:r w:rsidRPr="00D224F3">
        <w:t>In these patients, a loss of PASI 75 response was seen in approximately 5</w:t>
      </w:r>
      <w:r w:rsidR="00433AD3">
        <w:t xml:space="preserve">0% of patients within 16 weeks.  </w:t>
      </w:r>
      <w:r w:rsidRPr="00D224F3">
        <w:t xml:space="preserve">An </w:t>
      </w:r>
      <w:proofErr w:type="spellStart"/>
      <w:r w:rsidRPr="00D224F3">
        <w:t>adalimumab</w:t>
      </w:r>
      <w:proofErr w:type="spellEnd"/>
      <w:r w:rsidRPr="00D224F3">
        <w:t xml:space="preserve"> extension study</w:t>
      </w:r>
      <w:r w:rsidRPr="00D224F3">
        <w:rPr>
          <w:rStyle w:val="FootnoteReference"/>
        </w:rPr>
        <w:footnoteReference w:id="9"/>
      </w:r>
      <w:r w:rsidRPr="00D224F3">
        <w:t>, where patients with stable psoriasis were withdrawn from treatment until relapse or a maximum of 40 w</w:t>
      </w:r>
      <w:r w:rsidR="00433AD3">
        <w:t xml:space="preserve">eeks, also had similar results.  </w:t>
      </w:r>
      <w:r w:rsidRPr="00D224F3">
        <w:t>Of 268 patients who ceased treatment, 1</w:t>
      </w:r>
      <w:r w:rsidR="00433AD3">
        <w:t xml:space="preserve">78 (62%) experienced a relapse.  </w:t>
      </w:r>
      <w:r w:rsidRPr="00D224F3">
        <w:t>The median time to relapse wa</w:t>
      </w:r>
      <w:r w:rsidR="00433AD3">
        <w:t xml:space="preserve">s 141 days.  </w:t>
      </w:r>
      <w:r w:rsidRPr="00433AD3">
        <w:t xml:space="preserve">The potential loss of a partial response that is less than PASI 75 response may encourage continuation where patients have failed other systemic therapies. </w:t>
      </w:r>
    </w:p>
    <w:p w14:paraId="5DC12AD2" w14:textId="21F3574A" w:rsidR="0051504A" w:rsidRDefault="00433AD3" w:rsidP="00514833">
      <w:r>
        <w:t>I</w:t>
      </w:r>
      <w:r w:rsidR="00A30835" w:rsidRPr="00433AD3">
        <w:t xml:space="preserve">n the context of high continuation rates, </w:t>
      </w:r>
      <w:r>
        <w:t xml:space="preserve">the DUSC considered </w:t>
      </w:r>
      <w:r w:rsidR="00A30835" w:rsidRPr="00433AD3">
        <w:t xml:space="preserve">a telephone </w:t>
      </w:r>
      <w:r>
        <w:t>authority approval may be suitable</w:t>
      </w:r>
      <w:r w:rsidR="00A30835" w:rsidRPr="00433AD3">
        <w:t xml:space="preserve"> for continuing supply</w:t>
      </w:r>
      <w:r>
        <w:t xml:space="preserve"> of </w:t>
      </w:r>
      <w:proofErr w:type="spellStart"/>
      <w:r>
        <w:t>bDMARDs</w:t>
      </w:r>
      <w:proofErr w:type="spellEnd"/>
      <w:r>
        <w:t xml:space="preserve"> for chronic plaque psoriasis</w:t>
      </w:r>
      <w:r w:rsidR="00023E44">
        <w:t>.  The D</w:t>
      </w:r>
      <w:r w:rsidR="00A30835" w:rsidRPr="00433AD3">
        <w:t xml:space="preserve">USC </w:t>
      </w:r>
      <w:r w:rsidR="0051504A">
        <w:t>referred this to the</w:t>
      </w:r>
      <w:r w:rsidR="00A30835" w:rsidRPr="00433AD3">
        <w:t xml:space="preserve"> Post-market Review of Authority Required PBS Listings.</w:t>
      </w:r>
    </w:p>
    <w:p w14:paraId="33982B38" w14:textId="77B1D7D4" w:rsidR="001B5482" w:rsidRPr="008E26FC" w:rsidRDefault="001B5482" w:rsidP="00514833">
      <w:r w:rsidRPr="00D224F3">
        <w:lastRenderedPageBreak/>
        <w:t xml:space="preserve">The number of children treated with </w:t>
      </w:r>
      <w:proofErr w:type="spellStart"/>
      <w:r w:rsidRPr="00D224F3">
        <w:t>etan</w:t>
      </w:r>
      <w:r w:rsidR="00BC2DDF">
        <w:t>ercept</w:t>
      </w:r>
      <w:proofErr w:type="spellEnd"/>
      <w:r w:rsidR="00BC2DDF">
        <w:t xml:space="preserve"> was lower than expected.  </w:t>
      </w:r>
      <w:r w:rsidRPr="00D224F3">
        <w:t>The PBAC had considered the submis</w:t>
      </w:r>
      <w:r w:rsidR="00BC2DDF">
        <w:t>sion estimates to be uncertain</w:t>
      </w:r>
      <w:r w:rsidR="00BC2DDF" w:rsidRPr="008E26FC">
        <w:t xml:space="preserve">.  </w:t>
      </w:r>
      <w:r w:rsidRPr="008E26FC">
        <w:t>The estimates of utilisati</w:t>
      </w:r>
      <w:r w:rsidR="00BC2DDF" w:rsidRPr="008E26FC">
        <w:t>on may have been overestimated.</w:t>
      </w:r>
    </w:p>
    <w:p w14:paraId="3A74B465" w14:textId="5C201DBF" w:rsidR="007346C7" w:rsidRDefault="00957837" w:rsidP="00FD13CD">
      <w:pPr>
        <w:pStyle w:val="Heading3"/>
      </w:pPr>
      <w:r>
        <w:t>DUSC actions</w:t>
      </w:r>
    </w:p>
    <w:p w14:paraId="5DC6FC9B" w14:textId="525B2B80" w:rsidR="00664CFA" w:rsidRDefault="00664CFA" w:rsidP="00664CFA">
      <w:pPr>
        <w:pStyle w:val="ListParagraph"/>
        <w:numPr>
          <w:ilvl w:val="0"/>
          <w:numId w:val="7"/>
        </w:numPr>
      </w:pPr>
      <w:r>
        <w:t>The DUSC referred the report to the PBAC for information.</w:t>
      </w:r>
    </w:p>
    <w:p w14:paraId="09A1034E" w14:textId="0EA0BEA5" w:rsidR="00EF66F8" w:rsidRPr="00EF66F8" w:rsidRDefault="00664CFA" w:rsidP="00664CFA">
      <w:pPr>
        <w:pStyle w:val="ListParagraph"/>
        <w:numPr>
          <w:ilvl w:val="0"/>
          <w:numId w:val="7"/>
        </w:numPr>
      </w:pPr>
      <w:r>
        <w:t>The DUSC referred the report to the Post-market Review of Authority Required PBS Listings.</w:t>
      </w:r>
    </w:p>
    <w:p w14:paraId="75A03124" w14:textId="77777777" w:rsidR="001B50CA" w:rsidRPr="0092516A" w:rsidRDefault="001B50CA" w:rsidP="00FD13CD">
      <w:pPr>
        <w:pStyle w:val="Heading3"/>
      </w:pPr>
      <w:r w:rsidRPr="0092516A">
        <w:t>Context for analysis</w:t>
      </w:r>
    </w:p>
    <w:p w14:paraId="1D8A2B2A" w14:textId="77777777" w:rsidR="001B50CA" w:rsidRPr="00241E48" w:rsidRDefault="001B50CA" w:rsidP="00FA2F2D">
      <w:pPr>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14:paraId="58A6B21D" w14:textId="77777777" w:rsidR="001B50CA" w:rsidRPr="00241E48" w:rsidRDefault="001B50CA" w:rsidP="00FA2F2D">
      <w:pPr>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E0BE3CC" w14:textId="77777777" w:rsidR="001B50CA" w:rsidRDefault="001B50CA" w:rsidP="00FA2F2D">
      <w:pPr>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2A85FF2" w14:textId="77777777" w:rsidR="00C75822" w:rsidRDefault="00C75822" w:rsidP="00FA2F2D">
      <w:pPr>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14:paraId="44EFDCE9" w14:textId="77777777" w:rsidR="003529E0" w:rsidRDefault="003529E0" w:rsidP="00FD13CD">
      <w:pPr>
        <w:pStyle w:val="Heading3"/>
      </w:pPr>
      <w:r>
        <w:t>Sponsor</w:t>
      </w:r>
      <w:r w:rsidRPr="0092516A">
        <w:t>s</w:t>
      </w:r>
      <w:r>
        <w:t>’</w:t>
      </w:r>
      <w:r w:rsidRPr="0092516A">
        <w:t xml:space="preserve"> comments</w:t>
      </w:r>
    </w:p>
    <w:p w14:paraId="0AD7698E" w14:textId="16450D27" w:rsidR="00C43609" w:rsidRDefault="00C43609">
      <w:pPr>
        <w:spacing w:line="276" w:lineRule="auto"/>
      </w:pPr>
      <w:proofErr w:type="spellStart"/>
      <w:r w:rsidRPr="00C43609">
        <w:t>AbbVie</w:t>
      </w:r>
      <w:proofErr w:type="spellEnd"/>
      <w:r w:rsidRPr="00C43609">
        <w:t xml:space="preserve"> Pty Ltd</w:t>
      </w:r>
      <w:r>
        <w:t xml:space="preserve">:  </w:t>
      </w:r>
      <w:proofErr w:type="spellStart"/>
      <w:r w:rsidR="0003609D" w:rsidRPr="0003609D">
        <w:t>AbbVie</w:t>
      </w:r>
      <w:proofErr w:type="spellEnd"/>
      <w:r w:rsidR="0003609D" w:rsidRPr="0003609D">
        <w:t xml:space="preserve"> agrees with DUSC that in the context of high continuation rates of </w:t>
      </w:r>
      <w:proofErr w:type="spellStart"/>
      <w:r w:rsidR="0003609D" w:rsidRPr="0003609D">
        <w:t>bDMARDs</w:t>
      </w:r>
      <w:proofErr w:type="spellEnd"/>
      <w:r w:rsidR="0003609D" w:rsidRPr="0003609D">
        <w:t xml:space="preserve"> in chronic plaque psoriasis patients th</w:t>
      </w:r>
      <w:r w:rsidR="000609BE">
        <w:t xml:space="preserve">at a more simplified authority process may </w:t>
      </w:r>
      <w:r w:rsidR="0003609D" w:rsidRPr="0003609D">
        <w:t>be suitable for continuing supply of medication and supports the referral of this matter to the Post-market review of Authority Required PBS Listings.</w:t>
      </w:r>
    </w:p>
    <w:p w14:paraId="337B79DF" w14:textId="04F913C7" w:rsidR="001C2C89" w:rsidRDefault="00782E68">
      <w:pPr>
        <w:spacing w:line="276" w:lineRule="auto"/>
      </w:pPr>
      <w:r w:rsidRPr="00782E68">
        <w:t>Janssen-</w:t>
      </w:r>
      <w:proofErr w:type="spellStart"/>
      <w:r w:rsidRPr="00782E68">
        <w:t>Cilag</w:t>
      </w:r>
      <w:proofErr w:type="spellEnd"/>
      <w:r w:rsidRPr="00782E68">
        <w:t xml:space="preserve"> Pty Ltd</w:t>
      </w:r>
      <w:r>
        <w:t xml:space="preserve">:  </w:t>
      </w:r>
      <w:r w:rsidR="00CB6E66" w:rsidRPr="00CB6E66">
        <w:t xml:space="preserve">Janssen's assessment of the review is that chronic plaque psoriasis patients treated with </w:t>
      </w:r>
      <w:proofErr w:type="spellStart"/>
      <w:r w:rsidR="00CB6E66" w:rsidRPr="00CB6E66">
        <w:t>ustekinumab</w:t>
      </w:r>
      <w:proofErr w:type="spellEnd"/>
      <w:r w:rsidR="00CB6E66" w:rsidRPr="00CB6E66">
        <w:t xml:space="preserve"> and infliximab are being treated within the PBS restriction and we look forward to hearing the outcome of the Post-market Review of Authority Required PBS Listings.</w:t>
      </w:r>
    </w:p>
    <w:p w14:paraId="13A4AA85" w14:textId="77777777" w:rsidR="00571FFB" w:rsidRDefault="001C2C89">
      <w:pPr>
        <w:spacing w:line="276" w:lineRule="auto"/>
      </w:pPr>
      <w:r w:rsidRPr="001C2C89">
        <w:t xml:space="preserve">Merck </w:t>
      </w:r>
      <w:proofErr w:type="spellStart"/>
      <w:r w:rsidRPr="001C2C89">
        <w:t>Serono</w:t>
      </w:r>
      <w:proofErr w:type="spellEnd"/>
      <w:r w:rsidRPr="001C2C89">
        <w:t xml:space="preserve"> Australia Pty Ltd</w:t>
      </w:r>
      <w:r>
        <w:t>:  The sponsor has no comment.</w:t>
      </w:r>
    </w:p>
    <w:p w14:paraId="3C3427B5" w14:textId="5A9F236A" w:rsidR="007530D2" w:rsidRDefault="00571FFB">
      <w:pPr>
        <w:spacing w:line="276" w:lineRule="auto"/>
        <w:rPr>
          <w:rFonts w:eastAsiaTheme="majorEastAsia" w:cstheme="majorBidi"/>
          <w:b/>
          <w:bCs/>
          <w:sz w:val="32"/>
          <w:szCs w:val="32"/>
        </w:rPr>
      </w:pPr>
      <w:r w:rsidRPr="00571FFB">
        <w:t>Pfizer Australia Pty Ltd</w:t>
      </w:r>
      <w:r>
        <w:t>:  The sponsor has no comment.</w:t>
      </w:r>
      <w:r w:rsidR="007530D2">
        <w:br w:type="page"/>
      </w:r>
    </w:p>
    <w:p w14:paraId="6D3B4C1B" w14:textId="59A9B939" w:rsidR="000568CA" w:rsidRPr="00D224F3" w:rsidRDefault="007530D2" w:rsidP="00751B98">
      <w:pPr>
        <w:pStyle w:val="Heading3"/>
      </w:pPr>
      <w:r>
        <w:lastRenderedPageBreak/>
        <w:t>Appendix 1</w:t>
      </w:r>
      <w:r w:rsidR="00751B98">
        <w:t xml:space="preserve">: </w:t>
      </w:r>
      <w:r w:rsidR="000568CA" w:rsidRPr="00D224F3">
        <w:t xml:space="preserve">Utilisation of </w:t>
      </w:r>
      <w:proofErr w:type="spellStart"/>
      <w:r w:rsidR="000568CA" w:rsidRPr="00D224F3">
        <w:t>etanercept</w:t>
      </w:r>
      <w:proofErr w:type="spellEnd"/>
      <w:r w:rsidR="000568CA" w:rsidRPr="00D224F3">
        <w:t xml:space="preserve"> in paediatric patients</w:t>
      </w:r>
    </w:p>
    <w:p w14:paraId="16E3883F" w14:textId="62C7EDD7" w:rsidR="000568CA" w:rsidRPr="00D224F3" w:rsidRDefault="000568CA" w:rsidP="000568CA">
      <w:r w:rsidRPr="00D224F3">
        <w:t xml:space="preserve">The utilisation of </w:t>
      </w:r>
      <w:proofErr w:type="spellStart"/>
      <w:r w:rsidRPr="00D224F3">
        <w:t>etanercept</w:t>
      </w:r>
      <w:proofErr w:type="spellEnd"/>
      <w:r w:rsidRPr="00D224F3">
        <w:t xml:space="preserve"> in paediatric patients</w:t>
      </w:r>
      <w:r w:rsidR="00785FA6">
        <w:t xml:space="preserve"> wa</w:t>
      </w:r>
      <w:r w:rsidRPr="00D224F3">
        <w:t xml:space="preserve">s briefly examined due to the small number of patients receiving treatment under this indication. </w:t>
      </w:r>
    </w:p>
    <w:p w14:paraId="57468F8B" w14:textId="301CC13B" w:rsidR="00224805" w:rsidRDefault="00224805" w:rsidP="00224805">
      <w:r>
        <w:t>At</w:t>
      </w:r>
      <w:r w:rsidR="008A6883">
        <w:t xml:space="preserve"> its M</w:t>
      </w:r>
      <w:r>
        <w:t xml:space="preserve">arch 2012 meeting, the </w:t>
      </w:r>
      <w:r w:rsidRPr="00224805">
        <w:t xml:space="preserve">PBAC recommended extending the Authority Required listing of </w:t>
      </w:r>
      <w:proofErr w:type="spellStart"/>
      <w:r w:rsidRPr="00224805">
        <w:t>etanercept</w:t>
      </w:r>
      <w:proofErr w:type="spellEnd"/>
      <w:r w:rsidRPr="00224805">
        <w:t xml:space="preserve"> powder for injection 25 mg and 50 mg to include the treatment of severe chronic plaque psoriasis in patients under 18 years of age who meet certain criteria on the basis of acceptable cost effectiveness to placebo in the c</w:t>
      </w:r>
      <w:r w:rsidR="001A4E0E">
        <w:t xml:space="preserve">ontext of a high clinical need.  Further detail is available in the </w:t>
      </w:r>
      <w:hyperlink r:id="rId27" w:history="1">
        <w:r w:rsidR="001A4E0E" w:rsidRPr="001A4E0E">
          <w:rPr>
            <w:rStyle w:val="Hyperlink"/>
          </w:rPr>
          <w:t>PBAC Public Summary Document</w:t>
        </w:r>
      </w:hyperlink>
      <w:r w:rsidR="001A4E0E">
        <w:t>.</w:t>
      </w:r>
    </w:p>
    <w:p w14:paraId="3E618D24" w14:textId="1AA815A0" w:rsidR="000568CA" w:rsidRPr="00D224F3" w:rsidRDefault="00BF17A0" w:rsidP="00FA2E0F">
      <w:r>
        <w:t>The submission used an epidemiological approach to estimate the eligible pop</w:t>
      </w:r>
      <w:r w:rsidR="00FA2E0F">
        <w:t xml:space="preserve">ulation under 18 years of age.  </w:t>
      </w:r>
      <w:r w:rsidR="000568CA" w:rsidRPr="00D224F3">
        <w:t>The estimates were based on continuous dosing. This was consistent with the requested restriction an</w:t>
      </w:r>
      <w:r w:rsidR="00FA2E0F">
        <w:t xml:space="preserve">d the requested TGA indication.  </w:t>
      </w:r>
      <w:r w:rsidR="000568CA" w:rsidRPr="00D224F3">
        <w:t>However, the approved TGA indication was for a 24 week course of treatment with s</w:t>
      </w:r>
      <w:r w:rsidR="000A0AE3">
        <w:t>ubsequent courses if required.  The submission estimated that approximately 50 patients per year would be treated from Year 2 onwards.</w:t>
      </w:r>
    </w:p>
    <w:p w14:paraId="1EB4068E" w14:textId="0E668DD2" w:rsidR="000568CA" w:rsidRPr="00BF17A0" w:rsidRDefault="000568CA" w:rsidP="000568CA">
      <w:r w:rsidRPr="00D224F3">
        <w:t xml:space="preserve">The number of children treated with </w:t>
      </w:r>
      <w:proofErr w:type="spellStart"/>
      <w:r w:rsidRPr="00D224F3">
        <w:t>etanercept</w:t>
      </w:r>
      <w:proofErr w:type="spellEnd"/>
      <w:r w:rsidRPr="00D224F3">
        <w:t xml:space="preserve"> was lower than expected. The PBAC had considered the submission estimates to be uncertain</w:t>
      </w:r>
      <w:r w:rsidR="000D0E39">
        <w:t xml:space="preserve">.  </w:t>
      </w:r>
      <w:r w:rsidRPr="00BF17A0">
        <w:t>The estimates of utilisati</w:t>
      </w:r>
      <w:r w:rsidR="00BF17A0" w:rsidRPr="00BF17A0">
        <w:t>on may have been overestimated.</w:t>
      </w:r>
    </w:p>
    <w:p w14:paraId="030DB2D8" w14:textId="77777777" w:rsidR="000568CA" w:rsidRDefault="000568CA">
      <w:pPr>
        <w:spacing w:line="276" w:lineRule="auto"/>
        <w:rPr>
          <w:rFonts w:eastAsiaTheme="majorEastAsia" w:cstheme="majorBidi"/>
          <w:b/>
          <w:bCs/>
          <w:sz w:val="32"/>
          <w:szCs w:val="32"/>
        </w:rPr>
      </w:pPr>
      <w:r>
        <w:br w:type="page"/>
      </w:r>
    </w:p>
    <w:p w14:paraId="25D65B04" w14:textId="7B6C412F" w:rsidR="00FE645A" w:rsidRDefault="00A4020E" w:rsidP="001B4788">
      <w:pPr>
        <w:pStyle w:val="Heading3"/>
      </w:pPr>
      <w:r w:rsidRPr="00A4020E">
        <w:lastRenderedPageBreak/>
        <w:t>Disclaimer</w:t>
      </w:r>
    </w:p>
    <w:p w14:paraId="477D7D94" w14:textId="739898AB" w:rsidR="000B268E" w:rsidRDefault="000B268E" w:rsidP="00CA1C97">
      <w:pPr>
        <w:spacing w:line="276" w:lineRule="auto"/>
      </w:pPr>
      <w:r w:rsidRPr="000B268E">
        <w:t>The information provided in this report does not constitute medical advice and is not intended to take the place of profe</w:t>
      </w:r>
      <w:r w:rsidR="00F11CFC">
        <w:t xml:space="preserve">ssional medical advice or care.  </w:t>
      </w:r>
      <w:r w:rsidRPr="000B268E">
        <w:t>It is not intended to define what constitutes reasonable, appropriate or best care for any individual for any given health issue.</w:t>
      </w:r>
      <w:r w:rsidR="00E628EA">
        <w:t xml:space="preserve">  </w:t>
      </w:r>
      <w:r w:rsidRPr="000B268E">
        <w:t>The information should not be used as a substitute for the judgement and skill of a medical practitioner.</w:t>
      </w:r>
    </w:p>
    <w:p w14:paraId="34477926" w14:textId="601956EB" w:rsidR="000B268E" w:rsidRPr="000B268E" w:rsidRDefault="000B268E" w:rsidP="00CA1C97">
      <w:pPr>
        <w:spacing w:line="276" w:lineRule="auto"/>
      </w:pPr>
      <w:r w:rsidRPr="000B268E">
        <w:t>The Department of Health (</w:t>
      </w:r>
      <w:proofErr w:type="spellStart"/>
      <w:r w:rsidRPr="000B268E">
        <w:t>DoH</w:t>
      </w:r>
      <w:proofErr w:type="spellEnd"/>
      <w:r w:rsidRPr="000B268E">
        <w:t>) has made all reasonable efforts to ensure that information provided in this report is accurate. The information provided in this report was up-to-date when it was considered by the Drug Utilisation Sub-committee of the Pharmaceutic</w:t>
      </w:r>
      <w:r w:rsidR="00F11CFC">
        <w:t xml:space="preserve">al Benefits Advisory Committee.  </w:t>
      </w:r>
      <w:r w:rsidRPr="000B268E">
        <w:t>The context for that information may have changed since publication.</w:t>
      </w:r>
    </w:p>
    <w:p w14:paraId="34FF6D3D" w14:textId="77777777" w:rsidR="000B268E" w:rsidRPr="000B268E" w:rsidRDefault="000B268E" w:rsidP="00CA1C97">
      <w:pPr>
        <w:spacing w:line="276" w:lineRule="auto"/>
      </w:pPr>
      <w:r w:rsidRPr="000B268E">
        <w:t xml:space="preserve">To the extent provided by law, </w:t>
      </w:r>
      <w:proofErr w:type="spellStart"/>
      <w:r w:rsidRPr="000B268E">
        <w:t>DoH</w:t>
      </w:r>
      <w:proofErr w:type="spellEnd"/>
      <w:r w:rsidRPr="000B268E">
        <w:t xml:space="preserve"> makes no warranties or representations as to accuracy or completeness of information contained in this report. </w:t>
      </w:r>
    </w:p>
    <w:p w14:paraId="23B151A3" w14:textId="70789C28" w:rsidR="005C4023" w:rsidRPr="003A1273" w:rsidRDefault="000B268E" w:rsidP="00CA1C97">
      <w:pPr>
        <w:spacing w:line="276" w:lineRule="auto"/>
      </w:pPr>
      <w:r w:rsidRPr="000B268E">
        <w:t xml:space="preserve">To the fullest extent permitted by law, neither the </w:t>
      </w:r>
      <w:proofErr w:type="spellStart"/>
      <w:r w:rsidRPr="000B268E">
        <w:t>DoH</w:t>
      </w:r>
      <w:proofErr w:type="spellEnd"/>
      <w:r w:rsidRPr="000B268E">
        <w:t xml:space="preserve"> nor any </w:t>
      </w:r>
      <w:proofErr w:type="spellStart"/>
      <w:r w:rsidRPr="000B268E">
        <w:t>DoH</w:t>
      </w:r>
      <w:proofErr w:type="spellEnd"/>
      <w:r w:rsidRPr="000B268E">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C4023" w:rsidRPr="003A1273" w:rsidSect="00945324">
      <w:headerReference w:type="even" r:id="rId28"/>
      <w:headerReference w:type="default" r:id="rId29"/>
      <w:footerReference w:type="even" r:id="rId30"/>
      <w:footerReference w:type="default" r:id="rId31"/>
      <w:headerReference w:type="first" r:id="rId32"/>
      <w:footerReference w:type="first" r:id="rId33"/>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214013" w:rsidRDefault="00214013" w:rsidP="00A35800">
      <w:r>
        <w:separator/>
      </w:r>
    </w:p>
  </w:endnote>
  <w:endnote w:type="continuationSeparator" w:id="0">
    <w:p w14:paraId="45A4A8C8" w14:textId="77777777" w:rsidR="00214013" w:rsidRDefault="00214013"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3D1DC" w14:textId="77777777" w:rsidR="00F13C4C" w:rsidRDefault="00F13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40715" w14:textId="77777777" w:rsidR="00F13C4C" w:rsidRDefault="00F13C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E2E8" w14:textId="77777777" w:rsidR="00F13C4C" w:rsidRDefault="00F13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214013" w:rsidRDefault="00214013" w:rsidP="00A35800">
      <w:r>
        <w:separator/>
      </w:r>
    </w:p>
  </w:footnote>
  <w:footnote w:type="continuationSeparator" w:id="0">
    <w:p w14:paraId="7E2CA1E4" w14:textId="77777777" w:rsidR="00214013" w:rsidRDefault="00214013" w:rsidP="00A35800">
      <w:r>
        <w:continuationSeparator/>
      </w:r>
    </w:p>
  </w:footnote>
  <w:footnote w:id="1">
    <w:p w14:paraId="69EB2BAD" w14:textId="77777777" w:rsidR="00881B21" w:rsidRDefault="00881B21" w:rsidP="00881B21">
      <w:pPr>
        <w:pStyle w:val="FootnoteText"/>
      </w:pPr>
      <w:r>
        <w:rPr>
          <w:rStyle w:val="FootnoteReference"/>
        </w:rPr>
        <w:footnoteRef/>
      </w:r>
      <w:r>
        <w:t xml:space="preserve"> </w:t>
      </w:r>
      <w:proofErr w:type="gramStart"/>
      <w:r>
        <w:t>Australasian College of Dermatologists.</w:t>
      </w:r>
      <w:proofErr w:type="gramEnd"/>
      <w:r>
        <w:t xml:space="preserve"> A-Z of skin: psoriasis [internet]. </w:t>
      </w:r>
      <w:proofErr w:type="gramStart"/>
      <w:r w:rsidRPr="00663A32">
        <w:t>Australasian College of Dermatologists.</w:t>
      </w:r>
      <w:proofErr w:type="gramEnd"/>
      <w:r>
        <w:t xml:space="preserve"> [</w:t>
      </w:r>
      <w:proofErr w:type="gramStart"/>
      <w:r>
        <w:t>cited</w:t>
      </w:r>
      <w:proofErr w:type="gramEnd"/>
      <w:r>
        <w:t xml:space="preserve"> 2014 March 15]. Available from: </w:t>
      </w:r>
      <w:r w:rsidRPr="00663A32">
        <w:t>http://www.dermcoll.asn.au/public/a-z_of_skin-psoriasis.asp</w:t>
      </w:r>
    </w:p>
  </w:footnote>
  <w:footnote w:id="2">
    <w:p w14:paraId="7DF78CCC" w14:textId="77777777" w:rsidR="00881B21" w:rsidRDefault="00881B21" w:rsidP="00881B21">
      <w:pPr>
        <w:pStyle w:val="FootnoteText"/>
      </w:pPr>
      <w:r>
        <w:rPr>
          <w:rStyle w:val="FootnoteReference"/>
        </w:rPr>
        <w:footnoteRef/>
      </w:r>
      <w:r>
        <w:t xml:space="preserve"> </w:t>
      </w:r>
      <w:proofErr w:type="spellStart"/>
      <w:r>
        <w:t>DermNet</w:t>
      </w:r>
      <w:proofErr w:type="spellEnd"/>
      <w:r>
        <w:t xml:space="preserve"> NZ. </w:t>
      </w:r>
      <w:r w:rsidRPr="00720826">
        <w:t>PASI score</w:t>
      </w:r>
      <w:r>
        <w:t xml:space="preserve"> [internet]. </w:t>
      </w:r>
      <w:proofErr w:type="spellStart"/>
      <w:r>
        <w:t>DermNet</w:t>
      </w:r>
      <w:proofErr w:type="spellEnd"/>
      <w:r>
        <w:t xml:space="preserve"> NZ [cited 2014 April 1]. Available from: </w:t>
      </w:r>
      <w:r w:rsidRPr="00720826">
        <w:t>http://www.dermnetnz.org/scaly/pasi.html</w:t>
      </w:r>
      <w:r>
        <w:t xml:space="preserve">. </w:t>
      </w:r>
    </w:p>
  </w:footnote>
  <w:footnote w:id="3">
    <w:p w14:paraId="67583D95" w14:textId="77777777" w:rsidR="001B5482" w:rsidRDefault="001B5482" w:rsidP="001B5482">
      <w:pPr>
        <w:pStyle w:val="FootnoteText"/>
      </w:pPr>
      <w:r>
        <w:rPr>
          <w:rStyle w:val="FootnoteReference"/>
        </w:rPr>
        <w:footnoteRef/>
      </w:r>
      <w:r>
        <w:t xml:space="preserve">  </w:t>
      </w:r>
      <w:proofErr w:type="gramStart"/>
      <w:r>
        <w:t>Langley RG, Krueger GG, Griffiths CE.</w:t>
      </w:r>
      <w:proofErr w:type="gramEnd"/>
      <w:r>
        <w:t xml:space="preserve"> Psoriasis: epidemiology, clinical features, and quality of life. Ann Rheum Dis. 2005 Mar; 64 </w:t>
      </w:r>
      <w:proofErr w:type="spellStart"/>
      <w:r>
        <w:t>Suppl</w:t>
      </w:r>
      <w:proofErr w:type="spellEnd"/>
      <w:r>
        <w:t xml:space="preserve"> 2:ii18-23; discussion ii24-5.</w:t>
      </w:r>
    </w:p>
  </w:footnote>
  <w:footnote w:id="4">
    <w:p w14:paraId="2BBB1D8A" w14:textId="525D2C49" w:rsidR="00C27995" w:rsidRDefault="00C27995">
      <w:pPr>
        <w:pStyle w:val="FootnoteText"/>
      </w:pPr>
      <w:r>
        <w:rPr>
          <w:rStyle w:val="FootnoteReference"/>
        </w:rPr>
        <w:footnoteRef/>
      </w:r>
      <w:r>
        <w:t xml:space="preserve"> </w:t>
      </w:r>
      <w:r w:rsidRPr="00C27995">
        <w:t xml:space="preserve">Baker C, Mack A, Cooper A, Fischer G, </w:t>
      </w:r>
      <w:proofErr w:type="spellStart"/>
      <w:r w:rsidRPr="00C27995">
        <w:t>Shumack</w:t>
      </w:r>
      <w:proofErr w:type="spellEnd"/>
      <w:r w:rsidRPr="00C27995">
        <w:t xml:space="preserve"> S, Sidhu S, </w:t>
      </w:r>
      <w:proofErr w:type="spellStart"/>
      <w:r w:rsidRPr="00C27995">
        <w:t>Soyer</w:t>
      </w:r>
      <w:proofErr w:type="spellEnd"/>
      <w:r w:rsidRPr="00C27995">
        <w:t xml:space="preserve"> P, Wu J, Chan J, Nash P, </w:t>
      </w:r>
      <w:proofErr w:type="spellStart"/>
      <w:r w:rsidRPr="00C27995">
        <w:t>Rawlin</w:t>
      </w:r>
      <w:proofErr w:type="spellEnd"/>
      <w:r w:rsidRPr="00C27995">
        <w:t xml:space="preserve"> M, </w:t>
      </w:r>
      <w:proofErr w:type="spellStart"/>
      <w:r w:rsidRPr="00C27995">
        <w:t>Radulski</w:t>
      </w:r>
      <w:proofErr w:type="spellEnd"/>
      <w:r w:rsidRPr="00C27995">
        <w:t xml:space="preserve"> B, Foley P. Treatment goals for moderate to severe psoriasis: an Australian consensus. </w:t>
      </w:r>
      <w:proofErr w:type="spellStart"/>
      <w:r w:rsidRPr="00C27995">
        <w:t>Australas</w:t>
      </w:r>
      <w:proofErr w:type="spellEnd"/>
      <w:r w:rsidRPr="00C27995">
        <w:t xml:space="preserve"> J </w:t>
      </w:r>
      <w:proofErr w:type="spellStart"/>
      <w:r w:rsidRPr="00C27995">
        <w:t>Dermatol</w:t>
      </w:r>
      <w:proofErr w:type="spellEnd"/>
      <w:r w:rsidRPr="00C27995">
        <w:t>. 2013 May</w:t>
      </w:r>
      <w:proofErr w:type="gramStart"/>
      <w:r w:rsidRPr="00C27995">
        <w:t>;54</w:t>
      </w:r>
      <w:proofErr w:type="gramEnd"/>
      <w:r w:rsidRPr="00C27995">
        <w:t>(2):148-54.</w:t>
      </w:r>
    </w:p>
  </w:footnote>
  <w:footnote w:id="5">
    <w:p w14:paraId="7FA9EF37" w14:textId="77777777" w:rsidR="001B5482" w:rsidRDefault="001B5482" w:rsidP="001B5482">
      <w:pPr>
        <w:pStyle w:val="FootnoteText"/>
      </w:pPr>
      <w:r>
        <w:rPr>
          <w:rStyle w:val="FootnoteReference"/>
        </w:rPr>
        <w:footnoteRef/>
      </w:r>
      <w:r>
        <w:t xml:space="preserve"> Kimball AB, Gordon KB, </w:t>
      </w:r>
      <w:proofErr w:type="spellStart"/>
      <w:r>
        <w:t>Fakharzadeh</w:t>
      </w:r>
      <w:proofErr w:type="spellEnd"/>
      <w:r>
        <w:t xml:space="preserve"> S, </w:t>
      </w:r>
      <w:proofErr w:type="spellStart"/>
      <w:r>
        <w:t>Yeilding</w:t>
      </w:r>
      <w:proofErr w:type="spellEnd"/>
      <w:r>
        <w:t xml:space="preserve"> N, </w:t>
      </w:r>
      <w:proofErr w:type="spellStart"/>
      <w:r>
        <w:t>Szapary</w:t>
      </w:r>
      <w:proofErr w:type="spellEnd"/>
      <w:r>
        <w:t xml:space="preserve"> PO, </w:t>
      </w:r>
      <w:proofErr w:type="spellStart"/>
      <w:r>
        <w:t>Schenkel</w:t>
      </w:r>
      <w:proofErr w:type="spellEnd"/>
      <w:r>
        <w:t xml:space="preserve"> B, </w:t>
      </w:r>
      <w:proofErr w:type="spellStart"/>
      <w:r>
        <w:t>Guzzo</w:t>
      </w:r>
      <w:proofErr w:type="spellEnd"/>
      <w:r>
        <w:t xml:space="preserve"> C, Li S, Papp KA. Long-term efficacy of </w:t>
      </w:r>
      <w:proofErr w:type="spellStart"/>
      <w:r>
        <w:t>ustekinumab</w:t>
      </w:r>
      <w:proofErr w:type="spellEnd"/>
      <w:r>
        <w:t xml:space="preserve"> in patients with moderate-to-severe psoriasis: results from the PHOENIX 1 trial through up to 3 years. </w:t>
      </w:r>
      <w:proofErr w:type="gramStart"/>
      <w:r>
        <w:t xml:space="preserve">Br J </w:t>
      </w:r>
      <w:proofErr w:type="spellStart"/>
      <w:r>
        <w:t>Dermatol</w:t>
      </w:r>
      <w:proofErr w:type="spellEnd"/>
      <w:r>
        <w:t>.</w:t>
      </w:r>
      <w:proofErr w:type="gramEnd"/>
      <w:r>
        <w:t xml:space="preserve"> 2012 Apr; 166(4):861-72.</w:t>
      </w:r>
    </w:p>
  </w:footnote>
  <w:footnote w:id="6">
    <w:p w14:paraId="354B039F" w14:textId="77777777" w:rsidR="001B5482" w:rsidRDefault="001B5482" w:rsidP="001B5482">
      <w:pPr>
        <w:pStyle w:val="FootnoteText"/>
      </w:pPr>
      <w:r>
        <w:rPr>
          <w:rStyle w:val="FootnoteReference"/>
        </w:rPr>
        <w:footnoteRef/>
      </w:r>
      <w:r>
        <w:t xml:space="preserve">  Gordon K, Papp K, </w:t>
      </w:r>
      <w:proofErr w:type="spellStart"/>
      <w:r>
        <w:t>Poulin</w:t>
      </w:r>
      <w:proofErr w:type="spellEnd"/>
      <w:r>
        <w:t xml:space="preserve"> Y, </w:t>
      </w:r>
      <w:proofErr w:type="spellStart"/>
      <w:proofErr w:type="gramStart"/>
      <w:r>
        <w:t>Gu</w:t>
      </w:r>
      <w:proofErr w:type="spellEnd"/>
      <w:proofErr w:type="gramEnd"/>
      <w:r>
        <w:t xml:space="preserve"> Y, </w:t>
      </w:r>
      <w:proofErr w:type="spellStart"/>
      <w:r>
        <w:t>Rozzo</w:t>
      </w:r>
      <w:proofErr w:type="spellEnd"/>
      <w:r>
        <w:t xml:space="preserve"> S, </w:t>
      </w:r>
      <w:proofErr w:type="spellStart"/>
      <w:r>
        <w:t>Sasso</w:t>
      </w:r>
      <w:proofErr w:type="spellEnd"/>
      <w:r>
        <w:t xml:space="preserve"> EH. Long-term efficacy and safety of </w:t>
      </w:r>
      <w:proofErr w:type="spellStart"/>
      <w:r>
        <w:t>adalimumab</w:t>
      </w:r>
      <w:proofErr w:type="spellEnd"/>
      <w:r>
        <w:t xml:space="preserve"> in patients with moderate to severe psoriasis treated continuously over 3 years: results from an open-label extension study for patients from REVEAL. J Am </w:t>
      </w:r>
      <w:proofErr w:type="spellStart"/>
      <w:r>
        <w:t>Acad</w:t>
      </w:r>
      <w:proofErr w:type="spellEnd"/>
      <w:r>
        <w:t xml:space="preserve"> </w:t>
      </w:r>
      <w:proofErr w:type="spellStart"/>
      <w:r>
        <w:t>Dermatol</w:t>
      </w:r>
      <w:proofErr w:type="spellEnd"/>
      <w:r>
        <w:t>. 2012 Feb</w:t>
      </w:r>
      <w:proofErr w:type="gramStart"/>
      <w:r>
        <w:t>;66</w:t>
      </w:r>
      <w:proofErr w:type="gramEnd"/>
      <w:r>
        <w:t>(2):241-51.</w:t>
      </w:r>
    </w:p>
  </w:footnote>
  <w:footnote w:id="7">
    <w:p w14:paraId="19D6C128" w14:textId="77777777" w:rsidR="001B5482" w:rsidRDefault="001B5482" w:rsidP="001B5482">
      <w:pPr>
        <w:pStyle w:val="FootnoteText"/>
      </w:pPr>
      <w:r>
        <w:rPr>
          <w:rStyle w:val="FootnoteReference"/>
        </w:rPr>
        <w:footnoteRef/>
      </w:r>
      <w:r>
        <w:t xml:space="preserve"> Tyring S, Gordon KB, </w:t>
      </w:r>
      <w:proofErr w:type="spellStart"/>
      <w:r>
        <w:t>Poulin</w:t>
      </w:r>
      <w:proofErr w:type="spellEnd"/>
      <w:r>
        <w:t xml:space="preserve"> Y, Langley RG, Gottlieb AB, Dunn M, </w:t>
      </w:r>
      <w:proofErr w:type="spellStart"/>
      <w:r>
        <w:t>Jahreis</w:t>
      </w:r>
      <w:proofErr w:type="spellEnd"/>
      <w:r>
        <w:t xml:space="preserve"> A. Long-term safety and efficacy of 50 mg of </w:t>
      </w:r>
      <w:proofErr w:type="spellStart"/>
      <w:r>
        <w:t>etanercept</w:t>
      </w:r>
      <w:proofErr w:type="spellEnd"/>
      <w:r>
        <w:t xml:space="preserve"> twice weekly in patients with psoriasis. </w:t>
      </w:r>
      <w:proofErr w:type="gramStart"/>
      <w:r>
        <w:t xml:space="preserve">Arch </w:t>
      </w:r>
      <w:proofErr w:type="spellStart"/>
      <w:r>
        <w:t>Dermatol</w:t>
      </w:r>
      <w:proofErr w:type="spellEnd"/>
      <w:r>
        <w:t>.</w:t>
      </w:r>
      <w:proofErr w:type="gramEnd"/>
      <w:r>
        <w:t xml:space="preserve"> 2007 Jun; 143(6):719-26.</w:t>
      </w:r>
    </w:p>
  </w:footnote>
  <w:footnote w:id="8">
    <w:p w14:paraId="5EBCDF91" w14:textId="77777777" w:rsidR="001B5482" w:rsidRDefault="001B5482" w:rsidP="001B5482">
      <w:pPr>
        <w:pStyle w:val="FootnoteText"/>
      </w:pPr>
      <w:r>
        <w:rPr>
          <w:rStyle w:val="FootnoteReference"/>
        </w:rPr>
        <w:footnoteRef/>
      </w:r>
      <w:r>
        <w:t xml:space="preserve"> </w:t>
      </w:r>
      <w:r w:rsidRPr="007117E6">
        <w:t xml:space="preserve">Kimball AB, Gordon KB, </w:t>
      </w:r>
      <w:proofErr w:type="spellStart"/>
      <w:r w:rsidRPr="007117E6">
        <w:t>Fakharzadeh</w:t>
      </w:r>
      <w:proofErr w:type="spellEnd"/>
      <w:r w:rsidRPr="007117E6">
        <w:t xml:space="preserve"> S, </w:t>
      </w:r>
      <w:proofErr w:type="spellStart"/>
      <w:r w:rsidRPr="007117E6">
        <w:t>Yeilding</w:t>
      </w:r>
      <w:proofErr w:type="spellEnd"/>
      <w:r w:rsidRPr="007117E6">
        <w:t xml:space="preserve"> N, </w:t>
      </w:r>
      <w:proofErr w:type="spellStart"/>
      <w:r w:rsidRPr="007117E6">
        <w:t>Szapary</w:t>
      </w:r>
      <w:proofErr w:type="spellEnd"/>
      <w:r w:rsidRPr="007117E6">
        <w:t xml:space="preserve"> PO, </w:t>
      </w:r>
      <w:proofErr w:type="spellStart"/>
      <w:r w:rsidRPr="007117E6">
        <w:t>Schenkel</w:t>
      </w:r>
      <w:proofErr w:type="spellEnd"/>
      <w:r w:rsidRPr="007117E6">
        <w:t xml:space="preserve"> B, </w:t>
      </w:r>
      <w:proofErr w:type="spellStart"/>
      <w:r w:rsidRPr="007117E6">
        <w:t>Guzzo</w:t>
      </w:r>
      <w:proofErr w:type="spellEnd"/>
      <w:r w:rsidRPr="007117E6">
        <w:t xml:space="preserve"> C, Li S, Papp KA. Long-term efficacy of </w:t>
      </w:r>
      <w:proofErr w:type="spellStart"/>
      <w:r w:rsidRPr="007117E6">
        <w:t>ustekinumab</w:t>
      </w:r>
      <w:proofErr w:type="spellEnd"/>
      <w:r w:rsidRPr="007117E6">
        <w:t xml:space="preserve"> in patients with moderate-to-severe psoriasis: results from the PHOENIX 1 trial through up to 3 years. </w:t>
      </w:r>
      <w:proofErr w:type="gramStart"/>
      <w:r w:rsidRPr="007117E6">
        <w:t xml:space="preserve">Br J </w:t>
      </w:r>
      <w:proofErr w:type="spellStart"/>
      <w:r w:rsidRPr="007117E6">
        <w:t>Dermatol</w:t>
      </w:r>
      <w:proofErr w:type="spellEnd"/>
      <w:r w:rsidRPr="007117E6">
        <w:t>.</w:t>
      </w:r>
      <w:proofErr w:type="gramEnd"/>
      <w:r w:rsidRPr="007117E6">
        <w:t xml:space="preserve"> 2012 Apr; 166(4):861-72.</w:t>
      </w:r>
    </w:p>
  </w:footnote>
  <w:footnote w:id="9">
    <w:p w14:paraId="0ED994D2" w14:textId="77777777" w:rsidR="001B5482" w:rsidRDefault="001B5482" w:rsidP="001B5482">
      <w:pPr>
        <w:pStyle w:val="FootnoteText"/>
      </w:pPr>
      <w:r>
        <w:rPr>
          <w:rStyle w:val="FootnoteReference"/>
        </w:rPr>
        <w:footnoteRef/>
      </w:r>
      <w:r>
        <w:t xml:space="preserve"> Papp K, Crowley J, </w:t>
      </w:r>
      <w:proofErr w:type="spellStart"/>
      <w:r>
        <w:t>Ortonne</w:t>
      </w:r>
      <w:proofErr w:type="spellEnd"/>
      <w:r>
        <w:t xml:space="preserve"> JP, </w:t>
      </w:r>
      <w:proofErr w:type="spellStart"/>
      <w:r>
        <w:t>Leu</w:t>
      </w:r>
      <w:proofErr w:type="spellEnd"/>
      <w:r>
        <w:t xml:space="preserve"> J, </w:t>
      </w:r>
      <w:proofErr w:type="spellStart"/>
      <w:r>
        <w:t>Okun</w:t>
      </w:r>
      <w:proofErr w:type="spellEnd"/>
      <w:r>
        <w:t xml:space="preserve"> M, Gupta SR, </w:t>
      </w:r>
      <w:proofErr w:type="spellStart"/>
      <w:proofErr w:type="gramStart"/>
      <w:r>
        <w:t>Gu</w:t>
      </w:r>
      <w:proofErr w:type="spellEnd"/>
      <w:proofErr w:type="gramEnd"/>
      <w:r>
        <w:t xml:space="preserve"> Y, Langley RG. </w:t>
      </w:r>
      <w:proofErr w:type="spellStart"/>
      <w:r>
        <w:t>Adalimumab</w:t>
      </w:r>
      <w:proofErr w:type="spellEnd"/>
      <w:r>
        <w:t xml:space="preserve"> for moderate to severe chronic plaque psoriasis: efficacy and safety of retreatment and disease recurrence following withdrawal from therapy. </w:t>
      </w:r>
      <w:proofErr w:type="gramStart"/>
      <w:r>
        <w:t xml:space="preserve">Br J </w:t>
      </w:r>
      <w:proofErr w:type="spellStart"/>
      <w:r>
        <w:t>Dermatol</w:t>
      </w:r>
      <w:proofErr w:type="spellEnd"/>
      <w:r>
        <w:t>.</w:t>
      </w:r>
      <w:proofErr w:type="gramEnd"/>
      <w:r>
        <w:t xml:space="preserve"> 2011 Feb</w:t>
      </w:r>
      <w:proofErr w:type="gramStart"/>
      <w:r>
        <w:t>;164</w:t>
      </w:r>
      <w:proofErr w:type="gramEnd"/>
      <w:r>
        <w:t>(2):434-41.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B0AC3" w14:textId="77777777" w:rsidR="00F13C4C" w:rsidRDefault="00F13C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360CB" w14:textId="77777777" w:rsidR="00F13C4C" w:rsidRDefault="00F13C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417EB" w14:textId="77777777" w:rsidR="00F13C4C" w:rsidRDefault="00F13C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A7CD7"/>
    <w:multiLevelType w:val="hybridMultilevel"/>
    <w:tmpl w:val="1C2661C2"/>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2701FC8"/>
    <w:multiLevelType w:val="hybridMultilevel"/>
    <w:tmpl w:val="E20431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50A2E39"/>
    <w:multiLevelType w:val="hybridMultilevel"/>
    <w:tmpl w:val="0A060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5BC5C86"/>
    <w:multiLevelType w:val="hybridMultilevel"/>
    <w:tmpl w:val="8F5E9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07A3D28"/>
    <w:multiLevelType w:val="hybridMultilevel"/>
    <w:tmpl w:val="D00AC8AC"/>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0C93140"/>
    <w:multiLevelType w:val="hybridMultilevel"/>
    <w:tmpl w:val="3B1E7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22617"/>
    <w:rsid w:val="00023E44"/>
    <w:rsid w:val="0003609D"/>
    <w:rsid w:val="000375EA"/>
    <w:rsid w:val="000426C3"/>
    <w:rsid w:val="000431F8"/>
    <w:rsid w:val="00046D7D"/>
    <w:rsid w:val="000524CA"/>
    <w:rsid w:val="00054C74"/>
    <w:rsid w:val="000568CA"/>
    <w:rsid w:val="000609BE"/>
    <w:rsid w:val="00065E0B"/>
    <w:rsid w:val="00070336"/>
    <w:rsid w:val="00083EC9"/>
    <w:rsid w:val="000933D3"/>
    <w:rsid w:val="000945D9"/>
    <w:rsid w:val="00094DCF"/>
    <w:rsid w:val="00095CBA"/>
    <w:rsid w:val="00097961"/>
    <w:rsid w:val="000A0AE3"/>
    <w:rsid w:val="000A6E95"/>
    <w:rsid w:val="000B268E"/>
    <w:rsid w:val="000B2B57"/>
    <w:rsid w:val="000B567A"/>
    <w:rsid w:val="000B5979"/>
    <w:rsid w:val="000B796C"/>
    <w:rsid w:val="000C6578"/>
    <w:rsid w:val="000C7D8B"/>
    <w:rsid w:val="000D0E39"/>
    <w:rsid w:val="000D2A53"/>
    <w:rsid w:val="000D62AB"/>
    <w:rsid w:val="000E15E2"/>
    <w:rsid w:val="000E295D"/>
    <w:rsid w:val="000E485D"/>
    <w:rsid w:val="000F0EE5"/>
    <w:rsid w:val="000F22BC"/>
    <w:rsid w:val="000F2F51"/>
    <w:rsid w:val="000F760B"/>
    <w:rsid w:val="00110FBE"/>
    <w:rsid w:val="00112FB2"/>
    <w:rsid w:val="00113D74"/>
    <w:rsid w:val="00117C5C"/>
    <w:rsid w:val="001219DB"/>
    <w:rsid w:val="001327FB"/>
    <w:rsid w:val="001354DE"/>
    <w:rsid w:val="00141C8A"/>
    <w:rsid w:val="001420B3"/>
    <w:rsid w:val="0014260F"/>
    <w:rsid w:val="00145E15"/>
    <w:rsid w:val="0015691C"/>
    <w:rsid w:val="001606A4"/>
    <w:rsid w:val="001714FD"/>
    <w:rsid w:val="0017339A"/>
    <w:rsid w:val="00174183"/>
    <w:rsid w:val="0017622F"/>
    <w:rsid w:val="00182968"/>
    <w:rsid w:val="00195BB4"/>
    <w:rsid w:val="001A1C72"/>
    <w:rsid w:val="001A4E0E"/>
    <w:rsid w:val="001B4788"/>
    <w:rsid w:val="001B50CA"/>
    <w:rsid w:val="001B5482"/>
    <w:rsid w:val="001B5D37"/>
    <w:rsid w:val="001B7CBE"/>
    <w:rsid w:val="001C2C89"/>
    <w:rsid w:val="001C4016"/>
    <w:rsid w:val="001C7368"/>
    <w:rsid w:val="001D390D"/>
    <w:rsid w:val="001D5EE5"/>
    <w:rsid w:val="001E132F"/>
    <w:rsid w:val="001E31A6"/>
    <w:rsid w:val="001E42CD"/>
    <w:rsid w:val="001F2F3E"/>
    <w:rsid w:val="002102A4"/>
    <w:rsid w:val="00214013"/>
    <w:rsid w:val="00224805"/>
    <w:rsid w:val="002248B7"/>
    <w:rsid w:val="0024294B"/>
    <w:rsid w:val="002465BC"/>
    <w:rsid w:val="002509D5"/>
    <w:rsid w:val="00252D19"/>
    <w:rsid w:val="002606CC"/>
    <w:rsid w:val="002755DD"/>
    <w:rsid w:val="00276B1E"/>
    <w:rsid w:val="002801FD"/>
    <w:rsid w:val="00280897"/>
    <w:rsid w:val="00283A76"/>
    <w:rsid w:val="002A1BB0"/>
    <w:rsid w:val="002A669F"/>
    <w:rsid w:val="002B67A2"/>
    <w:rsid w:val="002C4942"/>
    <w:rsid w:val="002C6E0C"/>
    <w:rsid w:val="002E3337"/>
    <w:rsid w:val="002F49A8"/>
    <w:rsid w:val="002F61CA"/>
    <w:rsid w:val="002F63ED"/>
    <w:rsid w:val="00304F83"/>
    <w:rsid w:val="0030749C"/>
    <w:rsid w:val="003103D7"/>
    <w:rsid w:val="00313B8D"/>
    <w:rsid w:val="00325CA3"/>
    <w:rsid w:val="003370D0"/>
    <w:rsid w:val="00340F95"/>
    <w:rsid w:val="00343204"/>
    <w:rsid w:val="00347CBC"/>
    <w:rsid w:val="003529E0"/>
    <w:rsid w:val="003531ED"/>
    <w:rsid w:val="00361883"/>
    <w:rsid w:val="00362931"/>
    <w:rsid w:val="003635DF"/>
    <w:rsid w:val="0037194C"/>
    <w:rsid w:val="00377EE5"/>
    <w:rsid w:val="0038097B"/>
    <w:rsid w:val="0039017F"/>
    <w:rsid w:val="00391678"/>
    <w:rsid w:val="00393BD1"/>
    <w:rsid w:val="00397456"/>
    <w:rsid w:val="003A1273"/>
    <w:rsid w:val="003A589C"/>
    <w:rsid w:val="003B073D"/>
    <w:rsid w:val="003B4627"/>
    <w:rsid w:val="003C70D4"/>
    <w:rsid w:val="003D5D40"/>
    <w:rsid w:val="003D6756"/>
    <w:rsid w:val="00400A0F"/>
    <w:rsid w:val="0042404D"/>
    <w:rsid w:val="00431B0B"/>
    <w:rsid w:val="00433AD3"/>
    <w:rsid w:val="00462FF4"/>
    <w:rsid w:val="00466DA0"/>
    <w:rsid w:val="00473769"/>
    <w:rsid w:val="00480240"/>
    <w:rsid w:val="00481108"/>
    <w:rsid w:val="0049042B"/>
    <w:rsid w:val="004904C7"/>
    <w:rsid w:val="004A253E"/>
    <w:rsid w:val="004A458E"/>
    <w:rsid w:val="004B23E7"/>
    <w:rsid w:val="004B306F"/>
    <w:rsid w:val="004B33C0"/>
    <w:rsid w:val="004B3EC8"/>
    <w:rsid w:val="004C3186"/>
    <w:rsid w:val="004C5042"/>
    <w:rsid w:val="004F1E15"/>
    <w:rsid w:val="004F3203"/>
    <w:rsid w:val="00503998"/>
    <w:rsid w:val="0050623B"/>
    <w:rsid w:val="00506365"/>
    <w:rsid w:val="00506EB0"/>
    <w:rsid w:val="005072D1"/>
    <w:rsid w:val="00514833"/>
    <w:rsid w:val="0051504A"/>
    <w:rsid w:val="0052030A"/>
    <w:rsid w:val="005339F6"/>
    <w:rsid w:val="005570DA"/>
    <w:rsid w:val="0056063D"/>
    <w:rsid w:val="0056188D"/>
    <w:rsid w:val="00561CB4"/>
    <w:rsid w:val="00565669"/>
    <w:rsid w:val="00571FFB"/>
    <w:rsid w:val="00572B4F"/>
    <w:rsid w:val="005766A9"/>
    <w:rsid w:val="005826EF"/>
    <w:rsid w:val="00583F38"/>
    <w:rsid w:val="005847ED"/>
    <w:rsid w:val="00585DF4"/>
    <w:rsid w:val="00591512"/>
    <w:rsid w:val="005922BB"/>
    <w:rsid w:val="005A0487"/>
    <w:rsid w:val="005A230F"/>
    <w:rsid w:val="005B75D0"/>
    <w:rsid w:val="005C25A2"/>
    <w:rsid w:val="005C2AE7"/>
    <w:rsid w:val="005C4023"/>
    <w:rsid w:val="005C4757"/>
    <w:rsid w:val="005C55C6"/>
    <w:rsid w:val="005C597F"/>
    <w:rsid w:val="005E147D"/>
    <w:rsid w:val="005E22C2"/>
    <w:rsid w:val="005F7394"/>
    <w:rsid w:val="0060610E"/>
    <w:rsid w:val="00606906"/>
    <w:rsid w:val="006203EC"/>
    <w:rsid w:val="00621EDC"/>
    <w:rsid w:val="006236B9"/>
    <w:rsid w:val="0063021F"/>
    <w:rsid w:val="00635058"/>
    <w:rsid w:val="006362A0"/>
    <w:rsid w:val="0063631C"/>
    <w:rsid w:val="006408E6"/>
    <w:rsid w:val="00644550"/>
    <w:rsid w:val="0065042B"/>
    <w:rsid w:val="006537D9"/>
    <w:rsid w:val="00656E9C"/>
    <w:rsid w:val="00662843"/>
    <w:rsid w:val="00664861"/>
    <w:rsid w:val="006648BF"/>
    <w:rsid w:val="00664CFA"/>
    <w:rsid w:val="00665DEF"/>
    <w:rsid w:val="006737DB"/>
    <w:rsid w:val="00675BB1"/>
    <w:rsid w:val="006802D7"/>
    <w:rsid w:val="006A2E52"/>
    <w:rsid w:val="006A44F5"/>
    <w:rsid w:val="006A4BD8"/>
    <w:rsid w:val="006B4537"/>
    <w:rsid w:val="006B5469"/>
    <w:rsid w:val="006B709B"/>
    <w:rsid w:val="006C13AB"/>
    <w:rsid w:val="006C4620"/>
    <w:rsid w:val="006C617C"/>
    <w:rsid w:val="006D54A4"/>
    <w:rsid w:val="006E0181"/>
    <w:rsid w:val="00703D68"/>
    <w:rsid w:val="00705309"/>
    <w:rsid w:val="00705DAD"/>
    <w:rsid w:val="00707EDC"/>
    <w:rsid w:val="007247B9"/>
    <w:rsid w:val="00725CCC"/>
    <w:rsid w:val="007261A1"/>
    <w:rsid w:val="00727D85"/>
    <w:rsid w:val="007346C7"/>
    <w:rsid w:val="00736041"/>
    <w:rsid w:val="007408C7"/>
    <w:rsid w:val="00746D63"/>
    <w:rsid w:val="00751B98"/>
    <w:rsid w:val="00752C7F"/>
    <w:rsid w:val="007530D2"/>
    <w:rsid w:val="007564F0"/>
    <w:rsid w:val="00760096"/>
    <w:rsid w:val="007628A9"/>
    <w:rsid w:val="00776598"/>
    <w:rsid w:val="00781CA2"/>
    <w:rsid w:val="00782E68"/>
    <w:rsid w:val="00782E99"/>
    <w:rsid w:val="00785FA6"/>
    <w:rsid w:val="00787499"/>
    <w:rsid w:val="00793812"/>
    <w:rsid w:val="00794685"/>
    <w:rsid w:val="00795C1A"/>
    <w:rsid w:val="00796970"/>
    <w:rsid w:val="00796B2F"/>
    <w:rsid w:val="00796E84"/>
    <w:rsid w:val="007C0699"/>
    <w:rsid w:val="007D3D9C"/>
    <w:rsid w:val="007D551A"/>
    <w:rsid w:val="007E58C6"/>
    <w:rsid w:val="007F5F84"/>
    <w:rsid w:val="00800C2D"/>
    <w:rsid w:val="00805D47"/>
    <w:rsid w:val="008119A6"/>
    <w:rsid w:val="008142B4"/>
    <w:rsid w:val="00814EBE"/>
    <w:rsid w:val="00817C5C"/>
    <w:rsid w:val="008223BF"/>
    <w:rsid w:val="00826054"/>
    <w:rsid w:val="00832324"/>
    <w:rsid w:val="008337D8"/>
    <w:rsid w:val="0083613C"/>
    <w:rsid w:val="0085256D"/>
    <w:rsid w:val="00852A4C"/>
    <w:rsid w:val="00856BB4"/>
    <w:rsid w:val="00864885"/>
    <w:rsid w:val="00881B21"/>
    <w:rsid w:val="00887EFB"/>
    <w:rsid w:val="008946AC"/>
    <w:rsid w:val="00896025"/>
    <w:rsid w:val="008A6883"/>
    <w:rsid w:val="008C746D"/>
    <w:rsid w:val="008E1598"/>
    <w:rsid w:val="008E26FC"/>
    <w:rsid w:val="008E6B0B"/>
    <w:rsid w:val="008F40F5"/>
    <w:rsid w:val="00902FD0"/>
    <w:rsid w:val="00903E0B"/>
    <w:rsid w:val="009053D3"/>
    <w:rsid w:val="00905AB4"/>
    <w:rsid w:val="009162D1"/>
    <w:rsid w:val="0093111F"/>
    <w:rsid w:val="00933C0A"/>
    <w:rsid w:val="00935689"/>
    <w:rsid w:val="00945324"/>
    <w:rsid w:val="009510D5"/>
    <w:rsid w:val="00957837"/>
    <w:rsid w:val="009636BD"/>
    <w:rsid w:val="00965310"/>
    <w:rsid w:val="009663B6"/>
    <w:rsid w:val="00970336"/>
    <w:rsid w:val="00973E1D"/>
    <w:rsid w:val="00974650"/>
    <w:rsid w:val="00975055"/>
    <w:rsid w:val="00980286"/>
    <w:rsid w:val="00980972"/>
    <w:rsid w:val="009A4CD6"/>
    <w:rsid w:val="009A52BD"/>
    <w:rsid w:val="009B25DD"/>
    <w:rsid w:val="009B3367"/>
    <w:rsid w:val="009C0886"/>
    <w:rsid w:val="009C0AD0"/>
    <w:rsid w:val="009C35F2"/>
    <w:rsid w:val="009C707D"/>
    <w:rsid w:val="009D41C8"/>
    <w:rsid w:val="009D5D27"/>
    <w:rsid w:val="009E2173"/>
    <w:rsid w:val="009E21A7"/>
    <w:rsid w:val="009E238B"/>
    <w:rsid w:val="00A00B4F"/>
    <w:rsid w:val="00A05E61"/>
    <w:rsid w:val="00A103ED"/>
    <w:rsid w:val="00A108F9"/>
    <w:rsid w:val="00A13C60"/>
    <w:rsid w:val="00A25A66"/>
    <w:rsid w:val="00A30835"/>
    <w:rsid w:val="00A34E3A"/>
    <w:rsid w:val="00A35800"/>
    <w:rsid w:val="00A36FA8"/>
    <w:rsid w:val="00A4020E"/>
    <w:rsid w:val="00A5435F"/>
    <w:rsid w:val="00A55579"/>
    <w:rsid w:val="00A6220D"/>
    <w:rsid w:val="00A710E7"/>
    <w:rsid w:val="00A84CAD"/>
    <w:rsid w:val="00A87833"/>
    <w:rsid w:val="00AA620C"/>
    <w:rsid w:val="00AB3733"/>
    <w:rsid w:val="00AB7AD6"/>
    <w:rsid w:val="00AC05E5"/>
    <w:rsid w:val="00AD49A7"/>
    <w:rsid w:val="00AE2570"/>
    <w:rsid w:val="00AE521C"/>
    <w:rsid w:val="00AE63BD"/>
    <w:rsid w:val="00AF16EF"/>
    <w:rsid w:val="00AF28F4"/>
    <w:rsid w:val="00AF6DE8"/>
    <w:rsid w:val="00B00F7F"/>
    <w:rsid w:val="00B02AB9"/>
    <w:rsid w:val="00B05310"/>
    <w:rsid w:val="00B14C52"/>
    <w:rsid w:val="00B24E41"/>
    <w:rsid w:val="00B32DDF"/>
    <w:rsid w:val="00B3590B"/>
    <w:rsid w:val="00B465CF"/>
    <w:rsid w:val="00B51971"/>
    <w:rsid w:val="00B53A81"/>
    <w:rsid w:val="00B626CE"/>
    <w:rsid w:val="00B659DA"/>
    <w:rsid w:val="00B75F16"/>
    <w:rsid w:val="00B80F5E"/>
    <w:rsid w:val="00B87504"/>
    <w:rsid w:val="00B9120F"/>
    <w:rsid w:val="00B924A4"/>
    <w:rsid w:val="00BB0D1A"/>
    <w:rsid w:val="00BB1D3B"/>
    <w:rsid w:val="00BB7C40"/>
    <w:rsid w:val="00BC2DDF"/>
    <w:rsid w:val="00BC35ED"/>
    <w:rsid w:val="00BC55C3"/>
    <w:rsid w:val="00BD2633"/>
    <w:rsid w:val="00BD51D8"/>
    <w:rsid w:val="00BE0961"/>
    <w:rsid w:val="00BE105F"/>
    <w:rsid w:val="00BE5D65"/>
    <w:rsid w:val="00BF040B"/>
    <w:rsid w:val="00BF17A0"/>
    <w:rsid w:val="00BF238E"/>
    <w:rsid w:val="00BF3A44"/>
    <w:rsid w:val="00C0076F"/>
    <w:rsid w:val="00C02E70"/>
    <w:rsid w:val="00C05CF8"/>
    <w:rsid w:val="00C14118"/>
    <w:rsid w:val="00C16447"/>
    <w:rsid w:val="00C27995"/>
    <w:rsid w:val="00C316A8"/>
    <w:rsid w:val="00C41246"/>
    <w:rsid w:val="00C43609"/>
    <w:rsid w:val="00C45E5F"/>
    <w:rsid w:val="00C53A80"/>
    <w:rsid w:val="00C6083A"/>
    <w:rsid w:val="00C60DA4"/>
    <w:rsid w:val="00C672F4"/>
    <w:rsid w:val="00C675DB"/>
    <w:rsid w:val="00C714D0"/>
    <w:rsid w:val="00C7287A"/>
    <w:rsid w:val="00C75822"/>
    <w:rsid w:val="00C76F09"/>
    <w:rsid w:val="00C81ECE"/>
    <w:rsid w:val="00C81F99"/>
    <w:rsid w:val="00C83711"/>
    <w:rsid w:val="00C918BF"/>
    <w:rsid w:val="00C92C65"/>
    <w:rsid w:val="00C94D25"/>
    <w:rsid w:val="00C97AFA"/>
    <w:rsid w:val="00CA1C97"/>
    <w:rsid w:val="00CA2649"/>
    <w:rsid w:val="00CB4FDE"/>
    <w:rsid w:val="00CB56DA"/>
    <w:rsid w:val="00CB6E66"/>
    <w:rsid w:val="00CC2EE0"/>
    <w:rsid w:val="00CC4B85"/>
    <w:rsid w:val="00CD14A2"/>
    <w:rsid w:val="00CD4605"/>
    <w:rsid w:val="00CD6782"/>
    <w:rsid w:val="00CE001C"/>
    <w:rsid w:val="00CE2CDF"/>
    <w:rsid w:val="00CE3385"/>
    <w:rsid w:val="00CE390E"/>
    <w:rsid w:val="00CE5896"/>
    <w:rsid w:val="00CF1BC7"/>
    <w:rsid w:val="00D11A43"/>
    <w:rsid w:val="00D12F0E"/>
    <w:rsid w:val="00D131E2"/>
    <w:rsid w:val="00D13C41"/>
    <w:rsid w:val="00D151EB"/>
    <w:rsid w:val="00D45671"/>
    <w:rsid w:val="00D5179A"/>
    <w:rsid w:val="00D56BB9"/>
    <w:rsid w:val="00D63F35"/>
    <w:rsid w:val="00D650CE"/>
    <w:rsid w:val="00D66DE2"/>
    <w:rsid w:val="00D67DAF"/>
    <w:rsid w:val="00D8502D"/>
    <w:rsid w:val="00D8758B"/>
    <w:rsid w:val="00D90093"/>
    <w:rsid w:val="00DA7D09"/>
    <w:rsid w:val="00DB667D"/>
    <w:rsid w:val="00DC0AA7"/>
    <w:rsid w:val="00DC3938"/>
    <w:rsid w:val="00DC49E9"/>
    <w:rsid w:val="00DD158B"/>
    <w:rsid w:val="00DD22CB"/>
    <w:rsid w:val="00DD5099"/>
    <w:rsid w:val="00DD70ED"/>
    <w:rsid w:val="00DE0B96"/>
    <w:rsid w:val="00DE260E"/>
    <w:rsid w:val="00DF0B13"/>
    <w:rsid w:val="00DF4A94"/>
    <w:rsid w:val="00DF69B0"/>
    <w:rsid w:val="00E066C3"/>
    <w:rsid w:val="00E06753"/>
    <w:rsid w:val="00E11A6D"/>
    <w:rsid w:val="00E1353A"/>
    <w:rsid w:val="00E14D65"/>
    <w:rsid w:val="00E153FC"/>
    <w:rsid w:val="00E1564B"/>
    <w:rsid w:val="00E201EA"/>
    <w:rsid w:val="00E208A0"/>
    <w:rsid w:val="00E27B64"/>
    <w:rsid w:val="00E303C4"/>
    <w:rsid w:val="00E376AA"/>
    <w:rsid w:val="00E55D60"/>
    <w:rsid w:val="00E628EA"/>
    <w:rsid w:val="00E677DD"/>
    <w:rsid w:val="00E85A7A"/>
    <w:rsid w:val="00E85C2B"/>
    <w:rsid w:val="00E873B8"/>
    <w:rsid w:val="00E906E9"/>
    <w:rsid w:val="00E94FAF"/>
    <w:rsid w:val="00E97CCB"/>
    <w:rsid w:val="00EA051D"/>
    <w:rsid w:val="00EA0948"/>
    <w:rsid w:val="00EB2EB1"/>
    <w:rsid w:val="00EB4564"/>
    <w:rsid w:val="00EB6C07"/>
    <w:rsid w:val="00EC028D"/>
    <w:rsid w:val="00EC19BD"/>
    <w:rsid w:val="00EC3C07"/>
    <w:rsid w:val="00EC70F2"/>
    <w:rsid w:val="00ED4BE4"/>
    <w:rsid w:val="00ED633B"/>
    <w:rsid w:val="00EE478C"/>
    <w:rsid w:val="00EF053A"/>
    <w:rsid w:val="00EF66F8"/>
    <w:rsid w:val="00F007DD"/>
    <w:rsid w:val="00F11CFC"/>
    <w:rsid w:val="00F11DA1"/>
    <w:rsid w:val="00F13C4C"/>
    <w:rsid w:val="00F31898"/>
    <w:rsid w:val="00F52932"/>
    <w:rsid w:val="00F61326"/>
    <w:rsid w:val="00F73F72"/>
    <w:rsid w:val="00F73FAC"/>
    <w:rsid w:val="00F93B00"/>
    <w:rsid w:val="00FA2E0F"/>
    <w:rsid w:val="00FA2F2D"/>
    <w:rsid w:val="00FA61D3"/>
    <w:rsid w:val="00FC25E5"/>
    <w:rsid w:val="00FC4A73"/>
    <w:rsid w:val="00FD13CD"/>
    <w:rsid w:val="00FE1718"/>
    <w:rsid w:val="00FE645A"/>
    <w:rsid w:val="00FF0C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AB7AD6"/>
    <w:pPr>
      <w:ind w:left="720"/>
      <w:contextualSpacing/>
    </w:pPr>
  </w:style>
  <w:style w:type="paragraph" w:styleId="NormalWeb">
    <w:name w:val="Normal (Web)"/>
    <w:basedOn w:val="Normal"/>
    <w:uiPriority w:val="99"/>
    <w:unhideWhenUsed/>
    <w:rsid w:val="00AB7AD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847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AB7AD6"/>
    <w:pPr>
      <w:ind w:left="720"/>
      <w:contextualSpacing/>
    </w:pPr>
  </w:style>
  <w:style w:type="paragraph" w:styleId="NormalWeb">
    <w:name w:val="Normal (Web)"/>
    <w:basedOn w:val="Normal"/>
    <w:uiPriority w:val="99"/>
    <w:unhideWhenUsed/>
    <w:rsid w:val="00AB7AD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847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www.pbs.gov.au/info/industry/listing/elements/pbac-meetings/psd/2006-07/infliximab" TargetMode="External"/><Relationship Id="rId18" Type="http://schemas.openxmlformats.org/officeDocument/2006/relationships/hyperlink" Target="http://www.pbs.gov.au/info/industry/listing/elements/pbac-meetings/psd/2008-07/pbac-psd-etanercept-wyeth-july08" TargetMode="External"/><Relationship Id="rId26" Type="http://schemas.openxmlformats.org/officeDocument/2006/relationships/image" Target="media/image6.tmp"/><Relationship Id="rId3" Type="http://schemas.microsoft.com/office/2007/relationships/stylesWithEffects" Target="stylesWithEffect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bs.gov.au/info/industry/listing/elements/pbac-meetings/psd/2006-03/etanercept" TargetMode="External"/><Relationship Id="rId17" Type="http://schemas.openxmlformats.org/officeDocument/2006/relationships/hyperlink" Target="http://www.pbs.gov.au/info/industry/listing/elements/pbac-meetings/psd/2012-03/etanercept" TargetMode="External"/><Relationship Id="rId25" Type="http://schemas.openxmlformats.org/officeDocument/2006/relationships/image" Target="media/image5.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bs.gov.au/info/industry/listing/elements/pbac-meetings/psd/2009-11/pbac-psd-Ustekinumab-nov09" TargetMode="External"/><Relationship Id="rId20" Type="http://schemas.openxmlformats.org/officeDocument/2006/relationships/hyperlink" Target="http://www.pbs.gov.au/info/industry/listing/elements/pbac-meetings/psd/2013-03/adalimumab"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gov.au/info/industry/listing/elements/pbac-meetings/psd/2005-11/efalizumab" TargetMode="External"/><Relationship Id="rId24" Type="http://schemas.openxmlformats.org/officeDocument/2006/relationships/image" Target="media/image4.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bs.gov.au/info/industry/listing/elements/pbac-meetings/psd/2009-03/pbac-psd-etanercept-march09"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hyperlink" Target="http://www.pbs.gov.au/pbs/home" TargetMode="External"/><Relationship Id="rId19" Type="http://schemas.openxmlformats.org/officeDocument/2006/relationships/hyperlink" Target="http://www.pbs.gov.au/info/industry/listing/elements/pbac-meetings/psd/2009-03/pbac-psd-etanercept-march0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www.pbs.gov.au/info/industry/listing/elements/pbac-meetings/psd/2009-03/pbac-psd-adalimumab-march09" TargetMode="External"/><Relationship Id="rId22" Type="http://schemas.openxmlformats.org/officeDocument/2006/relationships/image" Target="media/image2.tmp"/><Relationship Id="rId27" Type="http://schemas.openxmlformats.org/officeDocument/2006/relationships/hyperlink" Target="http://www.pbs.gov.au/info/industry/listing/elements/pbac-meetings/psd/2012-03/etanercept"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5671</Words>
  <Characters>32326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2014-10-24T04:33:00Z</dcterms:created>
  <dcterms:modified xsi:type="dcterms:W3CDTF">2014-10-28T23:36:00Z</dcterms:modified>
</cp:coreProperties>
</file>