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EB21C9" w:rsidP="00FE645A">
      <w:pPr>
        <w:pStyle w:val="Title"/>
      </w:pPr>
      <w:bookmarkStart w:id="0" w:name="_GoBack"/>
      <w:bookmarkEnd w:id="0"/>
      <w:r w:rsidRPr="00EB21C9">
        <w:t xml:space="preserve">Crohn’s disease: </w:t>
      </w:r>
      <w:proofErr w:type="spellStart"/>
      <w:r w:rsidRPr="00EB21C9">
        <w:t>adalimumab</w:t>
      </w:r>
      <w:proofErr w:type="spellEnd"/>
      <w:r w:rsidRPr="00EB21C9">
        <w:t xml:space="preserve"> and infliximab </w:t>
      </w:r>
    </w:p>
    <w:p w:rsidR="00736041" w:rsidRPr="001D390D" w:rsidRDefault="009053D3" w:rsidP="001D390D">
      <w:pPr>
        <w:pStyle w:val="Heading1"/>
      </w:pPr>
      <w:r w:rsidRPr="001D390D">
        <w:t>D</w:t>
      </w:r>
      <w:r w:rsidR="00832324" w:rsidRPr="001D390D">
        <w:t>rug utilisation sub-committee (DUSC)</w:t>
      </w:r>
    </w:p>
    <w:p w:rsidR="009053D3" w:rsidRPr="001D390D" w:rsidRDefault="00EB21C9" w:rsidP="001D390D">
      <w:pPr>
        <w:pStyle w:val="Heading2"/>
      </w:pPr>
      <w:r w:rsidRPr="00EB21C9">
        <w:t>February 2015</w:t>
      </w:r>
    </w:p>
    <w:p w:rsidR="000F760B" w:rsidRPr="001D390D" w:rsidRDefault="000F760B" w:rsidP="001D390D">
      <w:pPr>
        <w:pStyle w:val="Heading3"/>
      </w:pPr>
      <w:r w:rsidRPr="001D390D">
        <w:t>Abstract</w:t>
      </w:r>
    </w:p>
    <w:p w:rsidR="000F760B" w:rsidRDefault="000F760B" w:rsidP="00A55579">
      <w:pPr>
        <w:pStyle w:val="Heading4"/>
      </w:pPr>
      <w:r>
        <w:t>Purpose</w:t>
      </w:r>
    </w:p>
    <w:p w:rsidR="00071F03" w:rsidRDefault="00EB21C9" w:rsidP="00071F03">
      <w:r w:rsidRPr="00EB21C9">
        <w:t>To examine utilisation of biological disease-modifying anti-rheumatic drugs (</w:t>
      </w:r>
      <w:proofErr w:type="spellStart"/>
      <w:r w:rsidRPr="00EB21C9">
        <w:t>bDMARDs</w:t>
      </w:r>
      <w:proofErr w:type="spellEnd"/>
      <w:r w:rsidRPr="00EB21C9">
        <w:t xml:space="preserve">) </w:t>
      </w:r>
      <w:proofErr w:type="spellStart"/>
      <w:r w:rsidRPr="00EB21C9">
        <w:t>adalimumab</w:t>
      </w:r>
      <w:proofErr w:type="spellEnd"/>
      <w:r w:rsidRPr="00EB21C9">
        <w:t xml:space="preserve"> and infliximab for Crohn’s disease. The analysis </w:t>
      </w:r>
      <w:r w:rsidR="00D1085E">
        <w:t>examined</w:t>
      </w:r>
      <w:r w:rsidRPr="00EB21C9">
        <w:t xml:space="preserve"> the use of these medicines for severe refractory Crohn’s disease and complex refractory fistulising Crohn’s disease in adult and paediatric patients.</w:t>
      </w:r>
      <w:r w:rsidR="00DF6D33">
        <w:t xml:space="preserve">  The DUSC </w:t>
      </w:r>
      <w:r w:rsidR="003F084E">
        <w:t xml:space="preserve">recalled that it had reviewed the utilisation of </w:t>
      </w:r>
      <w:proofErr w:type="spellStart"/>
      <w:r w:rsidR="003F084E">
        <w:t>adalimumab</w:t>
      </w:r>
      <w:proofErr w:type="spellEnd"/>
      <w:r w:rsidR="003F084E">
        <w:t xml:space="preserve"> for severe Crohn’s disease at its February 2011 meeting and </w:t>
      </w:r>
      <w:proofErr w:type="spellStart"/>
      <w:r w:rsidR="003F084E">
        <w:t>adalimumab</w:t>
      </w:r>
      <w:proofErr w:type="spellEnd"/>
      <w:r w:rsidR="003F084E">
        <w:t xml:space="preserve"> and infliximab for fistulising Crohn’s disease at its February 2013 meeting and requested an update to these analyses.</w:t>
      </w:r>
    </w:p>
    <w:p w:rsidR="00856BB4" w:rsidRDefault="00856BB4" w:rsidP="00A55579">
      <w:pPr>
        <w:pStyle w:val="Heading4"/>
      </w:pPr>
      <w:r w:rsidRPr="00E05D90">
        <w:t>Date of listing on PBS</w:t>
      </w:r>
    </w:p>
    <w:p w:rsidR="00EB21C9" w:rsidRDefault="00EB21C9" w:rsidP="00EB21C9">
      <w:r>
        <w:t xml:space="preserve">Infliximab was listed on the PBS for severe refractory Crohn’s disease in adult and paediatric patients </w:t>
      </w:r>
      <w:r w:rsidR="00E54016">
        <w:t>(6-17 years) on 1 October 2007. It was listed for fistulising Crohn’s disease on 1 August 2010.</w:t>
      </w:r>
    </w:p>
    <w:p w:rsidR="00D56BB9" w:rsidRPr="00D56BB9" w:rsidRDefault="00EB21C9" w:rsidP="00E54016">
      <w:proofErr w:type="spellStart"/>
      <w:r>
        <w:t>Adalimumab</w:t>
      </w:r>
      <w:proofErr w:type="spellEnd"/>
      <w:r>
        <w:t xml:space="preserve"> was listed for severe refractory Crohn’s disease in a</w:t>
      </w:r>
      <w:r w:rsidR="00E54016">
        <w:t xml:space="preserve">dult patients on 1 August </w:t>
      </w:r>
      <w:proofErr w:type="gramStart"/>
      <w:r w:rsidR="00E54016">
        <w:t>2008,</w:t>
      </w:r>
      <w:proofErr w:type="gramEnd"/>
      <w:r w:rsidR="00E54016">
        <w:t xml:space="preserve"> and for fistulising Crohn’s disease on 1 April 2011.</w:t>
      </w:r>
    </w:p>
    <w:p w:rsidR="000F760B" w:rsidRDefault="00E54016" w:rsidP="00A55579">
      <w:pPr>
        <w:pStyle w:val="Heading4"/>
      </w:pPr>
      <w:r>
        <w:t>Methods</w:t>
      </w:r>
    </w:p>
    <w:p w:rsidR="000F760B" w:rsidRDefault="00EB21C9" w:rsidP="000F760B">
      <w:pPr>
        <w:pStyle w:val="NoSpacing"/>
      </w:pPr>
      <w:r w:rsidRPr="00EB21C9">
        <w:t xml:space="preserve">The Department of Human Services (DHS) Authority Approvals database was used for the majority of analyses. The DHS Supplied Prescription database and DUSC Highly Specialised Drugs database were used for quantity supplied and expenditure analyses. </w:t>
      </w:r>
    </w:p>
    <w:p w:rsidR="000F760B" w:rsidRDefault="000F760B" w:rsidP="00A55579">
      <w:pPr>
        <w:pStyle w:val="Heading4"/>
      </w:pPr>
      <w:r>
        <w:t>Key Findings</w:t>
      </w:r>
      <w:r w:rsidR="009668F6">
        <w:t xml:space="preserve"> </w:t>
      </w:r>
    </w:p>
    <w:p w:rsidR="00E57C00" w:rsidRDefault="00EB21C9" w:rsidP="00EB21C9">
      <w:pPr>
        <w:pStyle w:val="ListParagraph"/>
        <w:numPr>
          <w:ilvl w:val="0"/>
          <w:numId w:val="1"/>
        </w:numPr>
      </w:pPr>
      <w:r w:rsidRPr="00EB21C9">
        <w:t xml:space="preserve">The number of patients using </w:t>
      </w:r>
      <w:proofErr w:type="spellStart"/>
      <w:r w:rsidRPr="00EB21C9">
        <w:t>bDMARDs</w:t>
      </w:r>
      <w:proofErr w:type="spellEnd"/>
      <w:r w:rsidRPr="00EB21C9">
        <w:t xml:space="preserve"> for severe refractory Crohn’s disease has increased progressively between 2007 and 2014 with over 5,000 patien</w:t>
      </w:r>
      <w:r w:rsidR="00DB054C">
        <w:t>ts receiving treatment in 2014.</w:t>
      </w:r>
    </w:p>
    <w:p w:rsidR="00EB21C9" w:rsidRDefault="00EB21C9" w:rsidP="00EB21C9">
      <w:pPr>
        <w:pStyle w:val="ListParagraph"/>
        <w:numPr>
          <w:ilvl w:val="0"/>
          <w:numId w:val="1"/>
        </w:numPr>
      </w:pPr>
      <w:r w:rsidRPr="00EB21C9">
        <w:t xml:space="preserve">Approximately 1,000 new patients start a </w:t>
      </w:r>
      <w:proofErr w:type="spellStart"/>
      <w:r w:rsidRPr="00EB21C9">
        <w:t>bDMARD</w:t>
      </w:r>
      <w:proofErr w:type="spellEnd"/>
      <w:r w:rsidRPr="00EB21C9">
        <w:t xml:space="preserve"> for severe refract</w:t>
      </w:r>
      <w:r w:rsidR="00DB054C">
        <w:t xml:space="preserve">ory Crohn’s </w:t>
      </w:r>
      <w:proofErr w:type="gramStart"/>
      <w:r w:rsidR="00DB054C">
        <w:t>disease</w:t>
      </w:r>
      <w:proofErr w:type="gramEnd"/>
      <w:r w:rsidR="00DB054C">
        <w:t xml:space="preserve"> each year.</w:t>
      </w:r>
    </w:p>
    <w:p w:rsidR="00EB21C9" w:rsidRDefault="00EB21C9" w:rsidP="00EB21C9">
      <w:pPr>
        <w:pStyle w:val="ListParagraph"/>
        <w:numPr>
          <w:ilvl w:val="0"/>
          <w:numId w:val="1"/>
        </w:numPr>
      </w:pPr>
      <w:r>
        <w:lastRenderedPageBreak/>
        <w:t xml:space="preserve">In 2014 1,345 patients received a </w:t>
      </w:r>
      <w:proofErr w:type="spellStart"/>
      <w:r>
        <w:t>bDMARD</w:t>
      </w:r>
      <w:proofErr w:type="spellEnd"/>
      <w:r>
        <w:t xml:space="preserve"> for fistulising Crohn’s disease and 394 patients received treatment </w:t>
      </w:r>
      <w:r w:rsidR="00DB054C">
        <w:t>for paediatric Crohn’s disease.</w:t>
      </w:r>
    </w:p>
    <w:p w:rsidR="0057273A" w:rsidRDefault="00EB21C9" w:rsidP="0057273A">
      <w:pPr>
        <w:pStyle w:val="NoSpacing"/>
        <w:numPr>
          <w:ilvl w:val="0"/>
          <w:numId w:val="1"/>
        </w:numPr>
        <w:spacing w:after="200"/>
      </w:pPr>
      <w:r>
        <w:t xml:space="preserve">A much higher proportion of patients continue with </w:t>
      </w:r>
      <w:proofErr w:type="spellStart"/>
      <w:r>
        <w:t>bDMARD</w:t>
      </w:r>
      <w:proofErr w:type="spellEnd"/>
      <w:r>
        <w:t xml:space="preserve"> treat</w:t>
      </w:r>
      <w:r w:rsidR="00DB054C">
        <w:t>ment than originally expected</w:t>
      </w:r>
      <w:r w:rsidR="009F7118">
        <w:t xml:space="preserve"> with </w:t>
      </w:r>
      <w:r w:rsidR="009F7118" w:rsidRPr="009F7118">
        <w:t>that 91.7 %, 93.9 % and 91.5 % of patients receiv</w:t>
      </w:r>
      <w:r w:rsidR="000910BB">
        <w:t>ing</w:t>
      </w:r>
      <w:r w:rsidR="009F7118" w:rsidRPr="009F7118">
        <w:t xml:space="preserve"> a second authority approval for </w:t>
      </w:r>
      <w:proofErr w:type="spellStart"/>
      <w:r w:rsidR="009F7118" w:rsidRPr="009F7118">
        <w:t>adalimumab</w:t>
      </w:r>
      <w:proofErr w:type="spellEnd"/>
      <w:r w:rsidR="009F7118" w:rsidRPr="009F7118">
        <w:t xml:space="preserve"> or infliximab for severe Crohn’s disease, fistulising Crohn’s disease and paediatric Crohn’s disease respectively</w:t>
      </w:r>
      <w:r w:rsidR="0057273A">
        <w:t>.</w:t>
      </w:r>
    </w:p>
    <w:p w:rsidR="00BB0D1A" w:rsidRPr="0057273A" w:rsidRDefault="00EB21C9" w:rsidP="0057273A">
      <w:pPr>
        <w:pStyle w:val="NoSpacing"/>
        <w:numPr>
          <w:ilvl w:val="0"/>
          <w:numId w:val="1"/>
        </w:numPr>
      </w:pPr>
      <w:r>
        <w:t xml:space="preserve">In 2013, Government expenditure on </w:t>
      </w:r>
      <w:proofErr w:type="spellStart"/>
      <w:r>
        <w:t>bDMARDs</w:t>
      </w:r>
      <w:proofErr w:type="spellEnd"/>
      <w:r>
        <w:t xml:space="preserve"> for Crohn’s disease amounted to </w:t>
      </w:r>
      <w:r w:rsidRPr="001B5780">
        <w:t>$103,840,325</w:t>
      </w:r>
      <w:r w:rsidR="00DB054C">
        <w:t>.</w:t>
      </w:r>
    </w:p>
    <w:p w:rsidR="009A673D" w:rsidRDefault="009A673D">
      <w:pPr>
        <w:spacing w:line="276" w:lineRule="auto"/>
        <w:rPr>
          <w:rFonts w:eastAsiaTheme="majorEastAsia" w:cstheme="majorBidi"/>
          <w:b/>
          <w:bCs/>
          <w:sz w:val="32"/>
          <w:szCs w:val="32"/>
        </w:rPr>
      </w:pPr>
      <w:r>
        <w:br w:type="page"/>
      </w:r>
    </w:p>
    <w:p w:rsidR="00E677DD" w:rsidRPr="005E22C2" w:rsidRDefault="00E677DD" w:rsidP="001D390D">
      <w:pPr>
        <w:pStyle w:val="Heading3"/>
      </w:pPr>
      <w:r w:rsidRPr="005E22C2">
        <w:lastRenderedPageBreak/>
        <w:t xml:space="preserve">Purpose of </w:t>
      </w:r>
      <w:r w:rsidR="00D151EB">
        <w:t>analysis</w:t>
      </w:r>
    </w:p>
    <w:p w:rsidR="007247B9" w:rsidRPr="005E22C2" w:rsidRDefault="00EB21C9" w:rsidP="00A35800">
      <w:proofErr w:type="gramStart"/>
      <w:r w:rsidRPr="00EB21C9">
        <w:t xml:space="preserve">To assess the utilisation of </w:t>
      </w:r>
      <w:proofErr w:type="spellStart"/>
      <w:r w:rsidRPr="00EB21C9">
        <w:t>adalimumab</w:t>
      </w:r>
      <w:proofErr w:type="spellEnd"/>
      <w:r w:rsidRPr="00EB21C9">
        <w:t xml:space="preserve"> and infliximab for the treatment of Crohn’s disease.</w:t>
      </w:r>
      <w:proofErr w:type="gramEnd"/>
      <w:r w:rsidR="00DB054C">
        <w:t xml:space="preserve"> The analysis examined </w:t>
      </w:r>
      <w:r w:rsidRPr="00EB21C9">
        <w:t xml:space="preserve">the use of these medicines for severe refractory Crohn’s disease and complex refractory fistulising Crohn’s disease in adult and paediatric patients. </w:t>
      </w:r>
      <w:r w:rsidR="00A10CDB">
        <w:t xml:space="preserve"> The DUSC recalled that it had reviewed the utilisation of </w:t>
      </w:r>
      <w:proofErr w:type="spellStart"/>
      <w:r w:rsidR="00A10CDB">
        <w:t>adalimumab</w:t>
      </w:r>
      <w:proofErr w:type="spellEnd"/>
      <w:r w:rsidR="00A10CDB">
        <w:t xml:space="preserve"> for severe Crohn’s disease at its February 2011 meeting and </w:t>
      </w:r>
      <w:proofErr w:type="spellStart"/>
      <w:r w:rsidR="00A10CDB">
        <w:t>adalimumab</w:t>
      </w:r>
      <w:proofErr w:type="spellEnd"/>
      <w:r w:rsidR="00A10CDB">
        <w:t xml:space="preserve"> and infliximab for fistulising Crohn’s disease at its February 2013 meeting and requested an update to these analyses.</w:t>
      </w:r>
    </w:p>
    <w:p w:rsidR="006537D9" w:rsidRPr="005E22C2" w:rsidRDefault="00736041" w:rsidP="001D390D">
      <w:pPr>
        <w:pStyle w:val="Heading3"/>
      </w:pPr>
      <w:r w:rsidRPr="005E22C2">
        <w:t>Background</w:t>
      </w:r>
    </w:p>
    <w:p w:rsidR="007247B9" w:rsidRPr="00E376AA" w:rsidRDefault="007247B9" w:rsidP="00E376AA">
      <w:pPr>
        <w:pStyle w:val="Heading4"/>
      </w:pPr>
      <w:r w:rsidRPr="00E376AA">
        <w:t>Pharmacology</w:t>
      </w:r>
    </w:p>
    <w:p w:rsidR="007247B9" w:rsidRPr="007247B9" w:rsidRDefault="00EB21C9" w:rsidP="00A35800">
      <w:r w:rsidRPr="00EB21C9">
        <w:t xml:space="preserve">Infliximab and </w:t>
      </w:r>
      <w:proofErr w:type="spellStart"/>
      <w:r w:rsidRPr="00EB21C9">
        <w:t>adalimumab</w:t>
      </w:r>
      <w:proofErr w:type="spellEnd"/>
      <w:r w:rsidRPr="00EB21C9">
        <w:t xml:space="preserve"> are recombinant human immunoglobulin monoclonal antibodies that bind to tumour necrosis factor (TNF-</w:t>
      </w:r>
      <w:r>
        <w:sym w:font="Symbol" w:char="F061"/>
      </w:r>
      <w:r w:rsidRPr="00EB21C9">
        <w:t>) and i</w:t>
      </w:r>
      <w:r w:rsidR="009668F6">
        <w:t>nhibit its inflammatory action. </w:t>
      </w:r>
      <w:r>
        <w:rPr>
          <w:rStyle w:val="FootnoteReference"/>
        </w:rPr>
        <w:footnoteReference w:id="1"/>
      </w:r>
      <w:r w:rsidRPr="00F06285">
        <w:rPr>
          <w:vertAlign w:val="superscript"/>
        </w:rPr>
        <w:t>,</w:t>
      </w:r>
      <w:r>
        <w:rPr>
          <w:rStyle w:val="FootnoteReference"/>
        </w:rPr>
        <w:footnoteReference w:id="2"/>
      </w:r>
    </w:p>
    <w:p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rsidR="00EB21C9" w:rsidRDefault="00EB21C9" w:rsidP="00EB21C9">
      <w:proofErr w:type="spellStart"/>
      <w:r w:rsidRPr="00EB21C9">
        <w:rPr>
          <w:b/>
        </w:rPr>
        <w:t>Adalimumab</w:t>
      </w:r>
      <w:proofErr w:type="spellEnd"/>
      <w:r>
        <w:t xml:space="preserve"> is indicated for the treatment of moderate to severe Crohn’s disease in patients aged 6 years or older who had an inadequate response to conventional therapies or have lost response to or are intolerant of infliximab. </w:t>
      </w:r>
    </w:p>
    <w:p w:rsidR="00EB21C9" w:rsidRDefault="00EB21C9" w:rsidP="00EB21C9">
      <w:r w:rsidRPr="00EB21C9">
        <w:rPr>
          <w:b/>
        </w:rPr>
        <w:t>Infliximab</w:t>
      </w:r>
      <w:r>
        <w:t xml:space="preserve"> is indicated for the treatment of moderate to severe Crohn’s disease in adults and children and adolescents aged 6 to 17 years who have an inadequate response to conventional therapies. </w:t>
      </w:r>
    </w:p>
    <w:p w:rsidR="001420B3" w:rsidRDefault="00F01CCE" w:rsidP="00EB21C9">
      <w:r>
        <w:t xml:space="preserve">Both drugs </w:t>
      </w:r>
      <w:r w:rsidR="00EB21C9">
        <w:t>are also indicated for the treatment of a number of other inflammatory conditions.</w:t>
      </w:r>
    </w:p>
    <w:p w:rsidR="009A673D" w:rsidRDefault="009A673D">
      <w:pPr>
        <w:spacing w:line="276" w:lineRule="auto"/>
        <w:rPr>
          <w:rFonts w:eastAsiaTheme="majorEastAsia" w:cstheme="majorBidi"/>
          <w:b/>
          <w:bCs/>
          <w:sz w:val="28"/>
          <w:szCs w:val="28"/>
        </w:rPr>
      </w:pPr>
      <w:r>
        <w:br w:type="page"/>
      </w:r>
    </w:p>
    <w:p w:rsidR="006B709B" w:rsidRPr="00DE260E" w:rsidRDefault="006B709B" w:rsidP="00DD70ED">
      <w:pPr>
        <w:pStyle w:val="Heading4"/>
      </w:pPr>
      <w:r w:rsidRPr="00DE260E">
        <w:lastRenderedPageBreak/>
        <w:t>Dosage and administration</w:t>
      </w:r>
    </w:p>
    <w:p w:rsidR="00EB21C9" w:rsidRPr="00EB21C9" w:rsidRDefault="00EB21C9" w:rsidP="00EB21C9">
      <w:r w:rsidRPr="00EB21C9">
        <w:t xml:space="preserve">The dosage of </w:t>
      </w:r>
      <w:proofErr w:type="spellStart"/>
      <w:r w:rsidRPr="00EB21C9">
        <w:t>adalimumab</w:t>
      </w:r>
      <w:proofErr w:type="spellEnd"/>
      <w:r w:rsidRPr="00EB21C9">
        <w:t xml:space="preserve"> and infliximab in adult and paediatric patients are presented i</w:t>
      </w:r>
      <w:r w:rsidR="009A673D">
        <w:t>n Tables 1 and 2 respectively.</w:t>
      </w:r>
    </w:p>
    <w:p w:rsidR="00EB21C9" w:rsidRDefault="00EB21C9" w:rsidP="00EB21C9">
      <w:pPr>
        <w:pStyle w:val="Tabletitle"/>
      </w:pPr>
      <w:r w:rsidRPr="00EB21C9">
        <w:t xml:space="preserve">Table 1: Dosage and administration of infliximab and </w:t>
      </w:r>
      <w:proofErr w:type="spellStart"/>
      <w:r w:rsidRPr="00EB21C9">
        <w:t>adalimumab</w:t>
      </w:r>
      <w:proofErr w:type="spellEnd"/>
      <w:r w:rsidRPr="00EB21C9">
        <w:t xml:space="preserve"> in adults</w:t>
      </w:r>
    </w:p>
    <w:tbl>
      <w:tblPr>
        <w:tblStyle w:val="TableGrid"/>
        <w:tblW w:w="0" w:type="auto"/>
        <w:tblInd w:w="108" w:type="dxa"/>
        <w:tblLook w:val="04A0" w:firstRow="1" w:lastRow="0" w:firstColumn="1" w:lastColumn="0" w:noHBand="0" w:noVBand="1"/>
        <w:tblCaption w:val="The brand name and sponsor are listed in the first column, read across the row for the product name, and the dose and frequency of administration for initiating and continuing patients"/>
      </w:tblPr>
      <w:tblGrid>
        <w:gridCol w:w="2185"/>
        <w:gridCol w:w="1359"/>
        <w:gridCol w:w="2760"/>
        <w:gridCol w:w="2761"/>
      </w:tblGrid>
      <w:tr w:rsidR="009A673D" w:rsidTr="00071F03">
        <w:trPr>
          <w:tblHeader/>
        </w:trPr>
        <w:tc>
          <w:tcPr>
            <w:tcW w:w="2185" w:type="dxa"/>
            <w:shd w:val="clear" w:color="auto" w:fill="D9D9D9" w:themeFill="background1" w:themeFillShade="D9"/>
          </w:tcPr>
          <w:p w:rsidR="009A673D" w:rsidRPr="009A673D" w:rsidRDefault="009A673D" w:rsidP="009A673D">
            <w:pPr>
              <w:pStyle w:val="Tabletitle"/>
              <w:rPr>
                <w:sz w:val="20"/>
              </w:rPr>
            </w:pPr>
            <w:r w:rsidRPr="009A673D">
              <w:rPr>
                <w:sz w:val="20"/>
              </w:rPr>
              <w:t>Brand name and sponsor</w:t>
            </w:r>
          </w:p>
        </w:tc>
        <w:tc>
          <w:tcPr>
            <w:tcW w:w="1359" w:type="dxa"/>
            <w:shd w:val="clear" w:color="auto" w:fill="D9D9D9" w:themeFill="background1" w:themeFillShade="D9"/>
          </w:tcPr>
          <w:p w:rsidR="009A673D" w:rsidRPr="009A673D" w:rsidRDefault="009A673D" w:rsidP="009A673D">
            <w:pPr>
              <w:pStyle w:val="Tabletitle"/>
              <w:rPr>
                <w:sz w:val="20"/>
              </w:rPr>
            </w:pPr>
            <w:r w:rsidRPr="009A673D">
              <w:rPr>
                <w:sz w:val="20"/>
              </w:rPr>
              <w:t>Product</w:t>
            </w:r>
          </w:p>
        </w:tc>
        <w:tc>
          <w:tcPr>
            <w:tcW w:w="2760" w:type="dxa"/>
            <w:shd w:val="clear" w:color="auto" w:fill="D9D9D9" w:themeFill="background1" w:themeFillShade="D9"/>
          </w:tcPr>
          <w:p w:rsidR="009A673D" w:rsidRPr="009A673D" w:rsidRDefault="009A673D" w:rsidP="009A673D">
            <w:pPr>
              <w:pStyle w:val="Tabletitle"/>
              <w:rPr>
                <w:sz w:val="20"/>
              </w:rPr>
            </w:pPr>
            <w:r w:rsidRPr="009A673D">
              <w:rPr>
                <w:sz w:val="20"/>
              </w:rPr>
              <w:t>Dose and frequency of administration</w:t>
            </w:r>
            <w:r>
              <w:rPr>
                <w:sz w:val="20"/>
              </w:rPr>
              <w:t xml:space="preserve"> - initiating</w:t>
            </w:r>
          </w:p>
        </w:tc>
        <w:tc>
          <w:tcPr>
            <w:tcW w:w="2761" w:type="dxa"/>
            <w:shd w:val="clear" w:color="auto" w:fill="D9D9D9" w:themeFill="background1" w:themeFillShade="D9"/>
          </w:tcPr>
          <w:p w:rsidR="009A673D" w:rsidRPr="009A673D" w:rsidRDefault="009A673D" w:rsidP="009A673D">
            <w:pPr>
              <w:pStyle w:val="Tabletitle"/>
              <w:rPr>
                <w:sz w:val="20"/>
              </w:rPr>
            </w:pPr>
            <w:r w:rsidRPr="009A673D">
              <w:rPr>
                <w:sz w:val="20"/>
              </w:rPr>
              <w:t>Dose and frequency of administration</w:t>
            </w:r>
            <w:r>
              <w:rPr>
                <w:sz w:val="20"/>
              </w:rPr>
              <w:t xml:space="preserve"> - continuing</w:t>
            </w:r>
          </w:p>
        </w:tc>
      </w:tr>
      <w:tr w:rsidR="009A673D" w:rsidTr="00BE5A25">
        <w:tc>
          <w:tcPr>
            <w:tcW w:w="2185" w:type="dxa"/>
            <w:vAlign w:val="center"/>
          </w:tcPr>
          <w:p w:rsidR="009A673D" w:rsidRPr="009A673D" w:rsidRDefault="009A673D" w:rsidP="00BE5A25">
            <w:pPr>
              <w:pStyle w:val="Tabletitle"/>
              <w:rPr>
                <w:b w:val="0"/>
                <w:sz w:val="20"/>
              </w:rPr>
            </w:pPr>
            <w:proofErr w:type="spellStart"/>
            <w:r w:rsidRPr="009A673D">
              <w:rPr>
                <w:b w:val="0"/>
                <w:sz w:val="20"/>
              </w:rPr>
              <w:t>Remicade</w:t>
            </w:r>
            <w:proofErr w:type="spellEnd"/>
            <w:r w:rsidRPr="009A673D">
              <w:rPr>
                <w:b w:val="0"/>
                <w:sz w:val="20"/>
              </w:rPr>
              <w:t>®</w:t>
            </w:r>
            <w:r w:rsidRPr="009A673D">
              <w:rPr>
                <w:b w:val="0"/>
                <w:sz w:val="20"/>
              </w:rPr>
              <w:br/>
              <w:t>Janssen-</w:t>
            </w:r>
            <w:proofErr w:type="spellStart"/>
            <w:r w:rsidRPr="009A673D">
              <w:rPr>
                <w:b w:val="0"/>
                <w:sz w:val="20"/>
              </w:rPr>
              <w:t>Cilag</w:t>
            </w:r>
            <w:proofErr w:type="spellEnd"/>
            <w:r w:rsidRPr="009A673D">
              <w:rPr>
                <w:b w:val="0"/>
                <w:sz w:val="20"/>
              </w:rPr>
              <w:t xml:space="preserve"> Pty Ltd</w:t>
            </w:r>
          </w:p>
        </w:tc>
        <w:tc>
          <w:tcPr>
            <w:tcW w:w="1359" w:type="dxa"/>
          </w:tcPr>
          <w:p w:rsidR="009A673D" w:rsidRPr="009A673D" w:rsidRDefault="009A673D" w:rsidP="00EB21C9">
            <w:pPr>
              <w:pStyle w:val="Tabletitle"/>
              <w:rPr>
                <w:b w:val="0"/>
                <w:sz w:val="20"/>
              </w:rPr>
            </w:pPr>
            <w:r w:rsidRPr="009A673D">
              <w:rPr>
                <w:b w:val="0"/>
                <w:sz w:val="20"/>
              </w:rPr>
              <w:t>Infliximab</w:t>
            </w:r>
          </w:p>
        </w:tc>
        <w:tc>
          <w:tcPr>
            <w:tcW w:w="2760" w:type="dxa"/>
          </w:tcPr>
          <w:p w:rsidR="009A673D" w:rsidRPr="009A673D" w:rsidRDefault="009A673D" w:rsidP="00EB21C9">
            <w:pPr>
              <w:pStyle w:val="Tabletitle"/>
              <w:rPr>
                <w:b w:val="0"/>
                <w:sz w:val="20"/>
              </w:rPr>
            </w:pPr>
            <w:r w:rsidRPr="009A673D">
              <w:rPr>
                <w:b w:val="0"/>
                <w:sz w:val="20"/>
              </w:rPr>
              <w:t>Weeks 0, 2, 6: 5 mg/kg</w:t>
            </w:r>
          </w:p>
        </w:tc>
        <w:tc>
          <w:tcPr>
            <w:tcW w:w="2761" w:type="dxa"/>
          </w:tcPr>
          <w:p w:rsidR="009A673D" w:rsidRPr="009A673D" w:rsidRDefault="009A673D" w:rsidP="00EB21C9">
            <w:pPr>
              <w:pStyle w:val="Tabletitle"/>
              <w:rPr>
                <w:b w:val="0"/>
                <w:sz w:val="20"/>
              </w:rPr>
            </w:pPr>
            <w:r w:rsidRPr="009A673D">
              <w:rPr>
                <w:b w:val="0"/>
                <w:sz w:val="20"/>
              </w:rPr>
              <w:t>Every 8 weeks: 5 mg/kg</w:t>
            </w:r>
          </w:p>
        </w:tc>
      </w:tr>
      <w:tr w:rsidR="009A673D" w:rsidTr="001321E1">
        <w:tc>
          <w:tcPr>
            <w:tcW w:w="2185" w:type="dxa"/>
            <w:vAlign w:val="center"/>
          </w:tcPr>
          <w:p w:rsidR="009A673D" w:rsidRPr="009A673D" w:rsidRDefault="009A673D" w:rsidP="00BE5A25">
            <w:pPr>
              <w:pStyle w:val="Tabletitle"/>
              <w:rPr>
                <w:b w:val="0"/>
                <w:sz w:val="20"/>
              </w:rPr>
            </w:pPr>
            <w:proofErr w:type="spellStart"/>
            <w:r w:rsidRPr="009A673D">
              <w:rPr>
                <w:b w:val="0"/>
                <w:sz w:val="20"/>
              </w:rPr>
              <w:t>Humira</w:t>
            </w:r>
            <w:proofErr w:type="spellEnd"/>
            <w:r w:rsidRPr="009A673D">
              <w:rPr>
                <w:b w:val="0"/>
                <w:sz w:val="20"/>
              </w:rPr>
              <w:t>®</w:t>
            </w:r>
            <w:r w:rsidRPr="009A673D">
              <w:rPr>
                <w:b w:val="0"/>
                <w:sz w:val="20"/>
              </w:rPr>
              <w:br/>
            </w:r>
            <w:proofErr w:type="spellStart"/>
            <w:r w:rsidRPr="009A673D">
              <w:rPr>
                <w:b w:val="0"/>
                <w:sz w:val="20"/>
              </w:rPr>
              <w:t>AbbVie</w:t>
            </w:r>
            <w:proofErr w:type="spellEnd"/>
            <w:r w:rsidRPr="009A673D">
              <w:rPr>
                <w:b w:val="0"/>
                <w:sz w:val="20"/>
              </w:rPr>
              <w:t xml:space="preserve"> Pty Ltd</w:t>
            </w:r>
          </w:p>
        </w:tc>
        <w:tc>
          <w:tcPr>
            <w:tcW w:w="1359" w:type="dxa"/>
          </w:tcPr>
          <w:p w:rsidR="009A673D" w:rsidRPr="009A673D" w:rsidRDefault="009A673D" w:rsidP="00EB21C9">
            <w:pPr>
              <w:pStyle w:val="Tabletitle"/>
              <w:rPr>
                <w:b w:val="0"/>
                <w:sz w:val="20"/>
              </w:rPr>
            </w:pPr>
            <w:proofErr w:type="spellStart"/>
            <w:r w:rsidRPr="009A673D">
              <w:rPr>
                <w:b w:val="0"/>
                <w:sz w:val="20"/>
              </w:rPr>
              <w:t>Adalimumab</w:t>
            </w:r>
            <w:proofErr w:type="spellEnd"/>
          </w:p>
        </w:tc>
        <w:tc>
          <w:tcPr>
            <w:tcW w:w="2760" w:type="dxa"/>
            <w:vAlign w:val="center"/>
          </w:tcPr>
          <w:p w:rsidR="009A673D" w:rsidRPr="009A673D" w:rsidRDefault="009A673D" w:rsidP="001321E1">
            <w:pPr>
              <w:pStyle w:val="Tabletitle"/>
              <w:rPr>
                <w:b w:val="0"/>
                <w:sz w:val="20"/>
              </w:rPr>
            </w:pPr>
            <w:r w:rsidRPr="009A673D">
              <w:rPr>
                <w:b w:val="0"/>
                <w:sz w:val="20"/>
              </w:rPr>
              <w:t>Day 0: 160 mg</w:t>
            </w:r>
            <w:r w:rsidRPr="009A673D">
              <w:rPr>
                <w:b w:val="0"/>
                <w:sz w:val="20"/>
              </w:rPr>
              <w:br/>
              <w:t>Day 14: 80 mg</w:t>
            </w:r>
          </w:p>
        </w:tc>
        <w:tc>
          <w:tcPr>
            <w:tcW w:w="2761" w:type="dxa"/>
            <w:vAlign w:val="center"/>
          </w:tcPr>
          <w:p w:rsidR="009A673D" w:rsidRPr="009A673D" w:rsidRDefault="009A673D" w:rsidP="001321E1">
            <w:pPr>
              <w:pStyle w:val="Tabletitle"/>
              <w:rPr>
                <w:b w:val="0"/>
                <w:sz w:val="20"/>
              </w:rPr>
            </w:pPr>
            <w:r w:rsidRPr="009A673D">
              <w:rPr>
                <w:b w:val="0"/>
                <w:sz w:val="20"/>
              </w:rPr>
              <w:t>Day 28 and continuing fortnightly: 40 mg</w:t>
            </w:r>
          </w:p>
        </w:tc>
      </w:tr>
    </w:tbl>
    <w:p w:rsidR="00EB21C9" w:rsidRPr="00EB21C9" w:rsidRDefault="00EB21C9" w:rsidP="00EB21C9">
      <w:pPr>
        <w:pStyle w:val="Notes"/>
      </w:pPr>
      <w:r w:rsidRPr="00EB21C9">
        <w:t xml:space="preserve">Source: Product information infliximab and Product information </w:t>
      </w:r>
      <w:proofErr w:type="spellStart"/>
      <w:r w:rsidRPr="00EB21C9">
        <w:t>adalimumab</w:t>
      </w:r>
      <w:proofErr w:type="spellEnd"/>
      <w:r>
        <w:br/>
      </w:r>
      <w:r w:rsidRPr="00EB21C9">
        <w:t>Note</w:t>
      </w:r>
      <w:r>
        <w:t xml:space="preserve">: </w:t>
      </w:r>
      <w:r w:rsidRPr="00EB21C9">
        <w:t xml:space="preserve">Infliximab is supplied as a 100 mg powder for IV infusions. </w:t>
      </w:r>
      <w:proofErr w:type="spellStart"/>
      <w:r w:rsidRPr="00EB21C9">
        <w:t>Adalimumab</w:t>
      </w:r>
      <w:proofErr w:type="spellEnd"/>
      <w:r w:rsidRPr="00EB21C9">
        <w:t xml:space="preserve"> is an injection, supplied as 40 mg in 0.8 mL in a pre-filled pen and pre-filled syringe </w:t>
      </w:r>
    </w:p>
    <w:p w:rsidR="00EB21C9" w:rsidRDefault="00EB21C9" w:rsidP="00EB21C9">
      <w:pPr>
        <w:pStyle w:val="Tabletitle"/>
      </w:pPr>
      <w:r w:rsidRPr="00EB21C9">
        <w:t xml:space="preserve">Table 2: Dosage and administration of infliximab and </w:t>
      </w:r>
      <w:proofErr w:type="spellStart"/>
      <w:r w:rsidRPr="00EB21C9">
        <w:t>adalimumab</w:t>
      </w:r>
      <w:proofErr w:type="spellEnd"/>
      <w:r w:rsidRPr="00EB21C9">
        <w:t xml:space="preserve"> in paediatric patients</w:t>
      </w:r>
    </w:p>
    <w:tbl>
      <w:tblPr>
        <w:tblStyle w:val="TableGrid"/>
        <w:tblW w:w="9072" w:type="dxa"/>
        <w:tblInd w:w="108" w:type="dxa"/>
        <w:tblLook w:val="04A0" w:firstRow="1" w:lastRow="0" w:firstColumn="1" w:lastColumn="0" w:noHBand="0" w:noVBand="1"/>
        <w:tblCaption w:val="The brand name and sponsor are listed in the first column, read across the row for the product name, and the dose and frequency of administration for initiating and continuing patients"/>
      </w:tblPr>
      <w:tblGrid>
        <w:gridCol w:w="1843"/>
        <w:gridCol w:w="1701"/>
        <w:gridCol w:w="2693"/>
        <w:gridCol w:w="2835"/>
      </w:tblGrid>
      <w:tr w:rsidR="009A673D" w:rsidRPr="00EB21C9" w:rsidTr="00071F03">
        <w:trPr>
          <w:tblHeader/>
        </w:trPr>
        <w:tc>
          <w:tcPr>
            <w:tcW w:w="1843" w:type="dxa"/>
            <w:shd w:val="clear" w:color="auto" w:fill="D9D9D9" w:themeFill="background1" w:themeFillShade="D9"/>
          </w:tcPr>
          <w:p w:rsidR="009A673D" w:rsidRPr="00EB21C9" w:rsidRDefault="009A673D" w:rsidP="009A673D">
            <w:pPr>
              <w:pStyle w:val="Tableheading"/>
              <w:jc w:val="left"/>
            </w:pPr>
            <w:r w:rsidRPr="00EB21C9">
              <w:t>Brand name and sponsor</w:t>
            </w:r>
          </w:p>
        </w:tc>
        <w:tc>
          <w:tcPr>
            <w:tcW w:w="1701" w:type="dxa"/>
            <w:shd w:val="clear" w:color="auto" w:fill="D9D9D9" w:themeFill="background1" w:themeFillShade="D9"/>
          </w:tcPr>
          <w:p w:rsidR="009A673D" w:rsidRPr="00EB21C9" w:rsidRDefault="009A673D" w:rsidP="009A673D">
            <w:pPr>
              <w:pStyle w:val="Tableheading"/>
              <w:jc w:val="left"/>
            </w:pPr>
            <w:r w:rsidRPr="00EB21C9">
              <w:t>Product</w:t>
            </w:r>
          </w:p>
        </w:tc>
        <w:tc>
          <w:tcPr>
            <w:tcW w:w="2693" w:type="dxa"/>
            <w:shd w:val="clear" w:color="auto" w:fill="D9D9D9" w:themeFill="background1" w:themeFillShade="D9"/>
          </w:tcPr>
          <w:p w:rsidR="009A673D" w:rsidRPr="00EB21C9" w:rsidRDefault="009A673D" w:rsidP="009A673D">
            <w:pPr>
              <w:pStyle w:val="Tableheading"/>
              <w:jc w:val="left"/>
            </w:pPr>
            <w:r w:rsidRPr="009A673D">
              <w:t>Dose and frequency of administration</w:t>
            </w:r>
            <w:r>
              <w:t xml:space="preserve"> - initiating</w:t>
            </w:r>
            <w:r w:rsidRPr="00EB21C9">
              <w:t xml:space="preserve"> </w:t>
            </w:r>
          </w:p>
        </w:tc>
        <w:tc>
          <w:tcPr>
            <w:tcW w:w="2835" w:type="dxa"/>
            <w:shd w:val="clear" w:color="auto" w:fill="D9D9D9" w:themeFill="background1" w:themeFillShade="D9"/>
          </w:tcPr>
          <w:p w:rsidR="009A673D" w:rsidRPr="00EB21C9" w:rsidRDefault="009A673D" w:rsidP="009A673D">
            <w:pPr>
              <w:pStyle w:val="Tableheading"/>
              <w:jc w:val="left"/>
            </w:pPr>
            <w:r w:rsidRPr="009A673D">
              <w:t>Dose and frequency of administration</w:t>
            </w:r>
            <w:r>
              <w:t xml:space="preserve"> - continuing</w:t>
            </w:r>
            <w:r w:rsidRPr="00EB21C9">
              <w:t xml:space="preserve"> </w:t>
            </w:r>
          </w:p>
        </w:tc>
      </w:tr>
      <w:tr w:rsidR="009A673D" w:rsidRPr="00EB21C9" w:rsidTr="00071F03">
        <w:tc>
          <w:tcPr>
            <w:tcW w:w="1843" w:type="dxa"/>
          </w:tcPr>
          <w:p w:rsidR="009A673D" w:rsidRPr="00EB21C9" w:rsidRDefault="009A673D" w:rsidP="00EB21C9">
            <w:pPr>
              <w:pStyle w:val="Tablewriting"/>
            </w:pPr>
            <w:proofErr w:type="spellStart"/>
            <w:r w:rsidRPr="00EB21C9">
              <w:t>Remicade</w:t>
            </w:r>
            <w:proofErr w:type="spellEnd"/>
            <w:r w:rsidRPr="00EB21C9">
              <w:t>®</w:t>
            </w:r>
            <w:r w:rsidRPr="00EB21C9">
              <w:br/>
              <w:t>Janssen-</w:t>
            </w:r>
            <w:proofErr w:type="spellStart"/>
            <w:r w:rsidRPr="00EB21C9">
              <w:t>Cilag</w:t>
            </w:r>
            <w:proofErr w:type="spellEnd"/>
            <w:r w:rsidRPr="00EB21C9">
              <w:t xml:space="preserve"> Pty Ltd</w:t>
            </w:r>
          </w:p>
        </w:tc>
        <w:tc>
          <w:tcPr>
            <w:tcW w:w="1701" w:type="dxa"/>
          </w:tcPr>
          <w:p w:rsidR="009A673D" w:rsidRPr="00EB21C9" w:rsidRDefault="009A673D" w:rsidP="00EB21C9">
            <w:pPr>
              <w:pStyle w:val="Tablewriting"/>
            </w:pPr>
            <w:r w:rsidRPr="00EB21C9">
              <w:t>Infliximab</w:t>
            </w:r>
          </w:p>
        </w:tc>
        <w:tc>
          <w:tcPr>
            <w:tcW w:w="2693" w:type="dxa"/>
          </w:tcPr>
          <w:p w:rsidR="009A673D" w:rsidRPr="00EB21C9" w:rsidRDefault="009A673D" w:rsidP="00EB21C9">
            <w:pPr>
              <w:pStyle w:val="Tablewriting"/>
            </w:pPr>
            <w:r w:rsidRPr="00EB21C9">
              <w:t>Weeks 0, 2, 6: 5 mg/kg</w:t>
            </w:r>
          </w:p>
        </w:tc>
        <w:tc>
          <w:tcPr>
            <w:tcW w:w="2835" w:type="dxa"/>
          </w:tcPr>
          <w:p w:rsidR="009A673D" w:rsidRPr="00EB21C9" w:rsidRDefault="009A673D" w:rsidP="00EB21C9">
            <w:pPr>
              <w:pStyle w:val="Tablewriting"/>
            </w:pPr>
            <w:r w:rsidRPr="00EB21C9">
              <w:t>Every 8 weeks: 5 mg/kg</w:t>
            </w:r>
          </w:p>
        </w:tc>
      </w:tr>
      <w:tr w:rsidR="009A673D" w:rsidRPr="00EB21C9" w:rsidTr="00071F03">
        <w:trPr>
          <w:trHeight w:val="338"/>
        </w:trPr>
        <w:tc>
          <w:tcPr>
            <w:tcW w:w="1843" w:type="dxa"/>
          </w:tcPr>
          <w:p w:rsidR="009A673D" w:rsidRPr="00EB21C9" w:rsidRDefault="009A673D" w:rsidP="00EB21C9">
            <w:pPr>
              <w:pStyle w:val="Tablewriting"/>
            </w:pPr>
            <w:proofErr w:type="spellStart"/>
            <w:r w:rsidRPr="00EB21C9">
              <w:t>Humira</w:t>
            </w:r>
            <w:proofErr w:type="spellEnd"/>
            <w:r w:rsidRPr="00EB21C9">
              <w:t>®</w:t>
            </w:r>
            <w:r w:rsidRPr="00EB21C9">
              <w:br/>
            </w:r>
            <w:proofErr w:type="spellStart"/>
            <w:r w:rsidRPr="00EB21C9">
              <w:t>AbbVie</w:t>
            </w:r>
            <w:proofErr w:type="spellEnd"/>
            <w:r w:rsidRPr="00EB21C9">
              <w:t xml:space="preserve"> Pty Ltd</w:t>
            </w:r>
          </w:p>
        </w:tc>
        <w:tc>
          <w:tcPr>
            <w:tcW w:w="1701" w:type="dxa"/>
          </w:tcPr>
          <w:p w:rsidR="009A673D" w:rsidRPr="00EB21C9" w:rsidRDefault="009A673D" w:rsidP="00EB21C9">
            <w:pPr>
              <w:pStyle w:val="Tablewriting"/>
            </w:pPr>
            <w:proofErr w:type="spellStart"/>
            <w:r w:rsidRPr="00EB21C9">
              <w:t>Adalimumab</w:t>
            </w:r>
            <w:proofErr w:type="spellEnd"/>
          </w:p>
        </w:tc>
        <w:tc>
          <w:tcPr>
            <w:tcW w:w="2693" w:type="dxa"/>
          </w:tcPr>
          <w:p w:rsidR="009A673D" w:rsidRPr="00EB21C9" w:rsidRDefault="00151E5A" w:rsidP="00EB21C9">
            <w:pPr>
              <w:pStyle w:val="Tablewriting"/>
              <w:rPr>
                <w:u w:val="single"/>
              </w:rPr>
            </w:pPr>
            <w:r>
              <w:rPr>
                <w:u w:val="single"/>
              </w:rPr>
              <w:t xml:space="preserve">Less than </w:t>
            </w:r>
            <w:r w:rsidR="009A673D" w:rsidRPr="00EB21C9">
              <w:rPr>
                <w:u w:val="single"/>
              </w:rPr>
              <w:t>40kg</w:t>
            </w:r>
          </w:p>
          <w:p w:rsidR="009A673D" w:rsidRPr="00EB21C9" w:rsidRDefault="009A673D" w:rsidP="00EB21C9">
            <w:pPr>
              <w:pStyle w:val="Tablewriting"/>
            </w:pPr>
            <w:r w:rsidRPr="00EB21C9">
              <w:t>Day 0: 80mg</w:t>
            </w:r>
          </w:p>
          <w:p w:rsidR="009A673D" w:rsidRDefault="009A673D" w:rsidP="00EB21C9">
            <w:pPr>
              <w:pStyle w:val="Tablewriting"/>
            </w:pPr>
            <w:r w:rsidRPr="00EB21C9">
              <w:t>Day 14: 40mg</w:t>
            </w:r>
          </w:p>
          <w:p w:rsidR="0076459F" w:rsidRDefault="0076459F" w:rsidP="00EB21C9">
            <w:pPr>
              <w:pStyle w:val="Tablewriting"/>
            </w:pPr>
          </w:p>
          <w:p w:rsidR="0076459F" w:rsidRPr="00EB21C9" w:rsidRDefault="00151E5A" w:rsidP="0076459F">
            <w:pPr>
              <w:pStyle w:val="Tablewriting"/>
              <w:pBdr>
                <w:top w:val="single" w:sz="4" w:space="1" w:color="auto"/>
              </w:pBdr>
              <w:rPr>
                <w:u w:val="single"/>
              </w:rPr>
            </w:pPr>
            <w:r>
              <w:rPr>
                <w:u w:val="single"/>
              </w:rPr>
              <w:t xml:space="preserve">Greater than or equal to </w:t>
            </w:r>
            <w:r w:rsidR="0076459F" w:rsidRPr="00EB21C9">
              <w:rPr>
                <w:u w:val="single"/>
              </w:rPr>
              <w:t>40kg</w:t>
            </w:r>
          </w:p>
          <w:p w:rsidR="0076459F" w:rsidRPr="00EB21C9" w:rsidRDefault="0076459F" w:rsidP="0076459F">
            <w:pPr>
              <w:pStyle w:val="Tablewriting"/>
              <w:pBdr>
                <w:top w:val="single" w:sz="4" w:space="1" w:color="auto"/>
              </w:pBdr>
            </w:pPr>
            <w:r w:rsidRPr="00EB21C9">
              <w:t>Day 0: 160 mg</w:t>
            </w:r>
            <w:r w:rsidRPr="00EB21C9">
              <w:br/>
              <w:t>Day 14: 80 mg</w:t>
            </w:r>
          </w:p>
        </w:tc>
        <w:tc>
          <w:tcPr>
            <w:tcW w:w="2835" w:type="dxa"/>
          </w:tcPr>
          <w:p w:rsidR="009A673D" w:rsidRPr="00EB21C9" w:rsidRDefault="009A673D" w:rsidP="00EB21C9">
            <w:pPr>
              <w:pStyle w:val="Tablewriting"/>
            </w:pPr>
            <w:r w:rsidRPr="00EB21C9">
              <w:t>Day 28 and continuing fortnightly:</w:t>
            </w:r>
          </w:p>
          <w:p w:rsidR="009A673D" w:rsidRPr="00EB21C9" w:rsidRDefault="009A673D" w:rsidP="00EB21C9">
            <w:pPr>
              <w:pStyle w:val="Tablewriting"/>
            </w:pPr>
            <w:r w:rsidRPr="00EB21C9">
              <w:t>10 mg (moderate disease)</w:t>
            </w:r>
          </w:p>
          <w:p w:rsidR="0076459F" w:rsidRDefault="009A673D" w:rsidP="00EB21C9">
            <w:pPr>
              <w:pStyle w:val="Tablewriting"/>
            </w:pPr>
            <w:r w:rsidRPr="00EB21C9">
              <w:t>20 mg (severe disease)</w:t>
            </w:r>
          </w:p>
          <w:p w:rsidR="0076459F" w:rsidRPr="00EB21C9" w:rsidRDefault="0076459F" w:rsidP="00164524">
            <w:pPr>
              <w:pStyle w:val="Tablewriting"/>
              <w:pBdr>
                <w:top w:val="single" w:sz="4" w:space="1" w:color="auto"/>
              </w:pBdr>
              <w:spacing w:before="100"/>
            </w:pPr>
            <w:r w:rsidRPr="00EB21C9">
              <w:t>Day 28 and continuing fortnightly:</w:t>
            </w:r>
          </w:p>
          <w:p w:rsidR="0076459F" w:rsidRPr="00EB21C9" w:rsidRDefault="0076459F" w:rsidP="0076459F">
            <w:pPr>
              <w:pStyle w:val="Tablewriting"/>
              <w:pBdr>
                <w:top w:val="single" w:sz="4" w:space="1" w:color="auto"/>
              </w:pBdr>
            </w:pPr>
            <w:r w:rsidRPr="00EB21C9">
              <w:t>20 mg (moderate disease)</w:t>
            </w:r>
          </w:p>
          <w:p w:rsidR="0076459F" w:rsidRPr="00EB21C9" w:rsidRDefault="0076459F" w:rsidP="0076459F">
            <w:pPr>
              <w:pStyle w:val="Tablewriting"/>
              <w:pBdr>
                <w:top w:val="single" w:sz="4" w:space="1" w:color="auto"/>
              </w:pBdr>
            </w:pPr>
            <w:r w:rsidRPr="00EB21C9">
              <w:t>40 mg (severe disease)</w:t>
            </w:r>
          </w:p>
        </w:tc>
      </w:tr>
    </w:tbl>
    <w:p w:rsidR="00EB21C9" w:rsidRPr="00EB21C9" w:rsidRDefault="00EB21C9" w:rsidP="00EB21C9">
      <w:pPr>
        <w:pStyle w:val="Notes"/>
      </w:pPr>
      <w:r w:rsidRPr="00EB21C9">
        <w:t xml:space="preserve">Source: Product information infliximab and Product information </w:t>
      </w:r>
      <w:proofErr w:type="spellStart"/>
      <w:r w:rsidRPr="00EB21C9">
        <w:t>adalimumab</w:t>
      </w:r>
      <w:proofErr w:type="spellEnd"/>
      <w:r>
        <w:br/>
      </w:r>
      <w:r w:rsidRPr="00EB21C9">
        <w:t>Note</w:t>
      </w:r>
      <w:r>
        <w:t xml:space="preserve">: </w:t>
      </w:r>
      <w:r w:rsidRPr="00EB21C9">
        <w:t xml:space="preserve">Infliximab is supplied as a 100 mg powder for IV infusions. </w:t>
      </w:r>
      <w:proofErr w:type="spellStart"/>
      <w:r w:rsidRPr="00EB21C9">
        <w:t>Adalimumab</w:t>
      </w:r>
      <w:proofErr w:type="spellEnd"/>
      <w:r w:rsidRPr="00EB21C9">
        <w:t xml:space="preserve"> is an injection, supplied as 40 mg in 0.8 mL in a pre-filled pen and pre-filled syringe </w:t>
      </w:r>
    </w:p>
    <w:p w:rsidR="00EB21C9" w:rsidRDefault="00EB21C9" w:rsidP="00EB21C9">
      <w:proofErr w:type="spellStart"/>
      <w:r>
        <w:t>Adalimumab</w:t>
      </w:r>
      <w:proofErr w:type="spellEnd"/>
      <w:r>
        <w:t xml:space="preserve"> is given as a subcutaneous injection. Infliximab is given as an intravenous infusion over at least 2 hours. Adult patients may be given a faster infusion for subsequent infusions. </w:t>
      </w:r>
    </w:p>
    <w:p w:rsidR="00EB21C9" w:rsidRPr="00F409C4" w:rsidRDefault="00EB21C9" w:rsidP="00EB21C9">
      <w:r>
        <w:t>Infliximab can be used in doses of 10mg/kg for adult and paediatric patients who have an incomplete response</w:t>
      </w:r>
      <w:r>
        <w:rPr>
          <w:vertAlign w:val="superscript"/>
        </w:rPr>
        <w:t>1,</w:t>
      </w:r>
      <w:r w:rsidR="00152479" w:rsidDel="00152479">
        <w:rPr>
          <w:rStyle w:val="FootnoteReference"/>
        </w:rPr>
        <w:t xml:space="preserve"> </w:t>
      </w:r>
      <w:proofErr w:type="gramStart"/>
      <w:r>
        <w:t>,</w:t>
      </w:r>
      <w:proofErr w:type="gramEnd"/>
      <w:r>
        <w:t xml:space="preserve"> however doses greater than 5mg/kg are not subsidised on the PBS. </w:t>
      </w:r>
      <w:proofErr w:type="spellStart"/>
      <w:r>
        <w:t>Adalimumab</w:t>
      </w:r>
      <w:proofErr w:type="spellEnd"/>
      <w:r>
        <w:t xml:space="preserve"> may also be used weekly during a disease flare or where patients have an inadequate response.</w:t>
      </w:r>
      <w:r w:rsidR="001B4299" w:rsidRPr="00071F03">
        <w:rPr>
          <w:vertAlign w:val="superscript"/>
        </w:rPr>
        <w:t>2</w:t>
      </w:r>
      <w:r>
        <w:t xml:space="preserve"> Weekly dosing of </w:t>
      </w:r>
      <w:proofErr w:type="spellStart"/>
      <w:r>
        <w:t>adalimumab</w:t>
      </w:r>
      <w:proofErr w:type="spellEnd"/>
      <w:r>
        <w:t xml:space="preserve"> is not subsidised on the PBS. </w:t>
      </w:r>
    </w:p>
    <w:p w:rsidR="00EB21C9" w:rsidRPr="00EB21C9" w:rsidRDefault="00EB21C9" w:rsidP="00A35800">
      <w:r w:rsidRPr="002F61CA">
        <w:t xml:space="preserve">The current Product Information (PI) and Consumer Medicine Information (CMI) are available from </w:t>
      </w:r>
      <w:r w:rsidRPr="0093627C">
        <w:t>the TGA (Product Information)</w:t>
      </w:r>
      <w:r>
        <w:t xml:space="preserve"> and </w:t>
      </w:r>
      <w:r w:rsidRPr="0093627C">
        <w:t>the TGA (Consumer Medicines Information)</w:t>
      </w:r>
      <w:r>
        <w:t>.</w:t>
      </w:r>
    </w:p>
    <w:p w:rsidR="001420B3" w:rsidRPr="005C55C6" w:rsidRDefault="001420B3" w:rsidP="002F63ED">
      <w:pPr>
        <w:pStyle w:val="Heading4"/>
      </w:pPr>
      <w:r w:rsidRPr="005C55C6">
        <w:lastRenderedPageBreak/>
        <w:t>Clinical situation</w:t>
      </w:r>
      <w:r w:rsidR="00EB21C9" w:rsidRPr="00EB21C9">
        <w:rPr>
          <w:vertAlign w:val="superscript"/>
        </w:rPr>
        <w:footnoteReference w:id="3"/>
      </w:r>
      <w:r w:rsidR="00EB21C9" w:rsidRPr="00EB21C9">
        <w:rPr>
          <w:vertAlign w:val="superscript"/>
        </w:rPr>
        <w:t>,</w:t>
      </w:r>
      <w:r w:rsidR="00EB21C9" w:rsidRPr="00EB21C9">
        <w:rPr>
          <w:vertAlign w:val="superscript"/>
        </w:rPr>
        <w:footnoteReference w:id="4"/>
      </w:r>
    </w:p>
    <w:p w:rsidR="00804E55" w:rsidRDefault="00EB21C9" w:rsidP="00EB21C9">
      <w:r w:rsidRPr="00EB21C9">
        <w:t xml:space="preserve">Crohn’s disease is an inflammatory bowel disease. It causes inflammation of the full thickness of the affected parts of the digestive tract. It can affect any part of the digestive tract however; it more commonly affects the ileum or colon. People with Crohn’s disease may develop fistulae, abnormal passages connecting a part of the bowel to the skin, vagina, bladder or another part of the bowel. </w:t>
      </w:r>
    </w:p>
    <w:p w:rsidR="004042AF" w:rsidRDefault="004042AF" w:rsidP="004042AF">
      <w:pPr>
        <w:pStyle w:val="Heading4"/>
      </w:pPr>
      <w:r w:rsidRPr="002801FD">
        <w:t xml:space="preserve">PBS listing details (as at </w:t>
      </w:r>
      <w:r w:rsidRPr="00EB21C9">
        <w:t>November 2014</w:t>
      </w:r>
      <w:r w:rsidRPr="002801FD">
        <w:t>)</w:t>
      </w:r>
    </w:p>
    <w:p w:rsidR="004042AF" w:rsidRPr="00EB21C9" w:rsidRDefault="004042AF" w:rsidP="004042AF">
      <w:r w:rsidRPr="00EB21C9">
        <w:t xml:space="preserve">Table 3 presents the PBS listings of </w:t>
      </w:r>
      <w:proofErr w:type="spellStart"/>
      <w:r w:rsidRPr="00EB21C9">
        <w:t>adalimumab</w:t>
      </w:r>
      <w:proofErr w:type="spellEnd"/>
      <w:r w:rsidRPr="00EB21C9">
        <w:t xml:space="preserve"> and infliximab for Crohn’s disease. Infliximab is listed under the Highly Specialised Drugs (HSD) Program. Infliximab is given as an intravenous infusion therefore supply </w:t>
      </w:r>
      <w:proofErr w:type="gramStart"/>
      <w:r w:rsidRPr="00EB21C9">
        <w:t>is restricted to public and private hospitals</w:t>
      </w:r>
      <w:proofErr w:type="gramEnd"/>
      <w:r w:rsidRPr="00EB21C9">
        <w:t xml:space="preserve"> having access to appropriate specialist facilities. Medical practitioners prescribing infliximab are required to be affiliated with these specialist hospital units.</w:t>
      </w:r>
    </w:p>
    <w:p w:rsidR="004042AF" w:rsidRDefault="004042AF" w:rsidP="004042AF">
      <w:pPr>
        <w:pStyle w:val="Tabletitle"/>
      </w:pPr>
    </w:p>
    <w:p w:rsidR="004042AF" w:rsidRDefault="004042AF" w:rsidP="00EB21C9">
      <w:pPr>
        <w:sectPr w:rsidR="004042AF" w:rsidSect="00945324">
          <w:headerReference w:type="even" r:id="rId9"/>
          <w:headerReference w:type="default" r:id="rId10"/>
          <w:footerReference w:type="even" r:id="rId11"/>
          <w:footerReference w:type="default" r:id="rId12"/>
          <w:headerReference w:type="first" r:id="rId13"/>
          <w:footerReference w:type="first" r:id="rId14"/>
          <w:pgSz w:w="11906" w:h="16838"/>
          <w:pgMar w:top="1644" w:right="1361" w:bottom="1644" w:left="1588" w:header="709" w:footer="709" w:gutter="0"/>
          <w:cols w:space="708"/>
          <w:docGrid w:linePitch="360"/>
        </w:sectPr>
      </w:pPr>
    </w:p>
    <w:p w:rsidR="004042AF" w:rsidRDefault="004042AF" w:rsidP="004042AF">
      <w:pPr>
        <w:pStyle w:val="Tabletitle"/>
        <w:spacing w:before="120" w:after="60"/>
      </w:pPr>
      <w:r w:rsidRPr="001420B3">
        <w:lastRenderedPageBreak/>
        <w:t xml:space="preserve">Table </w:t>
      </w:r>
      <w:r>
        <w:t>3</w:t>
      </w:r>
      <w:r w:rsidRPr="001420B3">
        <w:t xml:space="preserve">: </w:t>
      </w:r>
      <w:r>
        <w:t>PBS listing</w:t>
      </w:r>
      <w:r w:rsidR="001870DF">
        <w:t>s</w:t>
      </w:r>
      <w:r>
        <w:t xml:space="preserve"> of </w:t>
      </w:r>
      <w:proofErr w:type="spellStart"/>
      <w:r w:rsidRPr="00E138F4">
        <w:t>adalimumab</w:t>
      </w:r>
      <w:proofErr w:type="spellEnd"/>
      <w:r w:rsidRPr="00E138F4">
        <w:t xml:space="preserve"> and infliximab for Crohn’s disease</w:t>
      </w:r>
    </w:p>
    <w:tbl>
      <w:tblPr>
        <w:tblStyle w:val="TableGrid1"/>
        <w:tblW w:w="13862" w:type="dxa"/>
        <w:tblLayout w:type="fixed"/>
        <w:tblLook w:val="04A0" w:firstRow="1" w:lastRow="0" w:firstColumn="1" w:lastColumn="0" w:noHBand="0" w:noVBand="1"/>
        <w:tblCaption w:val="PBS listing of adalimumab and infliximab for Crohn's disease"/>
        <w:tblDescription w:val="The table presents the details of the PBS listings of adalimumab and infliximab for Crohn's disease as at November 2014"/>
      </w:tblPr>
      <w:tblGrid>
        <w:gridCol w:w="2546"/>
        <w:gridCol w:w="2971"/>
        <w:gridCol w:w="1838"/>
        <w:gridCol w:w="707"/>
        <w:gridCol w:w="990"/>
        <w:gridCol w:w="707"/>
        <w:gridCol w:w="850"/>
        <w:gridCol w:w="1697"/>
        <w:gridCol w:w="1556"/>
      </w:tblGrid>
      <w:tr w:rsidR="004042AF" w:rsidRPr="00E138F4" w:rsidTr="00B4081C">
        <w:trPr>
          <w:trHeight w:val="408"/>
          <w:tblHeader/>
        </w:trPr>
        <w:tc>
          <w:tcPr>
            <w:tcW w:w="2546" w:type="dxa"/>
            <w:vMerge w:val="restart"/>
            <w:shd w:val="clear" w:color="auto" w:fill="BFBFBF" w:themeFill="background1" w:themeFillShade="BF"/>
            <w:vAlign w:val="center"/>
          </w:tcPr>
          <w:p w:rsidR="004042AF" w:rsidRPr="00E138F4" w:rsidRDefault="004042AF" w:rsidP="00B4081C">
            <w:pPr>
              <w:pStyle w:val="Tablewriting"/>
              <w:rPr>
                <w:b/>
              </w:rPr>
            </w:pPr>
            <w:r w:rsidRPr="00E138F4">
              <w:rPr>
                <w:b/>
              </w:rPr>
              <w:t>Drug, brand name and manufacturer</w:t>
            </w:r>
          </w:p>
        </w:tc>
        <w:tc>
          <w:tcPr>
            <w:tcW w:w="2971" w:type="dxa"/>
            <w:vMerge w:val="restart"/>
            <w:shd w:val="clear" w:color="auto" w:fill="BFBFBF" w:themeFill="background1" w:themeFillShade="BF"/>
            <w:vAlign w:val="center"/>
          </w:tcPr>
          <w:p w:rsidR="004042AF" w:rsidRPr="00E138F4" w:rsidRDefault="004042AF" w:rsidP="00B4081C">
            <w:pPr>
              <w:pStyle w:val="Tablewriting"/>
              <w:rPr>
                <w:b/>
              </w:rPr>
            </w:pPr>
            <w:r w:rsidRPr="00E138F4">
              <w:rPr>
                <w:b/>
              </w:rPr>
              <w:t>Restrictions</w:t>
            </w:r>
          </w:p>
        </w:tc>
        <w:tc>
          <w:tcPr>
            <w:tcW w:w="1838" w:type="dxa"/>
            <w:vMerge w:val="restart"/>
            <w:shd w:val="clear" w:color="auto" w:fill="BFBFBF" w:themeFill="background1" w:themeFillShade="BF"/>
            <w:vAlign w:val="center"/>
          </w:tcPr>
          <w:p w:rsidR="004042AF" w:rsidRPr="00E138F4" w:rsidRDefault="004042AF" w:rsidP="00B4081C">
            <w:pPr>
              <w:pStyle w:val="Tablewriting"/>
              <w:rPr>
                <w:b/>
              </w:rPr>
            </w:pPr>
            <w:r w:rsidRPr="00E138F4">
              <w:rPr>
                <w:b/>
              </w:rPr>
              <w:t xml:space="preserve">Form, strength &amp; </w:t>
            </w:r>
          </w:p>
          <w:p w:rsidR="004042AF" w:rsidRPr="00E138F4" w:rsidRDefault="004042AF" w:rsidP="00B4081C">
            <w:pPr>
              <w:pStyle w:val="Tablewriting"/>
              <w:rPr>
                <w:b/>
              </w:rPr>
            </w:pPr>
            <w:proofErr w:type="spellStart"/>
            <w:r w:rsidRPr="00E138F4">
              <w:rPr>
                <w:b/>
              </w:rPr>
              <w:t>qty</w:t>
            </w:r>
            <w:proofErr w:type="spellEnd"/>
          </w:p>
        </w:tc>
        <w:tc>
          <w:tcPr>
            <w:tcW w:w="1697" w:type="dxa"/>
            <w:gridSpan w:val="2"/>
            <w:shd w:val="clear" w:color="auto" w:fill="BFBFBF" w:themeFill="background1" w:themeFillShade="BF"/>
          </w:tcPr>
          <w:p w:rsidR="004042AF" w:rsidRPr="00E138F4" w:rsidRDefault="004042AF" w:rsidP="00B4081C">
            <w:pPr>
              <w:pStyle w:val="Tablewriting"/>
              <w:rPr>
                <w:b/>
              </w:rPr>
            </w:pPr>
            <w:r w:rsidRPr="00E138F4">
              <w:rPr>
                <w:b/>
              </w:rPr>
              <w:t xml:space="preserve">Initial or Change </w:t>
            </w:r>
          </w:p>
        </w:tc>
        <w:tc>
          <w:tcPr>
            <w:tcW w:w="1557" w:type="dxa"/>
            <w:gridSpan w:val="2"/>
            <w:shd w:val="clear" w:color="auto" w:fill="BFBFBF" w:themeFill="background1" w:themeFillShade="BF"/>
          </w:tcPr>
          <w:p w:rsidR="004042AF" w:rsidRPr="00E138F4" w:rsidRDefault="004042AF" w:rsidP="00B4081C">
            <w:pPr>
              <w:pStyle w:val="Tablewriting"/>
              <w:rPr>
                <w:b/>
              </w:rPr>
            </w:pPr>
            <w:r w:rsidRPr="00E138F4">
              <w:rPr>
                <w:b/>
              </w:rPr>
              <w:t xml:space="preserve">Continuing or </w:t>
            </w:r>
            <w:r w:rsidRPr="00E138F4">
              <w:rPr>
                <w:b/>
              </w:rPr>
              <w:br/>
              <w:t>Grandfathered</w:t>
            </w:r>
          </w:p>
        </w:tc>
        <w:tc>
          <w:tcPr>
            <w:tcW w:w="1697" w:type="dxa"/>
            <w:vMerge w:val="restart"/>
            <w:shd w:val="clear" w:color="auto" w:fill="BFBFBF" w:themeFill="background1" w:themeFillShade="BF"/>
            <w:vAlign w:val="center"/>
          </w:tcPr>
          <w:p w:rsidR="004042AF" w:rsidRPr="00E138F4" w:rsidRDefault="004042AF" w:rsidP="00B4081C">
            <w:pPr>
              <w:pStyle w:val="Tablewriting"/>
              <w:rPr>
                <w:b/>
              </w:rPr>
            </w:pPr>
            <w:r w:rsidRPr="00E138F4">
              <w:rPr>
                <w:b/>
              </w:rPr>
              <w:t>DPMQ</w:t>
            </w:r>
          </w:p>
        </w:tc>
        <w:tc>
          <w:tcPr>
            <w:tcW w:w="1556" w:type="dxa"/>
            <w:vMerge w:val="restart"/>
            <w:shd w:val="clear" w:color="auto" w:fill="BFBFBF" w:themeFill="background1" w:themeFillShade="BF"/>
            <w:vAlign w:val="center"/>
          </w:tcPr>
          <w:p w:rsidR="004042AF" w:rsidRPr="00E138F4" w:rsidRDefault="004042AF" w:rsidP="00B4081C">
            <w:pPr>
              <w:pStyle w:val="Tablewriting"/>
              <w:rPr>
                <w:b/>
              </w:rPr>
            </w:pPr>
            <w:r w:rsidRPr="00E138F4">
              <w:rPr>
                <w:b/>
              </w:rPr>
              <w:t>Item Codes</w:t>
            </w:r>
          </w:p>
        </w:tc>
      </w:tr>
      <w:tr w:rsidR="004042AF" w:rsidRPr="00E138F4" w:rsidTr="00B4081C">
        <w:trPr>
          <w:trHeight w:val="407"/>
          <w:tblHeader/>
        </w:trPr>
        <w:tc>
          <w:tcPr>
            <w:tcW w:w="2546" w:type="dxa"/>
            <w:vMerge/>
            <w:shd w:val="clear" w:color="auto" w:fill="BFBFBF" w:themeFill="background1" w:themeFillShade="BF"/>
          </w:tcPr>
          <w:p w:rsidR="004042AF" w:rsidRPr="00E138F4" w:rsidRDefault="004042AF" w:rsidP="00B4081C">
            <w:pPr>
              <w:autoSpaceDE w:val="0"/>
              <w:autoSpaceDN w:val="0"/>
              <w:adjustRightInd w:val="0"/>
              <w:spacing w:before="60" w:after="60"/>
              <w:rPr>
                <w:rFonts w:ascii="Calibri" w:hAnsi="Calibri" w:cs="Calibri"/>
                <w:color w:val="000000"/>
                <w:sz w:val="20"/>
                <w:szCs w:val="20"/>
              </w:rPr>
            </w:pPr>
          </w:p>
        </w:tc>
        <w:tc>
          <w:tcPr>
            <w:tcW w:w="2971" w:type="dxa"/>
            <w:vMerge/>
            <w:shd w:val="clear" w:color="auto" w:fill="BFBFBF" w:themeFill="background1" w:themeFillShade="BF"/>
          </w:tcPr>
          <w:p w:rsidR="004042AF" w:rsidRPr="00E138F4" w:rsidRDefault="004042AF" w:rsidP="00B4081C">
            <w:pPr>
              <w:autoSpaceDE w:val="0"/>
              <w:autoSpaceDN w:val="0"/>
              <w:adjustRightInd w:val="0"/>
              <w:spacing w:before="60" w:after="60"/>
              <w:rPr>
                <w:rFonts w:ascii="Calibri" w:hAnsi="Calibri" w:cs="Calibri"/>
                <w:color w:val="000000"/>
                <w:sz w:val="20"/>
                <w:szCs w:val="20"/>
              </w:rPr>
            </w:pPr>
          </w:p>
        </w:tc>
        <w:tc>
          <w:tcPr>
            <w:tcW w:w="1838" w:type="dxa"/>
            <w:vMerge/>
            <w:shd w:val="clear" w:color="auto" w:fill="BFBFBF" w:themeFill="background1" w:themeFillShade="BF"/>
          </w:tcPr>
          <w:p w:rsidR="004042AF" w:rsidRPr="00E138F4" w:rsidRDefault="004042AF" w:rsidP="00B4081C">
            <w:pPr>
              <w:autoSpaceDE w:val="0"/>
              <w:autoSpaceDN w:val="0"/>
              <w:adjustRightInd w:val="0"/>
              <w:spacing w:before="60" w:after="60"/>
              <w:rPr>
                <w:rFonts w:ascii="Calibri" w:hAnsi="Calibri" w:cs="Calibri"/>
                <w:color w:val="000000"/>
                <w:sz w:val="20"/>
                <w:szCs w:val="20"/>
              </w:rPr>
            </w:pPr>
          </w:p>
        </w:tc>
        <w:tc>
          <w:tcPr>
            <w:tcW w:w="707" w:type="dxa"/>
            <w:shd w:val="clear" w:color="auto" w:fill="BFBFBF" w:themeFill="background1" w:themeFillShade="BF"/>
          </w:tcPr>
          <w:p w:rsidR="004042AF" w:rsidRPr="00E138F4" w:rsidRDefault="004042AF" w:rsidP="00B4081C">
            <w:pPr>
              <w:autoSpaceDE w:val="0"/>
              <w:autoSpaceDN w:val="0"/>
              <w:adjustRightInd w:val="0"/>
              <w:spacing w:before="60" w:after="60"/>
              <w:jc w:val="center"/>
              <w:rPr>
                <w:rFonts w:ascii="Calibri" w:hAnsi="Calibri" w:cs="Calibri"/>
                <w:b/>
                <w:color w:val="000000"/>
                <w:sz w:val="20"/>
                <w:szCs w:val="20"/>
              </w:rPr>
            </w:pPr>
            <w:r w:rsidRPr="00E138F4">
              <w:rPr>
                <w:rFonts w:ascii="Calibri" w:hAnsi="Calibri" w:cs="Calibri"/>
                <w:b/>
                <w:color w:val="000000"/>
                <w:sz w:val="20"/>
                <w:szCs w:val="20"/>
              </w:rPr>
              <w:t xml:space="preserve">Max </w:t>
            </w:r>
            <w:proofErr w:type="spellStart"/>
            <w:r w:rsidRPr="00E138F4">
              <w:rPr>
                <w:rFonts w:ascii="Calibri" w:hAnsi="Calibri" w:cs="Calibri"/>
                <w:b/>
                <w:color w:val="000000"/>
                <w:sz w:val="20"/>
                <w:szCs w:val="20"/>
              </w:rPr>
              <w:t>Qty</w:t>
            </w:r>
            <w:proofErr w:type="spellEnd"/>
          </w:p>
        </w:tc>
        <w:tc>
          <w:tcPr>
            <w:tcW w:w="990" w:type="dxa"/>
            <w:shd w:val="clear" w:color="auto" w:fill="BFBFBF" w:themeFill="background1" w:themeFillShade="BF"/>
          </w:tcPr>
          <w:p w:rsidR="004042AF" w:rsidRPr="00E138F4" w:rsidRDefault="004042AF" w:rsidP="00B4081C">
            <w:pPr>
              <w:autoSpaceDE w:val="0"/>
              <w:autoSpaceDN w:val="0"/>
              <w:adjustRightInd w:val="0"/>
              <w:spacing w:before="60" w:after="60"/>
              <w:jc w:val="center"/>
              <w:rPr>
                <w:rFonts w:ascii="Calibri" w:hAnsi="Calibri" w:cs="Calibri"/>
                <w:b/>
                <w:color w:val="000000"/>
                <w:sz w:val="20"/>
                <w:szCs w:val="20"/>
              </w:rPr>
            </w:pPr>
            <w:proofErr w:type="spellStart"/>
            <w:r w:rsidRPr="00E138F4">
              <w:rPr>
                <w:rFonts w:ascii="Calibri" w:hAnsi="Calibri" w:cs="Calibri"/>
                <w:b/>
                <w:color w:val="000000"/>
                <w:sz w:val="20"/>
                <w:szCs w:val="20"/>
              </w:rPr>
              <w:t>Rpts</w:t>
            </w:r>
            <w:proofErr w:type="spellEnd"/>
          </w:p>
        </w:tc>
        <w:tc>
          <w:tcPr>
            <w:tcW w:w="707" w:type="dxa"/>
            <w:shd w:val="clear" w:color="auto" w:fill="BFBFBF" w:themeFill="background1" w:themeFillShade="BF"/>
          </w:tcPr>
          <w:p w:rsidR="004042AF" w:rsidRPr="00E138F4" w:rsidRDefault="004042AF" w:rsidP="00B4081C">
            <w:pPr>
              <w:autoSpaceDE w:val="0"/>
              <w:autoSpaceDN w:val="0"/>
              <w:adjustRightInd w:val="0"/>
              <w:spacing w:before="60" w:after="60"/>
              <w:jc w:val="center"/>
              <w:rPr>
                <w:rFonts w:ascii="Calibri" w:hAnsi="Calibri" w:cs="Calibri"/>
                <w:b/>
                <w:color w:val="000000"/>
                <w:sz w:val="20"/>
                <w:szCs w:val="20"/>
              </w:rPr>
            </w:pPr>
            <w:r w:rsidRPr="00E138F4">
              <w:rPr>
                <w:rFonts w:ascii="Calibri" w:hAnsi="Calibri" w:cs="Calibri"/>
                <w:b/>
                <w:color w:val="000000"/>
                <w:sz w:val="20"/>
                <w:szCs w:val="20"/>
              </w:rPr>
              <w:t xml:space="preserve">Max </w:t>
            </w:r>
            <w:proofErr w:type="spellStart"/>
            <w:r w:rsidRPr="00E138F4">
              <w:rPr>
                <w:rFonts w:ascii="Calibri" w:hAnsi="Calibri" w:cs="Calibri"/>
                <w:b/>
                <w:color w:val="000000"/>
                <w:sz w:val="20"/>
                <w:szCs w:val="20"/>
              </w:rPr>
              <w:t>Qty</w:t>
            </w:r>
            <w:proofErr w:type="spellEnd"/>
          </w:p>
        </w:tc>
        <w:tc>
          <w:tcPr>
            <w:tcW w:w="850" w:type="dxa"/>
            <w:shd w:val="clear" w:color="auto" w:fill="BFBFBF" w:themeFill="background1" w:themeFillShade="BF"/>
          </w:tcPr>
          <w:p w:rsidR="004042AF" w:rsidRPr="00E138F4" w:rsidRDefault="004042AF" w:rsidP="00B4081C">
            <w:pPr>
              <w:autoSpaceDE w:val="0"/>
              <w:autoSpaceDN w:val="0"/>
              <w:adjustRightInd w:val="0"/>
              <w:spacing w:before="60" w:after="60"/>
              <w:jc w:val="center"/>
              <w:rPr>
                <w:rFonts w:ascii="Calibri" w:hAnsi="Calibri" w:cs="Calibri"/>
                <w:b/>
                <w:color w:val="000000"/>
                <w:sz w:val="20"/>
                <w:szCs w:val="20"/>
              </w:rPr>
            </w:pPr>
            <w:proofErr w:type="spellStart"/>
            <w:r w:rsidRPr="00E138F4">
              <w:rPr>
                <w:rFonts w:ascii="Calibri" w:hAnsi="Calibri" w:cs="Calibri"/>
                <w:b/>
                <w:color w:val="000000"/>
                <w:sz w:val="20"/>
                <w:szCs w:val="20"/>
              </w:rPr>
              <w:t>Rpts</w:t>
            </w:r>
            <w:proofErr w:type="spellEnd"/>
          </w:p>
        </w:tc>
        <w:tc>
          <w:tcPr>
            <w:tcW w:w="1697" w:type="dxa"/>
            <w:vMerge/>
            <w:shd w:val="clear" w:color="auto" w:fill="BFBFBF" w:themeFill="background1" w:themeFillShade="BF"/>
          </w:tcPr>
          <w:p w:rsidR="004042AF" w:rsidRPr="00E138F4" w:rsidRDefault="004042AF" w:rsidP="00B4081C">
            <w:pPr>
              <w:autoSpaceDE w:val="0"/>
              <w:autoSpaceDN w:val="0"/>
              <w:adjustRightInd w:val="0"/>
              <w:spacing w:before="60" w:after="60"/>
              <w:jc w:val="center"/>
              <w:rPr>
                <w:rFonts w:ascii="Calibri" w:hAnsi="Calibri" w:cs="Calibri"/>
                <w:color w:val="000000"/>
                <w:sz w:val="20"/>
                <w:szCs w:val="20"/>
              </w:rPr>
            </w:pPr>
          </w:p>
        </w:tc>
        <w:tc>
          <w:tcPr>
            <w:tcW w:w="1556" w:type="dxa"/>
            <w:vMerge/>
            <w:shd w:val="clear" w:color="auto" w:fill="BFBFBF" w:themeFill="background1" w:themeFillShade="BF"/>
          </w:tcPr>
          <w:p w:rsidR="004042AF" w:rsidRPr="00E138F4" w:rsidRDefault="004042AF" w:rsidP="00B4081C">
            <w:pPr>
              <w:autoSpaceDE w:val="0"/>
              <w:autoSpaceDN w:val="0"/>
              <w:adjustRightInd w:val="0"/>
              <w:spacing w:before="60" w:after="60"/>
              <w:jc w:val="center"/>
              <w:rPr>
                <w:rFonts w:ascii="Calibri" w:hAnsi="Calibri" w:cs="Calibri"/>
                <w:color w:val="000000"/>
                <w:sz w:val="20"/>
                <w:szCs w:val="20"/>
              </w:rPr>
            </w:pPr>
          </w:p>
        </w:tc>
      </w:tr>
      <w:tr w:rsidR="004042AF" w:rsidRPr="00E138F4" w:rsidTr="00B4081C">
        <w:trPr>
          <w:trHeight w:val="343"/>
          <w:tblHeader/>
        </w:trPr>
        <w:tc>
          <w:tcPr>
            <w:tcW w:w="2546" w:type="dxa"/>
            <w:vMerge w:val="restart"/>
          </w:tcPr>
          <w:p w:rsidR="004042AF" w:rsidRPr="00E138F4" w:rsidRDefault="004042AF" w:rsidP="00B4081C">
            <w:pPr>
              <w:pStyle w:val="Tablewriting"/>
            </w:pPr>
            <w:proofErr w:type="spellStart"/>
            <w:r w:rsidRPr="00E138F4">
              <w:t>Adalimumab</w:t>
            </w:r>
            <w:proofErr w:type="spellEnd"/>
            <w:r w:rsidRPr="00E138F4">
              <w:t xml:space="preserve"> (</w:t>
            </w:r>
            <w:proofErr w:type="spellStart"/>
            <w:r w:rsidRPr="00E138F4">
              <w:t>Humira</w:t>
            </w:r>
            <w:proofErr w:type="spellEnd"/>
            <w:r w:rsidRPr="00E138F4">
              <w:t>®)</w:t>
            </w:r>
          </w:p>
          <w:p w:rsidR="004042AF" w:rsidRPr="00E138F4" w:rsidRDefault="004042AF" w:rsidP="00B4081C">
            <w:pPr>
              <w:pStyle w:val="Tablewriting"/>
            </w:pPr>
            <w:proofErr w:type="spellStart"/>
            <w:r w:rsidRPr="00E138F4">
              <w:t>Abbvie</w:t>
            </w:r>
            <w:proofErr w:type="spellEnd"/>
            <w:r w:rsidRPr="00E138F4">
              <w:t xml:space="preserve"> Pty Ltd</w:t>
            </w:r>
          </w:p>
        </w:tc>
        <w:tc>
          <w:tcPr>
            <w:tcW w:w="2971" w:type="dxa"/>
            <w:vMerge w:val="restart"/>
          </w:tcPr>
          <w:p w:rsidR="004042AF" w:rsidRPr="00E138F4" w:rsidRDefault="004042AF" w:rsidP="00B4081C">
            <w:pPr>
              <w:pStyle w:val="Tablewriting"/>
            </w:pPr>
            <w:r w:rsidRPr="00E138F4">
              <w:t xml:space="preserve">Fistulising </w:t>
            </w:r>
            <w:r>
              <w:t>C</w:t>
            </w:r>
            <w:r w:rsidRPr="00E138F4">
              <w:t>rohn’s disease</w:t>
            </w:r>
            <w:r w:rsidRPr="00E138F4">
              <w:br/>
            </w:r>
          </w:p>
        </w:tc>
        <w:tc>
          <w:tcPr>
            <w:tcW w:w="1838" w:type="dxa"/>
            <w:vAlign w:val="center"/>
          </w:tcPr>
          <w:p w:rsidR="004042AF" w:rsidRPr="00E138F4" w:rsidRDefault="004042AF" w:rsidP="00B4081C">
            <w:pPr>
              <w:pStyle w:val="Tablewriting"/>
            </w:pPr>
            <w:r w:rsidRPr="00E138F4">
              <w:t>40 mg syringe, 6</w:t>
            </w:r>
          </w:p>
        </w:tc>
        <w:tc>
          <w:tcPr>
            <w:tcW w:w="707" w:type="dxa"/>
            <w:vAlign w:val="center"/>
          </w:tcPr>
          <w:p w:rsidR="004042AF" w:rsidRPr="00E138F4" w:rsidRDefault="004042AF" w:rsidP="00B4081C">
            <w:pPr>
              <w:pStyle w:val="Tablewriting"/>
              <w:jc w:val="center"/>
            </w:pPr>
            <w:r w:rsidRPr="00E138F4">
              <w:t>1</w:t>
            </w:r>
          </w:p>
        </w:tc>
        <w:tc>
          <w:tcPr>
            <w:tcW w:w="990" w:type="dxa"/>
            <w:vAlign w:val="center"/>
          </w:tcPr>
          <w:p w:rsidR="004042AF" w:rsidRPr="00E138F4" w:rsidRDefault="004042AF" w:rsidP="00B4081C">
            <w:pPr>
              <w:pStyle w:val="Tablewriting"/>
              <w:jc w:val="center"/>
            </w:pPr>
            <w:r>
              <w:t>0</w:t>
            </w:r>
          </w:p>
        </w:tc>
        <w:tc>
          <w:tcPr>
            <w:tcW w:w="707" w:type="dxa"/>
            <w:vAlign w:val="center"/>
          </w:tcPr>
          <w:p w:rsidR="004042AF" w:rsidRPr="00E138F4" w:rsidRDefault="004042AF" w:rsidP="00B4081C">
            <w:pPr>
              <w:pStyle w:val="Tablewriting"/>
              <w:jc w:val="center"/>
            </w:pPr>
            <w:r w:rsidRPr="00E138F4">
              <w:t>-</w:t>
            </w:r>
          </w:p>
        </w:tc>
        <w:tc>
          <w:tcPr>
            <w:tcW w:w="850" w:type="dxa"/>
            <w:vAlign w:val="center"/>
          </w:tcPr>
          <w:p w:rsidR="004042AF" w:rsidRPr="00E138F4" w:rsidRDefault="004042AF" w:rsidP="00B4081C">
            <w:pPr>
              <w:pStyle w:val="Tablewriting"/>
              <w:jc w:val="center"/>
            </w:pPr>
            <w:r w:rsidRPr="00E138F4">
              <w:t>-</w:t>
            </w:r>
          </w:p>
        </w:tc>
        <w:tc>
          <w:tcPr>
            <w:tcW w:w="1697" w:type="dxa"/>
            <w:vAlign w:val="center"/>
          </w:tcPr>
          <w:p w:rsidR="004042AF" w:rsidRPr="00E138F4" w:rsidRDefault="004042AF" w:rsidP="00B4081C">
            <w:pPr>
              <w:pStyle w:val="Tablewriting"/>
            </w:pPr>
            <w:r w:rsidRPr="00E138F4">
              <w:t>$5,036.70</w:t>
            </w:r>
          </w:p>
        </w:tc>
        <w:tc>
          <w:tcPr>
            <w:tcW w:w="1556" w:type="dxa"/>
          </w:tcPr>
          <w:p w:rsidR="004042AF" w:rsidRPr="00E138F4" w:rsidRDefault="004042AF" w:rsidP="00B4081C">
            <w:pPr>
              <w:pStyle w:val="Tablewriting"/>
            </w:pPr>
            <w:r w:rsidRPr="00E138F4">
              <w:t>8961P</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tcPr>
          <w:p w:rsidR="004042AF" w:rsidRPr="00E138F4" w:rsidRDefault="004042AF" w:rsidP="00B4081C">
            <w:pPr>
              <w:pStyle w:val="Tablewriting"/>
            </w:pPr>
          </w:p>
        </w:tc>
        <w:tc>
          <w:tcPr>
            <w:tcW w:w="1838" w:type="dxa"/>
            <w:vAlign w:val="center"/>
          </w:tcPr>
          <w:p w:rsidR="004042AF" w:rsidRPr="00E138F4" w:rsidRDefault="004042AF" w:rsidP="00B4081C">
            <w:pPr>
              <w:pStyle w:val="Tablewriting"/>
            </w:pPr>
            <w:r w:rsidRPr="00E138F4">
              <w:t>40 mg cartridge, 6</w:t>
            </w:r>
          </w:p>
        </w:tc>
        <w:tc>
          <w:tcPr>
            <w:tcW w:w="707" w:type="dxa"/>
            <w:vAlign w:val="center"/>
          </w:tcPr>
          <w:p w:rsidR="004042AF" w:rsidRPr="00E138F4" w:rsidRDefault="004042AF" w:rsidP="00B4081C">
            <w:pPr>
              <w:pStyle w:val="Tablewriting"/>
              <w:jc w:val="center"/>
            </w:pPr>
            <w:r w:rsidRPr="00E138F4">
              <w:t>1</w:t>
            </w:r>
          </w:p>
        </w:tc>
        <w:tc>
          <w:tcPr>
            <w:tcW w:w="990" w:type="dxa"/>
            <w:vAlign w:val="center"/>
          </w:tcPr>
          <w:p w:rsidR="004042AF" w:rsidRPr="00E138F4" w:rsidRDefault="004042AF" w:rsidP="00B4081C">
            <w:pPr>
              <w:pStyle w:val="Tablewriting"/>
              <w:jc w:val="center"/>
            </w:pPr>
            <w:r>
              <w:t>0</w:t>
            </w:r>
          </w:p>
        </w:tc>
        <w:tc>
          <w:tcPr>
            <w:tcW w:w="707" w:type="dxa"/>
            <w:vAlign w:val="center"/>
          </w:tcPr>
          <w:p w:rsidR="004042AF" w:rsidRPr="00E138F4" w:rsidRDefault="004042AF" w:rsidP="00B4081C">
            <w:pPr>
              <w:pStyle w:val="Tablewriting"/>
              <w:jc w:val="center"/>
            </w:pPr>
            <w:r w:rsidRPr="00E138F4">
              <w:t>-</w:t>
            </w:r>
          </w:p>
        </w:tc>
        <w:tc>
          <w:tcPr>
            <w:tcW w:w="850" w:type="dxa"/>
            <w:vAlign w:val="center"/>
          </w:tcPr>
          <w:p w:rsidR="004042AF" w:rsidRPr="00E138F4" w:rsidRDefault="004042AF" w:rsidP="00B4081C">
            <w:pPr>
              <w:pStyle w:val="Tablewriting"/>
              <w:jc w:val="center"/>
            </w:pPr>
            <w:r w:rsidRPr="00E138F4">
              <w:t>-</w:t>
            </w:r>
          </w:p>
        </w:tc>
        <w:tc>
          <w:tcPr>
            <w:tcW w:w="1697" w:type="dxa"/>
            <w:vAlign w:val="center"/>
          </w:tcPr>
          <w:p w:rsidR="004042AF" w:rsidRPr="00E138F4" w:rsidRDefault="004042AF" w:rsidP="00B4081C">
            <w:pPr>
              <w:pStyle w:val="Tablewriting"/>
            </w:pPr>
            <w:r w:rsidRPr="00E138F4">
              <w:t>$5,036.70</w:t>
            </w:r>
          </w:p>
        </w:tc>
        <w:tc>
          <w:tcPr>
            <w:tcW w:w="1556" w:type="dxa"/>
          </w:tcPr>
          <w:p w:rsidR="004042AF" w:rsidRPr="00E138F4" w:rsidRDefault="004042AF" w:rsidP="00B4081C">
            <w:pPr>
              <w:pStyle w:val="Tablewriting"/>
            </w:pPr>
            <w:r w:rsidRPr="00E138F4">
              <w:t>8962Q</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tcPr>
          <w:p w:rsidR="004042AF" w:rsidRPr="00E138F4" w:rsidRDefault="004042AF" w:rsidP="00B4081C">
            <w:pPr>
              <w:pStyle w:val="Tablewriting"/>
            </w:pPr>
          </w:p>
        </w:tc>
        <w:tc>
          <w:tcPr>
            <w:tcW w:w="1838" w:type="dxa"/>
            <w:vAlign w:val="center"/>
          </w:tcPr>
          <w:p w:rsidR="004042AF" w:rsidRPr="00E138F4" w:rsidRDefault="004042AF" w:rsidP="00B4081C">
            <w:pPr>
              <w:pStyle w:val="Tablewriting"/>
            </w:pPr>
            <w:r w:rsidRPr="00E138F4">
              <w:t>40 mg syringe, 2</w:t>
            </w:r>
          </w:p>
        </w:tc>
        <w:tc>
          <w:tcPr>
            <w:tcW w:w="707" w:type="dxa"/>
            <w:vAlign w:val="center"/>
          </w:tcPr>
          <w:p w:rsidR="004042AF" w:rsidRPr="00E138F4" w:rsidRDefault="004042AF" w:rsidP="00B4081C">
            <w:pPr>
              <w:pStyle w:val="Tablewriting"/>
              <w:jc w:val="center"/>
            </w:pPr>
            <w:r>
              <w:t>1</w:t>
            </w:r>
          </w:p>
        </w:tc>
        <w:tc>
          <w:tcPr>
            <w:tcW w:w="990" w:type="dxa"/>
            <w:vAlign w:val="center"/>
          </w:tcPr>
          <w:p w:rsidR="004042AF" w:rsidRPr="00E138F4" w:rsidRDefault="004042AF" w:rsidP="00B4081C">
            <w:pPr>
              <w:pStyle w:val="Tablewriting"/>
              <w:jc w:val="center"/>
            </w:pPr>
            <w:r w:rsidRPr="00E138F4">
              <w:t>2</w:t>
            </w:r>
          </w:p>
        </w:tc>
        <w:tc>
          <w:tcPr>
            <w:tcW w:w="707" w:type="dxa"/>
            <w:vAlign w:val="center"/>
          </w:tcPr>
          <w:p w:rsidR="004042AF" w:rsidRPr="00E138F4" w:rsidRDefault="004042AF" w:rsidP="00B4081C">
            <w:pPr>
              <w:pStyle w:val="Tablewriting"/>
              <w:jc w:val="center"/>
            </w:pPr>
            <w:r w:rsidRPr="00E138F4">
              <w:t>2</w:t>
            </w:r>
          </w:p>
        </w:tc>
        <w:tc>
          <w:tcPr>
            <w:tcW w:w="850" w:type="dxa"/>
            <w:vAlign w:val="center"/>
          </w:tcPr>
          <w:p w:rsidR="004042AF" w:rsidRPr="00E138F4" w:rsidRDefault="004042AF" w:rsidP="00B4081C">
            <w:pPr>
              <w:pStyle w:val="Tablewriting"/>
              <w:jc w:val="center"/>
            </w:pPr>
            <w:r w:rsidRPr="00E138F4">
              <w:t>5</w:t>
            </w:r>
          </w:p>
        </w:tc>
        <w:tc>
          <w:tcPr>
            <w:tcW w:w="1697" w:type="dxa"/>
            <w:vAlign w:val="center"/>
          </w:tcPr>
          <w:p w:rsidR="004042AF" w:rsidRPr="00E138F4" w:rsidRDefault="004042AF" w:rsidP="00B4081C">
            <w:pPr>
              <w:pStyle w:val="Tablewriting"/>
            </w:pPr>
            <w:r w:rsidRPr="00E138F4">
              <w:t xml:space="preserve">$1,774.70 </w:t>
            </w:r>
          </w:p>
        </w:tc>
        <w:tc>
          <w:tcPr>
            <w:tcW w:w="1556" w:type="dxa"/>
          </w:tcPr>
          <w:p w:rsidR="004042AF" w:rsidRPr="00E138F4" w:rsidRDefault="004042AF" w:rsidP="00B4081C">
            <w:pPr>
              <w:pStyle w:val="Tablewriting"/>
            </w:pPr>
            <w:r w:rsidRPr="004B5B61">
              <w:t>8963R</w:t>
            </w:r>
            <w:r w:rsidRPr="00E138F4">
              <w:t xml:space="preserve"> (initial)</w:t>
            </w:r>
          </w:p>
          <w:p w:rsidR="004042AF" w:rsidRPr="00E138F4" w:rsidRDefault="004042AF" w:rsidP="00B4081C">
            <w:pPr>
              <w:pStyle w:val="Tablewriting"/>
            </w:pPr>
            <w:r w:rsidRPr="00E138F4">
              <w:t>8964T (cont.)</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tcPr>
          <w:p w:rsidR="004042AF" w:rsidRPr="00E138F4" w:rsidRDefault="004042AF" w:rsidP="00B4081C">
            <w:pPr>
              <w:pStyle w:val="Tablewriting"/>
            </w:pPr>
          </w:p>
        </w:tc>
        <w:tc>
          <w:tcPr>
            <w:tcW w:w="1838" w:type="dxa"/>
            <w:vAlign w:val="center"/>
          </w:tcPr>
          <w:p w:rsidR="004042AF" w:rsidRPr="00E138F4" w:rsidRDefault="004042AF" w:rsidP="00B4081C">
            <w:pPr>
              <w:pStyle w:val="Tablewriting"/>
            </w:pPr>
            <w:r w:rsidRPr="00E138F4">
              <w:t>40 mg cartridge, 2</w:t>
            </w:r>
          </w:p>
        </w:tc>
        <w:tc>
          <w:tcPr>
            <w:tcW w:w="707" w:type="dxa"/>
            <w:vAlign w:val="center"/>
          </w:tcPr>
          <w:p w:rsidR="004042AF" w:rsidRPr="00E138F4" w:rsidRDefault="004042AF" w:rsidP="00B4081C">
            <w:pPr>
              <w:pStyle w:val="Tablewriting"/>
              <w:jc w:val="center"/>
            </w:pPr>
            <w:r>
              <w:t>1</w:t>
            </w:r>
          </w:p>
        </w:tc>
        <w:tc>
          <w:tcPr>
            <w:tcW w:w="990" w:type="dxa"/>
            <w:vAlign w:val="center"/>
          </w:tcPr>
          <w:p w:rsidR="004042AF" w:rsidRPr="00E138F4" w:rsidRDefault="004042AF" w:rsidP="00B4081C">
            <w:pPr>
              <w:pStyle w:val="Tablewriting"/>
              <w:jc w:val="center"/>
            </w:pPr>
            <w:r w:rsidRPr="00E138F4">
              <w:t>2</w:t>
            </w:r>
          </w:p>
        </w:tc>
        <w:tc>
          <w:tcPr>
            <w:tcW w:w="707" w:type="dxa"/>
            <w:vAlign w:val="center"/>
          </w:tcPr>
          <w:p w:rsidR="004042AF" w:rsidRPr="00E138F4" w:rsidRDefault="004042AF" w:rsidP="00B4081C">
            <w:pPr>
              <w:pStyle w:val="Tablewriting"/>
              <w:jc w:val="center"/>
            </w:pPr>
            <w:r w:rsidRPr="00E138F4">
              <w:t>2</w:t>
            </w:r>
          </w:p>
        </w:tc>
        <w:tc>
          <w:tcPr>
            <w:tcW w:w="850" w:type="dxa"/>
            <w:vAlign w:val="center"/>
          </w:tcPr>
          <w:p w:rsidR="004042AF" w:rsidRPr="00E138F4" w:rsidRDefault="004042AF" w:rsidP="00B4081C">
            <w:pPr>
              <w:pStyle w:val="Tablewriting"/>
              <w:jc w:val="center"/>
            </w:pPr>
            <w:r w:rsidRPr="00E138F4">
              <w:t>5</w:t>
            </w:r>
          </w:p>
        </w:tc>
        <w:tc>
          <w:tcPr>
            <w:tcW w:w="1697" w:type="dxa"/>
            <w:vAlign w:val="center"/>
          </w:tcPr>
          <w:p w:rsidR="004042AF" w:rsidRPr="00E138F4" w:rsidRDefault="004042AF" w:rsidP="00B4081C">
            <w:pPr>
              <w:pStyle w:val="Tablewriting"/>
            </w:pPr>
            <w:r w:rsidRPr="00E138F4">
              <w:t xml:space="preserve">$1,774.70 </w:t>
            </w:r>
          </w:p>
        </w:tc>
        <w:tc>
          <w:tcPr>
            <w:tcW w:w="1556" w:type="dxa"/>
          </w:tcPr>
          <w:p w:rsidR="004042AF" w:rsidRPr="00E138F4" w:rsidRDefault="004042AF" w:rsidP="00B4081C">
            <w:pPr>
              <w:pStyle w:val="Tablewriting"/>
            </w:pPr>
            <w:r w:rsidRPr="004B5B61">
              <w:t xml:space="preserve">8965W </w:t>
            </w:r>
            <w:r w:rsidRPr="00E138F4">
              <w:t>(initial)</w:t>
            </w:r>
          </w:p>
          <w:p w:rsidR="004042AF" w:rsidRPr="00E138F4" w:rsidRDefault="004042AF" w:rsidP="00B4081C">
            <w:pPr>
              <w:pStyle w:val="Tablewriting"/>
            </w:pPr>
            <w:r w:rsidRPr="00E138F4">
              <w:t>8966X (cont.)</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val="restart"/>
          </w:tcPr>
          <w:p w:rsidR="004042AF" w:rsidRPr="00E138F4" w:rsidRDefault="004042AF" w:rsidP="00B4081C">
            <w:pPr>
              <w:pStyle w:val="Tablewriting"/>
            </w:pPr>
            <w:r w:rsidRPr="00E138F4">
              <w:t xml:space="preserve">Severe </w:t>
            </w:r>
            <w:r>
              <w:t>C</w:t>
            </w:r>
            <w:r w:rsidRPr="00E138F4">
              <w:t>rohn’s disease</w:t>
            </w:r>
            <w:r w:rsidRPr="00E138F4">
              <w:br/>
              <w:t>Short gut syndrome or Ostomy</w:t>
            </w:r>
          </w:p>
          <w:p w:rsidR="004042AF" w:rsidRPr="00E138F4" w:rsidRDefault="004042AF" w:rsidP="00B4081C">
            <w:pPr>
              <w:pStyle w:val="Tablewriting"/>
            </w:pPr>
            <w:r w:rsidRPr="00E138F4">
              <w:t>Extensive small intestine disease</w:t>
            </w:r>
          </w:p>
        </w:tc>
        <w:tc>
          <w:tcPr>
            <w:tcW w:w="1838" w:type="dxa"/>
            <w:vAlign w:val="center"/>
          </w:tcPr>
          <w:p w:rsidR="004042AF" w:rsidRPr="00E138F4" w:rsidRDefault="004042AF" w:rsidP="00B4081C">
            <w:pPr>
              <w:pStyle w:val="Tablewriting"/>
            </w:pPr>
            <w:r w:rsidRPr="00E138F4">
              <w:t>40 mg syringe, 6</w:t>
            </w:r>
          </w:p>
        </w:tc>
        <w:tc>
          <w:tcPr>
            <w:tcW w:w="707" w:type="dxa"/>
            <w:vAlign w:val="center"/>
          </w:tcPr>
          <w:p w:rsidR="004042AF" w:rsidRPr="00E138F4" w:rsidRDefault="004042AF" w:rsidP="00B4081C">
            <w:pPr>
              <w:pStyle w:val="Tablewriting"/>
              <w:jc w:val="center"/>
            </w:pPr>
            <w:r w:rsidRPr="00E138F4">
              <w:t>1</w:t>
            </w:r>
          </w:p>
        </w:tc>
        <w:tc>
          <w:tcPr>
            <w:tcW w:w="990" w:type="dxa"/>
            <w:vAlign w:val="center"/>
          </w:tcPr>
          <w:p w:rsidR="004042AF" w:rsidRPr="00E138F4" w:rsidRDefault="004042AF" w:rsidP="00B4081C">
            <w:pPr>
              <w:pStyle w:val="Tablewriting"/>
              <w:jc w:val="center"/>
            </w:pPr>
            <w:r>
              <w:t>0</w:t>
            </w:r>
          </w:p>
        </w:tc>
        <w:tc>
          <w:tcPr>
            <w:tcW w:w="707" w:type="dxa"/>
            <w:vAlign w:val="center"/>
          </w:tcPr>
          <w:p w:rsidR="004042AF" w:rsidRPr="00E138F4" w:rsidRDefault="004042AF" w:rsidP="00B4081C">
            <w:pPr>
              <w:pStyle w:val="Tablewriting"/>
              <w:jc w:val="center"/>
            </w:pPr>
            <w:r w:rsidRPr="00E138F4">
              <w:t>-</w:t>
            </w:r>
          </w:p>
        </w:tc>
        <w:tc>
          <w:tcPr>
            <w:tcW w:w="850" w:type="dxa"/>
            <w:vAlign w:val="center"/>
          </w:tcPr>
          <w:p w:rsidR="004042AF" w:rsidRPr="00E138F4" w:rsidRDefault="004042AF" w:rsidP="00B4081C">
            <w:pPr>
              <w:pStyle w:val="Tablewriting"/>
              <w:jc w:val="center"/>
            </w:pPr>
            <w:r w:rsidRPr="00E138F4">
              <w:t>-</w:t>
            </w:r>
          </w:p>
        </w:tc>
        <w:tc>
          <w:tcPr>
            <w:tcW w:w="1697" w:type="dxa"/>
            <w:vAlign w:val="center"/>
          </w:tcPr>
          <w:p w:rsidR="004042AF" w:rsidRPr="00E138F4" w:rsidRDefault="004042AF" w:rsidP="00B4081C">
            <w:pPr>
              <w:pStyle w:val="Tablewriting"/>
            </w:pPr>
            <w:r w:rsidRPr="00E138F4">
              <w:t>$5,036.70</w:t>
            </w:r>
          </w:p>
        </w:tc>
        <w:tc>
          <w:tcPr>
            <w:tcW w:w="1556" w:type="dxa"/>
          </w:tcPr>
          <w:p w:rsidR="004042AF" w:rsidRPr="00E138F4" w:rsidRDefault="004042AF" w:rsidP="00B4081C">
            <w:pPr>
              <w:pStyle w:val="Tablewriting"/>
            </w:pPr>
            <w:r w:rsidRPr="00E138F4">
              <w:t>9186L</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tcPr>
          <w:p w:rsidR="004042AF" w:rsidRPr="00E138F4" w:rsidRDefault="004042AF" w:rsidP="00B4081C">
            <w:pPr>
              <w:pStyle w:val="Tablewriting"/>
            </w:pPr>
          </w:p>
        </w:tc>
        <w:tc>
          <w:tcPr>
            <w:tcW w:w="1838" w:type="dxa"/>
            <w:vAlign w:val="center"/>
          </w:tcPr>
          <w:p w:rsidR="004042AF" w:rsidRPr="00E138F4" w:rsidRDefault="004042AF" w:rsidP="00B4081C">
            <w:pPr>
              <w:pStyle w:val="Tablewriting"/>
            </w:pPr>
            <w:r w:rsidRPr="00E138F4">
              <w:t>40 mg cartridge, 6</w:t>
            </w:r>
          </w:p>
        </w:tc>
        <w:tc>
          <w:tcPr>
            <w:tcW w:w="707" w:type="dxa"/>
            <w:vAlign w:val="center"/>
          </w:tcPr>
          <w:p w:rsidR="004042AF" w:rsidRPr="00E138F4" w:rsidRDefault="004042AF" w:rsidP="00B4081C">
            <w:pPr>
              <w:pStyle w:val="Tablewriting"/>
              <w:jc w:val="center"/>
            </w:pPr>
            <w:r w:rsidRPr="00E138F4">
              <w:t>1</w:t>
            </w:r>
          </w:p>
        </w:tc>
        <w:tc>
          <w:tcPr>
            <w:tcW w:w="990" w:type="dxa"/>
            <w:vAlign w:val="center"/>
          </w:tcPr>
          <w:p w:rsidR="004042AF" w:rsidRPr="00E138F4" w:rsidRDefault="004042AF" w:rsidP="00B4081C">
            <w:pPr>
              <w:pStyle w:val="Tablewriting"/>
              <w:jc w:val="center"/>
            </w:pPr>
            <w:r>
              <w:t>0</w:t>
            </w:r>
          </w:p>
        </w:tc>
        <w:tc>
          <w:tcPr>
            <w:tcW w:w="707" w:type="dxa"/>
            <w:vAlign w:val="center"/>
          </w:tcPr>
          <w:p w:rsidR="004042AF" w:rsidRPr="00E138F4" w:rsidRDefault="004042AF" w:rsidP="00B4081C">
            <w:pPr>
              <w:pStyle w:val="Tablewriting"/>
              <w:jc w:val="center"/>
            </w:pPr>
            <w:r w:rsidRPr="00E138F4">
              <w:t>-</w:t>
            </w:r>
          </w:p>
        </w:tc>
        <w:tc>
          <w:tcPr>
            <w:tcW w:w="850" w:type="dxa"/>
            <w:vAlign w:val="center"/>
          </w:tcPr>
          <w:p w:rsidR="004042AF" w:rsidRPr="00E138F4" w:rsidRDefault="004042AF" w:rsidP="00B4081C">
            <w:pPr>
              <w:pStyle w:val="Tablewriting"/>
              <w:jc w:val="center"/>
            </w:pPr>
            <w:r w:rsidRPr="00E138F4">
              <w:t>-</w:t>
            </w:r>
          </w:p>
        </w:tc>
        <w:tc>
          <w:tcPr>
            <w:tcW w:w="1697" w:type="dxa"/>
            <w:vAlign w:val="center"/>
          </w:tcPr>
          <w:p w:rsidR="004042AF" w:rsidRPr="00E138F4" w:rsidRDefault="004042AF" w:rsidP="00B4081C">
            <w:pPr>
              <w:pStyle w:val="Tablewriting"/>
            </w:pPr>
            <w:r w:rsidRPr="00E138F4">
              <w:t>$5,036.70</w:t>
            </w:r>
          </w:p>
        </w:tc>
        <w:tc>
          <w:tcPr>
            <w:tcW w:w="1556" w:type="dxa"/>
          </w:tcPr>
          <w:p w:rsidR="004042AF" w:rsidRPr="00E138F4" w:rsidRDefault="004042AF" w:rsidP="00B4081C">
            <w:pPr>
              <w:pStyle w:val="Tablewriting"/>
            </w:pPr>
            <w:r w:rsidRPr="00E138F4">
              <w:t>9187M</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tcPr>
          <w:p w:rsidR="004042AF" w:rsidRPr="00E138F4" w:rsidRDefault="004042AF" w:rsidP="00B4081C">
            <w:pPr>
              <w:pStyle w:val="Tablewriting"/>
            </w:pPr>
          </w:p>
        </w:tc>
        <w:tc>
          <w:tcPr>
            <w:tcW w:w="1838" w:type="dxa"/>
            <w:vAlign w:val="center"/>
          </w:tcPr>
          <w:p w:rsidR="004042AF" w:rsidRPr="00E138F4" w:rsidRDefault="004042AF" w:rsidP="00B4081C">
            <w:pPr>
              <w:pStyle w:val="Tablewriting"/>
            </w:pPr>
            <w:r w:rsidRPr="00E138F4">
              <w:t>40 mg syringe, 2</w:t>
            </w:r>
          </w:p>
        </w:tc>
        <w:tc>
          <w:tcPr>
            <w:tcW w:w="707" w:type="dxa"/>
            <w:vAlign w:val="center"/>
          </w:tcPr>
          <w:p w:rsidR="004042AF" w:rsidRPr="00E138F4" w:rsidRDefault="004042AF" w:rsidP="00B4081C">
            <w:pPr>
              <w:pStyle w:val="Tablewriting"/>
              <w:jc w:val="center"/>
            </w:pPr>
            <w:r>
              <w:t>1</w:t>
            </w:r>
          </w:p>
        </w:tc>
        <w:tc>
          <w:tcPr>
            <w:tcW w:w="990" w:type="dxa"/>
            <w:vAlign w:val="center"/>
          </w:tcPr>
          <w:p w:rsidR="004042AF" w:rsidRPr="00E138F4" w:rsidRDefault="004042AF" w:rsidP="00B4081C">
            <w:pPr>
              <w:pStyle w:val="Tablewriting"/>
              <w:jc w:val="center"/>
            </w:pPr>
            <w:r w:rsidRPr="00E138F4">
              <w:t>2</w:t>
            </w:r>
          </w:p>
        </w:tc>
        <w:tc>
          <w:tcPr>
            <w:tcW w:w="707" w:type="dxa"/>
            <w:vAlign w:val="center"/>
          </w:tcPr>
          <w:p w:rsidR="004042AF" w:rsidRPr="00E138F4" w:rsidRDefault="004042AF" w:rsidP="00B4081C">
            <w:pPr>
              <w:pStyle w:val="Tablewriting"/>
              <w:jc w:val="center"/>
            </w:pPr>
            <w:r w:rsidRPr="00E138F4">
              <w:t>2</w:t>
            </w:r>
          </w:p>
        </w:tc>
        <w:tc>
          <w:tcPr>
            <w:tcW w:w="850" w:type="dxa"/>
            <w:vAlign w:val="center"/>
          </w:tcPr>
          <w:p w:rsidR="004042AF" w:rsidRPr="00E138F4" w:rsidRDefault="004042AF" w:rsidP="00B4081C">
            <w:pPr>
              <w:pStyle w:val="Tablewriting"/>
              <w:jc w:val="center"/>
            </w:pPr>
            <w:r w:rsidRPr="00E138F4">
              <w:t>5</w:t>
            </w:r>
          </w:p>
        </w:tc>
        <w:tc>
          <w:tcPr>
            <w:tcW w:w="1697" w:type="dxa"/>
            <w:vAlign w:val="center"/>
          </w:tcPr>
          <w:p w:rsidR="004042AF" w:rsidRPr="00E138F4" w:rsidRDefault="004042AF" w:rsidP="00B4081C">
            <w:pPr>
              <w:pStyle w:val="Tablewriting"/>
            </w:pPr>
            <w:r w:rsidRPr="00E138F4">
              <w:t xml:space="preserve">$1,774.70 </w:t>
            </w:r>
          </w:p>
        </w:tc>
        <w:tc>
          <w:tcPr>
            <w:tcW w:w="1556" w:type="dxa"/>
          </w:tcPr>
          <w:p w:rsidR="004042AF" w:rsidRPr="00E138F4" w:rsidRDefault="004042AF" w:rsidP="00B4081C">
            <w:pPr>
              <w:pStyle w:val="Tablewriting"/>
            </w:pPr>
            <w:r w:rsidRPr="00E138F4">
              <w:t>9188N (initial)</w:t>
            </w:r>
          </w:p>
          <w:p w:rsidR="004042AF" w:rsidRPr="00E138F4" w:rsidRDefault="004042AF" w:rsidP="00B4081C">
            <w:pPr>
              <w:pStyle w:val="Tablewriting"/>
            </w:pPr>
            <w:r w:rsidRPr="00E138F4">
              <w:t>9189P (cont.)</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vMerge/>
          </w:tcPr>
          <w:p w:rsidR="004042AF" w:rsidRPr="00E138F4" w:rsidRDefault="004042AF" w:rsidP="00B4081C">
            <w:pPr>
              <w:pStyle w:val="Tablewriting"/>
            </w:pPr>
          </w:p>
        </w:tc>
        <w:tc>
          <w:tcPr>
            <w:tcW w:w="1838" w:type="dxa"/>
            <w:vAlign w:val="center"/>
          </w:tcPr>
          <w:p w:rsidR="004042AF" w:rsidRPr="00E138F4" w:rsidRDefault="004042AF" w:rsidP="00B4081C">
            <w:pPr>
              <w:pStyle w:val="Tablewriting"/>
            </w:pPr>
            <w:r w:rsidRPr="00E138F4">
              <w:t>40 mg cartridge, 2</w:t>
            </w:r>
          </w:p>
        </w:tc>
        <w:tc>
          <w:tcPr>
            <w:tcW w:w="707" w:type="dxa"/>
            <w:vAlign w:val="center"/>
          </w:tcPr>
          <w:p w:rsidR="004042AF" w:rsidRPr="00E138F4" w:rsidRDefault="004042AF" w:rsidP="00B4081C">
            <w:pPr>
              <w:pStyle w:val="Tablewriting"/>
              <w:jc w:val="center"/>
            </w:pPr>
            <w:r>
              <w:t>1</w:t>
            </w:r>
          </w:p>
        </w:tc>
        <w:tc>
          <w:tcPr>
            <w:tcW w:w="990" w:type="dxa"/>
            <w:vAlign w:val="center"/>
          </w:tcPr>
          <w:p w:rsidR="004042AF" w:rsidRPr="00E138F4" w:rsidRDefault="004042AF" w:rsidP="00B4081C">
            <w:pPr>
              <w:pStyle w:val="Tablewriting"/>
              <w:jc w:val="center"/>
            </w:pPr>
            <w:r w:rsidRPr="00E138F4">
              <w:t>2</w:t>
            </w:r>
          </w:p>
        </w:tc>
        <w:tc>
          <w:tcPr>
            <w:tcW w:w="707" w:type="dxa"/>
            <w:vAlign w:val="center"/>
          </w:tcPr>
          <w:p w:rsidR="004042AF" w:rsidRPr="00E138F4" w:rsidRDefault="004042AF" w:rsidP="00B4081C">
            <w:pPr>
              <w:pStyle w:val="Tablewriting"/>
              <w:jc w:val="center"/>
            </w:pPr>
            <w:r w:rsidRPr="00E138F4">
              <w:t>2</w:t>
            </w:r>
          </w:p>
        </w:tc>
        <w:tc>
          <w:tcPr>
            <w:tcW w:w="850" w:type="dxa"/>
            <w:vAlign w:val="center"/>
          </w:tcPr>
          <w:p w:rsidR="004042AF" w:rsidRPr="00E138F4" w:rsidRDefault="004042AF" w:rsidP="00B4081C">
            <w:pPr>
              <w:pStyle w:val="Tablewriting"/>
              <w:jc w:val="center"/>
            </w:pPr>
            <w:r w:rsidRPr="00E138F4">
              <w:t>5</w:t>
            </w:r>
          </w:p>
        </w:tc>
        <w:tc>
          <w:tcPr>
            <w:tcW w:w="1697" w:type="dxa"/>
            <w:vAlign w:val="center"/>
          </w:tcPr>
          <w:p w:rsidR="004042AF" w:rsidRPr="00E138F4" w:rsidRDefault="004042AF" w:rsidP="00B4081C">
            <w:pPr>
              <w:pStyle w:val="Tablewriting"/>
            </w:pPr>
            <w:r w:rsidRPr="00E138F4">
              <w:t xml:space="preserve">$1,774.70 </w:t>
            </w:r>
          </w:p>
        </w:tc>
        <w:tc>
          <w:tcPr>
            <w:tcW w:w="1556" w:type="dxa"/>
          </w:tcPr>
          <w:p w:rsidR="004042AF" w:rsidRPr="00E138F4" w:rsidRDefault="004042AF" w:rsidP="00B4081C">
            <w:pPr>
              <w:pStyle w:val="Tablewriting"/>
            </w:pPr>
            <w:r w:rsidRPr="00E138F4">
              <w:t>9190Q (initial)</w:t>
            </w:r>
          </w:p>
          <w:p w:rsidR="004042AF" w:rsidRPr="00E138F4" w:rsidRDefault="004042AF" w:rsidP="00B4081C">
            <w:pPr>
              <w:pStyle w:val="Tablewriting"/>
            </w:pPr>
            <w:r w:rsidRPr="00E138F4">
              <w:t>9191R (cont.)</w:t>
            </w:r>
          </w:p>
        </w:tc>
      </w:tr>
      <w:tr w:rsidR="004042AF" w:rsidRPr="00E138F4" w:rsidTr="00B4081C">
        <w:trPr>
          <w:trHeight w:val="629"/>
          <w:tblHeader/>
        </w:trPr>
        <w:tc>
          <w:tcPr>
            <w:tcW w:w="2546" w:type="dxa"/>
            <w:vMerge w:val="restart"/>
          </w:tcPr>
          <w:p w:rsidR="004042AF" w:rsidRPr="00E138F4" w:rsidRDefault="004042AF" w:rsidP="00B4081C">
            <w:pPr>
              <w:pStyle w:val="Tablewriting"/>
            </w:pPr>
            <w:r w:rsidRPr="00E138F4">
              <w:t>Infliximab (</w:t>
            </w:r>
            <w:proofErr w:type="spellStart"/>
            <w:r w:rsidRPr="00E138F4">
              <w:t>Remicade</w:t>
            </w:r>
            <w:proofErr w:type="spellEnd"/>
            <w:r w:rsidRPr="00E138F4">
              <w:t>®)</w:t>
            </w:r>
          </w:p>
          <w:p w:rsidR="004042AF" w:rsidRPr="00E138F4" w:rsidRDefault="004042AF" w:rsidP="00B4081C">
            <w:pPr>
              <w:pStyle w:val="Tablewriting"/>
            </w:pPr>
            <w:r w:rsidRPr="00E138F4">
              <w:t>Janssen-</w:t>
            </w:r>
            <w:proofErr w:type="spellStart"/>
            <w:r w:rsidRPr="00E138F4">
              <w:t>Cilag</w:t>
            </w:r>
            <w:proofErr w:type="spellEnd"/>
            <w:r w:rsidRPr="00E138F4">
              <w:t xml:space="preserve"> Pty Ltd</w:t>
            </w:r>
          </w:p>
        </w:tc>
        <w:tc>
          <w:tcPr>
            <w:tcW w:w="2971" w:type="dxa"/>
          </w:tcPr>
          <w:p w:rsidR="004042AF" w:rsidRPr="00E138F4" w:rsidRDefault="004042AF" w:rsidP="00B4081C">
            <w:pPr>
              <w:pStyle w:val="Tablewriting"/>
            </w:pPr>
            <w:r w:rsidRPr="00E138F4">
              <w:t>Fistulising Crohn’s Disease</w:t>
            </w:r>
          </w:p>
        </w:tc>
        <w:tc>
          <w:tcPr>
            <w:tcW w:w="1838" w:type="dxa"/>
            <w:vAlign w:val="center"/>
          </w:tcPr>
          <w:p w:rsidR="004042AF" w:rsidRPr="00E138F4" w:rsidRDefault="004042AF" w:rsidP="00B4081C">
            <w:pPr>
              <w:pStyle w:val="Tablewriting"/>
            </w:pPr>
            <w:r w:rsidRPr="00E138F4">
              <w:t>100 mg injection, 1</w:t>
            </w:r>
          </w:p>
        </w:tc>
        <w:tc>
          <w:tcPr>
            <w:tcW w:w="707" w:type="dxa"/>
            <w:vAlign w:val="center"/>
          </w:tcPr>
          <w:p w:rsidR="004042AF" w:rsidRPr="00E138F4" w:rsidRDefault="004042AF" w:rsidP="00B4081C">
            <w:pPr>
              <w:pStyle w:val="Tablewriting"/>
              <w:jc w:val="center"/>
              <w:rPr>
                <w:vertAlign w:val="superscript"/>
              </w:rPr>
            </w:pPr>
            <w:r w:rsidRPr="00E138F4">
              <w:t>1</w:t>
            </w:r>
            <w:r>
              <w:rPr>
                <w:vertAlign w:val="superscript"/>
              </w:rPr>
              <w:t>a</w:t>
            </w:r>
          </w:p>
        </w:tc>
        <w:tc>
          <w:tcPr>
            <w:tcW w:w="990" w:type="dxa"/>
            <w:vAlign w:val="center"/>
          </w:tcPr>
          <w:p w:rsidR="004042AF" w:rsidRPr="00E138F4" w:rsidRDefault="004042AF" w:rsidP="00B4081C">
            <w:pPr>
              <w:pStyle w:val="Tablewriting"/>
              <w:jc w:val="center"/>
            </w:pPr>
            <w:r w:rsidRPr="00E138F4">
              <w:t>0</w:t>
            </w:r>
            <w:r w:rsidRPr="00E138F4">
              <w:br/>
              <w:t xml:space="preserve"> (max 2)</w:t>
            </w:r>
          </w:p>
        </w:tc>
        <w:tc>
          <w:tcPr>
            <w:tcW w:w="707" w:type="dxa"/>
            <w:vAlign w:val="center"/>
          </w:tcPr>
          <w:p w:rsidR="004042AF" w:rsidRPr="00E138F4" w:rsidRDefault="004042AF" w:rsidP="00B4081C">
            <w:pPr>
              <w:pStyle w:val="Tablewriting"/>
              <w:jc w:val="center"/>
              <w:rPr>
                <w:vertAlign w:val="superscript"/>
              </w:rPr>
            </w:pPr>
            <w:r w:rsidRPr="00E138F4">
              <w:t>1</w:t>
            </w:r>
            <w:r>
              <w:rPr>
                <w:vertAlign w:val="superscript"/>
              </w:rPr>
              <w:t>a</w:t>
            </w:r>
          </w:p>
        </w:tc>
        <w:tc>
          <w:tcPr>
            <w:tcW w:w="850" w:type="dxa"/>
            <w:vAlign w:val="center"/>
          </w:tcPr>
          <w:p w:rsidR="004042AF" w:rsidRPr="00E138F4" w:rsidRDefault="004042AF" w:rsidP="00B4081C">
            <w:pPr>
              <w:pStyle w:val="Tablewriting"/>
              <w:jc w:val="center"/>
            </w:pPr>
            <w:r w:rsidRPr="00E138F4">
              <w:t>0</w:t>
            </w:r>
            <w:r w:rsidRPr="00E138F4">
              <w:br/>
              <w:t>(max 2)</w:t>
            </w:r>
          </w:p>
        </w:tc>
        <w:tc>
          <w:tcPr>
            <w:tcW w:w="1697" w:type="dxa"/>
            <w:vAlign w:val="center"/>
          </w:tcPr>
          <w:p w:rsidR="004042AF" w:rsidRPr="00E138F4" w:rsidRDefault="004042AF" w:rsidP="00B4081C">
            <w:pPr>
              <w:pStyle w:val="Tablewriting"/>
            </w:pPr>
            <w:r w:rsidRPr="00E138F4">
              <w:t>$751.70 (public)</w:t>
            </w:r>
          </w:p>
          <w:p w:rsidR="004042AF" w:rsidRPr="00E138F4" w:rsidRDefault="004042AF" w:rsidP="00B4081C">
            <w:pPr>
              <w:pStyle w:val="Tablewriting"/>
            </w:pPr>
            <w:r w:rsidRPr="00E138F4">
              <w:t>$788.53 (private)</w:t>
            </w:r>
          </w:p>
        </w:tc>
        <w:tc>
          <w:tcPr>
            <w:tcW w:w="1556" w:type="dxa"/>
            <w:vAlign w:val="center"/>
          </w:tcPr>
          <w:p w:rsidR="004042AF" w:rsidRPr="00E138F4" w:rsidRDefault="004042AF" w:rsidP="00B4081C">
            <w:pPr>
              <w:pStyle w:val="Tablewriting"/>
            </w:pPr>
            <w:r w:rsidRPr="00E138F4">
              <w:t>9654D (public)</w:t>
            </w:r>
          </w:p>
          <w:p w:rsidR="004042AF" w:rsidRPr="00E138F4" w:rsidRDefault="004042AF" w:rsidP="00B4081C">
            <w:pPr>
              <w:pStyle w:val="Tablewriting"/>
            </w:pPr>
            <w:r w:rsidRPr="00E138F4">
              <w:t>9617E (private)</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tcPr>
          <w:p w:rsidR="004042AF" w:rsidRPr="00E138F4" w:rsidRDefault="004042AF" w:rsidP="00B4081C">
            <w:pPr>
              <w:pStyle w:val="Tablewriting"/>
            </w:pPr>
            <w:r w:rsidRPr="00E138F4">
              <w:t xml:space="preserve">Severe </w:t>
            </w:r>
            <w:r>
              <w:t>C</w:t>
            </w:r>
            <w:r w:rsidRPr="00E138F4">
              <w:t>rohn’s disease</w:t>
            </w:r>
          </w:p>
          <w:p w:rsidR="004042AF" w:rsidRPr="00E138F4" w:rsidRDefault="004042AF" w:rsidP="00B4081C">
            <w:pPr>
              <w:pStyle w:val="Tablewriting"/>
            </w:pPr>
            <w:r w:rsidRPr="00E138F4">
              <w:t>Short gut syndrome or Ostomy</w:t>
            </w:r>
          </w:p>
          <w:p w:rsidR="004042AF" w:rsidRPr="00E138F4" w:rsidRDefault="004042AF" w:rsidP="00B4081C">
            <w:pPr>
              <w:pStyle w:val="Tablewriting"/>
            </w:pPr>
            <w:r w:rsidRPr="00E138F4">
              <w:t>Extensive small intestine disease</w:t>
            </w:r>
          </w:p>
        </w:tc>
        <w:tc>
          <w:tcPr>
            <w:tcW w:w="1838" w:type="dxa"/>
            <w:vAlign w:val="center"/>
          </w:tcPr>
          <w:p w:rsidR="004042AF" w:rsidRPr="00E138F4" w:rsidRDefault="004042AF" w:rsidP="00B4081C">
            <w:pPr>
              <w:pStyle w:val="Tablewriting"/>
            </w:pPr>
            <w:r w:rsidRPr="00E138F4">
              <w:t>100 mg injection, 1</w:t>
            </w:r>
          </w:p>
        </w:tc>
        <w:tc>
          <w:tcPr>
            <w:tcW w:w="707" w:type="dxa"/>
            <w:vAlign w:val="center"/>
          </w:tcPr>
          <w:p w:rsidR="004042AF" w:rsidRPr="00E138F4" w:rsidRDefault="004042AF" w:rsidP="00B4081C">
            <w:pPr>
              <w:pStyle w:val="Tablewriting"/>
              <w:jc w:val="center"/>
              <w:rPr>
                <w:vertAlign w:val="superscript"/>
              </w:rPr>
            </w:pPr>
            <w:r w:rsidRPr="00E138F4">
              <w:t>1</w:t>
            </w:r>
            <w:r>
              <w:rPr>
                <w:vertAlign w:val="superscript"/>
              </w:rPr>
              <w:t>a</w:t>
            </w:r>
          </w:p>
        </w:tc>
        <w:tc>
          <w:tcPr>
            <w:tcW w:w="990" w:type="dxa"/>
            <w:vAlign w:val="center"/>
          </w:tcPr>
          <w:p w:rsidR="004042AF" w:rsidRPr="00E138F4" w:rsidRDefault="004042AF" w:rsidP="00B4081C">
            <w:pPr>
              <w:pStyle w:val="Tablewriting"/>
              <w:jc w:val="center"/>
            </w:pPr>
            <w:r w:rsidRPr="00E138F4">
              <w:t>0</w:t>
            </w:r>
            <w:r w:rsidRPr="00E138F4">
              <w:br/>
              <w:t xml:space="preserve"> (max 2)</w:t>
            </w:r>
          </w:p>
        </w:tc>
        <w:tc>
          <w:tcPr>
            <w:tcW w:w="707" w:type="dxa"/>
            <w:vAlign w:val="center"/>
          </w:tcPr>
          <w:p w:rsidR="004042AF" w:rsidRPr="00E138F4" w:rsidRDefault="004042AF" w:rsidP="00B4081C">
            <w:pPr>
              <w:pStyle w:val="Tablewriting"/>
              <w:jc w:val="center"/>
              <w:rPr>
                <w:vertAlign w:val="superscript"/>
              </w:rPr>
            </w:pPr>
            <w:r w:rsidRPr="00E138F4">
              <w:t>1</w:t>
            </w:r>
            <w:r>
              <w:rPr>
                <w:vertAlign w:val="superscript"/>
              </w:rPr>
              <w:t>a</w:t>
            </w:r>
          </w:p>
        </w:tc>
        <w:tc>
          <w:tcPr>
            <w:tcW w:w="850" w:type="dxa"/>
            <w:vAlign w:val="center"/>
          </w:tcPr>
          <w:p w:rsidR="004042AF" w:rsidRPr="00E138F4" w:rsidRDefault="004042AF" w:rsidP="00B4081C">
            <w:pPr>
              <w:pStyle w:val="Tablewriting"/>
              <w:jc w:val="center"/>
            </w:pPr>
            <w:r w:rsidRPr="00E138F4">
              <w:t>0</w:t>
            </w:r>
            <w:r w:rsidRPr="00E138F4">
              <w:br/>
              <w:t>(max 2)</w:t>
            </w:r>
          </w:p>
        </w:tc>
        <w:tc>
          <w:tcPr>
            <w:tcW w:w="1697" w:type="dxa"/>
            <w:vAlign w:val="center"/>
          </w:tcPr>
          <w:p w:rsidR="004042AF" w:rsidRPr="00E138F4" w:rsidRDefault="004042AF" w:rsidP="00B4081C">
            <w:pPr>
              <w:pStyle w:val="Tablewriting"/>
            </w:pPr>
            <w:r w:rsidRPr="00E138F4">
              <w:t>$751.70 (public)</w:t>
            </w:r>
          </w:p>
          <w:p w:rsidR="004042AF" w:rsidRPr="00E138F4" w:rsidRDefault="004042AF" w:rsidP="00B4081C">
            <w:pPr>
              <w:pStyle w:val="Tablewriting"/>
            </w:pPr>
            <w:r w:rsidRPr="00E138F4">
              <w:t>$788.53 (private)</w:t>
            </w:r>
          </w:p>
        </w:tc>
        <w:tc>
          <w:tcPr>
            <w:tcW w:w="1556" w:type="dxa"/>
            <w:vAlign w:val="center"/>
          </w:tcPr>
          <w:p w:rsidR="004042AF" w:rsidRPr="00E138F4" w:rsidRDefault="004042AF" w:rsidP="00B4081C">
            <w:pPr>
              <w:pStyle w:val="Tablewriting"/>
            </w:pPr>
            <w:r w:rsidRPr="00E138F4">
              <w:t>5754W (public)</w:t>
            </w:r>
          </w:p>
          <w:p w:rsidR="004042AF" w:rsidRPr="00E138F4" w:rsidRDefault="004042AF" w:rsidP="00B4081C">
            <w:pPr>
              <w:pStyle w:val="Tablewriting"/>
            </w:pPr>
            <w:r w:rsidRPr="00E138F4">
              <w:t>9613Y (private)</w:t>
            </w:r>
          </w:p>
        </w:tc>
      </w:tr>
      <w:tr w:rsidR="004042AF" w:rsidRPr="00E138F4" w:rsidTr="00B4081C">
        <w:trPr>
          <w:trHeight w:val="137"/>
          <w:tblHeader/>
        </w:trPr>
        <w:tc>
          <w:tcPr>
            <w:tcW w:w="2546" w:type="dxa"/>
            <w:vMerge/>
          </w:tcPr>
          <w:p w:rsidR="004042AF" w:rsidRPr="00E138F4" w:rsidRDefault="004042AF" w:rsidP="00B4081C">
            <w:pPr>
              <w:pStyle w:val="Tablewriting"/>
            </w:pPr>
          </w:p>
        </w:tc>
        <w:tc>
          <w:tcPr>
            <w:tcW w:w="2971" w:type="dxa"/>
          </w:tcPr>
          <w:p w:rsidR="004042AF" w:rsidRPr="00E138F4" w:rsidRDefault="004042AF" w:rsidP="00B4081C">
            <w:pPr>
              <w:pStyle w:val="Tablewriting"/>
            </w:pPr>
            <w:r w:rsidRPr="00E138F4">
              <w:t>Paediatric Crohn’s Disease</w:t>
            </w:r>
          </w:p>
        </w:tc>
        <w:tc>
          <w:tcPr>
            <w:tcW w:w="1838" w:type="dxa"/>
            <w:vAlign w:val="center"/>
          </w:tcPr>
          <w:p w:rsidR="004042AF" w:rsidRPr="00E138F4" w:rsidRDefault="004042AF" w:rsidP="00B4081C">
            <w:pPr>
              <w:pStyle w:val="Tablewriting"/>
            </w:pPr>
            <w:r w:rsidRPr="00E138F4">
              <w:t>100 mg injection, 1</w:t>
            </w:r>
          </w:p>
        </w:tc>
        <w:tc>
          <w:tcPr>
            <w:tcW w:w="707" w:type="dxa"/>
            <w:vAlign w:val="center"/>
          </w:tcPr>
          <w:p w:rsidR="004042AF" w:rsidRPr="00E138F4" w:rsidRDefault="004042AF" w:rsidP="00B4081C">
            <w:pPr>
              <w:pStyle w:val="Tablewriting"/>
              <w:jc w:val="center"/>
            </w:pPr>
            <w:r w:rsidRPr="00E138F4">
              <w:t>1</w:t>
            </w:r>
            <w:r>
              <w:rPr>
                <w:vertAlign w:val="superscript"/>
              </w:rPr>
              <w:t xml:space="preserve"> a</w:t>
            </w:r>
          </w:p>
        </w:tc>
        <w:tc>
          <w:tcPr>
            <w:tcW w:w="990" w:type="dxa"/>
            <w:vAlign w:val="center"/>
          </w:tcPr>
          <w:p w:rsidR="004042AF" w:rsidRPr="00E138F4" w:rsidRDefault="004042AF" w:rsidP="00B4081C">
            <w:pPr>
              <w:pStyle w:val="Tablewriting"/>
              <w:jc w:val="center"/>
            </w:pPr>
            <w:r w:rsidRPr="00E138F4">
              <w:t xml:space="preserve">0 </w:t>
            </w:r>
            <w:r w:rsidRPr="00E138F4">
              <w:br/>
              <w:t>(max 2)</w:t>
            </w:r>
          </w:p>
        </w:tc>
        <w:tc>
          <w:tcPr>
            <w:tcW w:w="707" w:type="dxa"/>
            <w:vAlign w:val="center"/>
          </w:tcPr>
          <w:p w:rsidR="004042AF" w:rsidRPr="00E138F4" w:rsidRDefault="004042AF" w:rsidP="00B4081C">
            <w:pPr>
              <w:pStyle w:val="Tablewriting"/>
              <w:jc w:val="center"/>
            </w:pPr>
            <w:r w:rsidRPr="00E138F4">
              <w:t>1</w:t>
            </w:r>
            <w:r>
              <w:rPr>
                <w:vertAlign w:val="superscript"/>
              </w:rPr>
              <w:t xml:space="preserve"> a</w:t>
            </w:r>
          </w:p>
        </w:tc>
        <w:tc>
          <w:tcPr>
            <w:tcW w:w="850" w:type="dxa"/>
            <w:vAlign w:val="center"/>
          </w:tcPr>
          <w:p w:rsidR="004042AF" w:rsidRPr="00E138F4" w:rsidRDefault="004042AF" w:rsidP="00B4081C">
            <w:pPr>
              <w:pStyle w:val="Tablewriting"/>
              <w:jc w:val="center"/>
            </w:pPr>
            <w:r w:rsidRPr="00E138F4">
              <w:t>0</w:t>
            </w:r>
          </w:p>
          <w:p w:rsidR="004042AF" w:rsidRPr="00E138F4" w:rsidRDefault="004042AF" w:rsidP="00B4081C">
            <w:pPr>
              <w:pStyle w:val="Tablewriting"/>
              <w:jc w:val="center"/>
            </w:pPr>
            <w:r w:rsidRPr="00E138F4">
              <w:t>(max 2)</w:t>
            </w:r>
          </w:p>
        </w:tc>
        <w:tc>
          <w:tcPr>
            <w:tcW w:w="1697" w:type="dxa"/>
            <w:vAlign w:val="center"/>
          </w:tcPr>
          <w:p w:rsidR="004042AF" w:rsidRPr="00E138F4" w:rsidRDefault="004042AF" w:rsidP="00B4081C">
            <w:pPr>
              <w:pStyle w:val="Tablewriting"/>
            </w:pPr>
            <w:r w:rsidRPr="00E138F4">
              <w:t>$751.70 (public)</w:t>
            </w:r>
          </w:p>
          <w:p w:rsidR="004042AF" w:rsidRPr="00E138F4" w:rsidRDefault="004042AF" w:rsidP="00B4081C">
            <w:pPr>
              <w:pStyle w:val="Tablewriting"/>
            </w:pPr>
            <w:r w:rsidRPr="00E138F4">
              <w:t>$788.53 (private)</w:t>
            </w:r>
          </w:p>
        </w:tc>
        <w:tc>
          <w:tcPr>
            <w:tcW w:w="1556" w:type="dxa"/>
            <w:vAlign w:val="center"/>
          </w:tcPr>
          <w:p w:rsidR="004042AF" w:rsidRPr="00E138F4" w:rsidRDefault="004042AF" w:rsidP="00B4081C">
            <w:pPr>
              <w:pStyle w:val="Tablewriting"/>
            </w:pPr>
            <w:r w:rsidRPr="00E138F4">
              <w:t>5755X (public)</w:t>
            </w:r>
          </w:p>
          <w:p w:rsidR="004042AF" w:rsidRPr="00E138F4" w:rsidRDefault="004042AF" w:rsidP="00B4081C">
            <w:pPr>
              <w:pStyle w:val="Tablewriting"/>
            </w:pPr>
            <w:r w:rsidRPr="00E138F4">
              <w:t>9612X (private)</w:t>
            </w:r>
          </w:p>
        </w:tc>
      </w:tr>
    </w:tbl>
    <w:p w:rsidR="004042AF" w:rsidRPr="004D4678" w:rsidRDefault="004042AF" w:rsidP="004042AF">
      <w:pPr>
        <w:pStyle w:val="Figurecaption"/>
      </w:pPr>
      <w:r w:rsidRPr="00A35800">
        <w:t>Source</w:t>
      </w:r>
      <w:r>
        <w:t xml:space="preserve">: November 2014 PBAC Schedule </w:t>
      </w:r>
      <w:r>
        <w:rPr>
          <w:vertAlign w:val="superscript"/>
        </w:rPr>
        <w:t xml:space="preserve">a </w:t>
      </w:r>
      <w:proofErr w:type="gramStart"/>
      <w:r>
        <w:t>The</w:t>
      </w:r>
      <w:proofErr w:type="gramEnd"/>
      <w:r>
        <w:t xml:space="preserve"> number of infliximab vials approved depends on patients’ weight</w:t>
      </w:r>
    </w:p>
    <w:p w:rsidR="00804E55" w:rsidRDefault="00804E55" w:rsidP="00BB1D3B">
      <w:pPr>
        <w:pStyle w:val="Notes"/>
        <w:sectPr w:rsidR="00804E55" w:rsidSect="00804E55">
          <w:pgSz w:w="16838" w:h="11906" w:orient="landscape"/>
          <w:pgMar w:top="1588" w:right="1644" w:bottom="1361" w:left="1644" w:header="709" w:footer="709" w:gutter="0"/>
          <w:cols w:space="708"/>
          <w:docGrid w:linePitch="360"/>
        </w:sectPr>
      </w:pPr>
    </w:p>
    <w:p w:rsidR="004C3186" w:rsidRDefault="004C3186" w:rsidP="00C47C95">
      <w:pPr>
        <w:pStyle w:val="Heading5"/>
      </w:pPr>
      <w:r w:rsidRPr="004F1E15">
        <w:lastRenderedPageBreak/>
        <w:t>Restriction</w:t>
      </w:r>
      <w:r w:rsidR="006D6E6D">
        <w:t xml:space="preserve"> (abridged)</w:t>
      </w:r>
    </w:p>
    <w:p w:rsidR="006D6E6D" w:rsidRDefault="006D6E6D" w:rsidP="006D6E6D">
      <w:r w:rsidRPr="006F2A5C">
        <w:rPr>
          <w:b/>
        </w:rPr>
        <w:t>Severe refractory Crohn’s disease</w:t>
      </w:r>
      <w:r w:rsidRPr="00FE1223">
        <w:t xml:space="preserve"> </w:t>
      </w:r>
      <w:r>
        <w:t>defined as:</w:t>
      </w:r>
    </w:p>
    <w:p w:rsidR="006D6E6D" w:rsidRDefault="006D6E6D" w:rsidP="006D6E6D">
      <w:pPr>
        <w:pStyle w:val="ListParagraph"/>
        <w:numPr>
          <w:ilvl w:val="0"/>
          <w:numId w:val="3"/>
        </w:numPr>
      </w:pPr>
      <w:r>
        <w:t>Crohn’s Disease Activity Index (CDAI) assessment of 300 or more; OR</w:t>
      </w:r>
    </w:p>
    <w:p w:rsidR="006D6E6D" w:rsidRDefault="006D6E6D" w:rsidP="006D6E6D">
      <w:pPr>
        <w:pStyle w:val="ListParagraph"/>
        <w:numPr>
          <w:ilvl w:val="0"/>
          <w:numId w:val="3"/>
        </w:numPr>
      </w:pPr>
      <w:r>
        <w:t xml:space="preserve">Extensive small intestine disease (&gt;50cm) with </w:t>
      </w:r>
    </w:p>
    <w:p w:rsidR="006D6E6D" w:rsidRDefault="006D6E6D" w:rsidP="006D6E6D">
      <w:pPr>
        <w:pStyle w:val="ListParagraph"/>
        <w:numPr>
          <w:ilvl w:val="1"/>
          <w:numId w:val="3"/>
        </w:numPr>
      </w:pPr>
      <w:r w:rsidRPr="003E083B">
        <w:t xml:space="preserve">CDAI assessment </w:t>
      </w:r>
      <w:r>
        <w:sym w:font="Symbol" w:char="F0B3"/>
      </w:r>
      <w:r w:rsidRPr="003E083B">
        <w:t xml:space="preserve"> 220</w:t>
      </w:r>
      <w:r>
        <w:t>,</w:t>
      </w:r>
      <w:r w:rsidRPr="003E083B">
        <w:t xml:space="preserve"> </w:t>
      </w:r>
      <w:r>
        <w:t>or</w:t>
      </w:r>
    </w:p>
    <w:p w:rsidR="006D6E6D" w:rsidRDefault="006D6E6D" w:rsidP="006D6E6D">
      <w:pPr>
        <w:pStyle w:val="ListParagraph"/>
        <w:numPr>
          <w:ilvl w:val="1"/>
          <w:numId w:val="3"/>
        </w:numPr>
      </w:pPr>
      <w:r>
        <w:t>Evidence of active intestinal inflammation based on blood, faecal or diagnostic imaging markers, or</w:t>
      </w:r>
    </w:p>
    <w:p w:rsidR="006D6E6D" w:rsidRDefault="006D6E6D" w:rsidP="006D6E6D">
      <w:pPr>
        <w:pStyle w:val="ListParagraph"/>
        <w:numPr>
          <w:ilvl w:val="1"/>
          <w:numId w:val="3"/>
        </w:numPr>
      </w:pPr>
      <w:r>
        <w:t>High faecal output state, or</w:t>
      </w:r>
    </w:p>
    <w:p w:rsidR="006D6E6D" w:rsidRDefault="006D6E6D" w:rsidP="006D6E6D">
      <w:pPr>
        <w:pStyle w:val="ListParagraph"/>
        <w:numPr>
          <w:ilvl w:val="1"/>
          <w:numId w:val="3"/>
        </w:numPr>
      </w:pPr>
      <w:r>
        <w:t>Assessed as requiring Total Parenteral Nutrition in the absence of TNF-</w:t>
      </w:r>
      <w:r w:rsidR="00091CA5">
        <w:sym w:font="Symbol" w:char="F061"/>
      </w:r>
      <w:r>
        <w:t xml:space="preserve"> antagonist treatment; OR</w:t>
      </w:r>
    </w:p>
    <w:p w:rsidR="006D6E6D" w:rsidRDefault="006D6E6D" w:rsidP="006D6E6D">
      <w:pPr>
        <w:pStyle w:val="ListParagraph"/>
        <w:numPr>
          <w:ilvl w:val="0"/>
          <w:numId w:val="3"/>
        </w:numPr>
      </w:pPr>
      <w:r>
        <w:t>Short gut syndrome or has had a ileostomy or colostomy with</w:t>
      </w:r>
    </w:p>
    <w:p w:rsidR="006D6E6D" w:rsidRDefault="006D6E6D" w:rsidP="006D6E6D">
      <w:pPr>
        <w:pStyle w:val="ListParagraph"/>
        <w:numPr>
          <w:ilvl w:val="1"/>
          <w:numId w:val="4"/>
        </w:numPr>
      </w:pPr>
      <w:r>
        <w:t>Evidence of active intestinal inflammation based on blood, faecal or diagnostic imaging markers, or</w:t>
      </w:r>
    </w:p>
    <w:p w:rsidR="006D6E6D" w:rsidRDefault="006D6E6D" w:rsidP="006D6E6D">
      <w:pPr>
        <w:pStyle w:val="ListParagraph"/>
        <w:numPr>
          <w:ilvl w:val="1"/>
          <w:numId w:val="4"/>
        </w:numPr>
      </w:pPr>
      <w:r>
        <w:t>High faecal output state, or</w:t>
      </w:r>
    </w:p>
    <w:p w:rsidR="006D6E6D" w:rsidRDefault="006D6E6D" w:rsidP="006D6E6D">
      <w:pPr>
        <w:pStyle w:val="ListParagraph"/>
        <w:numPr>
          <w:ilvl w:val="1"/>
          <w:numId w:val="4"/>
        </w:numPr>
      </w:pPr>
      <w:r>
        <w:t>Assessed as requiring Total Parenteral Nutrition in the absence of TNF-</w:t>
      </w:r>
      <w:r>
        <w:sym w:font="Symbol" w:char="F061"/>
      </w:r>
      <w:r>
        <w:t xml:space="preserve"> antagonist treatment</w:t>
      </w:r>
    </w:p>
    <w:p w:rsidR="006D6E6D" w:rsidRDefault="006D6E6D" w:rsidP="006D6E6D">
      <w:r>
        <w:t>Patients must have failed to have an adequate response with a tapered course of corticosteroids and either azathioprine, 6-mercaptopurine or methotrexate.</w:t>
      </w:r>
    </w:p>
    <w:p w:rsidR="006D6E6D" w:rsidRDefault="006D6E6D" w:rsidP="006D6E6D">
      <w:r>
        <w:t xml:space="preserve">Patients may receive an initial authority approval for up to 16 weeks of </w:t>
      </w:r>
      <w:proofErr w:type="spellStart"/>
      <w:r>
        <w:t>adalimumab</w:t>
      </w:r>
      <w:proofErr w:type="spellEnd"/>
      <w:r>
        <w:t xml:space="preserve"> treatment or 14 weeks of infliximab treatment. Patients need to be assessed for response after 12 weeks of </w:t>
      </w:r>
      <w:proofErr w:type="spellStart"/>
      <w:r>
        <w:t>adalimumab</w:t>
      </w:r>
      <w:proofErr w:type="spellEnd"/>
      <w:r>
        <w:t xml:space="preserve"> treatment or up to 12 weeks after the first infliximab dose.</w:t>
      </w:r>
      <w:r w:rsidR="00331A62">
        <w:t xml:space="preserve"> </w:t>
      </w:r>
      <w:r>
        <w:t xml:space="preserve">To qualify for continuing treatment, patients need to achieve a CDAI score less than 150 or normalisation of blood, faecal or diagnostic imaging markers of intestinal inflammation. Patients switching between treatments receive the same initial treatment duration and assessment to response as new patients. </w:t>
      </w:r>
    </w:p>
    <w:p w:rsidR="006D6E6D" w:rsidRDefault="006D6E6D" w:rsidP="006D6E6D">
      <w:r w:rsidRPr="008F392E">
        <w:rPr>
          <w:b/>
        </w:rPr>
        <w:t>Refractory paediatric Crohn’s disease</w:t>
      </w:r>
      <w:r>
        <w:t xml:space="preserve"> (6-17 years) – Infliximab only</w:t>
      </w:r>
    </w:p>
    <w:p w:rsidR="006D6E6D" w:rsidRDefault="006D6E6D" w:rsidP="006D6E6D">
      <w:r w:rsidRPr="008F392E">
        <w:t>Paediatric Crohn</w:t>
      </w:r>
      <w:r>
        <w:t>’s</w:t>
      </w:r>
      <w:r w:rsidRPr="008F392E">
        <w:t xml:space="preserve"> Disease Activity Index (PCDAI) Score greater than or equal to 30</w:t>
      </w:r>
    </w:p>
    <w:p w:rsidR="006D6E6D" w:rsidRDefault="006D6E6D" w:rsidP="006D6E6D">
      <w:r>
        <w:t>Failed to have an adequate response to two of the three following therapies:</w:t>
      </w:r>
    </w:p>
    <w:p w:rsidR="006D6E6D" w:rsidRDefault="006D6E6D" w:rsidP="006D6E6D">
      <w:pPr>
        <w:pStyle w:val="ListParagraph"/>
        <w:numPr>
          <w:ilvl w:val="0"/>
          <w:numId w:val="4"/>
        </w:numPr>
      </w:pPr>
      <w:r w:rsidRPr="0002009B">
        <w:t>a tapered course of steroids</w:t>
      </w:r>
      <w:r>
        <w:t xml:space="preserve"> over 6 weeks (1 mg/kg or 40mg prednisolone or equivalent), </w:t>
      </w:r>
    </w:p>
    <w:p w:rsidR="006D6E6D" w:rsidRDefault="006D6E6D" w:rsidP="006D6E6D">
      <w:pPr>
        <w:pStyle w:val="ListParagraph"/>
        <w:numPr>
          <w:ilvl w:val="0"/>
          <w:numId w:val="4"/>
        </w:numPr>
      </w:pPr>
      <w:r w:rsidRPr="0002009B">
        <w:t>8 week course of enteral nutrition</w:t>
      </w:r>
      <w:r>
        <w:t xml:space="preserve">, </w:t>
      </w:r>
    </w:p>
    <w:p w:rsidR="006D6E6D" w:rsidRDefault="006D6E6D" w:rsidP="006D6E6D">
      <w:pPr>
        <w:pStyle w:val="ListParagraph"/>
        <w:numPr>
          <w:ilvl w:val="0"/>
          <w:numId w:val="4"/>
        </w:numPr>
      </w:pPr>
      <w:r>
        <w:t xml:space="preserve">Immunosuppressive therapy including azathioprine or 6-mercaptopurine or methotrexate for 3 or more months. </w:t>
      </w:r>
    </w:p>
    <w:p w:rsidR="006D6E6D" w:rsidRPr="009C1AEC" w:rsidRDefault="006D6E6D" w:rsidP="006D6E6D">
      <w:r>
        <w:t xml:space="preserve">Patients must be assessed for response by PCDAI up to 12 weeks after the first dose. Patients need to achieve a PCDAI response 15 points lower than baseline and less than 30 to be eligible for continuing treatment. </w:t>
      </w:r>
    </w:p>
    <w:p w:rsidR="00E4568D" w:rsidRDefault="00E4568D">
      <w:pPr>
        <w:spacing w:line="276" w:lineRule="auto"/>
        <w:rPr>
          <w:b/>
        </w:rPr>
      </w:pPr>
      <w:r>
        <w:rPr>
          <w:b/>
        </w:rPr>
        <w:br w:type="page"/>
      </w:r>
    </w:p>
    <w:p w:rsidR="006D6E6D" w:rsidRDefault="006D6E6D" w:rsidP="006D6E6D">
      <w:pPr>
        <w:rPr>
          <w:b/>
        </w:rPr>
      </w:pPr>
      <w:r>
        <w:rPr>
          <w:b/>
        </w:rPr>
        <w:lastRenderedPageBreak/>
        <w:t>Fistulising Crohn’s disease</w:t>
      </w:r>
    </w:p>
    <w:p w:rsidR="006D6E6D" w:rsidRDefault="006D6E6D" w:rsidP="006D6E6D">
      <w:r w:rsidRPr="00AB1ECC">
        <w:t xml:space="preserve">Patient must have externally draining </w:t>
      </w:r>
      <w:proofErr w:type="spellStart"/>
      <w:r w:rsidRPr="00AB1ECC">
        <w:t>enterocutaneous</w:t>
      </w:r>
      <w:proofErr w:type="spellEnd"/>
      <w:r w:rsidRPr="00AB1ECC">
        <w:t xml:space="preserve"> or </w:t>
      </w:r>
      <w:proofErr w:type="spellStart"/>
      <w:r w:rsidRPr="00AB1ECC">
        <w:t>rectovaginal</w:t>
      </w:r>
      <w:proofErr w:type="spellEnd"/>
      <w:r w:rsidRPr="00AB1ECC">
        <w:t xml:space="preserve"> fistula</w:t>
      </w:r>
      <w:r>
        <w:t xml:space="preserve">. </w:t>
      </w:r>
    </w:p>
    <w:p w:rsidR="006D6E6D" w:rsidRDefault="006D6E6D" w:rsidP="006D6E6D">
      <w:r>
        <w:t>Patients need to demonstrate response following at least 12 weeks of treatment. Response is defined as:</w:t>
      </w:r>
    </w:p>
    <w:p w:rsidR="006D6E6D" w:rsidRDefault="006D6E6D" w:rsidP="006D6E6D">
      <w:pPr>
        <w:pStyle w:val="ListParagraph"/>
        <w:numPr>
          <w:ilvl w:val="0"/>
          <w:numId w:val="5"/>
        </w:numPr>
      </w:pPr>
      <w:r>
        <w:t>50% or greater decrease in the number of open draining fistulae, OR</w:t>
      </w:r>
    </w:p>
    <w:p w:rsidR="006D6E6D" w:rsidRDefault="006D6E6D" w:rsidP="006D6E6D">
      <w:pPr>
        <w:pStyle w:val="ListParagraph"/>
        <w:numPr>
          <w:ilvl w:val="0"/>
          <w:numId w:val="5"/>
        </w:numPr>
      </w:pPr>
      <w:proofErr w:type="gramStart"/>
      <w:r w:rsidRPr="00AB1ECC">
        <w:t>a</w:t>
      </w:r>
      <w:proofErr w:type="gramEnd"/>
      <w:r w:rsidRPr="00AB1ECC">
        <w:t xml:space="preserve"> marked reduction in drainage of all fistula(e) from baseline, together with less pain and induration as reported by the patient</w:t>
      </w:r>
      <w:r>
        <w:t xml:space="preserve">. </w:t>
      </w:r>
    </w:p>
    <w:p w:rsidR="006D6E6D" w:rsidRPr="00AB1ECC" w:rsidRDefault="006D6E6D" w:rsidP="006D6E6D">
      <w:r>
        <w:t xml:space="preserve">Patients may receive continuing authority approvals for 24 weeks treatment at a time </w:t>
      </w:r>
      <w:r w:rsidRPr="00FA2F46">
        <w:t>providing they continue to sustain the response</w:t>
      </w:r>
      <w:r>
        <w:t>.</w:t>
      </w:r>
      <w:r w:rsidR="00331A62">
        <w:t xml:space="preserve"> </w:t>
      </w:r>
      <w:r>
        <w:t xml:space="preserve">Patients are able to switch between </w:t>
      </w:r>
      <w:proofErr w:type="spellStart"/>
      <w:r>
        <w:t>adalimumab</w:t>
      </w:r>
      <w:proofErr w:type="spellEnd"/>
      <w:r>
        <w:t xml:space="preserve"> and infliximab.</w:t>
      </w:r>
    </w:p>
    <w:p w:rsidR="006D6E6D" w:rsidRDefault="006D6E6D" w:rsidP="00876F49">
      <w:r w:rsidRPr="00FA2F46">
        <w:t>This class of medicines has complex restrictions. For full wording of the restrictions, including notes, refer to the current schedule on PBS.gov.au</w:t>
      </w:r>
    </w:p>
    <w:p w:rsidR="009C35F2" w:rsidRDefault="009C35F2" w:rsidP="004F1E15">
      <w:pPr>
        <w:pStyle w:val="Heading5"/>
      </w:pPr>
      <w:r w:rsidRPr="00675BB1">
        <w:t>Date of listing on PBS</w:t>
      </w:r>
    </w:p>
    <w:p w:rsidR="006D6E6D" w:rsidRPr="006D6E6D" w:rsidRDefault="006D6E6D" w:rsidP="006D6E6D">
      <w:r w:rsidRPr="006D6E6D">
        <w:t xml:space="preserve">Infliximab was listed on the PBS for severe refractory Crohn’s disease in adult and paediatric patients (6-17 years) on 1 October 2007. </w:t>
      </w:r>
    </w:p>
    <w:p w:rsidR="006D6E6D" w:rsidRPr="006D6E6D" w:rsidRDefault="006D6E6D" w:rsidP="006D6E6D">
      <w:proofErr w:type="spellStart"/>
      <w:r w:rsidRPr="006D6E6D">
        <w:t>Adalimumab</w:t>
      </w:r>
      <w:proofErr w:type="spellEnd"/>
      <w:r w:rsidRPr="006D6E6D">
        <w:t xml:space="preserve"> was listed for severe refractory Crohn’s disease in adult patients on 1 August 2008. </w:t>
      </w:r>
    </w:p>
    <w:p w:rsidR="006D6E6D" w:rsidRPr="006D6E6D" w:rsidRDefault="006D6E6D" w:rsidP="006D6E6D">
      <w:r w:rsidRPr="006D6E6D">
        <w:t>Infliximab for fistulising Crohn’s disease was listed on 1 August 2010.</w:t>
      </w:r>
      <w:r w:rsidR="00331A62">
        <w:t xml:space="preserve"> </w:t>
      </w:r>
      <w:proofErr w:type="spellStart"/>
      <w:r w:rsidRPr="006D6E6D">
        <w:t>Adalimumab</w:t>
      </w:r>
      <w:proofErr w:type="spellEnd"/>
      <w:r w:rsidRPr="006D6E6D">
        <w:t xml:space="preserve"> was listed for fistulising Crohn’s disease on 1 April 2011. </w:t>
      </w:r>
    </w:p>
    <w:p w:rsidR="006D6E6D" w:rsidRPr="006D6E6D" w:rsidRDefault="006D6E6D" w:rsidP="006D6E6D">
      <w:r w:rsidRPr="006D6E6D">
        <w:t xml:space="preserve">On 1 January 2011, the corticosteroid dosing requirement for the infliximab paediatric Crohn’s disease listing was changed from a dose of 40mg daily to 1 mg per kg or 40mg (whichever is lesser). This change was made following a request from the Paediatric Medicines Advisory Group. </w:t>
      </w:r>
    </w:p>
    <w:p w:rsidR="006D6E6D" w:rsidRPr="006D6E6D" w:rsidRDefault="006D6E6D" w:rsidP="006D6E6D">
      <w:r w:rsidRPr="006D6E6D">
        <w:t xml:space="preserve">Current PBS listing details are available </w:t>
      </w:r>
      <w:proofErr w:type="gramStart"/>
      <w:r w:rsidRPr="006D6E6D">
        <w:t xml:space="preserve">from </w:t>
      </w:r>
      <w:r w:rsidR="009273B9">
        <w:t xml:space="preserve"> the</w:t>
      </w:r>
      <w:proofErr w:type="gramEnd"/>
      <w:r w:rsidR="009273B9">
        <w:t xml:space="preserve"> </w:t>
      </w:r>
      <w:r w:rsidR="009273B9" w:rsidRPr="0093627C">
        <w:t>PBS website</w:t>
      </w:r>
      <w:r w:rsidR="009273B9">
        <w:t>.</w:t>
      </w:r>
    </w:p>
    <w:p w:rsidR="00736041" w:rsidRPr="006C4620" w:rsidRDefault="00C41246" w:rsidP="00852A4C">
      <w:pPr>
        <w:pStyle w:val="Heading4"/>
      </w:pPr>
      <w:r w:rsidRPr="006C4620">
        <w:t xml:space="preserve">Relevant aspects of </w:t>
      </w:r>
      <w:r w:rsidR="0063021F" w:rsidRPr="006C4620">
        <w:t xml:space="preserve">the PBAC </w:t>
      </w:r>
      <w:r w:rsidR="00736041" w:rsidRPr="006C4620">
        <w:t>consideration</w:t>
      </w:r>
    </w:p>
    <w:p w:rsidR="006D6E6D" w:rsidRPr="00E4568D" w:rsidRDefault="006D6E6D" w:rsidP="00E4568D">
      <w:pPr>
        <w:pStyle w:val="Heading2"/>
      </w:pPr>
      <w:r w:rsidRPr="00E4568D">
        <w:t>Infliximab for severe Crohn’s Disease – March 2007</w:t>
      </w:r>
    </w:p>
    <w:p w:rsidR="006D6E6D" w:rsidRDefault="006D6E6D" w:rsidP="006D6E6D">
      <w:r w:rsidRPr="00743757">
        <w:t>The PBAC recommended the listing of infliximab for the treatment of patients with severe Crohn’s disease (Crohn’s Disease Activity Index ≥ 300) or patients with an ileostomy or colectomy due to Crohn’s disease on the basis of high and acceptable cost-effectiveness compared to placebo.</w:t>
      </w:r>
      <w:r>
        <w:t xml:space="preserve"> </w:t>
      </w:r>
      <w:r w:rsidRPr="00743757">
        <w:t>Continuation of treatment beyond three doses was determined by remission (CDAI ≤ 150) at approximately 12 weeks from the commencement of treatment.</w:t>
      </w:r>
      <w:r>
        <w:t xml:space="preserve"> The recommended listing was more restrictive than that original proposed by the sponsor, which requested treatment for patients with a CDAI &gt; 220 and allowed continuation for patients who achieved an improvement in CDAI &gt; 70 from baseline. </w:t>
      </w:r>
    </w:p>
    <w:p w:rsidR="00E4568D" w:rsidRPr="00F65F0D" w:rsidRDefault="006D6E6D" w:rsidP="00E4568D">
      <w:r w:rsidRPr="0048321D">
        <w:lastRenderedPageBreak/>
        <w:t xml:space="preserve">A copy of the Public Summary Document from the </w:t>
      </w:r>
      <w:r>
        <w:t>March 2007</w:t>
      </w:r>
      <w:r w:rsidRPr="0048321D">
        <w:t xml:space="preserve"> PBAC meeting is available </w:t>
      </w:r>
      <w:r w:rsidR="00E4568D">
        <w:t xml:space="preserve">on the </w:t>
      </w:r>
      <w:r w:rsidR="00E4568D" w:rsidRPr="0093627C">
        <w:t>PBAC Meetings</w:t>
      </w:r>
      <w:r w:rsidR="00E4568D">
        <w:t xml:space="preserve"> website.</w:t>
      </w:r>
    </w:p>
    <w:p w:rsidR="006D6E6D" w:rsidRDefault="006D6E6D" w:rsidP="006D6E6D">
      <w:r>
        <w:t xml:space="preserve">Prior to the March 2007 recommendation, infliximab was considered by the PBAC for Crohn’s disease at </w:t>
      </w:r>
      <w:r w:rsidRPr="00743757">
        <w:t>three PBAC meetings: June 2000, December 2000, and September 2001. On each occasion</w:t>
      </w:r>
      <w:r>
        <w:t>,</w:t>
      </w:r>
      <w:r w:rsidRPr="00743757">
        <w:t xml:space="preserve"> the PBAC rejected the request for subsidy.</w:t>
      </w:r>
      <w:r w:rsidRPr="00786A78">
        <w:rPr>
          <w:color w:val="7030A0"/>
        </w:rPr>
        <w:t xml:space="preserve"> </w:t>
      </w:r>
      <w:r w:rsidR="0093627C">
        <w:rPr>
          <w:noProof/>
          <w:color w:val="000000"/>
          <w:highlight w:val="black"/>
        </w:rPr>
        <w:t>''''''''''' '''''''''''''''''''''''' ''''''''''' '''''' '''''''''' '''''''''' ''''''' ''''' ''''''''''''''''' ''''''' '''''''''' '''''''' '''''''''''''''''' '''''''''''' '''''' ''''''' ''''' '''''''''''''''''''''' ''''''''''''</w:t>
      </w:r>
      <w:r>
        <w:rPr>
          <w:color w:val="7030A0"/>
        </w:rPr>
        <w:t xml:space="preserve"> </w:t>
      </w:r>
      <w:r w:rsidRPr="00BE5A25">
        <w:t xml:space="preserve">The PBAC rejected these submissions on the basis of the uncertainty regarding subsequent doses and unacceptable cost-effectiveness. </w:t>
      </w:r>
    </w:p>
    <w:p w:rsidR="006D6E6D" w:rsidRDefault="006D6E6D" w:rsidP="006D6E6D">
      <w:pPr>
        <w:pStyle w:val="Heading2"/>
      </w:pPr>
      <w:r>
        <w:t>Stakeholder meeting</w:t>
      </w:r>
    </w:p>
    <w:p w:rsidR="006D6E6D" w:rsidRDefault="006D6E6D" w:rsidP="006D6E6D">
      <w:r>
        <w:t>A stakeholder meeting was held in May 2007 in relation to the use of infliximab in Crohn’s disease.</w:t>
      </w:r>
      <w:r w:rsidR="00331A62">
        <w:t xml:space="preserve"> </w:t>
      </w:r>
      <w:r w:rsidR="0093627C">
        <w:rPr>
          <w:noProof/>
          <w:color w:val="000000"/>
          <w:highlight w:val="black"/>
        </w:rPr>
        <w:t>'''''''' ''''''''''''''''' '''''' ''''''''''''''' ''''''' ''''' ''''''''''''''' '''''''' '''''' ''''''''''' '''''''''''' ''''' '''''' '''''''''''' '''''''''' '''''''''''''''''''''''''''''''</w:t>
      </w:r>
      <w:r w:rsidRPr="00D84E9E">
        <w:rPr>
          <w:color w:val="7030A0"/>
        </w:rPr>
        <w:t xml:space="preserve"> </w:t>
      </w:r>
      <w:r w:rsidRPr="00A279DA">
        <w:t>In addition, as part of the recommendation the Committee had agreed to meet with clinicians to discuss the wording of a restriction that would allow a group of patients suffering from severe disease but for whom a CDAI (Crohn’s Disease Activity Index) was inappropriate e</w:t>
      </w:r>
      <w:r w:rsidR="004B0196">
        <w:t>.</w:t>
      </w:r>
      <w:r w:rsidRPr="00A279DA">
        <w:t>g</w:t>
      </w:r>
      <w:r w:rsidR="004B0196">
        <w:t>.</w:t>
      </w:r>
      <w:r w:rsidRPr="00A279DA">
        <w:t xml:space="preserve"> those with ileostomies, ostomies and short bowel syndrome to access treatment.</w:t>
      </w:r>
    </w:p>
    <w:p w:rsidR="006D6E6D" w:rsidRDefault="006D6E6D" w:rsidP="006D6E6D">
      <w:r>
        <w:t>Some of the key clinical suggestions included:</w:t>
      </w:r>
    </w:p>
    <w:p w:rsidR="006D6E6D" w:rsidRDefault="006D6E6D" w:rsidP="006D6E6D">
      <w:pPr>
        <w:pStyle w:val="ListParagraph"/>
        <w:numPr>
          <w:ilvl w:val="0"/>
          <w:numId w:val="6"/>
        </w:numPr>
      </w:pPr>
      <w:r>
        <w:t xml:space="preserve">The CDAI score is very sensitive to the contribution of diarrhoea to the score. Patients who have a </w:t>
      </w:r>
      <w:r w:rsidRPr="00566644">
        <w:t>colostomy, ileostomy or small bowel syndrome cannot generate a high CDAI score</w:t>
      </w:r>
      <w:r>
        <w:t xml:space="preserve"> although they may have severe disease based on a global assessment of their condition. </w:t>
      </w:r>
    </w:p>
    <w:p w:rsidR="006D6E6D" w:rsidRDefault="006D6E6D" w:rsidP="006D6E6D">
      <w:pPr>
        <w:pStyle w:val="ListParagraph"/>
        <w:numPr>
          <w:ilvl w:val="0"/>
          <w:numId w:val="6"/>
        </w:numPr>
      </w:pPr>
      <w:r>
        <w:t xml:space="preserve">In patients whom the CDAI score is inappropriate for measuring disease severity, other markers such </w:t>
      </w:r>
      <w:r w:rsidRPr="00566644">
        <w:t xml:space="preserve">C-reactive protein, erythrocyte sedimentation rate, platelet count, </w:t>
      </w:r>
      <w:proofErr w:type="spellStart"/>
      <w:r w:rsidRPr="00566644">
        <w:t>lactoferrin</w:t>
      </w:r>
      <w:proofErr w:type="spellEnd"/>
      <w:r w:rsidRPr="00566644">
        <w:t xml:space="preserve"> or</w:t>
      </w:r>
      <w:r>
        <w:t xml:space="preserve"> endoscopy may be appropriate. </w:t>
      </w:r>
    </w:p>
    <w:p w:rsidR="006D6E6D" w:rsidRDefault="006D6E6D" w:rsidP="006D6E6D">
      <w:pPr>
        <w:pStyle w:val="ListParagraph"/>
        <w:numPr>
          <w:ilvl w:val="0"/>
          <w:numId w:val="6"/>
        </w:numPr>
      </w:pPr>
      <w:r w:rsidRPr="00123A7D">
        <w:t xml:space="preserve">A CDAI of ≤ 200 at week 12 would be </w:t>
      </w:r>
      <w:proofErr w:type="gramStart"/>
      <w:r>
        <w:t>an appropriate criteria</w:t>
      </w:r>
      <w:proofErr w:type="gramEnd"/>
      <w:r>
        <w:t xml:space="preserve"> </w:t>
      </w:r>
      <w:r w:rsidRPr="00123A7D">
        <w:t>for continuation therapy</w:t>
      </w:r>
      <w:r>
        <w:t xml:space="preserve"> in patients whom CDAI scores are meaningful. </w:t>
      </w:r>
    </w:p>
    <w:p w:rsidR="006D6E6D" w:rsidRDefault="006D6E6D" w:rsidP="006D6E6D">
      <w:pPr>
        <w:pStyle w:val="Heading2"/>
      </w:pPr>
      <w:r>
        <w:t>May 2007 Special Meeting – Infliximab severe Crohn’s disease</w:t>
      </w:r>
    </w:p>
    <w:p w:rsidR="006D6E6D" w:rsidRPr="00A279DA" w:rsidRDefault="006D6E6D" w:rsidP="006D6E6D">
      <w:r w:rsidRPr="00BE5A25">
        <w:t xml:space="preserve">The sponsor made a submission requesting </w:t>
      </w:r>
      <w:r w:rsidR="00407863" w:rsidRPr="00BE5A25">
        <w:t xml:space="preserve">different </w:t>
      </w:r>
      <w:r w:rsidRPr="00BE5A25">
        <w:t>continuation criteria than recommended by the PBAC at its March 2007 meeting. The submission requested patients be required to achieve a 100-point reduction from baseline in their CDAI score, rather than achieving remission (CDAI ≤ 150). The PBAC considered the cost-effectiveness estimates presented in the re-submission served to heighten rather than allay these concerns</w:t>
      </w:r>
      <w:r w:rsidR="0093627C">
        <w:rPr>
          <w:noProof/>
          <w:color w:val="000000"/>
          <w:highlight w:val="black"/>
        </w:rPr>
        <w:t xml:space="preserve">'' '''' ''''''' ''''''''''''''''''''' '''''''' ''''''''''''''''''''''''' ''''''''' '''''''''''' ''''''''''''''' '''''''''' ''''''' '''''''''''''' ''''''''''''''''''''''''' '''''''''''''''''''''''' ''''''''''''''''' ''''' '''''' '''''''''''''''' ''''''' ''''''''''' '''''''''''''''''' ''''''''''''''''''' '''' '''''' '''''''''' ''''''''''''''''' ''''''''''' '''''' ''''''''''' ''''''''''' ''''''''''''''''''''''''' ''''''''''''''''''''''''''''' ''''' '''''''''''' </w:t>
      </w:r>
      <w:r w:rsidRPr="00BE5A25">
        <w:t>The PBAC therefore deferred the submission and requested that the sponsor provide a new submission which addresses the concerns about the economic model and which provides cost-effectiveness estimates using the initiation and continuation criteria recommended by the participants at the stakeholder meeting.</w:t>
      </w:r>
      <w:r w:rsidR="00331A62" w:rsidRPr="00BE5A25">
        <w:t xml:space="preserve"> </w:t>
      </w:r>
      <w:r w:rsidRPr="00BE5A25">
        <w:t xml:space="preserve">The PBAC reaffirmed its recommendation </w:t>
      </w:r>
      <w:r w:rsidRPr="00BE5A25">
        <w:lastRenderedPageBreak/>
        <w:t xml:space="preserve">made in March to list infliximab for the treatment of severe Crohn’s disease with an initial CDAI of ≥ 300 and continuing treatment CDAI ≤150. </w:t>
      </w:r>
      <w:r>
        <w:t xml:space="preserve">The sponsor subsequently chose to proceed with the listing recommended at the March 2007 meeting. </w:t>
      </w:r>
    </w:p>
    <w:p w:rsidR="006D6E6D" w:rsidRDefault="006D6E6D" w:rsidP="006D6E6D">
      <w:pPr>
        <w:pStyle w:val="Heading2"/>
      </w:pPr>
      <w:r>
        <w:t>Infliximab for paediatric Crohn’s Disease –July 2007</w:t>
      </w:r>
    </w:p>
    <w:p w:rsidR="006D6E6D" w:rsidRDefault="006D6E6D" w:rsidP="006D6E6D">
      <w:r w:rsidRPr="0048321D">
        <w:t>The PBAC recommended the listing of infliximab for the treatment of Crohn’s disease in patients aged 6-17 years inclusive who are refractory to conventional therapies, on the basis of acceptable cost-effectiveness compared to placebo</w:t>
      </w:r>
      <w:r>
        <w:t xml:space="preserve">. </w:t>
      </w:r>
    </w:p>
    <w:p w:rsidR="006D6E6D" w:rsidRDefault="006D6E6D" w:rsidP="006D6E6D">
      <w:r w:rsidRPr="0048321D">
        <w:t xml:space="preserve">A copy of the Public Summary Document from the </w:t>
      </w:r>
      <w:r>
        <w:t xml:space="preserve">July </w:t>
      </w:r>
      <w:r w:rsidRPr="0048321D">
        <w:t xml:space="preserve">2007 PBAC meeting is available </w:t>
      </w:r>
      <w:r w:rsidR="00E4568D">
        <w:t xml:space="preserve">on the </w:t>
      </w:r>
      <w:r w:rsidR="00E4568D" w:rsidRPr="0093627C">
        <w:t>PBAC Meetings</w:t>
      </w:r>
      <w:r w:rsidR="00E4568D">
        <w:t xml:space="preserve"> website.</w:t>
      </w:r>
      <w:r>
        <w:t xml:space="preserve"> </w:t>
      </w:r>
    </w:p>
    <w:p w:rsidR="006D6E6D" w:rsidRDefault="006D6E6D" w:rsidP="006D6E6D">
      <w:pPr>
        <w:pStyle w:val="Heading2"/>
      </w:pPr>
      <w:proofErr w:type="spellStart"/>
      <w:r>
        <w:t>Adalimumab</w:t>
      </w:r>
      <w:proofErr w:type="spellEnd"/>
      <w:r>
        <w:t xml:space="preserve"> for Crohn’s Disease –November 2007</w:t>
      </w:r>
    </w:p>
    <w:p w:rsidR="006D6E6D" w:rsidRPr="00596894" w:rsidRDefault="006D6E6D" w:rsidP="006D6E6D">
      <w:r w:rsidRPr="00337E3A">
        <w:t xml:space="preserve">The PBAC recommended the listing of </w:t>
      </w:r>
      <w:proofErr w:type="spellStart"/>
      <w:r w:rsidRPr="00337E3A">
        <w:t>adalimumab</w:t>
      </w:r>
      <w:proofErr w:type="spellEnd"/>
      <w:r w:rsidRPr="00337E3A">
        <w:t xml:space="preserve"> on the PBS for the treatment of patients with moderate to severe Crohn</w:t>
      </w:r>
      <w:r>
        <w:t>’s</w:t>
      </w:r>
      <w:r w:rsidRPr="00337E3A">
        <w:t xml:space="preserve"> disease (</w:t>
      </w:r>
      <w:r w:rsidR="00091CA5">
        <w:t>CDAI</w:t>
      </w:r>
      <w:r w:rsidRPr="00337E3A">
        <w:t xml:space="preserve"> &gt; 300) or in patients with an ileostomy or colectomy due to Crohn</w:t>
      </w:r>
      <w:r>
        <w:t>’s</w:t>
      </w:r>
      <w:r w:rsidRPr="00337E3A">
        <w:t xml:space="preserve"> disease on a cost-minimisation basis compared with infliximab.</w:t>
      </w:r>
      <w:r>
        <w:t xml:space="preserve"> </w:t>
      </w:r>
      <w:r w:rsidRPr="00337E3A">
        <w:t>The PBAC agreed that the Crohn</w:t>
      </w:r>
      <w:r>
        <w:t>’s</w:t>
      </w:r>
      <w:r w:rsidRPr="00337E3A">
        <w:t xml:space="preserve"> disease listing for </w:t>
      </w:r>
      <w:proofErr w:type="spellStart"/>
      <w:r w:rsidRPr="00337E3A">
        <w:t>adalimumab</w:t>
      </w:r>
      <w:proofErr w:type="spellEnd"/>
      <w:r w:rsidRPr="00337E3A">
        <w:t xml:space="preserve"> should be identical to infliximab, although there should be no specific listing for the paediatric population as </w:t>
      </w:r>
      <w:proofErr w:type="spellStart"/>
      <w:r w:rsidRPr="00337E3A">
        <w:t>adalimumab</w:t>
      </w:r>
      <w:proofErr w:type="spellEnd"/>
      <w:r w:rsidRPr="00337E3A">
        <w:t xml:space="preserve"> has not been trialled in children, and that the interchangeability rules should be the same as the rules which apply to the </w:t>
      </w:r>
      <w:proofErr w:type="spellStart"/>
      <w:r w:rsidRPr="00337E3A">
        <w:t>bDMARDs</w:t>
      </w:r>
      <w:proofErr w:type="spellEnd"/>
      <w:r w:rsidRPr="00337E3A">
        <w:t xml:space="preserve"> for other PBS-listed conditions.</w:t>
      </w:r>
      <w:r>
        <w:t xml:space="preserve"> </w:t>
      </w:r>
      <w:r w:rsidRPr="00337E3A">
        <w:t xml:space="preserve">The PBAC considered that patients should continue on </w:t>
      </w:r>
      <w:proofErr w:type="spellStart"/>
      <w:r w:rsidRPr="00337E3A">
        <w:t>adalimumab</w:t>
      </w:r>
      <w:proofErr w:type="spellEnd"/>
      <w:r w:rsidRPr="00337E3A">
        <w:t xml:space="preserve"> only if they were in remission (i.e. CDAI ≤ 150) and not as proposed in the alternative listing in the submission of a decrease of ≥ 150 points, as the ICER for this continuation rule was unacceptably high.</w:t>
      </w:r>
    </w:p>
    <w:p w:rsidR="006D6E6D" w:rsidRPr="00F65F0D" w:rsidRDefault="006D6E6D" w:rsidP="006D6E6D">
      <w:r w:rsidRPr="00F65F0D">
        <w:t xml:space="preserve">A copy of the Public Summary Document from the </w:t>
      </w:r>
      <w:r>
        <w:t xml:space="preserve">November </w:t>
      </w:r>
      <w:r w:rsidRPr="00337E3A">
        <w:t>2007</w:t>
      </w:r>
      <w:r>
        <w:t xml:space="preserve"> </w:t>
      </w:r>
      <w:r w:rsidRPr="00F65F0D">
        <w:t xml:space="preserve">PBAC meeting is available </w:t>
      </w:r>
      <w:r w:rsidR="00E4568D">
        <w:t xml:space="preserve">on the </w:t>
      </w:r>
      <w:r w:rsidR="00E4568D" w:rsidRPr="0093627C">
        <w:t>PBAC Meetings</w:t>
      </w:r>
      <w:r w:rsidR="00E4568D">
        <w:t xml:space="preserve"> website.</w:t>
      </w:r>
    </w:p>
    <w:p w:rsidR="006D6E6D" w:rsidRDefault="006D6E6D" w:rsidP="006D6E6D">
      <w:pPr>
        <w:pStyle w:val="Heading2"/>
      </w:pPr>
      <w:r>
        <w:t>Infliximab for fistulising Crohn’s Disease –March 2010</w:t>
      </w:r>
    </w:p>
    <w:p w:rsidR="006D6E6D" w:rsidRDefault="006D6E6D" w:rsidP="006D6E6D">
      <w:r w:rsidRPr="0061555A">
        <w:t>The PBAC recommended listing of infliximab for complex refractory fistulising Crohn</w:t>
      </w:r>
      <w:r>
        <w:t>’s</w:t>
      </w:r>
      <w:r w:rsidRPr="0061555A">
        <w:t xml:space="preserve"> disease with a draining </w:t>
      </w:r>
      <w:proofErr w:type="spellStart"/>
      <w:r w:rsidRPr="0061555A">
        <w:t>enterocutaneous</w:t>
      </w:r>
      <w:proofErr w:type="spellEnd"/>
      <w:r w:rsidRPr="0061555A">
        <w:t xml:space="preserve"> or </w:t>
      </w:r>
      <w:proofErr w:type="spellStart"/>
      <w:r w:rsidRPr="0061555A">
        <w:t>rectovaginal</w:t>
      </w:r>
      <w:proofErr w:type="spellEnd"/>
      <w:r w:rsidRPr="0061555A">
        <w:t xml:space="preserve"> fistula, on the basis of a high, but acceptable, cost effectiveness ratio, in the context of a serious medical condition that has a large impact on the quality of life of often otherwise healthy younger patients.</w:t>
      </w:r>
    </w:p>
    <w:p w:rsidR="006D6E6D" w:rsidRDefault="006D6E6D" w:rsidP="006D6E6D">
      <w:r w:rsidRPr="00F65F0D">
        <w:t xml:space="preserve">A copy of the Public Summary Document from the </w:t>
      </w:r>
      <w:r>
        <w:t xml:space="preserve">March 2010 </w:t>
      </w:r>
      <w:r w:rsidRPr="00F65F0D">
        <w:t xml:space="preserve">PBAC meeting is available </w:t>
      </w:r>
      <w:r w:rsidR="00E4568D">
        <w:t xml:space="preserve">on the </w:t>
      </w:r>
      <w:r w:rsidR="00E4568D" w:rsidRPr="0093627C">
        <w:t>PBAC Meetings</w:t>
      </w:r>
      <w:r w:rsidR="00E4568D">
        <w:t xml:space="preserve"> website. </w:t>
      </w:r>
    </w:p>
    <w:p w:rsidR="006D6E6D" w:rsidRDefault="006D6E6D" w:rsidP="006D6E6D">
      <w:pPr>
        <w:pStyle w:val="Heading2"/>
      </w:pPr>
      <w:proofErr w:type="spellStart"/>
      <w:r>
        <w:t>Adalimumab</w:t>
      </w:r>
      <w:proofErr w:type="spellEnd"/>
      <w:r>
        <w:t xml:space="preserve"> for fistulising Crohn’s Disease –November 2010</w:t>
      </w:r>
    </w:p>
    <w:p w:rsidR="006D6E6D" w:rsidRDefault="006D6E6D" w:rsidP="006D6E6D">
      <w:r w:rsidRPr="0061555A">
        <w:t>The PBAC recommended the l</w:t>
      </w:r>
      <w:r>
        <w:t xml:space="preserve">isting of </w:t>
      </w:r>
      <w:proofErr w:type="spellStart"/>
      <w:r>
        <w:t>adalimumab</w:t>
      </w:r>
      <w:proofErr w:type="spellEnd"/>
      <w:r>
        <w:t xml:space="preserve"> on the PBS</w:t>
      </w:r>
      <w:r w:rsidRPr="0061555A">
        <w:t xml:space="preserve"> for the treatment of complex, refractory </w:t>
      </w:r>
      <w:r>
        <w:t>fistulising</w:t>
      </w:r>
      <w:r w:rsidRPr="0061555A">
        <w:t xml:space="preserve"> Crohn</w:t>
      </w:r>
      <w:r>
        <w:t>’s</w:t>
      </w:r>
      <w:r w:rsidRPr="0061555A">
        <w:t xml:space="preserve"> disease with a draining </w:t>
      </w:r>
      <w:proofErr w:type="spellStart"/>
      <w:r w:rsidRPr="0061555A">
        <w:t>enterocutaneous</w:t>
      </w:r>
      <w:proofErr w:type="spellEnd"/>
      <w:r w:rsidRPr="0061555A">
        <w:t xml:space="preserve"> or </w:t>
      </w:r>
      <w:proofErr w:type="spellStart"/>
      <w:r w:rsidRPr="0061555A">
        <w:t>rectovaginal</w:t>
      </w:r>
      <w:proofErr w:type="spellEnd"/>
      <w:r w:rsidRPr="0061555A">
        <w:t xml:space="preserve"> fistula on a cost-minimisation basis with infliximab, at the same price as the current listing for </w:t>
      </w:r>
      <w:proofErr w:type="spellStart"/>
      <w:r w:rsidRPr="0061555A">
        <w:t>adalimumab</w:t>
      </w:r>
      <w:proofErr w:type="spellEnd"/>
      <w:r w:rsidRPr="0061555A">
        <w:t xml:space="preserve"> for severe refractory Crohn</w:t>
      </w:r>
      <w:r>
        <w:t>’s</w:t>
      </w:r>
      <w:r w:rsidRPr="0061555A">
        <w:t xml:space="preserve"> disease. </w:t>
      </w:r>
      <w:r>
        <w:t xml:space="preserve">The PBAC considered a restriction consistent with the current listing for infliximab for fistulising disease, using the same </w:t>
      </w:r>
      <w:proofErr w:type="spellStart"/>
      <w:r>
        <w:t>adalimumab</w:t>
      </w:r>
      <w:proofErr w:type="spellEnd"/>
      <w:r>
        <w:t xml:space="preserve"> doses used in the listing for severe refractory Crohn’s disease was </w:t>
      </w:r>
      <w:r>
        <w:lastRenderedPageBreak/>
        <w:t xml:space="preserve">appropriate. The PBAC recommended that patients be permitted to cycle between PBS-subsidised infliximab and </w:t>
      </w:r>
      <w:proofErr w:type="spellStart"/>
      <w:r>
        <w:t>adalimumab</w:t>
      </w:r>
      <w:proofErr w:type="spellEnd"/>
      <w:r>
        <w:t xml:space="preserve"> using similar criteria to those for the severe refractory Crohn’s disease listings.</w:t>
      </w:r>
    </w:p>
    <w:p w:rsidR="006D6E6D" w:rsidRPr="0061555A" w:rsidRDefault="006D6E6D" w:rsidP="006D6E6D">
      <w:r>
        <w:t xml:space="preserve">The PBAC noted that a proportion of patients with fistulising disease and a CDAI score ≥ 300 are already able to access PBS-subsidised </w:t>
      </w:r>
      <w:proofErr w:type="spellStart"/>
      <w:r>
        <w:t>adalimumab</w:t>
      </w:r>
      <w:proofErr w:type="spellEnd"/>
      <w:r>
        <w:t xml:space="preserve"> under the current Crohn’s disease listing. However, there may be patients with worse fistulae but with a lower CDAI who are not currently eligible and that this represents </w:t>
      </w:r>
      <w:proofErr w:type="gramStart"/>
      <w:r>
        <w:t>an equity</w:t>
      </w:r>
      <w:proofErr w:type="gramEnd"/>
      <w:r>
        <w:t xml:space="preserve"> issue. The PBAC noted that the presence of fistulae adds only around 20 points to the overall CDAI score. The PBAC also noted that there was a high clinical need for an alternative treatment that can be given by an alternative route other than intravenously and that morbidity of the disease is high.</w:t>
      </w:r>
    </w:p>
    <w:p w:rsidR="006D6E6D" w:rsidRDefault="006D6E6D" w:rsidP="006D6E6D">
      <w:r w:rsidRPr="0061555A">
        <w:t xml:space="preserve">The PBAC noted that the results of the indirect comparison suggested that patients treated with </w:t>
      </w:r>
      <w:proofErr w:type="spellStart"/>
      <w:r w:rsidRPr="0061555A">
        <w:t>adalimumab</w:t>
      </w:r>
      <w:proofErr w:type="spellEnd"/>
      <w:r w:rsidRPr="0061555A">
        <w:t xml:space="preserve"> are more likely to have complete fistula closure compared with patients treated with infliximab (RR=1.54, [95% CI 0.54, 4.21]). The difference was not statistically significant; however, the trials were not specifically powered to detect differences in this outcome.</w:t>
      </w:r>
    </w:p>
    <w:p w:rsidR="006D6E6D" w:rsidRPr="009E3E18" w:rsidRDefault="006D6E6D" w:rsidP="006D6E6D">
      <w:pPr>
        <w:pStyle w:val="Heading2"/>
      </w:pPr>
      <w:proofErr w:type="spellStart"/>
      <w:r>
        <w:t>Adalimumab</w:t>
      </w:r>
      <w:proofErr w:type="spellEnd"/>
      <w:r>
        <w:t xml:space="preserve"> for paediatric Crohn’s Disease –November 2014</w:t>
      </w:r>
    </w:p>
    <w:p w:rsidR="006D6E6D" w:rsidRPr="00EE7257" w:rsidRDefault="006D6E6D" w:rsidP="006D6E6D">
      <w:r w:rsidRPr="00EE7257">
        <w:t xml:space="preserve">At the November 2014 meeting, the PBAC recommended the listing of </w:t>
      </w:r>
      <w:proofErr w:type="spellStart"/>
      <w:r w:rsidRPr="00EE7257">
        <w:t>adalimumab</w:t>
      </w:r>
      <w:proofErr w:type="spellEnd"/>
      <w:r w:rsidRPr="00EE7257">
        <w:t xml:space="preserve"> for the treatment of severe refractory Crohn’s disease in paediatric patients aged 6 to 17 years. </w:t>
      </w:r>
    </w:p>
    <w:p w:rsidR="006D6E6D" w:rsidRDefault="006D6E6D" w:rsidP="006D6E6D">
      <w:pPr>
        <w:pStyle w:val="Heading3"/>
      </w:pPr>
      <w:r>
        <w:t>Approach taken to estimate utilisation</w:t>
      </w:r>
    </w:p>
    <w:p w:rsidR="006D6E6D" w:rsidRDefault="006D6E6D" w:rsidP="006D6E6D">
      <w:pPr>
        <w:pStyle w:val="Heading2"/>
      </w:pPr>
      <w:r>
        <w:t>Infliximab for Severe Crohn’s Disease – March 2007</w:t>
      </w:r>
    </w:p>
    <w:p w:rsidR="006D6E6D" w:rsidRDefault="006D6E6D" w:rsidP="006D6E6D">
      <w:r w:rsidRPr="004776E3">
        <w:t>An epidemiological approach was used to estimate utilisation. The key assumptions were:</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6D6E6D">
      <w:pPr>
        <w:pStyle w:val="ListParagraph"/>
        <w:numPr>
          <w:ilvl w:val="0"/>
          <w:numId w:val="7"/>
        </w:numPr>
        <w:rPr>
          <w:color w:val="7030A0"/>
        </w:rPr>
      </w:pPr>
      <w:r>
        <w:rPr>
          <w:noProof/>
          <w:color w:val="000000"/>
          <w:highlight w:val="black"/>
        </w:rPr>
        <w:t>''''' ''' ''''''''' ''''''' '''''' '' '''''' ''''''''' '''''''' ''''' ''''''''''''''''' '''' '''''''''''' '''''''''''''''''''''</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lastRenderedPageBreak/>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Default="006D6E6D" w:rsidP="006D6E6D">
      <w:r w:rsidRPr="004776E3">
        <w:t xml:space="preserve">The key assumptions </w:t>
      </w:r>
      <w:r w:rsidRPr="00153552">
        <w:t xml:space="preserve">for paediatric patients </w:t>
      </w:r>
      <w:r w:rsidRPr="004776E3">
        <w:t>were:</w:t>
      </w:r>
    </w:p>
    <w:p w:rsidR="006D6E6D" w:rsidRPr="0093627C" w:rsidRDefault="0093627C" w:rsidP="0093627C">
      <w:pPr>
        <w:ind w:left="720" w:hanging="360"/>
        <w:rPr>
          <w:color w:val="8064A2" w:themeColor="accent4"/>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8064A2" w:themeColor="accent4"/>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EF1BB7" w:rsidRDefault="006D6E6D" w:rsidP="006D6E6D">
      <w:r w:rsidRPr="00EF1BB7">
        <w:t xml:space="preserve">A summary of the estimates are presented in Table </w:t>
      </w:r>
      <w:r w:rsidR="00D770B6">
        <w:t>4, 5 and 6</w:t>
      </w:r>
      <w:r w:rsidRPr="00EF1BB7">
        <w:t xml:space="preserve">. </w:t>
      </w:r>
    </w:p>
    <w:p w:rsidR="006D6E6D" w:rsidRPr="00C47C95" w:rsidRDefault="00954CFF" w:rsidP="00C47C95">
      <w:pPr>
        <w:pStyle w:val="Tabletitle"/>
      </w:pPr>
      <w:r w:rsidRPr="00C47C95">
        <w:t xml:space="preserve">Table 4: Infliximab estimates for CDAI </w:t>
      </w:r>
      <w:r w:rsidRPr="00C47C95">
        <w:sym w:font="Symbol" w:char="F0B3"/>
      </w:r>
      <w:r w:rsidRPr="00C47C95">
        <w:t xml:space="preserve"> 300 severe refractory Crohn’s disease population</w:t>
      </w:r>
    </w:p>
    <w:tbl>
      <w:tblPr>
        <w:tblStyle w:val="TableGrid"/>
        <w:tblW w:w="0" w:type="auto"/>
        <w:tblLook w:val="04A0" w:firstRow="1" w:lastRow="0" w:firstColumn="1" w:lastColumn="0" w:noHBand="0" w:noVBand="1"/>
        <w:tblCaption w:val="The different aspects of the estimates are listed in the first column, read across the row for the numbers for year 1 through 6"/>
      </w:tblPr>
      <w:tblGrid>
        <w:gridCol w:w="1645"/>
        <w:gridCol w:w="1145"/>
        <w:gridCol w:w="1233"/>
        <w:gridCol w:w="1233"/>
        <w:gridCol w:w="1145"/>
        <w:gridCol w:w="1145"/>
        <w:gridCol w:w="1233"/>
      </w:tblGrid>
      <w:tr w:rsidR="006D6E6D" w:rsidRPr="001D0858" w:rsidTr="00B4081C">
        <w:trPr>
          <w:trHeight w:val="249"/>
          <w:tblHeader/>
        </w:trPr>
        <w:tc>
          <w:tcPr>
            <w:tcW w:w="0" w:type="auto"/>
            <w:shd w:val="clear" w:color="auto" w:fill="BFBFBF" w:themeFill="background1" w:themeFillShade="BF"/>
          </w:tcPr>
          <w:p w:rsidR="006D6E6D" w:rsidRPr="001D0858" w:rsidRDefault="006D6E6D" w:rsidP="00B4081C">
            <w:pPr>
              <w:pStyle w:val="Tableheading"/>
              <w:rPr>
                <w:szCs w:val="20"/>
              </w:rPr>
            </w:pP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Year</w:t>
            </w:r>
            <w:r w:rsidR="004422BC">
              <w:rPr>
                <w:szCs w:val="20"/>
              </w:rPr>
              <w:t xml:space="preserve"> </w:t>
            </w:r>
            <w:r>
              <w:rPr>
                <w:szCs w:val="20"/>
              </w:rPr>
              <w:t>1</w:t>
            </w: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Year 2</w:t>
            </w: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Year 3</w:t>
            </w: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Year 4</w:t>
            </w: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Year 5</w:t>
            </w: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Year 6</w:t>
            </w:r>
          </w:p>
        </w:tc>
      </w:tr>
      <w:tr w:rsidR="006D6E6D" w:rsidRPr="001D0858" w:rsidTr="00B4081C">
        <w:trPr>
          <w:trHeight w:val="296"/>
        </w:trPr>
        <w:tc>
          <w:tcPr>
            <w:tcW w:w="0" w:type="auto"/>
          </w:tcPr>
          <w:p w:rsidR="006D6E6D" w:rsidRPr="001D0858" w:rsidRDefault="006D6E6D" w:rsidP="00B4081C">
            <w:pPr>
              <w:pStyle w:val="Tableheading"/>
              <w:jc w:val="left"/>
              <w:rPr>
                <w:b w:val="0"/>
                <w:szCs w:val="20"/>
              </w:rPr>
            </w:pPr>
            <w:r>
              <w:rPr>
                <w:b w:val="0"/>
                <w:szCs w:val="20"/>
              </w:rPr>
              <w:t>Patients</w:t>
            </w:r>
          </w:p>
        </w:tc>
        <w:tc>
          <w:tcPr>
            <w:tcW w:w="0" w:type="auto"/>
            <w:vAlign w:val="center"/>
          </w:tcPr>
          <w:p w:rsidR="006D6E6D" w:rsidRPr="0093627C" w:rsidRDefault="0093627C" w:rsidP="00B4081C">
            <w:pPr>
              <w:pStyle w:val="Tablewriting"/>
              <w:jc w:val="center"/>
              <w:rPr>
                <w:b/>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b/>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b/>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b/>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b/>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b/>
                <w:color w:val="7030A0"/>
                <w:highlight w:val="black"/>
              </w:rPr>
            </w:pPr>
            <w:r>
              <w:rPr>
                <w:noProof/>
                <w:highlight w:val="black"/>
              </w:rPr>
              <w:t>'''''''</w:t>
            </w:r>
          </w:p>
        </w:tc>
      </w:tr>
      <w:tr w:rsidR="006D6E6D" w:rsidRPr="001D0858" w:rsidTr="00B4081C">
        <w:trPr>
          <w:trHeight w:val="296"/>
        </w:trPr>
        <w:tc>
          <w:tcPr>
            <w:tcW w:w="0" w:type="auto"/>
          </w:tcPr>
          <w:p w:rsidR="006D6E6D" w:rsidRDefault="006D6E6D" w:rsidP="00B4081C">
            <w:pPr>
              <w:pStyle w:val="Tableheading"/>
              <w:jc w:val="left"/>
              <w:rPr>
                <w:b w:val="0"/>
                <w:szCs w:val="20"/>
              </w:rPr>
            </w:pPr>
            <w:r>
              <w:rPr>
                <w:b w:val="0"/>
                <w:szCs w:val="20"/>
              </w:rPr>
              <w:t>Doses</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0" w:type="auto"/>
          </w:tcPr>
          <w:p w:rsidR="006D6E6D" w:rsidRDefault="006D6E6D" w:rsidP="00B4081C">
            <w:pPr>
              <w:pStyle w:val="Tableheading"/>
              <w:jc w:val="left"/>
              <w:rPr>
                <w:b w:val="0"/>
                <w:szCs w:val="20"/>
              </w:rPr>
            </w:pPr>
            <w:r>
              <w:rPr>
                <w:b w:val="0"/>
                <w:szCs w:val="20"/>
              </w:rPr>
              <w:t>Vials</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c>
          <w:tcPr>
            <w:tcW w:w="0" w:type="auto"/>
            <w:vAlign w:val="center"/>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0" w:type="auto"/>
          </w:tcPr>
          <w:p w:rsidR="006D6E6D" w:rsidRDefault="006D6E6D" w:rsidP="00B4081C">
            <w:pPr>
              <w:pStyle w:val="Tableheading"/>
              <w:jc w:val="left"/>
              <w:rPr>
                <w:b w:val="0"/>
                <w:szCs w:val="20"/>
              </w:rPr>
            </w:pPr>
            <w:r>
              <w:rPr>
                <w:b w:val="0"/>
                <w:szCs w:val="20"/>
              </w:rPr>
              <w:t>Net cost to R/PBS</w:t>
            </w:r>
          </w:p>
        </w:tc>
        <w:tc>
          <w:tcPr>
            <w:tcW w:w="0" w:type="auto"/>
            <w:vAlign w:val="bottom"/>
          </w:tcPr>
          <w:p w:rsidR="006D6E6D" w:rsidRPr="0093627C" w:rsidRDefault="0093627C" w:rsidP="00B4081C">
            <w:pPr>
              <w:pStyle w:val="Tablewriting"/>
              <w:rPr>
                <w:color w:val="7030A0"/>
                <w:highlight w:val="black"/>
              </w:rPr>
            </w:pPr>
            <w:r>
              <w:rPr>
                <w:noProof/>
                <w:highlight w:val="black"/>
              </w:rPr>
              <w:t xml:space="preserve"> '''''''''''''''''''' </w:t>
            </w:r>
          </w:p>
        </w:tc>
        <w:tc>
          <w:tcPr>
            <w:tcW w:w="0" w:type="auto"/>
            <w:vAlign w:val="bottom"/>
          </w:tcPr>
          <w:p w:rsidR="006D6E6D" w:rsidRPr="0093627C" w:rsidRDefault="0093627C" w:rsidP="00B4081C">
            <w:pPr>
              <w:pStyle w:val="Tablewriting"/>
              <w:rPr>
                <w:color w:val="7030A0"/>
                <w:highlight w:val="black"/>
              </w:rPr>
            </w:pPr>
            <w:r>
              <w:rPr>
                <w:noProof/>
                <w:highlight w:val="black"/>
              </w:rPr>
              <w:t xml:space="preserve"> '''''''''''''''''''''' </w:t>
            </w:r>
          </w:p>
        </w:tc>
        <w:tc>
          <w:tcPr>
            <w:tcW w:w="0" w:type="auto"/>
            <w:vAlign w:val="bottom"/>
          </w:tcPr>
          <w:p w:rsidR="006D6E6D" w:rsidRPr="0093627C" w:rsidRDefault="0093627C" w:rsidP="00B4081C">
            <w:pPr>
              <w:pStyle w:val="Tablewriting"/>
              <w:rPr>
                <w:color w:val="7030A0"/>
                <w:highlight w:val="black"/>
              </w:rPr>
            </w:pPr>
            <w:r>
              <w:rPr>
                <w:noProof/>
                <w:highlight w:val="black"/>
              </w:rPr>
              <w:t xml:space="preserve"> '''''''''''''''''''''' </w:t>
            </w:r>
          </w:p>
        </w:tc>
        <w:tc>
          <w:tcPr>
            <w:tcW w:w="0" w:type="auto"/>
            <w:vAlign w:val="bottom"/>
          </w:tcPr>
          <w:p w:rsidR="006D6E6D" w:rsidRPr="0093627C" w:rsidRDefault="0093627C" w:rsidP="00B4081C">
            <w:pPr>
              <w:pStyle w:val="Tablewriting"/>
              <w:rPr>
                <w:color w:val="7030A0"/>
                <w:highlight w:val="black"/>
              </w:rPr>
            </w:pPr>
            <w:r>
              <w:rPr>
                <w:noProof/>
                <w:highlight w:val="black"/>
              </w:rPr>
              <w:t xml:space="preserve"> '''''''''''''''''''' </w:t>
            </w:r>
          </w:p>
        </w:tc>
        <w:tc>
          <w:tcPr>
            <w:tcW w:w="0" w:type="auto"/>
            <w:vAlign w:val="bottom"/>
          </w:tcPr>
          <w:p w:rsidR="006D6E6D" w:rsidRPr="0093627C" w:rsidRDefault="0093627C" w:rsidP="00B4081C">
            <w:pPr>
              <w:pStyle w:val="Tablewriting"/>
              <w:rPr>
                <w:color w:val="7030A0"/>
                <w:highlight w:val="black"/>
              </w:rPr>
            </w:pPr>
            <w:r>
              <w:rPr>
                <w:noProof/>
                <w:highlight w:val="black"/>
              </w:rPr>
              <w:t xml:space="preserve"> '''''''''''''''''''' </w:t>
            </w:r>
          </w:p>
        </w:tc>
        <w:tc>
          <w:tcPr>
            <w:tcW w:w="0" w:type="auto"/>
            <w:vAlign w:val="bottom"/>
          </w:tcPr>
          <w:p w:rsidR="006D6E6D" w:rsidRPr="0093627C" w:rsidRDefault="0093627C" w:rsidP="00B4081C">
            <w:pPr>
              <w:pStyle w:val="Tablewriting"/>
              <w:rPr>
                <w:color w:val="7030A0"/>
                <w:highlight w:val="black"/>
              </w:rPr>
            </w:pPr>
            <w:r>
              <w:rPr>
                <w:noProof/>
                <w:highlight w:val="black"/>
              </w:rPr>
              <w:t xml:space="preserve"> '''''''''''''''''''''' </w:t>
            </w:r>
          </w:p>
        </w:tc>
      </w:tr>
    </w:tbl>
    <w:p w:rsidR="006D6E6D" w:rsidRDefault="006D6E6D" w:rsidP="006D6E6D">
      <w:pPr>
        <w:pStyle w:val="Notes"/>
      </w:pPr>
      <w:r>
        <w:t xml:space="preserve">Source: Infliximab Severe Crohn’s disease final estimates, July 2007. </w:t>
      </w:r>
      <w:r>
        <w:br/>
        <w:t>Note: Patient co-payments were not removed for infliximab costs</w:t>
      </w:r>
    </w:p>
    <w:p w:rsidR="00D770B6" w:rsidRDefault="00954CFF" w:rsidP="00D770B6">
      <w:pPr>
        <w:pStyle w:val="Tabletitle"/>
      </w:pPr>
      <w:r>
        <w:t>Table 5: Infliximab estimates for CDAI exempt (ostomy and short gut patients) severe refractory Crohn’s disease population</w:t>
      </w:r>
    </w:p>
    <w:tbl>
      <w:tblPr>
        <w:tblStyle w:val="TableGrid"/>
        <w:tblW w:w="0" w:type="auto"/>
        <w:tblLook w:val="04A0" w:firstRow="1" w:lastRow="0" w:firstColumn="1" w:lastColumn="0" w:noHBand="0" w:noVBand="1"/>
        <w:tblCaption w:val="The different aspects of the estimates are listed in the first column, read across the row for the numbers for year 1 through 6"/>
      </w:tblPr>
      <w:tblGrid>
        <w:gridCol w:w="1645"/>
        <w:gridCol w:w="1277"/>
        <w:gridCol w:w="1189"/>
        <w:gridCol w:w="1189"/>
        <w:gridCol w:w="1100"/>
        <w:gridCol w:w="1100"/>
        <w:gridCol w:w="1189"/>
      </w:tblGrid>
      <w:tr w:rsidR="00D770B6" w:rsidRPr="001D0858" w:rsidTr="00A5643F">
        <w:trPr>
          <w:trHeight w:val="249"/>
          <w:tblHeader/>
        </w:trPr>
        <w:tc>
          <w:tcPr>
            <w:tcW w:w="0" w:type="auto"/>
            <w:shd w:val="clear" w:color="auto" w:fill="D9D9D9" w:themeFill="background1" w:themeFillShade="D9"/>
          </w:tcPr>
          <w:p w:rsidR="00D770B6" w:rsidRPr="001D0858" w:rsidRDefault="00D770B6" w:rsidP="005C4223">
            <w:pPr>
              <w:pStyle w:val="Tableheading"/>
              <w:rPr>
                <w:szCs w:val="20"/>
              </w:rPr>
            </w:pPr>
          </w:p>
        </w:tc>
        <w:tc>
          <w:tcPr>
            <w:tcW w:w="0" w:type="auto"/>
            <w:shd w:val="clear" w:color="auto" w:fill="D9D9D9" w:themeFill="background1" w:themeFillShade="D9"/>
          </w:tcPr>
          <w:p w:rsidR="00D770B6" w:rsidRPr="001D0858" w:rsidRDefault="00D770B6" w:rsidP="005C4223">
            <w:pPr>
              <w:pStyle w:val="Tableheading"/>
              <w:rPr>
                <w:szCs w:val="20"/>
              </w:rPr>
            </w:pPr>
            <w:r>
              <w:rPr>
                <w:szCs w:val="20"/>
              </w:rPr>
              <w:t>Year</w:t>
            </w:r>
            <w:r w:rsidR="004422BC">
              <w:rPr>
                <w:szCs w:val="20"/>
              </w:rPr>
              <w:t xml:space="preserve"> </w:t>
            </w:r>
            <w:r>
              <w:rPr>
                <w:szCs w:val="20"/>
              </w:rPr>
              <w:t>1</w:t>
            </w:r>
          </w:p>
        </w:tc>
        <w:tc>
          <w:tcPr>
            <w:tcW w:w="0" w:type="auto"/>
            <w:shd w:val="clear" w:color="auto" w:fill="D9D9D9" w:themeFill="background1" w:themeFillShade="D9"/>
          </w:tcPr>
          <w:p w:rsidR="00D770B6" w:rsidRPr="001D0858" w:rsidRDefault="00D770B6" w:rsidP="005C4223">
            <w:pPr>
              <w:pStyle w:val="Tableheading"/>
              <w:rPr>
                <w:szCs w:val="20"/>
              </w:rPr>
            </w:pPr>
            <w:r>
              <w:rPr>
                <w:szCs w:val="20"/>
              </w:rPr>
              <w:t>Year 2</w:t>
            </w:r>
          </w:p>
        </w:tc>
        <w:tc>
          <w:tcPr>
            <w:tcW w:w="0" w:type="auto"/>
            <w:shd w:val="clear" w:color="auto" w:fill="D9D9D9" w:themeFill="background1" w:themeFillShade="D9"/>
          </w:tcPr>
          <w:p w:rsidR="00D770B6" w:rsidRPr="001D0858" w:rsidRDefault="00D770B6" w:rsidP="005C4223">
            <w:pPr>
              <w:pStyle w:val="Tableheading"/>
              <w:rPr>
                <w:szCs w:val="20"/>
              </w:rPr>
            </w:pPr>
            <w:r>
              <w:rPr>
                <w:szCs w:val="20"/>
              </w:rPr>
              <w:t>Year 3</w:t>
            </w:r>
          </w:p>
        </w:tc>
        <w:tc>
          <w:tcPr>
            <w:tcW w:w="0" w:type="auto"/>
            <w:shd w:val="clear" w:color="auto" w:fill="D9D9D9" w:themeFill="background1" w:themeFillShade="D9"/>
          </w:tcPr>
          <w:p w:rsidR="00D770B6" w:rsidRPr="001D0858" w:rsidRDefault="00D770B6" w:rsidP="005C4223">
            <w:pPr>
              <w:pStyle w:val="Tableheading"/>
              <w:rPr>
                <w:szCs w:val="20"/>
              </w:rPr>
            </w:pPr>
            <w:r>
              <w:rPr>
                <w:szCs w:val="20"/>
              </w:rPr>
              <w:t>Year 4</w:t>
            </w:r>
          </w:p>
        </w:tc>
        <w:tc>
          <w:tcPr>
            <w:tcW w:w="0" w:type="auto"/>
            <w:shd w:val="clear" w:color="auto" w:fill="D9D9D9" w:themeFill="background1" w:themeFillShade="D9"/>
          </w:tcPr>
          <w:p w:rsidR="00D770B6" w:rsidRPr="001D0858" w:rsidRDefault="00D770B6" w:rsidP="005C4223">
            <w:pPr>
              <w:pStyle w:val="Tableheading"/>
              <w:rPr>
                <w:szCs w:val="20"/>
              </w:rPr>
            </w:pPr>
            <w:r>
              <w:rPr>
                <w:szCs w:val="20"/>
              </w:rPr>
              <w:t>Year 5</w:t>
            </w:r>
          </w:p>
        </w:tc>
        <w:tc>
          <w:tcPr>
            <w:tcW w:w="0" w:type="auto"/>
            <w:shd w:val="clear" w:color="auto" w:fill="D9D9D9" w:themeFill="background1" w:themeFillShade="D9"/>
          </w:tcPr>
          <w:p w:rsidR="00D770B6" w:rsidRPr="001D0858" w:rsidRDefault="00D770B6" w:rsidP="005C4223">
            <w:pPr>
              <w:pStyle w:val="Tableheading"/>
              <w:rPr>
                <w:szCs w:val="20"/>
              </w:rPr>
            </w:pPr>
            <w:r>
              <w:rPr>
                <w:szCs w:val="20"/>
              </w:rPr>
              <w:t>Year 6</w:t>
            </w:r>
          </w:p>
        </w:tc>
      </w:tr>
      <w:tr w:rsidR="00D770B6" w:rsidRPr="0062417B" w:rsidTr="005C4223">
        <w:trPr>
          <w:trHeight w:val="296"/>
        </w:trPr>
        <w:tc>
          <w:tcPr>
            <w:tcW w:w="0" w:type="auto"/>
          </w:tcPr>
          <w:p w:rsidR="00D770B6" w:rsidRDefault="00D770B6" w:rsidP="005C4223">
            <w:pPr>
              <w:pStyle w:val="Tableheading"/>
              <w:jc w:val="left"/>
              <w:rPr>
                <w:b w:val="0"/>
                <w:szCs w:val="20"/>
              </w:rPr>
            </w:pPr>
            <w:r>
              <w:rPr>
                <w:b w:val="0"/>
                <w:szCs w:val="20"/>
              </w:rPr>
              <w:t>Patients</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r>
      <w:tr w:rsidR="00D770B6" w:rsidRPr="0062417B" w:rsidTr="005C4223">
        <w:trPr>
          <w:trHeight w:val="296"/>
        </w:trPr>
        <w:tc>
          <w:tcPr>
            <w:tcW w:w="0" w:type="auto"/>
          </w:tcPr>
          <w:p w:rsidR="00D770B6" w:rsidRDefault="00D770B6" w:rsidP="005C4223">
            <w:pPr>
              <w:pStyle w:val="Tableheading"/>
              <w:jc w:val="left"/>
              <w:rPr>
                <w:b w:val="0"/>
                <w:szCs w:val="20"/>
              </w:rPr>
            </w:pPr>
            <w:r>
              <w:rPr>
                <w:b w:val="0"/>
                <w:szCs w:val="20"/>
              </w:rPr>
              <w:t>Doses</w:t>
            </w:r>
          </w:p>
        </w:tc>
        <w:tc>
          <w:tcPr>
            <w:tcW w:w="0" w:type="auto"/>
            <w:vAlign w:val="bottom"/>
          </w:tcPr>
          <w:p w:rsidR="00D770B6" w:rsidRPr="0093627C" w:rsidRDefault="0093627C" w:rsidP="005C4223">
            <w:pPr>
              <w:pStyle w:val="Tablewriting"/>
              <w:jc w:val="center"/>
              <w:rPr>
                <w:color w:val="7030A0"/>
                <w:highlight w:val="black"/>
              </w:rPr>
            </w:pPr>
            <w:r>
              <w:rPr>
                <w:bCs/>
                <w:noProof/>
                <w:highlight w:val="black"/>
              </w:rPr>
              <w:t>''''''''''</w:t>
            </w:r>
          </w:p>
        </w:tc>
        <w:tc>
          <w:tcPr>
            <w:tcW w:w="0" w:type="auto"/>
            <w:vAlign w:val="bottom"/>
          </w:tcPr>
          <w:p w:rsidR="00D770B6" w:rsidRPr="0093627C" w:rsidRDefault="0093627C" w:rsidP="005C4223">
            <w:pPr>
              <w:pStyle w:val="Tablewriting"/>
              <w:jc w:val="center"/>
              <w:rPr>
                <w:color w:val="7030A0"/>
                <w:highlight w:val="black"/>
              </w:rPr>
            </w:pPr>
            <w:r>
              <w:rPr>
                <w:bCs/>
                <w:noProof/>
                <w:highlight w:val="black"/>
              </w:rPr>
              <w:t>''''''''''</w:t>
            </w:r>
          </w:p>
        </w:tc>
        <w:tc>
          <w:tcPr>
            <w:tcW w:w="0" w:type="auto"/>
            <w:vAlign w:val="bottom"/>
          </w:tcPr>
          <w:p w:rsidR="00D770B6" w:rsidRPr="0093627C" w:rsidRDefault="0093627C" w:rsidP="005C4223">
            <w:pPr>
              <w:pStyle w:val="Tablewriting"/>
              <w:jc w:val="center"/>
              <w:rPr>
                <w:color w:val="7030A0"/>
                <w:highlight w:val="black"/>
              </w:rPr>
            </w:pPr>
            <w:r>
              <w:rPr>
                <w:bCs/>
                <w:noProof/>
                <w:highlight w:val="black"/>
              </w:rPr>
              <w:t>''''''''''''</w:t>
            </w:r>
          </w:p>
        </w:tc>
        <w:tc>
          <w:tcPr>
            <w:tcW w:w="0" w:type="auto"/>
            <w:vAlign w:val="bottom"/>
          </w:tcPr>
          <w:p w:rsidR="00D770B6" w:rsidRPr="0093627C" w:rsidRDefault="0093627C" w:rsidP="005C4223">
            <w:pPr>
              <w:pStyle w:val="Tablewriting"/>
              <w:jc w:val="center"/>
              <w:rPr>
                <w:color w:val="7030A0"/>
                <w:highlight w:val="black"/>
              </w:rPr>
            </w:pPr>
            <w:r>
              <w:rPr>
                <w:bCs/>
                <w:noProof/>
                <w:highlight w:val="black"/>
              </w:rPr>
              <w:t>''''''''''</w:t>
            </w:r>
          </w:p>
        </w:tc>
        <w:tc>
          <w:tcPr>
            <w:tcW w:w="0" w:type="auto"/>
            <w:vAlign w:val="bottom"/>
          </w:tcPr>
          <w:p w:rsidR="00D770B6" w:rsidRPr="0093627C" w:rsidRDefault="0093627C" w:rsidP="005C4223">
            <w:pPr>
              <w:pStyle w:val="Tablewriting"/>
              <w:jc w:val="center"/>
              <w:rPr>
                <w:color w:val="7030A0"/>
                <w:highlight w:val="black"/>
              </w:rPr>
            </w:pPr>
            <w:r>
              <w:rPr>
                <w:bCs/>
                <w:noProof/>
                <w:highlight w:val="black"/>
              </w:rPr>
              <w:t>''''''''''''</w:t>
            </w:r>
          </w:p>
        </w:tc>
        <w:tc>
          <w:tcPr>
            <w:tcW w:w="0" w:type="auto"/>
            <w:vAlign w:val="bottom"/>
          </w:tcPr>
          <w:p w:rsidR="00D770B6" w:rsidRPr="0093627C" w:rsidRDefault="0093627C" w:rsidP="005C4223">
            <w:pPr>
              <w:pStyle w:val="Tablewriting"/>
              <w:jc w:val="center"/>
              <w:rPr>
                <w:color w:val="7030A0"/>
                <w:highlight w:val="black"/>
              </w:rPr>
            </w:pPr>
            <w:r>
              <w:rPr>
                <w:bCs/>
                <w:noProof/>
                <w:highlight w:val="black"/>
              </w:rPr>
              <w:t>'''''''</w:t>
            </w:r>
          </w:p>
        </w:tc>
      </w:tr>
      <w:tr w:rsidR="00D770B6" w:rsidRPr="0062417B" w:rsidTr="005C4223">
        <w:trPr>
          <w:trHeight w:val="296"/>
        </w:trPr>
        <w:tc>
          <w:tcPr>
            <w:tcW w:w="0" w:type="auto"/>
          </w:tcPr>
          <w:p w:rsidR="00D770B6" w:rsidRDefault="00D770B6" w:rsidP="005C4223">
            <w:pPr>
              <w:pStyle w:val="Tableheading"/>
              <w:jc w:val="left"/>
              <w:rPr>
                <w:b w:val="0"/>
                <w:szCs w:val="20"/>
              </w:rPr>
            </w:pPr>
            <w:r>
              <w:rPr>
                <w:b w:val="0"/>
                <w:szCs w:val="20"/>
              </w:rPr>
              <w:t>Vials</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c>
          <w:tcPr>
            <w:tcW w:w="0" w:type="auto"/>
            <w:vAlign w:val="bottom"/>
          </w:tcPr>
          <w:p w:rsidR="00D770B6" w:rsidRPr="0093627C" w:rsidRDefault="0093627C" w:rsidP="005C4223">
            <w:pPr>
              <w:pStyle w:val="Tablewriting"/>
              <w:jc w:val="center"/>
              <w:rPr>
                <w:b/>
                <w:color w:val="7030A0"/>
                <w:highlight w:val="black"/>
              </w:rPr>
            </w:pPr>
            <w:r>
              <w:rPr>
                <w:noProof/>
                <w:highlight w:val="black"/>
              </w:rPr>
              <w:t>''''''''''</w:t>
            </w:r>
          </w:p>
        </w:tc>
      </w:tr>
      <w:tr w:rsidR="00D770B6" w:rsidRPr="0062417B" w:rsidTr="005C4223">
        <w:trPr>
          <w:trHeight w:val="296"/>
        </w:trPr>
        <w:tc>
          <w:tcPr>
            <w:tcW w:w="0" w:type="auto"/>
          </w:tcPr>
          <w:p w:rsidR="00D770B6" w:rsidRDefault="00D770B6" w:rsidP="005C4223">
            <w:pPr>
              <w:pStyle w:val="Tableheading"/>
              <w:jc w:val="left"/>
              <w:rPr>
                <w:b w:val="0"/>
                <w:szCs w:val="20"/>
              </w:rPr>
            </w:pPr>
            <w:r>
              <w:rPr>
                <w:b w:val="0"/>
                <w:szCs w:val="20"/>
              </w:rPr>
              <w:t>Net cost to R/PBS</w:t>
            </w:r>
          </w:p>
        </w:tc>
        <w:tc>
          <w:tcPr>
            <w:tcW w:w="0" w:type="auto"/>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0" w:type="auto"/>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0" w:type="auto"/>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0" w:type="auto"/>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0" w:type="auto"/>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0" w:type="auto"/>
            <w:vAlign w:val="bottom"/>
          </w:tcPr>
          <w:p w:rsidR="00D770B6" w:rsidRPr="0093627C" w:rsidRDefault="0093627C" w:rsidP="005C4223">
            <w:pPr>
              <w:pStyle w:val="Tablewriting"/>
              <w:jc w:val="right"/>
              <w:rPr>
                <w:b/>
                <w:color w:val="7030A0"/>
                <w:highlight w:val="black"/>
              </w:rPr>
            </w:pPr>
            <w:r>
              <w:rPr>
                <w:noProof/>
                <w:highlight w:val="black"/>
              </w:rPr>
              <w:t xml:space="preserve"> ''''''''''''''''''''' </w:t>
            </w:r>
          </w:p>
        </w:tc>
      </w:tr>
    </w:tbl>
    <w:p w:rsidR="00D770B6" w:rsidRDefault="00D770B6" w:rsidP="00D770B6">
      <w:pPr>
        <w:pStyle w:val="Notes"/>
      </w:pPr>
      <w:r>
        <w:t xml:space="preserve">Source: Infliximab Severe Crohn’s disease final estimates, July 2007. </w:t>
      </w:r>
      <w:r>
        <w:br/>
        <w:t>Note: Patient co-payments were not removed for infliximab costs</w:t>
      </w:r>
    </w:p>
    <w:p w:rsidR="00D770B6" w:rsidRDefault="00954CFF" w:rsidP="00D770B6">
      <w:pPr>
        <w:pStyle w:val="Tabletitle"/>
      </w:pPr>
      <w:r>
        <w:lastRenderedPageBreak/>
        <w:t>Table 6: Infliximab estimates for paediatric patients with refractory Crohn’s disease</w:t>
      </w:r>
    </w:p>
    <w:tbl>
      <w:tblPr>
        <w:tblStyle w:val="TableGrid"/>
        <w:tblW w:w="0" w:type="auto"/>
        <w:tblLayout w:type="fixed"/>
        <w:tblLook w:val="04A0" w:firstRow="1" w:lastRow="0" w:firstColumn="1" w:lastColumn="0" w:noHBand="0" w:noVBand="1"/>
        <w:tblCaption w:val="The different aspects of the estimates are listed in the first column, read across the row for the numbers for year 1 through 6"/>
      </w:tblPr>
      <w:tblGrid>
        <w:gridCol w:w="1645"/>
        <w:gridCol w:w="1208"/>
        <w:gridCol w:w="1209"/>
        <w:gridCol w:w="1209"/>
        <w:gridCol w:w="1208"/>
        <w:gridCol w:w="1209"/>
        <w:gridCol w:w="1209"/>
      </w:tblGrid>
      <w:tr w:rsidR="00D770B6" w:rsidRPr="00D770B6" w:rsidTr="00A5643F">
        <w:trPr>
          <w:trHeight w:val="296"/>
          <w:tblHeader/>
        </w:trPr>
        <w:tc>
          <w:tcPr>
            <w:tcW w:w="1645" w:type="dxa"/>
            <w:shd w:val="clear" w:color="auto" w:fill="D9D9D9" w:themeFill="background1" w:themeFillShade="D9"/>
          </w:tcPr>
          <w:p w:rsidR="00D770B6" w:rsidRPr="00D770B6" w:rsidRDefault="00D770B6" w:rsidP="005C4223">
            <w:pPr>
              <w:pStyle w:val="Tableheading"/>
              <w:jc w:val="left"/>
              <w:rPr>
                <w:szCs w:val="20"/>
              </w:rPr>
            </w:pPr>
          </w:p>
        </w:tc>
        <w:tc>
          <w:tcPr>
            <w:tcW w:w="1208" w:type="dxa"/>
            <w:shd w:val="clear" w:color="auto" w:fill="D9D9D9" w:themeFill="background1" w:themeFillShade="D9"/>
            <w:vAlign w:val="bottom"/>
          </w:tcPr>
          <w:p w:rsidR="00D770B6" w:rsidRPr="00D770B6" w:rsidRDefault="00D770B6" w:rsidP="005C4223">
            <w:pPr>
              <w:pStyle w:val="Tablewriting"/>
              <w:jc w:val="center"/>
              <w:rPr>
                <w:b/>
                <w:color w:val="auto"/>
              </w:rPr>
            </w:pPr>
            <w:r w:rsidRPr="00D770B6">
              <w:rPr>
                <w:b/>
                <w:color w:val="auto"/>
              </w:rPr>
              <w:t>Year 1</w:t>
            </w:r>
          </w:p>
        </w:tc>
        <w:tc>
          <w:tcPr>
            <w:tcW w:w="1209" w:type="dxa"/>
            <w:shd w:val="clear" w:color="auto" w:fill="D9D9D9" w:themeFill="background1" w:themeFillShade="D9"/>
            <w:vAlign w:val="bottom"/>
          </w:tcPr>
          <w:p w:rsidR="00D770B6" w:rsidRPr="00D770B6" w:rsidRDefault="00D770B6" w:rsidP="005C4223">
            <w:pPr>
              <w:pStyle w:val="Tablewriting"/>
              <w:jc w:val="center"/>
              <w:rPr>
                <w:b/>
                <w:color w:val="auto"/>
              </w:rPr>
            </w:pPr>
            <w:r w:rsidRPr="00D770B6">
              <w:rPr>
                <w:b/>
                <w:color w:val="auto"/>
              </w:rPr>
              <w:t>Year 2</w:t>
            </w:r>
          </w:p>
        </w:tc>
        <w:tc>
          <w:tcPr>
            <w:tcW w:w="1209" w:type="dxa"/>
            <w:shd w:val="clear" w:color="auto" w:fill="D9D9D9" w:themeFill="background1" w:themeFillShade="D9"/>
            <w:vAlign w:val="bottom"/>
          </w:tcPr>
          <w:p w:rsidR="00D770B6" w:rsidRPr="00D770B6" w:rsidRDefault="00D770B6" w:rsidP="005C4223">
            <w:pPr>
              <w:pStyle w:val="Tablewriting"/>
              <w:jc w:val="center"/>
              <w:rPr>
                <w:b/>
                <w:color w:val="auto"/>
              </w:rPr>
            </w:pPr>
            <w:r w:rsidRPr="00D770B6">
              <w:rPr>
                <w:b/>
                <w:color w:val="auto"/>
              </w:rPr>
              <w:t>Year 3</w:t>
            </w:r>
          </w:p>
        </w:tc>
        <w:tc>
          <w:tcPr>
            <w:tcW w:w="1208" w:type="dxa"/>
            <w:shd w:val="clear" w:color="auto" w:fill="D9D9D9" w:themeFill="background1" w:themeFillShade="D9"/>
            <w:vAlign w:val="bottom"/>
          </w:tcPr>
          <w:p w:rsidR="00D770B6" w:rsidRPr="00D770B6" w:rsidRDefault="00D770B6" w:rsidP="005C4223">
            <w:pPr>
              <w:pStyle w:val="Tablewriting"/>
              <w:jc w:val="center"/>
              <w:rPr>
                <w:b/>
                <w:color w:val="auto"/>
              </w:rPr>
            </w:pPr>
            <w:r w:rsidRPr="00D770B6">
              <w:rPr>
                <w:b/>
                <w:color w:val="auto"/>
              </w:rPr>
              <w:t>Year 4</w:t>
            </w:r>
          </w:p>
        </w:tc>
        <w:tc>
          <w:tcPr>
            <w:tcW w:w="1209" w:type="dxa"/>
            <w:shd w:val="clear" w:color="auto" w:fill="D9D9D9" w:themeFill="background1" w:themeFillShade="D9"/>
            <w:vAlign w:val="bottom"/>
          </w:tcPr>
          <w:p w:rsidR="00D770B6" w:rsidRPr="00D770B6" w:rsidRDefault="00D770B6" w:rsidP="005C4223">
            <w:pPr>
              <w:pStyle w:val="Tablewriting"/>
              <w:jc w:val="center"/>
              <w:rPr>
                <w:b/>
                <w:color w:val="auto"/>
              </w:rPr>
            </w:pPr>
            <w:r w:rsidRPr="00D770B6">
              <w:rPr>
                <w:b/>
                <w:color w:val="auto"/>
              </w:rPr>
              <w:t>Year 5</w:t>
            </w:r>
          </w:p>
        </w:tc>
        <w:tc>
          <w:tcPr>
            <w:tcW w:w="1209" w:type="dxa"/>
            <w:shd w:val="clear" w:color="auto" w:fill="D9D9D9" w:themeFill="background1" w:themeFillShade="D9"/>
            <w:vAlign w:val="bottom"/>
          </w:tcPr>
          <w:p w:rsidR="00D770B6" w:rsidRPr="00D770B6" w:rsidRDefault="00D770B6" w:rsidP="005C4223">
            <w:pPr>
              <w:pStyle w:val="Tablewriting"/>
              <w:jc w:val="center"/>
              <w:rPr>
                <w:b/>
                <w:color w:val="auto"/>
              </w:rPr>
            </w:pPr>
            <w:r w:rsidRPr="00D770B6">
              <w:rPr>
                <w:b/>
                <w:color w:val="auto"/>
              </w:rPr>
              <w:t>Year 6</w:t>
            </w:r>
          </w:p>
        </w:tc>
      </w:tr>
      <w:tr w:rsidR="00D770B6" w:rsidRPr="0062417B" w:rsidTr="00D770B6">
        <w:trPr>
          <w:trHeight w:val="296"/>
        </w:trPr>
        <w:tc>
          <w:tcPr>
            <w:tcW w:w="1645" w:type="dxa"/>
          </w:tcPr>
          <w:p w:rsidR="00D770B6" w:rsidRDefault="00D770B6" w:rsidP="005C4223">
            <w:pPr>
              <w:pStyle w:val="Tableheading"/>
              <w:jc w:val="left"/>
              <w:rPr>
                <w:b w:val="0"/>
                <w:szCs w:val="20"/>
              </w:rPr>
            </w:pPr>
            <w:r>
              <w:rPr>
                <w:b w:val="0"/>
                <w:szCs w:val="20"/>
              </w:rPr>
              <w:t>Patients</w:t>
            </w:r>
          </w:p>
        </w:tc>
        <w:tc>
          <w:tcPr>
            <w:tcW w:w="1208"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8"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r>
      <w:tr w:rsidR="00D770B6" w:rsidRPr="0062417B" w:rsidTr="00D770B6">
        <w:trPr>
          <w:trHeight w:val="296"/>
        </w:trPr>
        <w:tc>
          <w:tcPr>
            <w:tcW w:w="1645" w:type="dxa"/>
          </w:tcPr>
          <w:p w:rsidR="00D770B6" w:rsidRDefault="00D770B6" w:rsidP="005C4223">
            <w:pPr>
              <w:pStyle w:val="Tableheading"/>
              <w:jc w:val="left"/>
              <w:rPr>
                <w:b w:val="0"/>
                <w:szCs w:val="20"/>
              </w:rPr>
            </w:pPr>
            <w:r>
              <w:rPr>
                <w:b w:val="0"/>
                <w:szCs w:val="20"/>
              </w:rPr>
              <w:t>Doses</w:t>
            </w:r>
          </w:p>
        </w:tc>
        <w:tc>
          <w:tcPr>
            <w:tcW w:w="1208"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8"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r>
      <w:tr w:rsidR="00D770B6" w:rsidRPr="0062417B" w:rsidTr="00D770B6">
        <w:trPr>
          <w:trHeight w:val="296"/>
        </w:trPr>
        <w:tc>
          <w:tcPr>
            <w:tcW w:w="1645" w:type="dxa"/>
          </w:tcPr>
          <w:p w:rsidR="00D770B6" w:rsidRDefault="00D770B6" w:rsidP="005C4223">
            <w:pPr>
              <w:pStyle w:val="Tableheading"/>
              <w:jc w:val="left"/>
              <w:rPr>
                <w:b w:val="0"/>
                <w:szCs w:val="20"/>
              </w:rPr>
            </w:pPr>
            <w:r>
              <w:rPr>
                <w:b w:val="0"/>
                <w:szCs w:val="20"/>
              </w:rPr>
              <w:t>Vials</w:t>
            </w:r>
          </w:p>
        </w:tc>
        <w:tc>
          <w:tcPr>
            <w:tcW w:w="1208"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8"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c>
          <w:tcPr>
            <w:tcW w:w="1209" w:type="dxa"/>
            <w:vAlign w:val="bottom"/>
          </w:tcPr>
          <w:p w:rsidR="00D770B6" w:rsidRPr="0093627C" w:rsidRDefault="0093627C" w:rsidP="005C4223">
            <w:pPr>
              <w:pStyle w:val="Tablewriting"/>
              <w:jc w:val="center"/>
              <w:rPr>
                <w:color w:val="7030A0"/>
                <w:highlight w:val="black"/>
              </w:rPr>
            </w:pPr>
            <w:r>
              <w:rPr>
                <w:noProof/>
                <w:highlight w:val="black"/>
              </w:rPr>
              <w:t>''''''''''</w:t>
            </w:r>
          </w:p>
        </w:tc>
      </w:tr>
      <w:tr w:rsidR="00D770B6" w:rsidRPr="0062417B" w:rsidTr="00D770B6">
        <w:trPr>
          <w:trHeight w:val="296"/>
        </w:trPr>
        <w:tc>
          <w:tcPr>
            <w:tcW w:w="1645" w:type="dxa"/>
          </w:tcPr>
          <w:p w:rsidR="00D770B6" w:rsidRDefault="00D770B6" w:rsidP="005C4223">
            <w:pPr>
              <w:pStyle w:val="Tableheading"/>
              <w:jc w:val="left"/>
              <w:rPr>
                <w:b w:val="0"/>
                <w:szCs w:val="20"/>
              </w:rPr>
            </w:pPr>
            <w:r>
              <w:rPr>
                <w:b w:val="0"/>
                <w:szCs w:val="20"/>
              </w:rPr>
              <w:t>Net cost to R/PBS</w:t>
            </w:r>
          </w:p>
        </w:tc>
        <w:tc>
          <w:tcPr>
            <w:tcW w:w="1208" w:type="dxa"/>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1209" w:type="dxa"/>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1209" w:type="dxa"/>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1208" w:type="dxa"/>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1209" w:type="dxa"/>
            <w:vAlign w:val="bottom"/>
          </w:tcPr>
          <w:p w:rsidR="00D770B6" w:rsidRPr="0093627C" w:rsidRDefault="0093627C" w:rsidP="005C4223">
            <w:pPr>
              <w:pStyle w:val="Tablewriting"/>
              <w:jc w:val="right"/>
              <w:rPr>
                <w:b/>
                <w:color w:val="7030A0"/>
                <w:highlight w:val="black"/>
              </w:rPr>
            </w:pPr>
            <w:r>
              <w:rPr>
                <w:noProof/>
                <w:highlight w:val="black"/>
              </w:rPr>
              <w:t xml:space="preserve"> ''''''''''''''''''''' </w:t>
            </w:r>
          </w:p>
        </w:tc>
        <w:tc>
          <w:tcPr>
            <w:tcW w:w="1209" w:type="dxa"/>
            <w:vAlign w:val="bottom"/>
          </w:tcPr>
          <w:p w:rsidR="00D770B6" w:rsidRPr="0093627C" w:rsidRDefault="0093627C" w:rsidP="005C4223">
            <w:pPr>
              <w:pStyle w:val="Tablewriting"/>
              <w:jc w:val="right"/>
              <w:rPr>
                <w:b/>
                <w:color w:val="7030A0"/>
                <w:highlight w:val="black"/>
              </w:rPr>
            </w:pPr>
            <w:r>
              <w:rPr>
                <w:noProof/>
                <w:highlight w:val="black"/>
              </w:rPr>
              <w:t xml:space="preserve"> '''''''''''''''''''' </w:t>
            </w:r>
          </w:p>
        </w:tc>
      </w:tr>
    </w:tbl>
    <w:p w:rsidR="00D770B6" w:rsidRDefault="00D770B6" w:rsidP="00D770B6">
      <w:pPr>
        <w:pStyle w:val="Notes"/>
      </w:pPr>
      <w:r>
        <w:t xml:space="preserve">Source: Infliximab Severe Crohn’s disease final estimates, July 2007. </w:t>
      </w:r>
      <w:r>
        <w:br/>
        <w:t>Note: Patient co-payments were not removed for infliximab costs</w:t>
      </w:r>
    </w:p>
    <w:p w:rsidR="006D6E6D" w:rsidRDefault="006D6E6D" w:rsidP="006D6E6D">
      <w:pPr>
        <w:pStyle w:val="Heading2"/>
      </w:pPr>
      <w:proofErr w:type="spellStart"/>
      <w:r>
        <w:t>Adalimumab</w:t>
      </w:r>
      <w:proofErr w:type="spellEnd"/>
      <w:r>
        <w:t xml:space="preserve"> – Severe </w:t>
      </w:r>
      <w:r w:rsidR="004756B3">
        <w:t>C</w:t>
      </w:r>
      <w:r>
        <w:t>rohn’s disease</w:t>
      </w:r>
    </w:p>
    <w:p w:rsidR="006D6E6D" w:rsidRDefault="006D6E6D" w:rsidP="006D6E6D">
      <w:r>
        <w:t xml:space="preserve">The financial estimates for </w:t>
      </w:r>
      <w:proofErr w:type="spellStart"/>
      <w:r>
        <w:t>adalimumab</w:t>
      </w:r>
      <w:proofErr w:type="spellEnd"/>
      <w:r>
        <w:t xml:space="preserve"> used a mixed epidemiological and market share approach.</w:t>
      </w:r>
      <w:r w:rsidR="00331A62">
        <w:t xml:space="preserve"> </w:t>
      </w:r>
      <w:r>
        <w:t>The key assumptions are as follows:</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lastRenderedPageBreak/>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6D6E6D">
      <w:pPr>
        <w:rPr>
          <w:color w:val="7030A0"/>
          <w:highlight w:val="black"/>
        </w:rPr>
      </w:pPr>
      <w:r>
        <w:rPr>
          <w:noProof/>
          <w:color w:val="000000"/>
          <w:highlight w:val="black"/>
        </w:rPr>
        <w:t xml:space="preserve">''''''''''' ''''''' '''''''''''''''' '''''''''''' ''''''''''''''' '''' ''''''''''''''' '''' '''''' '''''''' ''''''''''''''''' ''''''' '''''''''''''' '''' ''''''''''''''''' ''''''''''''''''''''' ''''' ''''' '''''''''''''' '''''''''''''''''' '''''' '''''''''''''' '''''''''''''''''''' '''''''' ''''''''' ''' '''''''''''''''' ''''' ''' ''''''''''' ''''''' '''''''''''''' '''''''''''''' ''''''''''''''''''' '''''' '''''''''''''''''''''''' '''''' '''''''''' '''''''''''' '''''''''' '''''' ''''''''''''''''''' </w:t>
      </w:r>
    </w:p>
    <w:p w:rsidR="006D6E6D" w:rsidRPr="004C07D3" w:rsidRDefault="006D6E6D" w:rsidP="006D6E6D">
      <w:r w:rsidRPr="004C07D3">
        <w:t xml:space="preserve">A summary of the </w:t>
      </w:r>
      <w:proofErr w:type="spellStart"/>
      <w:r w:rsidRPr="004C07D3">
        <w:t>adalimumab</w:t>
      </w:r>
      <w:proofErr w:type="spellEnd"/>
      <w:r w:rsidRPr="004C07D3">
        <w:t xml:space="preserve"> estimates are presented in Table </w:t>
      </w:r>
      <w:r w:rsidR="00EF60DC">
        <w:t>7</w:t>
      </w:r>
      <w:r w:rsidRPr="004C07D3">
        <w:t xml:space="preserve">. </w:t>
      </w:r>
    </w:p>
    <w:p w:rsidR="006D6E6D" w:rsidRDefault="006D6E6D" w:rsidP="006D6E6D">
      <w:pPr>
        <w:pStyle w:val="Tabletitle"/>
      </w:pPr>
      <w:r>
        <w:t xml:space="preserve">Table </w:t>
      </w:r>
      <w:r w:rsidR="00EF60DC">
        <w:t>7</w:t>
      </w:r>
      <w:r>
        <w:t xml:space="preserve">: </w:t>
      </w:r>
      <w:proofErr w:type="spellStart"/>
      <w:r>
        <w:t>Adalimumab</w:t>
      </w:r>
      <w:proofErr w:type="spellEnd"/>
      <w:r>
        <w:t xml:space="preserve"> estimates for severe refractory Crohn’s disease</w:t>
      </w:r>
    </w:p>
    <w:tbl>
      <w:tblPr>
        <w:tblStyle w:val="TableGrid"/>
        <w:tblW w:w="0" w:type="auto"/>
        <w:tblLook w:val="04A0" w:firstRow="1" w:lastRow="0" w:firstColumn="1" w:lastColumn="0" w:noHBand="0" w:noVBand="1"/>
        <w:tblCaption w:val="The different aspects of the estimates are listed in the first column, read across the row for the numbers for year 1 through 6"/>
      </w:tblPr>
      <w:tblGrid>
        <w:gridCol w:w="1645"/>
        <w:gridCol w:w="1320"/>
        <w:gridCol w:w="1320"/>
        <w:gridCol w:w="1232"/>
        <w:gridCol w:w="1143"/>
        <w:gridCol w:w="1232"/>
        <w:gridCol w:w="1232"/>
      </w:tblGrid>
      <w:tr w:rsidR="006D6E6D" w:rsidRPr="001D0858" w:rsidTr="00B4081C">
        <w:trPr>
          <w:trHeight w:val="249"/>
          <w:tblHeader/>
        </w:trPr>
        <w:tc>
          <w:tcPr>
            <w:tcW w:w="0" w:type="auto"/>
            <w:shd w:val="clear" w:color="auto" w:fill="BFBFBF" w:themeFill="background1" w:themeFillShade="BF"/>
          </w:tcPr>
          <w:p w:rsidR="006D6E6D" w:rsidRPr="001D0858" w:rsidRDefault="006D6E6D" w:rsidP="00B4081C">
            <w:pPr>
              <w:pStyle w:val="Tableheading"/>
              <w:rPr>
                <w:szCs w:val="20"/>
              </w:rPr>
            </w:pPr>
          </w:p>
        </w:tc>
        <w:tc>
          <w:tcPr>
            <w:tcW w:w="0" w:type="auto"/>
            <w:shd w:val="clear" w:color="auto" w:fill="BFBFBF" w:themeFill="background1" w:themeFillShade="BF"/>
          </w:tcPr>
          <w:p w:rsidR="006D6E6D" w:rsidRPr="001D0858" w:rsidRDefault="006D6E6D" w:rsidP="00B4081C">
            <w:pPr>
              <w:pStyle w:val="Tableheading"/>
              <w:rPr>
                <w:szCs w:val="20"/>
              </w:rPr>
            </w:pPr>
            <w:r>
              <w:rPr>
                <w:szCs w:val="20"/>
              </w:rPr>
              <w:t xml:space="preserve">Year1 </w:t>
            </w:r>
            <w:r>
              <w:rPr>
                <w:szCs w:val="20"/>
              </w:rPr>
              <w:br/>
              <w:t>(2008)</w:t>
            </w:r>
          </w:p>
        </w:tc>
        <w:tc>
          <w:tcPr>
            <w:tcW w:w="0" w:type="auto"/>
            <w:shd w:val="clear" w:color="auto" w:fill="BFBFBF" w:themeFill="background1" w:themeFillShade="BF"/>
          </w:tcPr>
          <w:p w:rsidR="006D6E6D" w:rsidRDefault="006D6E6D" w:rsidP="00B4081C">
            <w:pPr>
              <w:pStyle w:val="Tableheading"/>
              <w:rPr>
                <w:szCs w:val="20"/>
              </w:rPr>
            </w:pPr>
            <w:r>
              <w:rPr>
                <w:szCs w:val="20"/>
              </w:rPr>
              <w:t>Year 2</w:t>
            </w:r>
          </w:p>
          <w:p w:rsidR="006D6E6D" w:rsidRPr="001D0858" w:rsidRDefault="006D6E6D" w:rsidP="00B4081C">
            <w:pPr>
              <w:pStyle w:val="Tableheading"/>
              <w:rPr>
                <w:szCs w:val="20"/>
              </w:rPr>
            </w:pPr>
            <w:r>
              <w:rPr>
                <w:szCs w:val="20"/>
              </w:rPr>
              <w:t>(2009)</w:t>
            </w:r>
          </w:p>
        </w:tc>
        <w:tc>
          <w:tcPr>
            <w:tcW w:w="0" w:type="auto"/>
            <w:shd w:val="clear" w:color="auto" w:fill="BFBFBF" w:themeFill="background1" w:themeFillShade="BF"/>
          </w:tcPr>
          <w:p w:rsidR="006D6E6D" w:rsidRDefault="006D6E6D" w:rsidP="00B4081C">
            <w:pPr>
              <w:pStyle w:val="Tableheading"/>
              <w:rPr>
                <w:szCs w:val="20"/>
              </w:rPr>
            </w:pPr>
            <w:r>
              <w:rPr>
                <w:szCs w:val="20"/>
              </w:rPr>
              <w:t>Year 3</w:t>
            </w:r>
          </w:p>
          <w:p w:rsidR="006D6E6D" w:rsidRPr="001D0858" w:rsidRDefault="006D6E6D" w:rsidP="00B4081C">
            <w:pPr>
              <w:pStyle w:val="Tableheading"/>
              <w:rPr>
                <w:szCs w:val="20"/>
              </w:rPr>
            </w:pPr>
            <w:r>
              <w:rPr>
                <w:szCs w:val="20"/>
              </w:rPr>
              <w:t>(2010)</w:t>
            </w:r>
          </w:p>
        </w:tc>
        <w:tc>
          <w:tcPr>
            <w:tcW w:w="0" w:type="auto"/>
            <w:shd w:val="clear" w:color="auto" w:fill="BFBFBF" w:themeFill="background1" w:themeFillShade="BF"/>
          </w:tcPr>
          <w:p w:rsidR="006D6E6D" w:rsidRDefault="006D6E6D" w:rsidP="00B4081C">
            <w:pPr>
              <w:pStyle w:val="Tableheading"/>
              <w:rPr>
                <w:szCs w:val="20"/>
              </w:rPr>
            </w:pPr>
            <w:r>
              <w:rPr>
                <w:szCs w:val="20"/>
              </w:rPr>
              <w:t>Year 4</w:t>
            </w:r>
          </w:p>
          <w:p w:rsidR="006D6E6D" w:rsidRPr="001D0858" w:rsidRDefault="006D6E6D" w:rsidP="00B4081C">
            <w:pPr>
              <w:pStyle w:val="Tableheading"/>
              <w:rPr>
                <w:szCs w:val="20"/>
              </w:rPr>
            </w:pPr>
            <w:r>
              <w:rPr>
                <w:szCs w:val="20"/>
              </w:rPr>
              <w:t>(2011)</w:t>
            </w:r>
          </w:p>
        </w:tc>
        <w:tc>
          <w:tcPr>
            <w:tcW w:w="0" w:type="auto"/>
            <w:shd w:val="clear" w:color="auto" w:fill="BFBFBF" w:themeFill="background1" w:themeFillShade="BF"/>
          </w:tcPr>
          <w:p w:rsidR="006D6E6D" w:rsidRDefault="006D6E6D" w:rsidP="00B4081C">
            <w:pPr>
              <w:pStyle w:val="Tableheading"/>
              <w:rPr>
                <w:szCs w:val="20"/>
              </w:rPr>
            </w:pPr>
            <w:r>
              <w:rPr>
                <w:szCs w:val="20"/>
              </w:rPr>
              <w:t>Year 5</w:t>
            </w:r>
          </w:p>
          <w:p w:rsidR="006D6E6D" w:rsidRPr="001D0858" w:rsidRDefault="006D6E6D" w:rsidP="00B4081C">
            <w:pPr>
              <w:pStyle w:val="Tableheading"/>
              <w:rPr>
                <w:szCs w:val="20"/>
              </w:rPr>
            </w:pPr>
            <w:r>
              <w:rPr>
                <w:szCs w:val="20"/>
              </w:rPr>
              <w:t>(2012)</w:t>
            </w:r>
          </w:p>
        </w:tc>
        <w:tc>
          <w:tcPr>
            <w:tcW w:w="0" w:type="auto"/>
            <w:shd w:val="clear" w:color="auto" w:fill="BFBFBF" w:themeFill="background1" w:themeFillShade="BF"/>
          </w:tcPr>
          <w:p w:rsidR="006D6E6D" w:rsidRDefault="006D6E6D" w:rsidP="00B4081C">
            <w:pPr>
              <w:pStyle w:val="Tableheading"/>
              <w:rPr>
                <w:szCs w:val="20"/>
              </w:rPr>
            </w:pPr>
            <w:r>
              <w:rPr>
                <w:szCs w:val="20"/>
              </w:rPr>
              <w:t>Year 6</w:t>
            </w:r>
          </w:p>
          <w:p w:rsidR="006D6E6D" w:rsidRPr="001D0858" w:rsidRDefault="006D6E6D" w:rsidP="00B4081C">
            <w:pPr>
              <w:pStyle w:val="Tableheading"/>
              <w:rPr>
                <w:szCs w:val="20"/>
              </w:rPr>
            </w:pPr>
            <w:r>
              <w:rPr>
                <w:szCs w:val="20"/>
              </w:rPr>
              <w:t>(2013)</w:t>
            </w:r>
          </w:p>
        </w:tc>
      </w:tr>
      <w:tr w:rsidR="006D6E6D" w:rsidRPr="001D0858" w:rsidTr="00B4081C">
        <w:trPr>
          <w:trHeight w:val="296"/>
        </w:trPr>
        <w:tc>
          <w:tcPr>
            <w:tcW w:w="0" w:type="auto"/>
          </w:tcPr>
          <w:p w:rsidR="006D6E6D" w:rsidRPr="001D0858" w:rsidRDefault="006D6E6D" w:rsidP="00B4081C">
            <w:pPr>
              <w:pStyle w:val="Tableheading"/>
              <w:jc w:val="left"/>
              <w:rPr>
                <w:b w:val="0"/>
                <w:szCs w:val="20"/>
              </w:rPr>
            </w:pPr>
            <w:r>
              <w:rPr>
                <w:b w:val="0"/>
                <w:szCs w:val="20"/>
              </w:rPr>
              <w:t>Patients</w:t>
            </w:r>
          </w:p>
        </w:tc>
        <w:tc>
          <w:tcPr>
            <w:tcW w:w="0" w:type="auto"/>
            <w:vAlign w:val="bottom"/>
          </w:tcPr>
          <w:p w:rsidR="006D6E6D" w:rsidRPr="0093627C" w:rsidRDefault="0093627C" w:rsidP="00B4081C">
            <w:pPr>
              <w:pStyle w:val="Tablewriting"/>
              <w:jc w:val="center"/>
              <w:rPr>
                <w:color w:val="7030A0"/>
                <w:highlight w:val="black"/>
              </w:rPr>
            </w:pPr>
            <w:r>
              <w:rPr>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0" w:type="auto"/>
          </w:tcPr>
          <w:p w:rsidR="006D6E6D" w:rsidRPr="00B63E4E" w:rsidRDefault="006D6E6D" w:rsidP="00B4081C">
            <w:pPr>
              <w:pStyle w:val="Tableheading"/>
              <w:jc w:val="left"/>
              <w:rPr>
                <w:b w:val="0"/>
                <w:szCs w:val="20"/>
                <w:vertAlign w:val="superscript"/>
              </w:rPr>
            </w:pPr>
            <w:proofErr w:type="spellStart"/>
            <w:r>
              <w:rPr>
                <w:b w:val="0"/>
                <w:szCs w:val="20"/>
              </w:rPr>
              <w:t>Prescriptions</w:t>
            </w:r>
            <w:r>
              <w:rPr>
                <w:b w:val="0"/>
                <w:szCs w:val="20"/>
                <w:vertAlign w:val="superscript"/>
              </w:rPr>
              <w:t>a</w:t>
            </w:r>
            <w:proofErr w:type="spellEnd"/>
          </w:p>
        </w:tc>
        <w:tc>
          <w:tcPr>
            <w:tcW w:w="0" w:type="auto"/>
            <w:vAlign w:val="bottom"/>
          </w:tcPr>
          <w:p w:rsidR="006D6E6D" w:rsidRPr="0093627C" w:rsidRDefault="0093627C" w:rsidP="00B4081C">
            <w:pPr>
              <w:pStyle w:val="Tablewriting"/>
              <w:jc w:val="center"/>
              <w:rPr>
                <w:color w:val="7030A0"/>
                <w:highlight w:val="black"/>
              </w:rPr>
            </w:pPr>
            <w:r>
              <w:rPr>
                <w:rFonts w:ascii="Calibri" w:hAnsi="Calibri"/>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rFonts w:ascii="Calibri" w:hAnsi="Calibri"/>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rFonts w:ascii="Calibri" w:hAnsi="Calibri"/>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rFonts w:ascii="Calibri" w:hAnsi="Calibri"/>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rFonts w:ascii="Calibri" w:hAnsi="Calibri"/>
                <w:noProof/>
                <w:highlight w:val="black"/>
              </w:rPr>
              <w:t>''''''''''''''</w:t>
            </w:r>
          </w:p>
        </w:tc>
        <w:tc>
          <w:tcPr>
            <w:tcW w:w="0" w:type="auto"/>
            <w:vAlign w:val="bottom"/>
          </w:tcPr>
          <w:p w:rsidR="006D6E6D" w:rsidRPr="0093627C" w:rsidRDefault="0093627C" w:rsidP="00B4081C">
            <w:pPr>
              <w:pStyle w:val="Tablewriting"/>
              <w:jc w:val="center"/>
              <w:rPr>
                <w:color w:val="7030A0"/>
                <w:highlight w:val="black"/>
              </w:rPr>
            </w:pPr>
            <w:r>
              <w:rPr>
                <w:rFonts w:ascii="Calibri" w:hAnsi="Calibri"/>
                <w:noProof/>
                <w:highlight w:val="black"/>
              </w:rPr>
              <w:t>''''''''''''</w:t>
            </w:r>
          </w:p>
        </w:tc>
      </w:tr>
      <w:tr w:rsidR="006D6E6D" w:rsidRPr="001D0858" w:rsidTr="00B4081C">
        <w:trPr>
          <w:trHeight w:val="296"/>
        </w:trPr>
        <w:tc>
          <w:tcPr>
            <w:tcW w:w="0" w:type="auto"/>
          </w:tcPr>
          <w:p w:rsidR="006D6E6D" w:rsidRDefault="006D6E6D" w:rsidP="00B4081C">
            <w:pPr>
              <w:pStyle w:val="Tableheading"/>
              <w:jc w:val="left"/>
              <w:rPr>
                <w:b w:val="0"/>
                <w:szCs w:val="20"/>
              </w:rPr>
            </w:pPr>
            <w:r>
              <w:rPr>
                <w:b w:val="0"/>
                <w:szCs w:val="20"/>
              </w:rPr>
              <w:t xml:space="preserve">Net cost to R/PBS </w:t>
            </w:r>
          </w:p>
        </w:tc>
        <w:tc>
          <w:tcPr>
            <w:tcW w:w="0" w:type="auto"/>
            <w:vAlign w:val="bottom"/>
          </w:tcPr>
          <w:p w:rsidR="006D6E6D" w:rsidRPr="0093627C" w:rsidRDefault="0093627C" w:rsidP="00B4081C">
            <w:pPr>
              <w:pStyle w:val="Tablewriting"/>
              <w:rPr>
                <w:color w:val="7030A0"/>
                <w:highlight w:val="black"/>
              </w:rPr>
            </w:pPr>
            <w:r>
              <w:rPr>
                <w:noProof/>
                <w:highlight w:val="black"/>
              </w:rPr>
              <w:t>'''''''''''''''''''''''''</w:t>
            </w:r>
          </w:p>
        </w:tc>
        <w:tc>
          <w:tcPr>
            <w:tcW w:w="0" w:type="auto"/>
            <w:vAlign w:val="bottom"/>
          </w:tcPr>
          <w:p w:rsidR="006D6E6D" w:rsidRPr="0093627C" w:rsidRDefault="0093627C" w:rsidP="00B4081C">
            <w:pPr>
              <w:pStyle w:val="Tablewriting"/>
              <w:rPr>
                <w:color w:val="7030A0"/>
                <w:highlight w:val="black"/>
              </w:rPr>
            </w:pPr>
            <w:r>
              <w:rPr>
                <w:noProof/>
                <w:highlight w:val="black"/>
              </w:rPr>
              <w:t>'''''''''''''''''''''''''</w:t>
            </w:r>
          </w:p>
        </w:tc>
        <w:tc>
          <w:tcPr>
            <w:tcW w:w="0" w:type="auto"/>
            <w:vAlign w:val="bottom"/>
          </w:tcPr>
          <w:p w:rsidR="006D6E6D" w:rsidRPr="0093627C" w:rsidRDefault="0093627C" w:rsidP="00B4081C">
            <w:pPr>
              <w:pStyle w:val="Tablewriting"/>
              <w:rPr>
                <w:color w:val="7030A0"/>
                <w:highlight w:val="black"/>
              </w:rPr>
            </w:pPr>
            <w:r>
              <w:rPr>
                <w:noProof/>
                <w:highlight w:val="black"/>
              </w:rPr>
              <w:t>'''''''''''''''''''''''</w:t>
            </w:r>
          </w:p>
        </w:tc>
        <w:tc>
          <w:tcPr>
            <w:tcW w:w="0" w:type="auto"/>
            <w:vAlign w:val="bottom"/>
          </w:tcPr>
          <w:p w:rsidR="006D6E6D" w:rsidRPr="0093627C" w:rsidRDefault="0093627C" w:rsidP="00B4081C">
            <w:pPr>
              <w:pStyle w:val="Tablewriting"/>
              <w:rPr>
                <w:color w:val="7030A0"/>
                <w:highlight w:val="black"/>
              </w:rPr>
            </w:pPr>
            <w:r>
              <w:rPr>
                <w:noProof/>
                <w:highlight w:val="black"/>
              </w:rPr>
              <w:t>'''''''''''''''''''''</w:t>
            </w:r>
          </w:p>
        </w:tc>
        <w:tc>
          <w:tcPr>
            <w:tcW w:w="0" w:type="auto"/>
            <w:vAlign w:val="bottom"/>
          </w:tcPr>
          <w:p w:rsidR="006D6E6D" w:rsidRPr="0093627C" w:rsidRDefault="0093627C" w:rsidP="00B4081C">
            <w:pPr>
              <w:pStyle w:val="Tablewriting"/>
              <w:rPr>
                <w:color w:val="7030A0"/>
                <w:highlight w:val="black"/>
              </w:rPr>
            </w:pPr>
            <w:r>
              <w:rPr>
                <w:noProof/>
                <w:highlight w:val="black"/>
              </w:rPr>
              <w:t>'''''''''''''''''''''''</w:t>
            </w:r>
          </w:p>
        </w:tc>
        <w:tc>
          <w:tcPr>
            <w:tcW w:w="0" w:type="auto"/>
            <w:vAlign w:val="bottom"/>
          </w:tcPr>
          <w:p w:rsidR="006D6E6D" w:rsidRPr="0093627C" w:rsidRDefault="0093627C" w:rsidP="00B4081C">
            <w:pPr>
              <w:pStyle w:val="Tablewriting"/>
              <w:rPr>
                <w:color w:val="7030A0"/>
                <w:highlight w:val="black"/>
              </w:rPr>
            </w:pPr>
            <w:r>
              <w:rPr>
                <w:noProof/>
                <w:highlight w:val="black"/>
              </w:rPr>
              <w:t>'''''''''''''''''''''''</w:t>
            </w:r>
          </w:p>
        </w:tc>
      </w:tr>
    </w:tbl>
    <w:p w:rsidR="006D6E6D" w:rsidRPr="00B63E4E" w:rsidRDefault="006D6E6D" w:rsidP="006D6E6D">
      <w:pPr>
        <w:pStyle w:val="Figurecaption"/>
        <w:rPr>
          <w:highlight w:val="yellow"/>
        </w:rPr>
      </w:pPr>
      <w:r>
        <w:t xml:space="preserve">Source: </w:t>
      </w:r>
      <w:proofErr w:type="spellStart"/>
      <w:r w:rsidRPr="00BE5A25">
        <w:t>Adalimumab</w:t>
      </w:r>
      <w:proofErr w:type="spellEnd"/>
      <w:r w:rsidRPr="00BE5A25">
        <w:t xml:space="preserve"> Severe Crohn’s disease final estimates, June 2008. </w:t>
      </w:r>
      <w:r w:rsidRPr="00BE5A25">
        <w:br/>
      </w:r>
      <w:proofErr w:type="gramStart"/>
      <w:r w:rsidRPr="00BE5A25">
        <w:rPr>
          <w:vertAlign w:val="superscript"/>
        </w:rPr>
        <w:t>a</w:t>
      </w:r>
      <w:proofErr w:type="gramEnd"/>
      <w:r w:rsidRPr="00BE5A25">
        <w:t xml:space="preserve"> Calculated by the DUSC secretariat based on cost per course assumptions in the estimates. </w:t>
      </w:r>
    </w:p>
    <w:p w:rsidR="006D6E6D" w:rsidRDefault="006D6E6D" w:rsidP="006D6E6D">
      <w:pPr>
        <w:pStyle w:val="Heading2"/>
      </w:pPr>
      <w:r>
        <w:t>Infliximab for Fistulising Crohn’s Disease – March 2010</w:t>
      </w:r>
    </w:p>
    <w:p w:rsidR="006D6E6D" w:rsidRDefault="006D6E6D" w:rsidP="006D6E6D">
      <w:r w:rsidRPr="004776E3">
        <w:t>An epidemiological approach was used to estimate utilisation. The key assumptions were:</w:t>
      </w:r>
    </w:p>
    <w:p w:rsidR="006D6E6D" w:rsidRPr="0093627C" w:rsidRDefault="0093627C" w:rsidP="0093627C">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highlight w:val="black"/>
        </w:rPr>
      </w:pPr>
      <w:r>
        <w:rPr>
          <w:rFonts w:ascii="Symbol" w:hAnsi="Symbol"/>
          <w:noProof/>
          <w:color w:val="000000"/>
          <w:highlight w:val="black"/>
        </w:rPr>
        <w:lastRenderedPageBreak/>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Default="006D6E6D" w:rsidP="006D6E6D">
      <w:r w:rsidRPr="004C07D3">
        <w:t xml:space="preserve">A summary of the estimates are presented in Table </w:t>
      </w:r>
      <w:r w:rsidR="00EF60DC">
        <w:t>8</w:t>
      </w:r>
      <w:r w:rsidRPr="004C07D3">
        <w:t xml:space="preserve">. </w:t>
      </w:r>
    </w:p>
    <w:p w:rsidR="006D6E6D" w:rsidRDefault="00EF60DC" w:rsidP="006D6E6D">
      <w:pPr>
        <w:pStyle w:val="Tabletitle"/>
      </w:pPr>
      <w:r>
        <w:t>Table 8</w:t>
      </w:r>
      <w:r w:rsidR="006D6E6D">
        <w:t>: Infliximab estimates for fistulising Crohn’s disease</w:t>
      </w:r>
    </w:p>
    <w:tbl>
      <w:tblPr>
        <w:tblStyle w:val="TableGrid"/>
        <w:tblW w:w="5000" w:type="pct"/>
        <w:tblLook w:val="04A0" w:firstRow="1" w:lastRow="0" w:firstColumn="1" w:lastColumn="0" w:noHBand="0" w:noVBand="1"/>
        <w:tblCaption w:val="The different aspects of the estimates are listed in the first column, read across the row for the numbers for year 1 through 5"/>
      </w:tblPr>
      <w:tblGrid>
        <w:gridCol w:w="2073"/>
        <w:gridCol w:w="1420"/>
        <w:gridCol w:w="1420"/>
        <w:gridCol w:w="1420"/>
        <w:gridCol w:w="1420"/>
        <w:gridCol w:w="1420"/>
      </w:tblGrid>
      <w:tr w:rsidR="006D6E6D" w:rsidRPr="001D0858" w:rsidTr="00B4081C">
        <w:trPr>
          <w:trHeight w:val="249"/>
          <w:tblHeader/>
        </w:trPr>
        <w:tc>
          <w:tcPr>
            <w:tcW w:w="1130" w:type="pct"/>
            <w:shd w:val="clear" w:color="auto" w:fill="BFBFBF" w:themeFill="background1" w:themeFillShade="BF"/>
          </w:tcPr>
          <w:p w:rsidR="006D6E6D" w:rsidRPr="001D0858" w:rsidRDefault="006D6E6D" w:rsidP="00B4081C">
            <w:pPr>
              <w:pStyle w:val="Tableheading"/>
              <w:rPr>
                <w:szCs w:val="20"/>
              </w:rPr>
            </w:pPr>
          </w:p>
        </w:tc>
        <w:tc>
          <w:tcPr>
            <w:tcW w:w="774" w:type="pct"/>
            <w:shd w:val="clear" w:color="auto" w:fill="BFBFBF" w:themeFill="background1" w:themeFillShade="BF"/>
          </w:tcPr>
          <w:p w:rsidR="006D6E6D" w:rsidRDefault="006D6E6D" w:rsidP="00B4081C">
            <w:pPr>
              <w:pStyle w:val="Tableheading"/>
              <w:rPr>
                <w:szCs w:val="20"/>
              </w:rPr>
            </w:pPr>
            <w:r>
              <w:rPr>
                <w:szCs w:val="20"/>
              </w:rPr>
              <w:t>Year1</w:t>
            </w:r>
          </w:p>
          <w:p w:rsidR="006D6E6D" w:rsidRPr="001D0858" w:rsidRDefault="006D6E6D" w:rsidP="00B4081C">
            <w:pPr>
              <w:pStyle w:val="Tableheading"/>
              <w:rPr>
                <w:szCs w:val="20"/>
              </w:rPr>
            </w:pPr>
            <w:r>
              <w:rPr>
                <w:szCs w:val="20"/>
              </w:rPr>
              <w:t>(2010)</w:t>
            </w:r>
          </w:p>
        </w:tc>
        <w:tc>
          <w:tcPr>
            <w:tcW w:w="774" w:type="pct"/>
            <w:shd w:val="clear" w:color="auto" w:fill="BFBFBF" w:themeFill="background1" w:themeFillShade="BF"/>
          </w:tcPr>
          <w:p w:rsidR="006D6E6D" w:rsidRDefault="006D6E6D" w:rsidP="00B4081C">
            <w:pPr>
              <w:pStyle w:val="Tableheading"/>
              <w:rPr>
                <w:szCs w:val="20"/>
              </w:rPr>
            </w:pPr>
            <w:r>
              <w:rPr>
                <w:szCs w:val="20"/>
              </w:rPr>
              <w:t>Year 2</w:t>
            </w:r>
          </w:p>
          <w:p w:rsidR="006D6E6D" w:rsidRPr="001D0858" w:rsidRDefault="006D6E6D" w:rsidP="00B4081C">
            <w:pPr>
              <w:pStyle w:val="Tableheading"/>
              <w:rPr>
                <w:szCs w:val="20"/>
              </w:rPr>
            </w:pPr>
            <w:r>
              <w:rPr>
                <w:szCs w:val="20"/>
              </w:rPr>
              <w:t>(2011)</w:t>
            </w:r>
          </w:p>
        </w:tc>
        <w:tc>
          <w:tcPr>
            <w:tcW w:w="774" w:type="pct"/>
            <w:shd w:val="clear" w:color="auto" w:fill="BFBFBF" w:themeFill="background1" w:themeFillShade="BF"/>
          </w:tcPr>
          <w:p w:rsidR="006D6E6D" w:rsidRDefault="006D6E6D" w:rsidP="00B4081C">
            <w:pPr>
              <w:pStyle w:val="Tableheading"/>
              <w:rPr>
                <w:szCs w:val="20"/>
              </w:rPr>
            </w:pPr>
            <w:r>
              <w:rPr>
                <w:szCs w:val="20"/>
              </w:rPr>
              <w:t>Year 3</w:t>
            </w:r>
          </w:p>
          <w:p w:rsidR="006D6E6D" w:rsidRPr="001D0858" w:rsidRDefault="006D6E6D" w:rsidP="00B4081C">
            <w:pPr>
              <w:pStyle w:val="Tableheading"/>
              <w:rPr>
                <w:szCs w:val="20"/>
              </w:rPr>
            </w:pPr>
            <w:r>
              <w:rPr>
                <w:szCs w:val="20"/>
              </w:rPr>
              <w:t>(2012)</w:t>
            </w:r>
          </w:p>
        </w:tc>
        <w:tc>
          <w:tcPr>
            <w:tcW w:w="774" w:type="pct"/>
            <w:shd w:val="clear" w:color="auto" w:fill="BFBFBF" w:themeFill="background1" w:themeFillShade="BF"/>
          </w:tcPr>
          <w:p w:rsidR="006D6E6D" w:rsidRDefault="006D6E6D" w:rsidP="00B4081C">
            <w:pPr>
              <w:pStyle w:val="Tableheading"/>
              <w:rPr>
                <w:szCs w:val="20"/>
              </w:rPr>
            </w:pPr>
            <w:r>
              <w:rPr>
                <w:szCs w:val="20"/>
              </w:rPr>
              <w:t>Year 4</w:t>
            </w:r>
          </w:p>
          <w:p w:rsidR="006D6E6D" w:rsidRPr="001D0858" w:rsidRDefault="006D6E6D" w:rsidP="00B4081C">
            <w:pPr>
              <w:pStyle w:val="Tableheading"/>
              <w:rPr>
                <w:szCs w:val="20"/>
              </w:rPr>
            </w:pPr>
            <w:r>
              <w:rPr>
                <w:szCs w:val="20"/>
              </w:rPr>
              <w:t>(2013)</w:t>
            </w:r>
          </w:p>
        </w:tc>
        <w:tc>
          <w:tcPr>
            <w:tcW w:w="774" w:type="pct"/>
            <w:shd w:val="clear" w:color="auto" w:fill="BFBFBF" w:themeFill="background1" w:themeFillShade="BF"/>
          </w:tcPr>
          <w:p w:rsidR="006D6E6D" w:rsidRDefault="006D6E6D" w:rsidP="00B4081C">
            <w:pPr>
              <w:pStyle w:val="Tableheading"/>
              <w:rPr>
                <w:szCs w:val="20"/>
              </w:rPr>
            </w:pPr>
            <w:r>
              <w:rPr>
                <w:szCs w:val="20"/>
              </w:rPr>
              <w:t>Year 5</w:t>
            </w:r>
          </w:p>
          <w:p w:rsidR="006D6E6D" w:rsidRPr="001D0858" w:rsidRDefault="006D6E6D" w:rsidP="00B4081C">
            <w:pPr>
              <w:pStyle w:val="Tableheading"/>
              <w:rPr>
                <w:szCs w:val="20"/>
              </w:rPr>
            </w:pPr>
            <w:r>
              <w:rPr>
                <w:szCs w:val="20"/>
              </w:rPr>
              <w:t>(2014)</w:t>
            </w:r>
          </w:p>
        </w:tc>
      </w:tr>
      <w:tr w:rsidR="006D6E6D" w:rsidRPr="001D0858" w:rsidTr="00B4081C">
        <w:trPr>
          <w:trHeight w:val="296"/>
        </w:trPr>
        <w:tc>
          <w:tcPr>
            <w:tcW w:w="1130" w:type="pct"/>
          </w:tcPr>
          <w:p w:rsidR="006D6E6D" w:rsidRPr="001D0858" w:rsidRDefault="006D6E6D" w:rsidP="00B4081C">
            <w:pPr>
              <w:pStyle w:val="Tableheading"/>
              <w:jc w:val="left"/>
              <w:rPr>
                <w:b w:val="0"/>
                <w:szCs w:val="20"/>
              </w:rPr>
            </w:pPr>
            <w:r>
              <w:rPr>
                <w:b w:val="0"/>
                <w:szCs w:val="20"/>
              </w:rPr>
              <w:t>Patients</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1130" w:type="pct"/>
          </w:tcPr>
          <w:p w:rsidR="006D6E6D" w:rsidRDefault="006D6E6D" w:rsidP="00B4081C">
            <w:pPr>
              <w:pStyle w:val="Tableheading"/>
              <w:jc w:val="left"/>
              <w:rPr>
                <w:b w:val="0"/>
                <w:szCs w:val="20"/>
              </w:rPr>
            </w:pPr>
            <w:r>
              <w:rPr>
                <w:b w:val="0"/>
                <w:szCs w:val="20"/>
              </w:rPr>
              <w:t>Doses</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1130" w:type="pct"/>
          </w:tcPr>
          <w:p w:rsidR="006D6E6D" w:rsidRDefault="006D6E6D" w:rsidP="00B4081C">
            <w:pPr>
              <w:pStyle w:val="Tableheading"/>
              <w:jc w:val="left"/>
              <w:rPr>
                <w:b w:val="0"/>
                <w:szCs w:val="20"/>
              </w:rPr>
            </w:pPr>
            <w:r>
              <w:rPr>
                <w:b w:val="0"/>
                <w:szCs w:val="20"/>
              </w:rPr>
              <w:t>Vials</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74" w:type="pct"/>
            <w:vAlign w:val="bottom"/>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1130" w:type="pct"/>
          </w:tcPr>
          <w:p w:rsidR="006D6E6D" w:rsidRDefault="006D6E6D" w:rsidP="00B4081C">
            <w:pPr>
              <w:pStyle w:val="Tableheading"/>
              <w:jc w:val="left"/>
              <w:rPr>
                <w:b w:val="0"/>
                <w:szCs w:val="20"/>
              </w:rPr>
            </w:pPr>
            <w:r>
              <w:rPr>
                <w:b w:val="0"/>
                <w:szCs w:val="20"/>
              </w:rPr>
              <w:t>Net cost to R/PBS</w:t>
            </w:r>
          </w:p>
        </w:tc>
        <w:tc>
          <w:tcPr>
            <w:tcW w:w="774" w:type="pct"/>
            <w:vAlign w:val="bottom"/>
          </w:tcPr>
          <w:p w:rsidR="006D6E6D" w:rsidRPr="0093627C" w:rsidRDefault="0093627C" w:rsidP="00B4081C">
            <w:pPr>
              <w:pStyle w:val="Tablewriting"/>
              <w:jc w:val="right"/>
              <w:rPr>
                <w:color w:val="7030A0"/>
                <w:highlight w:val="black"/>
              </w:rPr>
            </w:pPr>
            <w:r>
              <w:rPr>
                <w:noProof/>
                <w:highlight w:val="black"/>
              </w:rPr>
              <w:t>'''''''''''''''''''</w:t>
            </w:r>
          </w:p>
        </w:tc>
        <w:tc>
          <w:tcPr>
            <w:tcW w:w="774" w:type="pct"/>
            <w:vAlign w:val="bottom"/>
          </w:tcPr>
          <w:p w:rsidR="006D6E6D" w:rsidRPr="0093627C" w:rsidRDefault="0093627C" w:rsidP="00B4081C">
            <w:pPr>
              <w:pStyle w:val="Tablewriting"/>
              <w:jc w:val="right"/>
              <w:rPr>
                <w:color w:val="7030A0"/>
                <w:highlight w:val="black"/>
              </w:rPr>
            </w:pPr>
            <w:r>
              <w:rPr>
                <w:noProof/>
                <w:highlight w:val="black"/>
              </w:rPr>
              <w:t>''''''''''''''''''''''</w:t>
            </w:r>
          </w:p>
        </w:tc>
        <w:tc>
          <w:tcPr>
            <w:tcW w:w="774" w:type="pct"/>
            <w:vAlign w:val="bottom"/>
          </w:tcPr>
          <w:p w:rsidR="006D6E6D" w:rsidRPr="0093627C" w:rsidRDefault="0093627C" w:rsidP="00B4081C">
            <w:pPr>
              <w:pStyle w:val="Tablewriting"/>
              <w:jc w:val="right"/>
              <w:rPr>
                <w:color w:val="7030A0"/>
                <w:highlight w:val="black"/>
              </w:rPr>
            </w:pPr>
            <w:r>
              <w:rPr>
                <w:noProof/>
                <w:highlight w:val="black"/>
              </w:rPr>
              <w:t>'''''''''''''''''''''''</w:t>
            </w:r>
          </w:p>
        </w:tc>
        <w:tc>
          <w:tcPr>
            <w:tcW w:w="774" w:type="pct"/>
            <w:vAlign w:val="bottom"/>
          </w:tcPr>
          <w:p w:rsidR="006D6E6D" w:rsidRPr="0093627C" w:rsidRDefault="0093627C" w:rsidP="00B4081C">
            <w:pPr>
              <w:pStyle w:val="Tablewriting"/>
              <w:jc w:val="right"/>
              <w:rPr>
                <w:color w:val="7030A0"/>
                <w:highlight w:val="black"/>
              </w:rPr>
            </w:pPr>
            <w:r>
              <w:rPr>
                <w:noProof/>
                <w:highlight w:val="black"/>
              </w:rPr>
              <w:t>''''''''''''''''''''''</w:t>
            </w:r>
          </w:p>
        </w:tc>
        <w:tc>
          <w:tcPr>
            <w:tcW w:w="774" w:type="pct"/>
            <w:vAlign w:val="bottom"/>
          </w:tcPr>
          <w:p w:rsidR="006D6E6D" w:rsidRPr="0093627C" w:rsidRDefault="0093627C" w:rsidP="00B4081C">
            <w:pPr>
              <w:pStyle w:val="Tablewriting"/>
              <w:jc w:val="right"/>
              <w:rPr>
                <w:color w:val="7030A0"/>
                <w:highlight w:val="black"/>
              </w:rPr>
            </w:pPr>
            <w:r>
              <w:rPr>
                <w:noProof/>
                <w:highlight w:val="black"/>
              </w:rPr>
              <w:t>'''''''''''''''''''</w:t>
            </w:r>
          </w:p>
        </w:tc>
      </w:tr>
    </w:tbl>
    <w:p w:rsidR="006D6E6D" w:rsidRPr="00363F3F" w:rsidRDefault="006D6E6D" w:rsidP="006D6E6D">
      <w:pPr>
        <w:pStyle w:val="Figurecaption"/>
        <w:rPr>
          <w:highlight w:val="yellow"/>
        </w:rPr>
      </w:pPr>
      <w:r>
        <w:t>Source: Infliximab fistulising Crohn’s disease estimates, March 2010 submission to PBAC</w:t>
      </w:r>
    </w:p>
    <w:p w:rsidR="006D6E6D" w:rsidRPr="00875EA7" w:rsidRDefault="006D6E6D" w:rsidP="006D6E6D">
      <w:r w:rsidRPr="00C72CA7">
        <w:t>The PBAC noted that the submission’s predictions of utilisation were a likely underestimate.</w:t>
      </w:r>
    </w:p>
    <w:p w:rsidR="006D6E6D" w:rsidRDefault="006D6E6D" w:rsidP="006D6E6D">
      <w:pPr>
        <w:pStyle w:val="Heading2"/>
      </w:pPr>
      <w:proofErr w:type="spellStart"/>
      <w:r>
        <w:t>Adalimumab</w:t>
      </w:r>
      <w:proofErr w:type="spellEnd"/>
      <w:r>
        <w:t xml:space="preserve"> for Fistulising Crohn’s Disease – November 2010</w:t>
      </w:r>
    </w:p>
    <w:p w:rsidR="006D6E6D" w:rsidRDefault="006D6E6D" w:rsidP="006D6E6D">
      <w:r w:rsidRPr="004776E3">
        <w:t>An epidemiological approach was used to estimate utilisation. The key assumptions were:</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Pr="0093627C" w:rsidRDefault="0093627C" w:rsidP="0093627C">
      <w:pPr>
        <w:ind w:left="720" w:hanging="360"/>
        <w:rPr>
          <w:color w:val="7030A0"/>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D6E6D" w:rsidRDefault="006D6E6D" w:rsidP="006D6E6D">
      <w:r w:rsidRPr="00121E7B">
        <w:t xml:space="preserve">A summary of the estimates are presented in Table </w:t>
      </w:r>
      <w:r w:rsidR="00EF60DC">
        <w:t>9</w:t>
      </w:r>
      <w:r w:rsidRPr="00121E7B">
        <w:t>.</w:t>
      </w:r>
    </w:p>
    <w:p w:rsidR="006D6E6D" w:rsidRDefault="006D6E6D" w:rsidP="006D6E6D">
      <w:pPr>
        <w:pStyle w:val="Tabletitle"/>
      </w:pPr>
      <w:r>
        <w:lastRenderedPageBreak/>
        <w:t xml:space="preserve">Table </w:t>
      </w:r>
      <w:r w:rsidR="00EF60DC">
        <w:t>9</w:t>
      </w:r>
      <w:r>
        <w:t xml:space="preserve">: </w:t>
      </w:r>
      <w:proofErr w:type="spellStart"/>
      <w:r>
        <w:t>Adalimumab</w:t>
      </w:r>
      <w:proofErr w:type="spellEnd"/>
      <w:r>
        <w:t xml:space="preserve"> estimates for fistulising Crohn’s disease</w:t>
      </w:r>
    </w:p>
    <w:tbl>
      <w:tblPr>
        <w:tblStyle w:val="TableGrid"/>
        <w:tblW w:w="5000" w:type="pct"/>
        <w:tblLook w:val="04A0" w:firstRow="1" w:lastRow="0" w:firstColumn="1" w:lastColumn="0" w:noHBand="0" w:noVBand="1"/>
        <w:tblCaption w:val="The different aspects of the estimates are listed in the first column, read across the row for the numbers for year 1 through 5"/>
      </w:tblPr>
      <w:tblGrid>
        <w:gridCol w:w="1881"/>
        <w:gridCol w:w="1458"/>
        <w:gridCol w:w="1459"/>
        <w:gridCol w:w="1459"/>
        <w:gridCol w:w="1459"/>
        <w:gridCol w:w="1457"/>
      </w:tblGrid>
      <w:tr w:rsidR="006D6E6D" w:rsidRPr="001D0858" w:rsidTr="00B4081C">
        <w:trPr>
          <w:trHeight w:val="249"/>
          <w:tblHeader/>
        </w:trPr>
        <w:tc>
          <w:tcPr>
            <w:tcW w:w="1026" w:type="pct"/>
            <w:shd w:val="clear" w:color="auto" w:fill="BFBFBF" w:themeFill="background1" w:themeFillShade="BF"/>
          </w:tcPr>
          <w:p w:rsidR="006D6E6D" w:rsidRPr="001D0858" w:rsidRDefault="006D6E6D" w:rsidP="00B4081C">
            <w:pPr>
              <w:pStyle w:val="Tableheading"/>
              <w:rPr>
                <w:szCs w:val="20"/>
              </w:rPr>
            </w:pPr>
          </w:p>
        </w:tc>
        <w:tc>
          <w:tcPr>
            <w:tcW w:w="795" w:type="pct"/>
            <w:shd w:val="clear" w:color="auto" w:fill="BFBFBF" w:themeFill="background1" w:themeFillShade="BF"/>
          </w:tcPr>
          <w:p w:rsidR="006D6E6D" w:rsidRPr="001D0858" w:rsidRDefault="006D6E6D" w:rsidP="00B4081C">
            <w:pPr>
              <w:pStyle w:val="Tableheading"/>
              <w:rPr>
                <w:szCs w:val="20"/>
              </w:rPr>
            </w:pPr>
            <w:r>
              <w:rPr>
                <w:szCs w:val="20"/>
              </w:rPr>
              <w:t>Year1</w:t>
            </w:r>
          </w:p>
        </w:tc>
        <w:tc>
          <w:tcPr>
            <w:tcW w:w="795" w:type="pct"/>
            <w:shd w:val="clear" w:color="auto" w:fill="BFBFBF" w:themeFill="background1" w:themeFillShade="BF"/>
          </w:tcPr>
          <w:p w:rsidR="006D6E6D" w:rsidRPr="001D0858" w:rsidRDefault="006D6E6D" w:rsidP="00B4081C">
            <w:pPr>
              <w:pStyle w:val="Tableheading"/>
              <w:rPr>
                <w:szCs w:val="20"/>
              </w:rPr>
            </w:pPr>
            <w:r>
              <w:rPr>
                <w:szCs w:val="20"/>
              </w:rPr>
              <w:t>Year 2</w:t>
            </w:r>
          </w:p>
        </w:tc>
        <w:tc>
          <w:tcPr>
            <w:tcW w:w="795" w:type="pct"/>
            <w:shd w:val="clear" w:color="auto" w:fill="BFBFBF" w:themeFill="background1" w:themeFillShade="BF"/>
          </w:tcPr>
          <w:p w:rsidR="006D6E6D" w:rsidRPr="001D0858" w:rsidRDefault="006D6E6D" w:rsidP="00B4081C">
            <w:pPr>
              <w:pStyle w:val="Tableheading"/>
              <w:rPr>
                <w:szCs w:val="20"/>
              </w:rPr>
            </w:pPr>
            <w:r>
              <w:rPr>
                <w:szCs w:val="20"/>
              </w:rPr>
              <w:t>Year 3</w:t>
            </w:r>
          </w:p>
        </w:tc>
        <w:tc>
          <w:tcPr>
            <w:tcW w:w="795" w:type="pct"/>
            <w:shd w:val="clear" w:color="auto" w:fill="BFBFBF" w:themeFill="background1" w:themeFillShade="BF"/>
          </w:tcPr>
          <w:p w:rsidR="006D6E6D" w:rsidRPr="001D0858" w:rsidRDefault="006D6E6D" w:rsidP="00B4081C">
            <w:pPr>
              <w:pStyle w:val="Tableheading"/>
              <w:rPr>
                <w:szCs w:val="20"/>
              </w:rPr>
            </w:pPr>
            <w:r>
              <w:rPr>
                <w:szCs w:val="20"/>
              </w:rPr>
              <w:t>Year 4</w:t>
            </w:r>
          </w:p>
        </w:tc>
        <w:tc>
          <w:tcPr>
            <w:tcW w:w="795" w:type="pct"/>
            <w:shd w:val="clear" w:color="auto" w:fill="BFBFBF" w:themeFill="background1" w:themeFillShade="BF"/>
          </w:tcPr>
          <w:p w:rsidR="006D6E6D" w:rsidRPr="001D0858" w:rsidRDefault="006D6E6D" w:rsidP="00B4081C">
            <w:pPr>
              <w:pStyle w:val="Tableheading"/>
              <w:rPr>
                <w:szCs w:val="20"/>
              </w:rPr>
            </w:pPr>
            <w:r>
              <w:rPr>
                <w:szCs w:val="20"/>
              </w:rPr>
              <w:t>Year 5</w:t>
            </w:r>
          </w:p>
        </w:tc>
      </w:tr>
      <w:tr w:rsidR="006D6E6D" w:rsidRPr="001D0858" w:rsidTr="00B4081C">
        <w:trPr>
          <w:trHeight w:val="296"/>
        </w:trPr>
        <w:tc>
          <w:tcPr>
            <w:tcW w:w="1026" w:type="pct"/>
          </w:tcPr>
          <w:p w:rsidR="006D6E6D" w:rsidRPr="001D0858" w:rsidRDefault="006D6E6D" w:rsidP="00B4081C">
            <w:pPr>
              <w:pStyle w:val="Tableheading"/>
              <w:jc w:val="left"/>
              <w:rPr>
                <w:b w:val="0"/>
                <w:szCs w:val="20"/>
              </w:rPr>
            </w:pPr>
            <w:r>
              <w:rPr>
                <w:b w:val="0"/>
                <w:szCs w:val="20"/>
              </w:rPr>
              <w:t>Patients</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1026" w:type="pct"/>
          </w:tcPr>
          <w:p w:rsidR="006D6E6D" w:rsidRDefault="006D6E6D" w:rsidP="00B4081C">
            <w:pPr>
              <w:pStyle w:val="Tableheading"/>
              <w:jc w:val="left"/>
              <w:rPr>
                <w:b w:val="0"/>
                <w:szCs w:val="20"/>
              </w:rPr>
            </w:pPr>
            <w:r>
              <w:rPr>
                <w:b w:val="0"/>
                <w:szCs w:val="20"/>
              </w:rPr>
              <w:t>Packs</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c>
          <w:tcPr>
            <w:tcW w:w="795" w:type="pct"/>
            <w:vAlign w:val="bottom"/>
          </w:tcPr>
          <w:p w:rsidR="006D6E6D" w:rsidRPr="0093627C" w:rsidRDefault="0093627C" w:rsidP="00B4081C">
            <w:pPr>
              <w:pStyle w:val="Tablewriting"/>
              <w:jc w:val="center"/>
              <w:rPr>
                <w:color w:val="7030A0"/>
                <w:highlight w:val="black"/>
              </w:rPr>
            </w:pPr>
            <w:r>
              <w:rPr>
                <w:noProof/>
                <w:highlight w:val="black"/>
              </w:rPr>
              <w:t>''''''''''''</w:t>
            </w:r>
          </w:p>
        </w:tc>
      </w:tr>
      <w:tr w:rsidR="006D6E6D" w:rsidRPr="001D0858" w:rsidTr="00B4081C">
        <w:trPr>
          <w:trHeight w:val="296"/>
        </w:trPr>
        <w:tc>
          <w:tcPr>
            <w:tcW w:w="1026" w:type="pct"/>
          </w:tcPr>
          <w:p w:rsidR="006D6E6D" w:rsidRDefault="006D6E6D" w:rsidP="00B4081C">
            <w:pPr>
              <w:pStyle w:val="Tableheading"/>
              <w:jc w:val="left"/>
              <w:rPr>
                <w:b w:val="0"/>
                <w:szCs w:val="20"/>
              </w:rPr>
            </w:pPr>
            <w:r>
              <w:rPr>
                <w:b w:val="0"/>
                <w:szCs w:val="20"/>
              </w:rPr>
              <w:t xml:space="preserve">Net cost to R/PBS </w:t>
            </w:r>
          </w:p>
        </w:tc>
        <w:tc>
          <w:tcPr>
            <w:tcW w:w="795" w:type="pct"/>
            <w:vAlign w:val="bottom"/>
          </w:tcPr>
          <w:p w:rsidR="006D6E6D" w:rsidRPr="0093627C" w:rsidRDefault="0093627C" w:rsidP="00B4081C">
            <w:pPr>
              <w:pStyle w:val="Tablewriting"/>
              <w:rPr>
                <w:color w:val="7030A0"/>
                <w:highlight w:val="black"/>
              </w:rPr>
            </w:pPr>
            <w:r>
              <w:rPr>
                <w:noProof/>
                <w:highlight w:val="black"/>
              </w:rPr>
              <w:t xml:space="preserve"> '''''''''''''''''''''''' </w:t>
            </w:r>
          </w:p>
        </w:tc>
        <w:tc>
          <w:tcPr>
            <w:tcW w:w="795" w:type="pct"/>
            <w:vAlign w:val="bottom"/>
          </w:tcPr>
          <w:p w:rsidR="006D6E6D" w:rsidRPr="0093627C" w:rsidRDefault="0093627C" w:rsidP="00B4081C">
            <w:pPr>
              <w:pStyle w:val="Tablewriting"/>
              <w:rPr>
                <w:color w:val="7030A0"/>
                <w:highlight w:val="black"/>
              </w:rPr>
            </w:pPr>
            <w:r>
              <w:rPr>
                <w:noProof/>
                <w:highlight w:val="black"/>
              </w:rPr>
              <w:t xml:space="preserve"> ''''''''''''''''''''' </w:t>
            </w:r>
          </w:p>
        </w:tc>
        <w:tc>
          <w:tcPr>
            <w:tcW w:w="795" w:type="pct"/>
            <w:vAlign w:val="bottom"/>
          </w:tcPr>
          <w:p w:rsidR="006D6E6D" w:rsidRPr="0093627C" w:rsidRDefault="0093627C" w:rsidP="00B4081C">
            <w:pPr>
              <w:pStyle w:val="Tablewriting"/>
              <w:rPr>
                <w:color w:val="7030A0"/>
                <w:highlight w:val="black"/>
              </w:rPr>
            </w:pPr>
            <w:r>
              <w:rPr>
                <w:noProof/>
                <w:highlight w:val="black"/>
              </w:rPr>
              <w:t xml:space="preserve"> ''''''''''''''''''''''''' </w:t>
            </w:r>
          </w:p>
        </w:tc>
        <w:tc>
          <w:tcPr>
            <w:tcW w:w="795" w:type="pct"/>
            <w:vAlign w:val="bottom"/>
          </w:tcPr>
          <w:p w:rsidR="006D6E6D" w:rsidRPr="0093627C" w:rsidRDefault="0093627C" w:rsidP="00B4081C">
            <w:pPr>
              <w:pStyle w:val="Tablewriting"/>
              <w:rPr>
                <w:color w:val="7030A0"/>
                <w:highlight w:val="black"/>
              </w:rPr>
            </w:pPr>
            <w:r>
              <w:rPr>
                <w:noProof/>
                <w:highlight w:val="black"/>
              </w:rPr>
              <w:t xml:space="preserve"> ''''''''''''''''''''' </w:t>
            </w:r>
          </w:p>
        </w:tc>
        <w:tc>
          <w:tcPr>
            <w:tcW w:w="795" w:type="pct"/>
            <w:vAlign w:val="bottom"/>
          </w:tcPr>
          <w:p w:rsidR="006D6E6D" w:rsidRPr="0093627C" w:rsidRDefault="0093627C" w:rsidP="00B4081C">
            <w:pPr>
              <w:pStyle w:val="Tablewriting"/>
              <w:rPr>
                <w:color w:val="7030A0"/>
                <w:highlight w:val="black"/>
              </w:rPr>
            </w:pPr>
            <w:r>
              <w:rPr>
                <w:noProof/>
                <w:highlight w:val="black"/>
              </w:rPr>
              <w:t xml:space="preserve"> '''''''''''''''''''''''' </w:t>
            </w:r>
          </w:p>
        </w:tc>
      </w:tr>
    </w:tbl>
    <w:p w:rsidR="006D6E6D" w:rsidRDefault="006D6E6D" w:rsidP="006D6E6D">
      <w:pPr>
        <w:pStyle w:val="Figurecaption"/>
        <w:rPr>
          <w:highlight w:val="yellow"/>
        </w:rPr>
      </w:pPr>
      <w:r>
        <w:t xml:space="preserve">Source: </w:t>
      </w:r>
      <w:proofErr w:type="spellStart"/>
      <w:r>
        <w:t>Adalimumab</w:t>
      </w:r>
      <w:proofErr w:type="spellEnd"/>
      <w:r>
        <w:t xml:space="preserve"> fistulising Crohn’s disease submission, November 2010</w:t>
      </w:r>
    </w:p>
    <w:p w:rsidR="006D6E6D" w:rsidRDefault="006D6E6D" w:rsidP="006D6E6D">
      <w:pPr>
        <w:pStyle w:val="Heading3"/>
      </w:pPr>
      <w:r>
        <w:t>Previous reviews by DUSC</w:t>
      </w:r>
    </w:p>
    <w:p w:rsidR="006D6E6D" w:rsidRDefault="006D6E6D" w:rsidP="006D6E6D">
      <w:pPr>
        <w:pStyle w:val="Heading2"/>
      </w:pPr>
      <w:proofErr w:type="spellStart"/>
      <w:r>
        <w:t>Adalimumab</w:t>
      </w:r>
      <w:proofErr w:type="spellEnd"/>
      <w:r>
        <w:t xml:space="preserve"> for severe Crohn’s disease – February 2011</w:t>
      </w:r>
    </w:p>
    <w:p w:rsidR="006D6E6D" w:rsidRPr="00EE7257" w:rsidRDefault="006D6E6D" w:rsidP="006D6E6D">
      <w:r w:rsidRPr="00EE7257">
        <w:t xml:space="preserve">The analysis found the number of patients treated with </w:t>
      </w:r>
      <w:proofErr w:type="spellStart"/>
      <w:r w:rsidRPr="00EE7257">
        <w:t>adalimumab</w:t>
      </w:r>
      <w:proofErr w:type="spellEnd"/>
      <w:r w:rsidRPr="00EE7257">
        <w:t xml:space="preserve"> as well as expenditure to be lower than predicted. The rates of continuation for </w:t>
      </w:r>
      <w:proofErr w:type="spellStart"/>
      <w:r w:rsidRPr="00EE7257">
        <w:t>adalimumab</w:t>
      </w:r>
      <w:proofErr w:type="spellEnd"/>
      <w:r w:rsidRPr="00EE7257">
        <w:t xml:space="preserve"> and infliximab were higher than predicted. </w:t>
      </w:r>
      <w:proofErr w:type="spellStart"/>
      <w:r w:rsidRPr="00EE7257">
        <w:t>Adalimumab</w:t>
      </w:r>
      <w:proofErr w:type="spellEnd"/>
      <w:r w:rsidRPr="00EE7257">
        <w:t xml:space="preserve"> had gained a larger market share than originally predicted. </w:t>
      </w:r>
    </w:p>
    <w:p w:rsidR="006D6E6D" w:rsidRDefault="006D6E6D" w:rsidP="006D6E6D">
      <w:pPr>
        <w:pStyle w:val="Heading2"/>
      </w:pPr>
      <w:r>
        <w:t>Fistulising Crohn’s disease – February 2013</w:t>
      </w:r>
    </w:p>
    <w:p w:rsidR="006D6E6D" w:rsidRPr="00ED633B" w:rsidRDefault="00056B02" w:rsidP="006D6E6D">
      <w:r>
        <w:t xml:space="preserve">The </w:t>
      </w:r>
      <w:r w:rsidR="006D6E6D">
        <w:t xml:space="preserve">DUSC considered that the utilisation of </w:t>
      </w:r>
      <w:proofErr w:type="spellStart"/>
      <w:r w:rsidR="006D6E6D">
        <w:t>adalimumab</w:t>
      </w:r>
      <w:proofErr w:type="spellEnd"/>
      <w:r w:rsidR="006D6E6D">
        <w:t xml:space="preserve"> and infliximab for fistulising Crohn’s disease was within the range expected for the first year of listing. </w:t>
      </w:r>
      <w:r w:rsidR="00522938">
        <w:t xml:space="preserve">The </w:t>
      </w:r>
      <w:r w:rsidR="006D6E6D">
        <w:t xml:space="preserve">DUSC noted that any future analyses of the utilisation of tumour necrosis factor alpha inhibitors for Crohn’s disease would be enhanced by assessing rates of continuation and discontinuation. </w:t>
      </w:r>
    </w:p>
    <w:p w:rsidR="00E677DD" w:rsidRPr="005E22C2" w:rsidRDefault="00E677DD" w:rsidP="00E11A6D">
      <w:pPr>
        <w:pStyle w:val="Heading3"/>
      </w:pPr>
      <w:r w:rsidRPr="005E22C2">
        <w:t>Method</w:t>
      </w:r>
      <w:r w:rsidR="001B5D37" w:rsidRPr="005E22C2">
        <w:t>s</w:t>
      </w:r>
    </w:p>
    <w:p w:rsidR="0004506D" w:rsidRDefault="0004506D" w:rsidP="0004506D">
      <w:r>
        <w:t>The Authority Approvals database was used to examine the number of patients, patient age and the proportion of patients continuing treatment after their initial course of therapy. Patients were counted as receiving treatment in a particular year if they received an Authority approval that year.</w:t>
      </w:r>
      <w:r w:rsidR="00331A62">
        <w:t xml:space="preserve"> </w:t>
      </w:r>
      <w:r>
        <w:t>It is assumed patients will receive at least one approval a year because no more than 24 weeks of treatment is approved for Crohn’s disease at one time.</w:t>
      </w:r>
      <w:r w:rsidR="00331A62">
        <w:t xml:space="preserve"> </w:t>
      </w:r>
      <w:r>
        <w:t xml:space="preserve">This may be a small overestimate because some patients will receive an Authority approval but not have the medicine dispensed. </w:t>
      </w:r>
    </w:p>
    <w:p w:rsidR="0004506D" w:rsidRDefault="0004506D" w:rsidP="0004506D">
      <w:r>
        <w:t xml:space="preserve">The DHS Medicare Supplied Prescriptions Database was used for expenditure and prescriptions supplied data for </w:t>
      </w:r>
      <w:proofErr w:type="spellStart"/>
      <w:r>
        <w:t>adalimumab</w:t>
      </w:r>
      <w:proofErr w:type="spellEnd"/>
      <w:r>
        <w:t>.</w:t>
      </w:r>
      <w:r w:rsidR="00331A62">
        <w:t xml:space="preserve"> </w:t>
      </w:r>
      <w:r>
        <w:t xml:space="preserve">The Highly Specialised Drugs Database was used for expenditure and quantity supplied data for infliximab. </w:t>
      </w:r>
    </w:p>
    <w:p w:rsidR="0004506D" w:rsidRDefault="0004506D" w:rsidP="0004506D">
      <w:r>
        <w:t>As this analysis uses date of supply data, there may be small differences compared with publicly available DHS Medicare date of processing data.</w:t>
      </w:r>
      <w:r w:rsidR="00331A62">
        <w:t xml:space="preserve"> </w:t>
      </w:r>
    </w:p>
    <w:p w:rsidR="0004506D" w:rsidRDefault="0004506D" w:rsidP="0004506D">
      <w:r>
        <w:t xml:space="preserve">Same day authority approvals were counted as a single approval for the analysis of continuation. This occurred predominantly when patients started a course of </w:t>
      </w:r>
      <w:proofErr w:type="spellStart"/>
      <w:r>
        <w:t>adalimumab</w:t>
      </w:r>
      <w:proofErr w:type="spellEnd"/>
      <w:r>
        <w:t xml:space="preserve"> and would receive an approval for a single 6 x 40mg pack and also for 2</w:t>
      </w:r>
      <w:r w:rsidR="00553B97">
        <w:t xml:space="preserve"> </w:t>
      </w:r>
      <w:r>
        <w:t>x</w:t>
      </w:r>
      <w:r w:rsidR="00553B97">
        <w:t xml:space="preserve"> </w:t>
      </w:r>
      <w:r>
        <w:t xml:space="preserve">40mg pack with repeats for the subsequent doses for the initial treatment period. </w:t>
      </w:r>
    </w:p>
    <w:p w:rsidR="0004506D" w:rsidRPr="005E22C2" w:rsidRDefault="0004506D" w:rsidP="0004506D">
      <w:r>
        <w:lastRenderedPageBreak/>
        <w:t xml:space="preserve">For predicted versus actual analyses, the percentage difference is calculated as (actual-predicted)/predicted. </w:t>
      </w:r>
    </w:p>
    <w:p w:rsidR="00C714D0" w:rsidRPr="005E22C2" w:rsidRDefault="00C714D0" w:rsidP="00E11A6D">
      <w:pPr>
        <w:pStyle w:val="Heading3"/>
      </w:pPr>
      <w:r w:rsidRPr="005E22C2">
        <w:t>Results</w:t>
      </w:r>
    </w:p>
    <w:p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04506D" w:rsidRPr="005E22C2" w:rsidRDefault="00591C31" w:rsidP="0004506D">
      <w:pPr>
        <w:pStyle w:val="Heading2"/>
      </w:pPr>
      <w:r>
        <w:t>Patient numbers</w:t>
      </w:r>
    </w:p>
    <w:p w:rsidR="0004506D" w:rsidRDefault="0004506D" w:rsidP="0004506D">
      <w:proofErr w:type="gramStart"/>
      <w:r w:rsidRPr="0052441F">
        <w:t xml:space="preserve">Figures 1 </w:t>
      </w:r>
      <w:r>
        <w:t>and 2</w:t>
      </w:r>
      <w:r w:rsidRPr="0052441F">
        <w:t xml:space="preserve"> </w:t>
      </w:r>
      <w:r>
        <w:t>present the total and new patient numbers for severe refractory Crohn’s disease</w:t>
      </w:r>
      <w:r w:rsidR="00D4386D">
        <w:t xml:space="preserve"> and</w:t>
      </w:r>
      <w:r>
        <w:t xml:space="preserve"> fistulising Crohn’s disease</w:t>
      </w:r>
      <w:r w:rsidR="00BE5A25">
        <w:t>.</w:t>
      </w:r>
      <w:proofErr w:type="gramEnd"/>
      <w:r w:rsidR="00BE5A25">
        <w:t xml:space="preserve"> </w:t>
      </w:r>
    </w:p>
    <w:p w:rsidR="0004506D" w:rsidRDefault="0004506D" w:rsidP="0004506D">
      <w:pPr>
        <w:pStyle w:val="Figuretitle"/>
      </w:pPr>
      <w:r>
        <w:rPr>
          <w:noProof/>
          <w:lang w:val="en-AU"/>
        </w:rPr>
        <w:drawing>
          <wp:inline distT="0" distB="0" distL="0" distR="0" wp14:anchorId="535C5737" wp14:editId="2EB618BD">
            <wp:extent cx="5652654" cy="2695699"/>
            <wp:effectExtent l="0" t="0" r="24765" b="9525"/>
            <wp:docPr id="1" name="Chart 1" title="the graph shows that the total number of patients with severe refractory Crohn's disease is increasing and the number of new patients is relatively stab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506D" w:rsidRPr="00FE645A" w:rsidRDefault="0004506D" w:rsidP="0004506D">
      <w:pPr>
        <w:pStyle w:val="Figuretitle"/>
      </w:pPr>
      <w:r w:rsidRPr="00FE645A">
        <w:t xml:space="preserve">Figure 1: </w:t>
      </w:r>
      <w:r>
        <w:t>Severe refractory Crohn’s disease patients</w:t>
      </w:r>
    </w:p>
    <w:p w:rsidR="0004506D" w:rsidRDefault="0004506D" w:rsidP="0004506D">
      <w:pPr>
        <w:pStyle w:val="Figurecaption"/>
      </w:pPr>
      <w:r>
        <w:t xml:space="preserve">Source: DHS Authority approvals </w:t>
      </w:r>
      <w:proofErr w:type="gramStart"/>
      <w:r>
        <w:t>database,</w:t>
      </w:r>
      <w:proofErr w:type="gramEnd"/>
      <w:r>
        <w:t xml:space="preserve"> accessed November 2014. 2014 figures complete to October 2014 </w:t>
      </w:r>
      <w:r>
        <w:br/>
      </w:r>
    </w:p>
    <w:p w:rsidR="0004506D" w:rsidRPr="00FE645A" w:rsidRDefault="0004506D" w:rsidP="0004506D">
      <w:pPr>
        <w:pStyle w:val="Figuretitle"/>
      </w:pPr>
      <w:r>
        <w:rPr>
          <w:noProof/>
          <w:lang w:val="en-AU"/>
        </w:rPr>
        <w:lastRenderedPageBreak/>
        <w:drawing>
          <wp:inline distT="0" distB="0" distL="0" distR="0" wp14:anchorId="1C2EB1A3" wp14:editId="7BDA1B3D">
            <wp:extent cx="5593278" cy="2695698"/>
            <wp:effectExtent l="0" t="0" r="26670" b="9525"/>
            <wp:docPr id="2" name="Chart 2" title="The graph shows that total number of patients with fistulising crohn's disease is increasing and the number of new patients is relatively stable at aroun 4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r>
        <w:br/>
      </w:r>
      <w:r w:rsidRPr="00FE645A">
        <w:t xml:space="preserve">Figure </w:t>
      </w:r>
      <w:r>
        <w:t>2</w:t>
      </w:r>
      <w:r w:rsidRPr="00FE645A">
        <w:t xml:space="preserve">: </w:t>
      </w:r>
      <w:proofErr w:type="spellStart"/>
      <w:r>
        <w:t>Fistulising</w:t>
      </w:r>
      <w:proofErr w:type="spellEnd"/>
      <w:r>
        <w:t xml:space="preserve"> Crohn’s disease patients</w:t>
      </w:r>
    </w:p>
    <w:p w:rsidR="0004506D" w:rsidRDefault="0004506D" w:rsidP="0004506D">
      <w:pPr>
        <w:pStyle w:val="Figurecaption"/>
      </w:pPr>
      <w:r>
        <w:t xml:space="preserve">Source: DHS Authority approvals </w:t>
      </w:r>
      <w:proofErr w:type="gramStart"/>
      <w:r>
        <w:t>database,</w:t>
      </w:r>
      <w:proofErr w:type="gramEnd"/>
      <w:r>
        <w:t xml:space="preserve"> accessed November 2014. 2014 figures complete to October 2014 </w:t>
      </w:r>
    </w:p>
    <w:p w:rsidR="0004506D" w:rsidRDefault="00FF7F90" w:rsidP="0004506D">
      <w:r>
        <w:br/>
      </w:r>
      <w:r w:rsidRPr="00FF7F90">
        <w:t>The DUSC noted that the pattern of utilisation for fistulising Crohn’s disease was similar to that for severe refractory Crohn’s disease with a relatively consistent number of new patients each year.</w:t>
      </w:r>
    </w:p>
    <w:p w:rsidR="0004506D" w:rsidRDefault="0004506D" w:rsidP="0004506D">
      <w:r>
        <w:t xml:space="preserve">A small number of patients (fewer than 30 each year) received Authority approvals for both severe refractory and fistulising Crohn’s disease indications. </w:t>
      </w:r>
    </w:p>
    <w:p w:rsidR="0004506D" w:rsidRDefault="0004506D" w:rsidP="0004506D">
      <w:r>
        <w:t xml:space="preserve">Figure 3 presents the number of patients using infliximab for paediatric Crohn’s disease. </w:t>
      </w:r>
    </w:p>
    <w:p w:rsidR="0004506D" w:rsidRPr="00780DCD" w:rsidRDefault="0004506D" w:rsidP="0004506D">
      <w:pPr>
        <w:rPr>
          <w:rFonts w:eastAsiaTheme="majorEastAsia" w:cstheme="majorBidi"/>
          <w:b/>
          <w:lang w:val="en-US"/>
        </w:rPr>
      </w:pPr>
      <w:r w:rsidRPr="006F700C">
        <w:rPr>
          <w:rStyle w:val="FiguretitleChar"/>
          <w:rFonts w:asciiTheme="minorHAnsi" w:hAnsiTheme="minorHAnsi"/>
          <w:noProof/>
          <w:lang w:val="en-AU"/>
        </w:rPr>
        <mc:AlternateContent>
          <mc:Choice Requires="wps">
            <w:drawing>
              <wp:anchor distT="0" distB="0" distL="114300" distR="114300" simplePos="0" relativeHeight="251659264" behindDoc="0" locked="0" layoutInCell="1" allowOverlap="1" wp14:anchorId="230A6D5B" wp14:editId="6607DF12">
                <wp:simplePos x="0" y="0"/>
                <wp:positionH relativeFrom="column">
                  <wp:posOffset>2803599</wp:posOffset>
                </wp:positionH>
                <wp:positionV relativeFrom="paragraph">
                  <wp:posOffset>407761</wp:posOffset>
                </wp:positionV>
                <wp:extent cx="1073888" cy="499730"/>
                <wp:effectExtent l="0" t="0" r="12065" b="15240"/>
                <wp:wrapNone/>
                <wp:docPr id="5" name="Text Box 2" title="null al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888" cy="499730"/>
                        </a:xfrm>
                        <a:prstGeom prst="roundRect">
                          <a:avLst/>
                        </a:prstGeom>
                        <a:solidFill>
                          <a:srgbClr val="FFFFFF"/>
                        </a:solidFill>
                        <a:ln w="12700">
                          <a:solidFill>
                            <a:srgbClr val="000000"/>
                          </a:solidFill>
                          <a:miter lim="800000"/>
                          <a:headEnd/>
                          <a:tailEnd/>
                        </a:ln>
                      </wps:spPr>
                      <wps:txbx>
                        <w:txbxContent>
                          <w:p w:rsidR="00D4386D" w:rsidRPr="006F700C" w:rsidRDefault="00D4386D" w:rsidP="0004506D">
                            <w:pPr>
                              <w:jc w:val="center"/>
                              <w:rPr>
                                <w:sz w:val="16"/>
                                <w:szCs w:val="16"/>
                              </w:rPr>
                            </w:pPr>
                            <w:r>
                              <w:rPr>
                                <w:sz w:val="16"/>
                                <w:szCs w:val="16"/>
                              </w:rPr>
                              <w:t xml:space="preserve">Change in steroid </w:t>
                            </w:r>
                            <w:r>
                              <w:rPr>
                                <w:sz w:val="16"/>
                                <w:szCs w:val="16"/>
                              </w:rPr>
                              <w:br/>
                              <w:t>dosing requirement</w:t>
                            </w:r>
                            <w:r>
                              <w:rPr>
                                <w:sz w:val="16"/>
                                <w:szCs w:val="16"/>
                              </w:rPr>
                              <w:br/>
                              <w:t>Jan 2011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alt="Title: null alt text" style="position:absolute;margin-left:220.75pt;margin-top:32.1pt;width:84.5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" strokeweight="1pt">
                <v:stroke joinstyle="miter"/>
                <v:textbox>
                  <w:txbxContent>
                    <w:p w:rsidR="00D4386D" w:rsidRPr="006F700C" w:rsidRDefault="00D4386D" w:rsidP="0004506D">
                      <w:pPr>
                        <w:jc w:val="center"/>
                        <w:rPr>
                          <w:sz w:val="16"/>
                          <w:szCs w:val="16"/>
                        </w:rPr>
                      </w:pPr>
                      <w:r>
                        <w:rPr>
                          <w:sz w:val="16"/>
                          <w:szCs w:val="16"/>
                        </w:rPr>
                        <w:t xml:space="preserve">Change in steroid </w:t>
                      </w:r>
                      <w:r>
                        <w:rPr>
                          <w:sz w:val="16"/>
                          <w:szCs w:val="16"/>
                        </w:rPr>
                        <w:br/>
                        <w:t>dosing requirement</w:t>
                      </w:r>
                      <w:r>
                        <w:rPr>
                          <w:sz w:val="16"/>
                          <w:szCs w:val="16"/>
                        </w:rPr>
                        <w:br/>
                        <w:t>Jan 2011</w:t>
                      </w:r>
                    </w:p>
                  </w:txbxContent>
                </v:textbox>
              </v:roundrect>
            </w:pict>
          </mc:Fallback>
        </mc:AlternateContent>
      </w:r>
      <w:r>
        <w:rPr>
          <w:noProof/>
        </w:rPr>
        <w:drawing>
          <wp:inline distT="0" distB="0" distL="0" distR="0" wp14:anchorId="65026DBC" wp14:editId="6B80C0E4">
            <wp:extent cx="5677786" cy="2838893"/>
            <wp:effectExtent l="0" t="0" r="18415" b="19050"/>
            <wp:docPr id="3" name="Chart 3" title="The graph shows that the total number of patients with paediatric Crohn's disease is increasing and the number of new patients was relatively stable until 2011 when there was an incre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80DCD">
        <w:rPr>
          <w:rStyle w:val="FiguretitleChar"/>
          <w:rFonts w:asciiTheme="minorHAnsi" w:hAnsiTheme="minorHAnsi"/>
        </w:rPr>
        <w:t xml:space="preserve">Figure 3: </w:t>
      </w:r>
      <w:proofErr w:type="spellStart"/>
      <w:r w:rsidRPr="00780DCD">
        <w:rPr>
          <w:rStyle w:val="FiguretitleChar"/>
          <w:rFonts w:asciiTheme="minorHAnsi" w:hAnsiTheme="minorHAnsi"/>
        </w:rPr>
        <w:t>Paediatric</w:t>
      </w:r>
      <w:proofErr w:type="spellEnd"/>
      <w:r w:rsidRPr="00780DCD">
        <w:rPr>
          <w:rStyle w:val="FiguretitleChar"/>
          <w:rFonts w:asciiTheme="minorHAnsi" w:hAnsiTheme="minorHAnsi"/>
        </w:rPr>
        <w:t xml:space="preserve"> </w:t>
      </w:r>
      <w:r>
        <w:rPr>
          <w:rStyle w:val="FiguretitleChar"/>
          <w:rFonts w:asciiTheme="minorHAnsi" w:hAnsiTheme="minorHAnsi"/>
        </w:rPr>
        <w:t>C</w:t>
      </w:r>
      <w:r w:rsidRPr="00780DCD">
        <w:rPr>
          <w:rStyle w:val="FiguretitleChar"/>
          <w:rFonts w:asciiTheme="minorHAnsi" w:hAnsiTheme="minorHAnsi"/>
        </w:rPr>
        <w:t>rohn’s disease patients</w:t>
      </w:r>
      <w:r>
        <w:rPr>
          <w:rStyle w:val="FiguretitleChar"/>
          <w:rFonts w:asciiTheme="minorHAnsi" w:hAnsiTheme="minorHAnsi"/>
        </w:rPr>
        <w:br/>
      </w:r>
      <w:r w:rsidRPr="00780DCD">
        <w:rPr>
          <w:rStyle w:val="FigurecaptionChar"/>
        </w:rPr>
        <w:t>Source: DHS Authority approvals database, accessed November 2014. 2014 figures complete to October 2014</w:t>
      </w:r>
      <w:r>
        <w:t xml:space="preserve"> </w:t>
      </w:r>
    </w:p>
    <w:p w:rsidR="0004506D" w:rsidRDefault="00FF7F90" w:rsidP="0004506D">
      <w:pPr>
        <w:rPr>
          <w:b/>
          <w:i/>
        </w:rPr>
      </w:pPr>
      <w:r w:rsidRPr="00FF7F90">
        <w:lastRenderedPageBreak/>
        <w:t>The DUSC noted that the number of new paediatric patients per year was fairly stable between 2008 and 2011, however has increased since the change to the restrictions effective 1 January 2011 of the corticosteroid dosing requirements to mg/kg dosing.</w:t>
      </w:r>
    </w:p>
    <w:p w:rsidR="0004506D" w:rsidRDefault="004F5600" w:rsidP="0004506D">
      <w:pPr>
        <w:pStyle w:val="Heading2"/>
      </w:pPr>
      <w:r>
        <w:t>Continuation</w:t>
      </w:r>
    </w:p>
    <w:p w:rsidR="004756B3" w:rsidRPr="004F5600" w:rsidRDefault="004756B3" w:rsidP="004756B3">
      <w:r>
        <w:t xml:space="preserve">The proportion of patients who received a second authority approval for </w:t>
      </w:r>
      <w:proofErr w:type="spellStart"/>
      <w:r>
        <w:t>adalimumab</w:t>
      </w:r>
      <w:proofErr w:type="spellEnd"/>
      <w:r>
        <w:t xml:space="preserve"> and infliximab between 2011 and 2013 for the treatment of severe Crohn’s disease was 91.7%. </w:t>
      </w:r>
      <w:proofErr w:type="gramStart"/>
      <w:r>
        <w:t xml:space="preserve">The number who </w:t>
      </w:r>
      <w:proofErr w:type="spellStart"/>
      <w:r>
        <w:t>recived</w:t>
      </w:r>
      <w:proofErr w:type="spellEnd"/>
      <w:r>
        <w:t xml:space="preserve"> a second authority approval for the treatment of fistulising Crohn’s disease was 93.9% and for paediatric Crohn’s disease was 91.5%.</w:t>
      </w:r>
      <w:proofErr w:type="gramEnd"/>
    </w:p>
    <w:p w:rsidR="0004506D" w:rsidRDefault="0004506D" w:rsidP="0004506D">
      <w:r>
        <w:t xml:space="preserve">The majority of patients who start </w:t>
      </w:r>
      <w:proofErr w:type="spellStart"/>
      <w:r>
        <w:t>adalimumab</w:t>
      </w:r>
      <w:proofErr w:type="spellEnd"/>
      <w:r>
        <w:t xml:space="preserve"> or infliximab for Crohn’s disease receive a subsequent authority approval. A first authority approval for infliximab and </w:t>
      </w:r>
      <w:proofErr w:type="spellStart"/>
      <w:r>
        <w:t>adalimumab</w:t>
      </w:r>
      <w:proofErr w:type="spellEnd"/>
      <w:r>
        <w:t xml:space="preserve"> lasts for 14 weeks and 16 weeks respectively. The continuation rates for the individual years do not vary substantially from the aggregate result. </w:t>
      </w:r>
    </w:p>
    <w:p w:rsidR="0004506D" w:rsidRDefault="0004506D" w:rsidP="0004506D">
      <w:r>
        <w:t xml:space="preserve">Figures 4 to 6 present the longer term rates of continuation for patients who started treatment for severe, fistulising or paediatric Crohn’s disease, respectively, in 2011. Both figures </w:t>
      </w:r>
      <w:r w:rsidR="00A93176">
        <w:t xml:space="preserve">4 and 5 </w:t>
      </w:r>
      <w:r>
        <w:t xml:space="preserve">present the rate of continuation with each drug separately as well as </w:t>
      </w:r>
      <w:r w:rsidR="00726125">
        <w:t xml:space="preserve">patients </w:t>
      </w:r>
      <w:r w:rsidR="00726125" w:rsidRPr="00502F24">
        <w:t xml:space="preserve">who switch between </w:t>
      </w:r>
      <w:proofErr w:type="spellStart"/>
      <w:r w:rsidR="00726125" w:rsidRPr="00502F24">
        <w:t>adalimumab</w:t>
      </w:r>
      <w:proofErr w:type="spellEnd"/>
      <w:r w:rsidR="00726125" w:rsidRPr="00502F24">
        <w:t xml:space="preserve"> and infliximab</w:t>
      </w:r>
      <w:r w:rsidR="00726125">
        <w:t xml:space="preserve"> and continue treatment (i.e. total time on either treatment).</w:t>
      </w:r>
      <w:r w:rsidR="0042486B">
        <w:t xml:space="preserve"> </w:t>
      </w:r>
      <w:r>
        <w:t xml:space="preserve">Patients received their seventh authority approval at an average of 132 weeks and 133 weeks for </w:t>
      </w:r>
      <w:proofErr w:type="spellStart"/>
      <w:r>
        <w:t>adalimumab</w:t>
      </w:r>
      <w:proofErr w:type="spellEnd"/>
      <w:r>
        <w:t xml:space="preserve"> and infliximab respectively.</w:t>
      </w:r>
    </w:p>
    <w:p w:rsidR="0004506D" w:rsidRDefault="0004506D" w:rsidP="0004506D">
      <w:r w:rsidRPr="0004506D">
        <w:rPr>
          <w:rStyle w:val="FiguretitleChar"/>
          <w:rFonts w:asciiTheme="minorHAnsi" w:hAnsiTheme="minorHAnsi"/>
          <w:noProof/>
          <w:lang w:val="en-AU"/>
        </w:rPr>
        <w:drawing>
          <wp:inline distT="0" distB="0" distL="0" distR="0" wp14:anchorId="2270340D" wp14:editId="0B7D0202">
            <wp:extent cx="5687695" cy="2634813"/>
            <wp:effectExtent l="0" t="0" r="8255" b="0"/>
            <wp:docPr id="4" name="Picture 4" title="The graph shows a decline in the continuation rates of biolog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87695" cy="2634813"/>
                    </a:xfrm>
                    <a:prstGeom prst="rect">
                      <a:avLst/>
                    </a:prstGeom>
                  </pic:spPr>
                </pic:pic>
              </a:graphicData>
            </a:graphic>
          </wp:inline>
        </w:drawing>
      </w:r>
      <w:r w:rsidRPr="00780DCD">
        <w:rPr>
          <w:rStyle w:val="FiguretitleChar"/>
          <w:rFonts w:asciiTheme="minorHAnsi" w:hAnsiTheme="minorHAnsi"/>
        </w:rPr>
        <w:t xml:space="preserve">Figure </w:t>
      </w:r>
      <w:r>
        <w:rPr>
          <w:rStyle w:val="FiguretitleChar"/>
          <w:rFonts w:asciiTheme="minorHAnsi" w:hAnsiTheme="minorHAnsi"/>
        </w:rPr>
        <w:t>4</w:t>
      </w:r>
      <w:r w:rsidRPr="00780DCD">
        <w:rPr>
          <w:rStyle w:val="FiguretitleChar"/>
          <w:rFonts w:asciiTheme="minorHAnsi" w:hAnsiTheme="minorHAnsi"/>
        </w:rPr>
        <w:t xml:space="preserve">: </w:t>
      </w:r>
      <w:r>
        <w:rPr>
          <w:rStyle w:val="FiguretitleChar"/>
          <w:rFonts w:asciiTheme="minorHAnsi" w:hAnsiTheme="minorHAnsi"/>
        </w:rPr>
        <w:t>Continuation of biologic treatment for severe Crohn’s disease – 2011 patients</w:t>
      </w:r>
      <w:r>
        <w:rPr>
          <w:rStyle w:val="FiguretitleChar"/>
          <w:rFonts w:asciiTheme="minorHAnsi" w:hAnsiTheme="minorHAnsi"/>
        </w:rPr>
        <w:br/>
      </w:r>
      <w:r w:rsidRPr="00780DCD">
        <w:rPr>
          <w:rStyle w:val="FigurecaptionChar"/>
        </w:rPr>
        <w:t>Source: DHS Authority approvals database, accessed November 2014. 2014 figures complete to October 2014</w:t>
      </w:r>
      <w:r>
        <w:t xml:space="preserve"> </w:t>
      </w:r>
    </w:p>
    <w:p w:rsidR="0004506D" w:rsidRDefault="0004506D" w:rsidP="0004506D">
      <w:r w:rsidRPr="0004506D">
        <w:rPr>
          <w:rStyle w:val="FiguretitleChar"/>
          <w:rFonts w:asciiTheme="minorHAnsi" w:hAnsiTheme="minorHAnsi"/>
          <w:noProof/>
          <w:lang w:val="en-AU"/>
        </w:rPr>
        <w:lastRenderedPageBreak/>
        <w:drawing>
          <wp:inline distT="0" distB="0" distL="0" distR="0" wp14:anchorId="01F9B48B" wp14:editId="63ABB8B5">
            <wp:extent cx="5687695" cy="2459807"/>
            <wp:effectExtent l="0" t="0" r="8255" b="0"/>
            <wp:docPr id="6" name="Picture 6" title="The graph shows a decrease in the continuation of biologic treatment for fistulising Crohn's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87695" cy="2459807"/>
                    </a:xfrm>
                    <a:prstGeom prst="rect">
                      <a:avLst/>
                    </a:prstGeom>
                  </pic:spPr>
                </pic:pic>
              </a:graphicData>
            </a:graphic>
          </wp:inline>
        </w:drawing>
      </w:r>
      <w:r w:rsidRPr="00780DCD">
        <w:rPr>
          <w:rStyle w:val="FiguretitleChar"/>
          <w:rFonts w:asciiTheme="minorHAnsi" w:hAnsiTheme="minorHAnsi"/>
        </w:rPr>
        <w:t xml:space="preserve">Figure </w:t>
      </w:r>
      <w:r>
        <w:rPr>
          <w:rStyle w:val="FiguretitleChar"/>
          <w:rFonts w:asciiTheme="minorHAnsi" w:hAnsiTheme="minorHAnsi"/>
        </w:rPr>
        <w:t>5</w:t>
      </w:r>
      <w:r w:rsidRPr="00780DCD">
        <w:rPr>
          <w:rStyle w:val="FiguretitleChar"/>
          <w:rFonts w:asciiTheme="minorHAnsi" w:hAnsiTheme="minorHAnsi"/>
        </w:rPr>
        <w:t xml:space="preserve">: </w:t>
      </w:r>
      <w:r>
        <w:rPr>
          <w:rStyle w:val="FiguretitleChar"/>
          <w:rFonts w:asciiTheme="minorHAnsi" w:hAnsiTheme="minorHAnsi"/>
        </w:rPr>
        <w:t xml:space="preserve">Continuation of biologic treatment for </w:t>
      </w:r>
      <w:proofErr w:type="spellStart"/>
      <w:r>
        <w:rPr>
          <w:rStyle w:val="FiguretitleChar"/>
          <w:rFonts w:asciiTheme="minorHAnsi" w:hAnsiTheme="minorHAnsi"/>
        </w:rPr>
        <w:t>fistulising</w:t>
      </w:r>
      <w:proofErr w:type="spellEnd"/>
      <w:r>
        <w:rPr>
          <w:rStyle w:val="FiguretitleChar"/>
          <w:rFonts w:asciiTheme="minorHAnsi" w:hAnsiTheme="minorHAnsi"/>
        </w:rPr>
        <w:t xml:space="preserve"> Crohn’s disease – 2011 patients</w:t>
      </w:r>
      <w:r>
        <w:rPr>
          <w:rStyle w:val="FiguretitleChar"/>
          <w:rFonts w:asciiTheme="minorHAnsi" w:hAnsiTheme="minorHAnsi"/>
        </w:rPr>
        <w:br/>
      </w:r>
      <w:r w:rsidRPr="00780DCD">
        <w:rPr>
          <w:rStyle w:val="FigurecaptionChar"/>
        </w:rPr>
        <w:t>Source: DHS Authority approvals database, accessed November 2014. 2014 figures complete to October 2014</w:t>
      </w:r>
    </w:p>
    <w:p w:rsidR="0004506D" w:rsidRDefault="0004506D" w:rsidP="0004506D">
      <w:r>
        <w:t xml:space="preserve">Continuation with </w:t>
      </w:r>
      <w:proofErr w:type="spellStart"/>
      <w:r>
        <w:t>adalimumab</w:t>
      </w:r>
      <w:proofErr w:type="spellEnd"/>
      <w:r>
        <w:t xml:space="preserve"> is generally higher than continuation with infliximab</w:t>
      </w:r>
      <w:r w:rsidRPr="00B7420A">
        <w:t xml:space="preserve"> </w:t>
      </w:r>
      <w:r>
        <w:t xml:space="preserve">for both severe and fistulising Crohn’s disease indications. Overall, the continuation rates are substantially higher than the predicted rates of 30-40% in the submissions. </w:t>
      </w:r>
    </w:p>
    <w:p w:rsidR="0004506D" w:rsidRDefault="0004506D" w:rsidP="0004506D">
      <w:r>
        <w:t xml:space="preserve">Figure 6 presents the long term continuation rates of infliximab </w:t>
      </w:r>
      <w:r w:rsidR="00F62E26">
        <w:t>for paediatric Crohn’s disease.</w:t>
      </w:r>
    </w:p>
    <w:p w:rsidR="0004506D" w:rsidRPr="0018490B" w:rsidRDefault="0004506D" w:rsidP="0004506D">
      <w:pPr>
        <w:rPr>
          <w:rFonts w:eastAsiaTheme="majorEastAsia" w:cstheme="majorBidi"/>
          <w:b/>
          <w:bCs/>
          <w:lang w:val="en-US"/>
        </w:rPr>
      </w:pPr>
      <w:r>
        <w:rPr>
          <w:rStyle w:val="FiguretitleChar"/>
          <w:rFonts w:asciiTheme="minorHAnsi" w:hAnsiTheme="minorHAnsi"/>
        </w:rPr>
        <w:br/>
      </w:r>
      <w:r w:rsidR="00406953">
        <w:rPr>
          <w:noProof/>
        </w:rPr>
        <w:drawing>
          <wp:inline distT="0" distB="0" distL="0" distR="0" wp14:anchorId="3EFAFED3" wp14:editId="3CB688C7">
            <wp:extent cx="5524500" cy="2447925"/>
            <wp:effectExtent l="0" t="0" r="19050" b="9525"/>
            <wp:docPr id="8" name="Chart 8" title="Continuation of biologic treatment for paediatric Crohn’s disease – 2011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8490B" w:rsidRPr="00780DCD">
        <w:rPr>
          <w:rStyle w:val="FiguretitleChar"/>
          <w:rFonts w:asciiTheme="minorHAnsi" w:hAnsiTheme="minorHAnsi"/>
        </w:rPr>
        <w:t xml:space="preserve">Figure </w:t>
      </w:r>
      <w:r w:rsidR="0018490B">
        <w:rPr>
          <w:rStyle w:val="FiguretitleChar"/>
          <w:rFonts w:asciiTheme="minorHAnsi" w:hAnsiTheme="minorHAnsi"/>
        </w:rPr>
        <w:t>6</w:t>
      </w:r>
      <w:r w:rsidR="0018490B" w:rsidRPr="00780DCD">
        <w:rPr>
          <w:rStyle w:val="FiguretitleChar"/>
          <w:rFonts w:asciiTheme="minorHAnsi" w:hAnsiTheme="minorHAnsi"/>
        </w:rPr>
        <w:t xml:space="preserve">: </w:t>
      </w:r>
      <w:r w:rsidR="0018490B">
        <w:rPr>
          <w:rStyle w:val="FiguretitleChar"/>
          <w:rFonts w:asciiTheme="minorHAnsi" w:hAnsiTheme="minorHAnsi"/>
        </w:rPr>
        <w:t xml:space="preserve">Continuation of biologic treatment for </w:t>
      </w:r>
      <w:proofErr w:type="spellStart"/>
      <w:r w:rsidR="0018490B">
        <w:rPr>
          <w:rStyle w:val="FiguretitleChar"/>
          <w:rFonts w:asciiTheme="minorHAnsi" w:hAnsiTheme="minorHAnsi"/>
        </w:rPr>
        <w:t>paediatric</w:t>
      </w:r>
      <w:proofErr w:type="spellEnd"/>
      <w:r w:rsidR="0018490B">
        <w:rPr>
          <w:rStyle w:val="FiguretitleChar"/>
          <w:rFonts w:asciiTheme="minorHAnsi" w:hAnsiTheme="minorHAnsi"/>
        </w:rPr>
        <w:t xml:space="preserve"> Crohn’s disease – 2011 patients</w:t>
      </w:r>
      <w:r w:rsidR="00EE7257">
        <w:rPr>
          <w:rStyle w:val="FigurecaptionChar"/>
        </w:rPr>
        <w:t xml:space="preserve"> </w:t>
      </w:r>
      <w:r w:rsidR="002E7236">
        <w:rPr>
          <w:rStyle w:val="FiguretitleChar"/>
          <w:rFonts w:asciiTheme="minorHAnsi" w:hAnsiTheme="minorHAnsi"/>
        </w:rPr>
        <w:t xml:space="preserve">(infliximab </w:t>
      </w:r>
      <w:r w:rsidR="00EE7257" w:rsidRPr="00EE7257">
        <w:rPr>
          <w:rStyle w:val="FiguretitleChar"/>
          <w:rFonts w:asciiTheme="minorHAnsi" w:hAnsiTheme="minorHAnsi"/>
        </w:rPr>
        <w:t>only</w:t>
      </w:r>
      <w:proofErr w:type="gramStart"/>
      <w:r w:rsidR="00EE7257" w:rsidRPr="00EE7257">
        <w:rPr>
          <w:rStyle w:val="FiguretitleChar"/>
          <w:rFonts w:asciiTheme="minorHAnsi" w:hAnsiTheme="minorHAnsi"/>
        </w:rPr>
        <w:t>)</w:t>
      </w:r>
      <w:proofErr w:type="gramEnd"/>
      <w:r w:rsidR="0018490B">
        <w:rPr>
          <w:rStyle w:val="FigurecaptionChar"/>
          <w:rFonts w:eastAsiaTheme="majorEastAsia" w:cstheme="majorBidi"/>
          <w:b/>
          <w:bCs/>
          <w:sz w:val="24"/>
          <w:szCs w:val="24"/>
          <w:lang w:val="en-US" w:eastAsia="en-AU"/>
        </w:rPr>
        <w:br/>
      </w:r>
      <w:r w:rsidRPr="00780DCD">
        <w:rPr>
          <w:rStyle w:val="FigurecaptionChar"/>
        </w:rPr>
        <w:t>Source: DHS Authority approvals database, accessed November 2014. 2014 figures complete to October 2014</w:t>
      </w:r>
      <w:r>
        <w:rPr>
          <w:rStyle w:val="FigurecaptionChar"/>
        </w:rPr>
        <w:t xml:space="preserve"> (n=67)</w:t>
      </w:r>
    </w:p>
    <w:p w:rsidR="00394B9F" w:rsidRDefault="0004506D" w:rsidP="0004506D">
      <w:r>
        <w:t xml:space="preserve">The longer term continuation rates of infliximab for paediatric Crohn’s are slightly higher than in the other indications. </w:t>
      </w:r>
      <w:r w:rsidR="00394B9F" w:rsidRPr="00394B9F">
        <w:t xml:space="preserve">The DUSC further noted that across the three indication groups, over 70 % of patients remain on </w:t>
      </w:r>
      <w:proofErr w:type="spellStart"/>
      <w:r w:rsidR="00394B9F" w:rsidRPr="00394B9F">
        <w:t>bDMARD</w:t>
      </w:r>
      <w:proofErr w:type="spellEnd"/>
      <w:r w:rsidR="00394B9F" w:rsidRPr="00394B9F">
        <w:t xml:space="preserve"> treatment two years after initiation (sixth authority approval) and over 50 % are continuing on their original medicine.  </w:t>
      </w:r>
    </w:p>
    <w:p w:rsidR="00297DC2" w:rsidRDefault="0004506D" w:rsidP="00275D5A">
      <w:r>
        <w:lastRenderedPageBreak/>
        <w:t xml:space="preserve">Table </w:t>
      </w:r>
      <w:r w:rsidR="00CD0CEF">
        <w:t>10</w:t>
      </w:r>
      <w:r>
        <w:t xml:space="preserve"> presents a comparison of the rates of continuation for </w:t>
      </w:r>
      <w:proofErr w:type="spellStart"/>
      <w:r>
        <w:t>adalimumab</w:t>
      </w:r>
      <w:proofErr w:type="spellEnd"/>
      <w:r>
        <w:t xml:space="preserve"> and infliximab for severe Crohn’s disease in practice compared with the clinical trials</w:t>
      </w:r>
      <w:r w:rsidR="00394B9F">
        <w:t>.</w:t>
      </w:r>
    </w:p>
    <w:p w:rsidR="00394B9F" w:rsidRDefault="00394B9F" w:rsidP="00275D5A"/>
    <w:p w:rsidR="00297DC2" w:rsidRDefault="00297DC2" w:rsidP="00275D5A">
      <w:pPr>
        <w:sectPr w:rsidR="00297DC2" w:rsidSect="00945324">
          <w:pgSz w:w="11906" w:h="16838"/>
          <w:pgMar w:top="1644" w:right="1361" w:bottom="1644" w:left="1588" w:header="709" w:footer="709" w:gutter="0"/>
          <w:cols w:space="708"/>
          <w:docGrid w:linePitch="360"/>
        </w:sectPr>
      </w:pPr>
    </w:p>
    <w:p w:rsidR="00297DC2" w:rsidRPr="00EF6C7B" w:rsidRDefault="0004506D" w:rsidP="00297DC2">
      <w:pPr>
        <w:spacing w:before="240" w:after="20"/>
        <w:outlineLvl w:val="3"/>
        <w:rPr>
          <w:rFonts w:ascii="Calibri" w:eastAsia="MS Mincho" w:hAnsi="Calibri" w:cs="Times New Roman"/>
          <w:b/>
        </w:rPr>
      </w:pPr>
      <w:r>
        <w:lastRenderedPageBreak/>
        <w:br/>
      </w:r>
      <w:r w:rsidR="00CD0CEF">
        <w:rPr>
          <w:rFonts w:ascii="Calibri" w:eastAsia="MS Mincho" w:hAnsi="Calibri" w:cs="Times New Roman"/>
          <w:b/>
        </w:rPr>
        <w:t>Table 10</w:t>
      </w:r>
      <w:r w:rsidR="00297DC2" w:rsidRPr="00EF6C7B">
        <w:rPr>
          <w:rFonts w:ascii="Calibri" w:eastAsia="MS Mincho" w:hAnsi="Calibri" w:cs="Times New Roman"/>
          <w:b/>
        </w:rPr>
        <w:t>: Comparison of continuation rates for severe Crohn’s disease</w:t>
      </w:r>
    </w:p>
    <w:tbl>
      <w:tblPr>
        <w:tblStyle w:val="TableGrid2"/>
        <w:tblW w:w="5000" w:type="pct"/>
        <w:tblLook w:val="04A0" w:firstRow="1" w:lastRow="0" w:firstColumn="1" w:lastColumn="0" w:noHBand="0" w:noVBand="1"/>
        <w:tblCaption w:val="The different trials are listed in the first column, read across the row for the continuation rates at different points in time/markers"/>
      </w:tblPr>
      <w:tblGrid>
        <w:gridCol w:w="1320"/>
        <w:gridCol w:w="2091"/>
        <w:gridCol w:w="2090"/>
        <w:gridCol w:w="2040"/>
        <w:gridCol w:w="2040"/>
        <w:gridCol w:w="2095"/>
        <w:gridCol w:w="2090"/>
      </w:tblGrid>
      <w:tr w:rsidR="00297DC2" w:rsidRPr="00EF6C7B" w:rsidTr="005468E7">
        <w:trPr>
          <w:trHeight w:val="249"/>
          <w:tblHeader/>
        </w:trPr>
        <w:tc>
          <w:tcPr>
            <w:tcW w:w="479"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p>
        </w:tc>
        <w:tc>
          <w:tcPr>
            <w:tcW w:w="759"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r w:rsidRPr="00EF6C7B">
              <w:rPr>
                <w:rFonts w:ascii="Calibri" w:hAnsi="Calibri" w:cs="Calibri"/>
                <w:b/>
                <w:sz w:val="20"/>
                <w:szCs w:val="20"/>
              </w:rPr>
              <w:t xml:space="preserve">CDAI &lt; 150 in trial </w:t>
            </w:r>
            <w:r w:rsidRPr="00EF6C7B">
              <w:rPr>
                <w:rFonts w:ascii="Calibri" w:hAnsi="Calibri" w:cs="Calibri"/>
                <w:b/>
                <w:sz w:val="20"/>
                <w:szCs w:val="20"/>
              </w:rPr>
              <w:br/>
              <w:t>(time of assessment)</w:t>
            </w:r>
          </w:p>
        </w:tc>
        <w:tc>
          <w:tcPr>
            <w:tcW w:w="759"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r w:rsidRPr="00EF6C7B">
              <w:rPr>
                <w:rFonts w:ascii="Calibri" w:hAnsi="Calibri" w:cs="Calibri"/>
                <w:b/>
                <w:sz w:val="20"/>
                <w:szCs w:val="20"/>
              </w:rPr>
              <w:t>Response rate</w:t>
            </w:r>
            <w:r w:rsidRPr="00EF6C7B">
              <w:rPr>
                <w:rFonts w:ascii="Calibri" w:hAnsi="Calibri" w:cs="Calibri"/>
                <w:b/>
                <w:sz w:val="20"/>
                <w:szCs w:val="20"/>
              </w:rPr>
              <w:br/>
              <w:t>(time of assessment)</w:t>
            </w:r>
          </w:p>
        </w:tc>
        <w:tc>
          <w:tcPr>
            <w:tcW w:w="741"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r w:rsidRPr="00EF6C7B">
              <w:rPr>
                <w:rFonts w:ascii="Calibri" w:hAnsi="Calibri" w:cs="Calibri"/>
                <w:b/>
                <w:sz w:val="20"/>
                <w:szCs w:val="20"/>
              </w:rPr>
              <w:t>Loss of response (outcome)</w:t>
            </w:r>
          </w:p>
        </w:tc>
        <w:tc>
          <w:tcPr>
            <w:tcW w:w="741"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r w:rsidRPr="00EF6C7B">
              <w:rPr>
                <w:rFonts w:ascii="Calibri" w:hAnsi="Calibri" w:cs="Calibri"/>
                <w:b/>
                <w:sz w:val="20"/>
                <w:szCs w:val="20"/>
              </w:rPr>
              <w:t>Continuation (economic model)</w:t>
            </w:r>
          </w:p>
        </w:tc>
        <w:tc>
          <w:tcPr>
            <w:tcW w:w="761"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r w:rsidRPr="00EF6C7B">
              <w:rPr>
                <w:rFonts w:ascii="Calibri" w:hAnsi="Calibri" w:cs="Calibri"/>
                <w:b/>
                <w:sz w:val="20"/>
                <w:szCs w:val="20"/>
              </w:rPr>
              <w:t>Continuation</w:t>
            </w:r>
            <w:r w:rsidRPr="00EF6C7B">
              <w:rPr>
                <w:rFonts w:ascii="Calibri" w:hAnsi="Calibri" w:cs="Calibri"/>
                <w:b/>
                <w:sz w:val="20"/>
                <w:szCs w:val="20"/>
              </w:rPr>
              <w:br/>
              <w:t xml:space="preserve"> (financial estimates)</w:t>
            </w:r>
          </w:p>
        </w:tc>
        <w:tc>
          <w:tcPr>
            <w:tcW w:w="759" w:type="pct"/>
            <w:shd w:val="clear" w:color="auto" w:fill="BFBFBF" w:themeFill="background1" w:themeFillShade="BF"/>
          </w:tcPr>
          <w:p w:rsidR="00297DC2" w:rsidRPr="00EF6C7B" w:rsidRDefault="00297DC2" w:rsidP="005C4223">
            <w:pPr>
              <w:autoSpaceDE w:val="0"/>
              <w:autoSpaceDN w:val="0"/>
              <w:adjustRightInd w:val="0"/>
              <w:spacing w:before="60" w:after="60"/>
              <w:jc w:val="center"/>
              <w:rPr>
                <w:rFonts w:ascii="Calibri" w:hAnsi="Calibri" w:cs="Calibri"/>
                <w:b/>
                <w:sz w:val="20"/>
                <w:szCs w:val="20"/>
              </w:rPr>
            </w:pPr>
            <w:r>
              <w:rPr>
                <w:rFonts w:ascii="Calibri" w:hAnsi="Calibri" w:cs="Calibri"/>
                <w:b/>
                <w:sz w:val="20"/>
                <w:szCs w:val="20"/>
              </w:rPr>
              <w:t>Actual c</w:t>
            </w:r>
            <w:r w:rsidRPr="00EF6C7B">
              <w:rPr>
                <w:rFonts w:ascii="Calibri" w:hAnsi="Calibri" w:cs="Calibri"/>
                <w:b/>
                <w:sz w:val="20"/>
                <w:szCs w:val="20"/>
              </w:rPr>
              <w:t xml:space="preserve">ontinuation </w:t>
            </w:r>
            <w:r w:rsidRPr="00EF6C7B">
              <w:rPr>
                <w:rFonts w:ascii="Calibri" w:hAnsi="Calibri" w:cs="Calibri"/>
                <w:b/>
                <w:sz w:val="20"/>
                <w:szCs w:val="20"/>
              </w:rPr>
              <w:br/>
              <w:t>(PBS data, 2011 initiators)</w:t>
            </w:r>
          </w:p>
        </w:tc>
      </w:tr>
      <w:tr w:rsidR="00297DC2" w:rsidRPr="00EF6C7B" w:rsidTr="005468E7">
        <w:trPr>
          <w:trHeight w:val="296"/>
        </w:trPr>
        <w:tc>
          <w:tcPr>
            <w:tcW w:w="479" w:type="pct"/>
            <w:vAlign w:val="center"/>
          </w:tcPr>
          <w:p w:rsidR="00297DC2" w:rsidRPr="00A42665" w:rsidRDefault="00297DC2" w:rsidP="005C4223">
            <w:pPr>
              <w:autoSpaceDE w:val="0"/>
              <w:autoSpaceDN w:val="0"/>
              <w:adjustRightInd w:val="0"/>
              <w:spacing w:before="60" w:after="60"/>
              <w:rPr>
                <w:rFonts w:ascii="Calibri" w:hAnsi="Calibri" w:cs="Calibri"/>
                <w:sz w:val="20"/>
                <w:szCs w:val="20"/>
                <w:vertAlign w:val="superscript"/>
              </w:rPr>
            </w:pPr>
            <w:r w:rsidRPr="00A42665">
              <w:rPr>
                <w:rFonts w:ascii="Calibri" w:hAnsi="Calibri" w:cs="Calibri"/>
                <w:sz w:val="20"/>
                <w:szCs w:val="20"/>
              </w:rPr>
              <w:t xml:space="preserve">Infliximab </w:t>
            </w:r>
            <w:r w:rsidRPr="00A42665">
              <w:rPr>
                <w:rFonts w:ascii="Calibri" w:hAnsi="Calibri" w:cs="Calibri"/>
                <w:sz w:val="20"/>
                <w:szCs w:val="20"/>
                <w:vertAlign w:val="superscript"/>
              </w:rPr>
              <w:t>a</w:t>
            </w:r>
          </w:p>
          <w:p w:rsidR="00297DC2" w:rsidRPr="00A42665" w:rsidRDefault="00297DC2" w:rsidP="005C4223">
            <w:pPr>
              <w:autoSpaceDE w:val="0"/>
              <w:autoSpaceDN w:val="0"/>
              <w:adjustRightInd w:val="0"/>
              <w:spacing w:before="60" w:after="60"/>
              <w:rPr>
                <w:rFonts w:ascii="Calibri" w:hAnsi="Calibri" w:cs="Calibri"/>
                <w:sz w:val="20"/>
                <w:szCs w:val="20"/>
              </w:rPr>
            </w:pPr>
            <w:r w:rsidRPr="00A42665">
              <w:rPr>
                <w:rFonts w:ascii="Calibri" w:hAnsi="Calibri" w:cs="Calibri"/>
                <w:sz w:val="20"/>
                <w:szCs w:val="20"/>
              </w:rPr>
              <w:t xml:space="preserve">Severe Crohn’s disease </w:t>
            </w:r>
          </w:p>
          <w:p w:rsidR="00297DC2" w:rsidRPr="00A42665" w:rsidRDefault="00297DC2" w:rsidP="005C4223">
            <w:pPr>
              <w:autoSpaceDE w:val="0"/>
              <w:autoSpaceDN w:val="0"/>
              <w:adjustRightInd w:val="0"/>
              <w:spacing w:before="60" w:after="60"/>
              <w:rPr>
                <w:rFonts w:ascii="Calibri" w:hAnsi="Calibri" w:cs="Calibri"/>
                <w:sz w:val="20"/>
                <w:szCs w:val="20"/>
              </w:rPr>
            </w:pPr>
            <w:r w:rsidRPr="00A42665">
              <w:rPr>
                <w:rFonts w:ascii="Calibri" w:hAnsi="Calibri" w:cs="Calibri"/>
                <w:sz w:val="20"/>
                <w:szCs w:val="20"/>
              </w:rPr>
              <w:t>(ACCENT I)</w:t>
            </w:r>
          </w:p>
        </w:tc>
        <w:tc>
          <w:tcPr>
            <w:tcW w:w="759" w:type="pct"/>
            <w:vAlign w:val="center"/>
          </w:tcPr>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w:t>
            </w:r>
          </w:p>
        </w:tc>
        <w:tc>
          <w:tcPr>
            <w:tcW w:w="759" w:type="pct"/>
            <w:vAlign w:val="center"/>
          </w:tcPr>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w:t>
            </w:r>
          </w:p>
        </w:tc>
        <w:tc>
          <w:tcPr>
            <w:tcW w:w="741" w:type="pct"/>
            <w:vAlign w:val="center"/>
          </w:tcPr>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 '''''''' ''''''''''''</w:t>
            </w:r>
            <w:r>
              <w:rPr>
                <w:rFonts w:ascii="Calibri" w:hAnsi="Calibri" w:cs="Calibri"/>
                <w:noProof/>
                <w:color w:val="000000"/>
                <w:sz w:val="20"/>
                <w:szCs w:val="20"/>
                <w:highlight w:val="black"/>
              </w:rPr>
              <w:br/>
              <w:t>''''''''''''''''' ''''''''' ''''' ''''''' '''' ''''''''''''''''''</w:t>
            </w:r>
          </w:p>
        </w:tc>
        <w:tc>
          <w:tcPr>
            <w:tcW w:w="741" w:type="pct"/>
            <w:vAlign w:val="center"/>
          </w:tcPr>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w:t>
            </w:r>
          </w:p>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tc>
        <w:tc>
          <w:tcPr>
            <w:tcW w:w="761" w:type="pct"/>
            <w:vAlign w:val="center"/>
          </w:tcPr>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w:t>
            </w:r>
            <w:r>
              <w:rPr>
                <w:rFonts w:ascii="Calibri" w:hAnsi="Calibri" w:cs="Calibri"/>
                <w:noProof/>
                <w:color w:val="000000"/>
                <w:sz w:val="20"/>
                <w:szCs w:val="20"/>
                <w:highlight w:val="black"/>
              </w:rPr>
              <w:br/>
              <w:t xml:space="preserve"> '''''''' ''''' '''''''''''' ''''' ''''''''''''''' '''''''''''''''''' ''''''''''''''''' ''''' ''''''''''' '''''</w:t>
            </w:r>
          </w:p>
          <w:p w:rsidR="00297DC2"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tc>
        <w:tc>
          <w:tcPr>
            <w:tcW w:w="759" w:type="pct"/>
            <w:vAlign w:val="center"/>
          </w:tcPr>
          <w:p w:rsidR="00297DC2" w:rsidRPr="00EF6C7B" w:rsidRDefault="00297DC2" w:rsidP="005C4223">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Approval 2 (10-22wks): 80%</w:t>
            </w:r>
          </w:p>
          <w:p w:rsidR="00297DC2" w:rsidRPr="00EF6C7B" w:rsidRDefault="00297DC2" w:rsidP="005C4223">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 xml:space="preserve">Approval 4 (58-75 </w:t>
            </w:r>
            <w:proofErr w:type="spellStart"/>
            <w:r w:rsidRPr="00EF6C7B">
              <w:rPr>
                <w:rFonts w:ascii="Calibri" w:hAnsi="Calibri" w:cs="Calibri"/>
                <w:sz w:val="20"/>
                <w:szCs w:val="20"/>
              </w:rPr>
              <w:t>wks</w:t>
            </w:r>
            <w:proofErr w:type="spellEnd"/>
            <w:r w:rsidRPr="00EF6C7B">
              <w:rPr>
                <w:rFonts w:ascii="Calibri" w:hAnsi="Calibri" w:cs="Calibri"/>
                <w:sz w:val="20"/>
                <w:szCs w:val="20"/>
              </w:rPr>
              <w:t>): 62%</w:t>
            </w:r>
          </w:p>
          <w:p w:rsidR="00297DC2" w:rsidRPr="00EF6C7B" w:rsidRDefault="00297DC2" w:rsidP="005C4223">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 xml:space="preserve">Approval 6 (106-125 </w:t>
            </w:r>
            <w:proofErr w:type="spellStart"/>
            <w:r w:rsidRPr="00EF6C7B">
              <w:rPr>
                <w:rFonts w:ascii="Calibri" w:hAnsi="Calibri" w:cs="Calibri"/>
                <w:sz w:val="20"/>
                <w:szCs w:val="20"/>
              </w:rPr>
              <w:t>wks</w:t>
            </w:r>
            <w:proofErr w:type="spellEnd"/>
            <w:r w:rsidRPr="00EF6C7B">
              <w:rPr>
                <w:rFonts w:ascii="Calibri" w:hAnsi="Calibri" w:cs="Calibri"/>
                <w:sz w:val="20"/>
                <w:szCs w:val="20"/>
              </w:rPr>
              <w:t>): 53%</w:t>
            </w:r>
          </w:p>
        </w:tc>
      </w:tr>
      <w:tr w:rsidR="005468E7" w:rsidRPr="00EF6C7B" w:rsidTr="005468E7">
        <w:trPr>
          <w:trHeight w:val="296"/>
        </w:trPr>
        <w:tc>
          <w:tcPr>
            <w:tcW w:w="479" w:type="pct"/>
            <w:vAlign w:val="center"/>
          </w:tcPr>
          <w:p w:rsidR="005468E7" w:rsidRPr="00A42665" w:rsidRDefault="005468E7" w:rsidP="00FF7F90">
            <w:pPr>
              <w:autoSpaceDE w:val="0"/>
              <w:autoSpaceDN w:val="0"/>
              <w:adjustRightInd w:val="0"/>
              <w:spacing w:before="60" w:after="60"/>
              <w:rPr>
                <w:rFonts w:ascii="Calibri" w:hAnsi="Calibri" w:cs="Calibri"/>
                <w:sz w:val="20"/>
                <w:szCs w:val="20"/>
              </w:rPr>
            </w:pPr>
            <w:proofErr w:type="spellStart"/>
            <w:r w:rsidRPr="00A42665">
              <w:rPr>
                <w:rFonts w:ascii="Calibri" w:hAnsi="Calibri" w:cs="Calibri"/>
                <w:sz w:val="20"/>
                <w:szCs w:val="20"/>
              </w:rPr>
              <w:t>Adalimumab</w:t>
            </w:r>
            <w:r w:rsidRPr="00A42665">
              <w:rPr>
                <w:rFonts w:ascii="Calibri" w:hAnsi="Calibri" w:cs="Calibri"/>
                <w:sz w:val="20"/>
                <w:szCs w:val="20"/>
                <w:vertAlign w:val="superscript"/>
              </w:rPr>
              <w:t>b</w:t>
            </w:r>
            <w:proofErr w:type="spellEnd"/>
            <w:r w:rsidRPr="00A42665">
              <w:rPr>
                <w:rFonts w:ascii="Calibri" w:hAnsi="Calibri" w:cs="Calibri"/>
                <w:sz w:val="20"/>
                <w:szCs w:val="20"/>
              </w:rPr>
              <w:t xml:space="preserve"> Severe Crohn’s disease</w:t>
            </w:r>
          </w:p>
          <w:p w:rsidR="005468E7" w:rsidRPr="00A42665" w:rsidRDefault="005468E7" w:rsidP="00FF7F90">
            <w:pPr>
              <w:autoSpaceDE w:val="0"/>
              <w:autoSpaceDN w:val="0"/>
              <w:adjustRightInd w:val="0"/>
              <w:spacing w:before="60" w:after="60"/>
              <w:rPr>
                <w:rFonts w:ascii="Calibri" w:hAnsi="Calibri" w:cs="Calibri"/>
                <w:sz w:val="20"/>
                <w:szCs w:val="20"/>
              </w:rPr>
            </w:pPr>
            <w:r w:rsidRPr="00A42665">
              <w:rPr>
                <w:rFonts w:ascii="Calibri" w:hAnsi="Calibri" w:cs="Calibri"/>
                <w:sz w:val="20"/>
                <w:szCs w:val="20"/>
              </w:rPr>
              <w:t>(CHARM)</w:t>
            </w:r>
          </w:p>
          <w:p w:rsidR="005468E7" w:rsidRPr="00A42665" w:rsidRDefault="005468E7" w:rsidP="005C4223">
            <w:pPr>
              <w:autoSpaceDE w:val="0"/>
              <w:autoSpaceDN w:val="0"/>
              <w:adjustRightInd w:val="0"/>
              <w:spacing w:before="60" w:after="60"/>
              <w:rPr>
                <w:rFonts w:ascii="Calibri" w:hAnsi="Calibri" w:cs="Calibri"/>
                <w:sz w:val="20"/>
                <w:szCs w:val="20"/>
              </w:rPr>
            </w:pPr>
          </w:p>
        </w:tc>
        <w:tc>
          <w:tcPr>
            <w:tcW w:w="759"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p w:rsidR="005468E7"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w:t>
            </w:r>
          </w:p>
        </w:tc>
        <w:tc>
          <w:tcPr>
            <w:tcW w:w="759"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w:t>
            </w:r>
          </w:p>
          <w:p w:rsidR="005468E7"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w:t>
            </w:r>
          </w:p>
        </w:tc>
        <w:tc>
          <w:tcPr>
            <w:tcW w:w="741" w:type="pct"/>
            <w:vAlign w:val="center"/>
          </w:tcPr>
          <w:p w:rsidR="005468E7"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xml:space="preserve">'''''''' '''''''''' </w:t>
            </w:r>
            <w:r>
              <w:rPr>
                <w:rFonts w:ascii="Calibri" w:hAnsi="Calibri" w:cs="Calibri"/>
                <w:noProof/>
                <w:color w:val="000000"/>
                <w:sz w:val="20"/>
                <w:szCs w:val="20"/>
                <w:highlight w:val="black"/>
              </w:rPr>
              <w:br/>
              <w:t>'''''''''''''''' ''''''''' '''' ''''''' ''''' ''''''''''''''''''''</w:t>
            </w:r>
          </w:p>
        </w:tc>
        <w:tc>
          <w:tcPr>
            <w:tcW w:w="741"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w:t>
            </w:r>
          </w:p>
          <w:p w:rsidR="005468E7" w:rsidRPr="0093627C" w:rsidRDefault="005468E7" w:rsidP="00FF7F90">
            <w:pPr>
              <w:autoSpaceDE w:val="0"/>
              <w:autoSpaceDN w:val="0"/>
              <w:adjustRightInd w:val="0"/>
              <w:spacing w:before="60" w:after="60"/>
              <w:jc w:val="center"/>
              <w:rPr>
                <w:rFonts w:ascii="Calibri" w:hAnsi="Calibri" w:cs="Calibri"/>
                <w:color w:val="7030A0"/>
                <w:sz w:val="20"/>
                <w:szCs w:val="20"/>
              </w:rPr>
            </w:pPr>
          </w:p>
          <w:p w:rsidR="005468E7" w:rsidRPr="002F102D" w:rsidRDefault="005468E7" w:rsidP="005C4223">
            <w:pPr>
              <w:autoSpaceDE w:val="0"/>
              <w:autoSpaceDN w:val="0"/>
              <w:adjustRightInd w:val="0"/>
              <w:spacing w:before="60" w:after="60"/>
              <w:jc w:val="center"/>
              <w:rPr>
                <w:rFonts w:ascii="Calibri" w:hAnsi="Calibri" w:cs="Calibri"/>
                <w:color w:val="7030A0"/>
                <w:sz w:val="20"/>
                <w:szCs w:val="20"/>
              </w:rPr>
            </w:pPr>
          </w:p>
        </w:tc>
        <w:tc>
          <w:tcPr>
            <w:tcW w:w="761"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xml:space="preserve">''''''''' </w:t>
            </w:r>
            <w:r>
              <w:rPr>
                <w:rFonts w:ascii="Calibri" w:hAnsi="Calibri" w:cs="Calibri"/>
                <w:noProof/>
                <w:color w:val="000000"/>
                <w:sz w:val="20"/>
                <w:szCs w:val="20"/>
                <w:highlight w:val="black"/>
              </w:rPr>
              <w:br/>
              <w:t>'''''''''''''''''' ''''''''''' ''''''</w:t>
            </w:r>
          </w:p>
          <w:p w:rsidR="005468E7"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xml:space="preserve">''''''''''' '''''''''''' ''''''' </w:t>
            </w:r>
            <w:r>
              <w:rPr>
                <w:rFonts w:ascii="Calibri" w:hAnsi="Calibri" w:cs="Calibri"/>
                <w:noProof/>
                <w:color w:val="000000"/>
                <w:sz w:val="20"/>
                <w:szCs w:val="20"/>
                <w:highlight w:val="black"/>
              </w:rPr>
              <w:br/>
              <w:t>'''''''' '''' ''''''''''''''''' ''''''''' ''''''''''''''''' '''' ''''''''''' ''''' '''''' ''' ''''''''''''''''''' '''' ''''''''''' '''''''</w:t>
            </w:r>
          </w:p>
        </w:tc>
        <w:tc>
          <w:tcPr>
            <w:tcW w:w="759" w:type="pct"/>
            <w:vAlign w:val="center"/>
          </w:tcPr>
          <w:p w:rsidR="005468E7" w:rsidRPr="00EF6C7B" w:rsidRDefault="005468E7" w:rsidP="00FF7F90">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Approval 2 (10-22wks): 87%</w:t>
            </w:r>
          </w:p>
          <w:p w:rsidR="005468E7" w:rsidRPr="00EF6C7B" w:rsidRDefault="005468E7" w:rsidP="00FF7F90">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 xml:space="preserve">Approval 4 (58-75 </w:t>
            </w:r>
            <w:proofErr w:type="spellStart"/>
            <w:r w:rsidRPr="00EF6C7B">
              <w:rPr>
                <w:rFonts w:ascii="Calibri" w:hAnsi="Calibri" w:cs="Calibri"/>
                <w:sz w:val="20"/>
                <w:szCs w:val="20"/>
              </w:rPr>
              <w:t>wks</w:t>
            </w:r>
            <w:proofErr w:type="spellEnd"/>
            <w:r w:rsidRPr="00EF6C7B">
              <w:rPr>
                <w:rFonts w:ascii="Calibri" w:hAnsi="Calibri" w:cs="Calibri"/>
                <w:sz w:val="20"/>
                <w:szCs w:val="20"/>
              </w:rPr>
              <w:t>): 72%</w:t>
            </w:r>
          </w:p>
          <w:p w:rsidR="005468E7" w:rsidRPr="00EF6C7B" w:rsidRDefault="005468E7" w:rsidP="005C4223">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 xml:space="preserve">Approval 6 (106-125 </w:t>
            </w:r>
            <w:proofErr w:type="spellStart"/>
            <w:r w:rsidRPr="00EF6C7B">
              <w:rPr>
                <w:rFonts w:ascii="Calibri" w:hAnsi="Calibri" w:cs="Calibri"/>
                <w:sz w:val="20"/>
                <w:szCs w:val="20"/>
              </w:rPr>
              <w:t>wks</w:t>
            </w:r>
            <w:proofErr w:type="spellEnd"/>
            <w:r w:rsidRPr="00EF6C7B">
              <w:rPr>
                <w:rFonts w:ascii="Calibri" w:hAnsi="Calibri" w:cs="Calibri"/>
                <w:sz w:val="20"/>
                <w:szCs w:val="20"/>
              </w:rPr>
              <w:t>): 61%</w:t>
            </w:r>
          </w:p>
        </w:tc>
      </w:tr>
      <w:tr w:rsidR="005468E7" w:rsidRPr="00EF6C7B" w:rsidTr="005468E7">
        <w:trPr>
          <w:trHeight w:val="296"/>
        </w:trPr>
        <w:tc>
          <w:tcPr>
            <w:tcW w:w="479" w:type="pct"/>
            <w:vAlign w:val="center"/>
          </w:tcPr>
          <w:p w:rsidR="005468E7" w:rsidRPr="00A42665" w:rsidRDefault="005468E7" w:rsidP="00FF7F90">
            <w:pPr>
              <w:autoSpaceDE w:val="0"/>
              <w:autoSpaceDN w:val="0"/>
              <w:adjustRightInd w:val="0"/>
              <w:spacing w:before="60" w:after="60"/>
              <w:rPr>
                <w:rFonts w:ascii="Calibri" w:hAnsi="Calibri" w:cs="Calibri"/>
                <w:sz w:val="20"/>
                <w:szCs w:val="20"/>
              </w:rPr>
            </w:pPr>
            <w:proofErr w:type="spellStart"/>
            <w:r w:rsidRPr="00A42665">
              <w:rPr>
                <w:rFonts w:ascii="Calibri" w:hAnsi="Calibri" w:cs="Calibri"/>
                <w:sz w:val="20"/>
                <w:szCs w:val="20"/>
              </w:rPr>
              <w:t>Adalimumab</w:t>
            </w:r>
            <w:r w:rsidRPr="00A42665">
              <w:rPr>
                <w:rFonts w:ascii="Calibri" w:hAnsi="Calibri" w:cs="Calibri"/>
                <w:sz w:val="20"/>
                <w:szCs w:val="20"/>
                <w:vertAlign w:val="superscript"/>
              </w:rPr>
              <w:t>c</w:t>
            </w:r>
            <w:proofErr w:type="spellEnd"/>
            <w:r w:rsidRPr="00A42665">
              <w:rPr>
                <w:rFonts w:ascii="Calibri" w:hAnsi="Calibri" w:cs="Calibri"/>
                <w:sz w:val="20"/>
                <w:szCs w:val="20"/>
              </w:rPr>
              <w:br/>
              <w:t>Severe Crohn’s disease</w:t>
            </w:r>
          </w:p>
          <w:p w:rsidR="005468E7" w:rsidRPr="00A42665" w:rsidRDefault="005468E7" w:rsidP="00FF7F90">
            <w:pPr>
              <w:autoSpaceDE w:val="0"/>
              <w:autoSpaceDN w:val="0"/>
              <w:adjustRightInd w:val="0"/>
              <w:spacing w:before="60" w:after="60"/>
              <w:rPr>
                <w:rFonts w:ascii="Calibri" w:hAnsi="Calibri" w:cs="Calibri"/>
                <w:sz w:val="20"/>
                <w:szCs w:val="20"/>
              </w:rPr>
            </w:pPr>
            <w:r w:rsidRPr="00A42665">
              <w:rPr>
                <w:rFonts w:ascii="Calibri" w:hAnsi="Calibri" w:cs="Calibri"/>
                <w:sz w:val="20"/>
                <w:szCs w:val="20"/>
              </w:rPr>
              <w:t>(CLASSIC II)</w:t>
            </w:r>
          </w:p>
        </w:tc>
        <w:tc>
          <w:tcPr>
            <w:tcW w:w="759"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tc>
        <w:tc>
          <w:tcPr>
            <w:tcW w:w="759"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p>
        </w:tc>
        <w:tc>
          <w:tcPr>
            <w:tcW w:w="741" w:type="pct"/>
            <w:vAlign w:val="center"/>
          </w:tcPr>
          <w:p w:rsidR="005468E7" w:rsidRPr="0093627C" w:rsidRDefault="0093627C" w:rsidP="005C4223">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xml:space="preserve">''''''''''''''''''' '''''''''''''''''''''' '''''''' '''' ''''' ''''''''''' </w:t>
            </w:r>
            <w:r>
              <w:rPr>
                <w:rFonts w:ascii="Calibri" w:hAnsi="Calibri" w:cs="Calibri"/>
                <w:noProof/>
                <w:color w:val="000000"/>
                <w:sz w:val="20"/>
                <w:szCs w:val="20"/>
                <w:highlight w:val="black"/>
              </w:rPr>
              <w:br/>
              <w:t>'''''''''' ''''''''''''</w:t>
            </w:r>
          </w:p>
        </w:tc>
        <w:tc>
          <w:tcPr>
            <w:tcW w:w="741"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 ''''''''''''''</w:t>
            </w:r>
            <w:r>
              <w:rPr>
                <w:rFonts w:ascii="Calibri" w:hAnsi="Calibri" w:cs="Calibri"/>
                <w:noProof/>
                <w:color w:val="000000"/>
                <w:sz w:val="20"/>
                <w:szCs w:val="20"/>
                <w:highlight w:val="black"/>
              </w:rPr>
              <w:br/>
              <w:t>'''''''''''' '''''' ''''''''''''</w:t>
            </w:r>
          </w:p>
          <w:p w:rsidR="005468E7" w:rsidRPr="0093627C" w:rsidRDefault="005468E7" w:rsidP="00FF7F90">
            <w:pPr>
              <w:autoSpaceDE w:val="0"/>
              <w:autoSpaceDN w:val="0"/>
              <w:adjustRightInd w:val="0"/>
              <w:spacing w:before="60" w:after="60"/>
              <w:jc w:val="center"/>
              <w:rPr>
                <w:rFonts w:ascii="Calibri" w:hAnsi="Calibri" w:cs="Calibri"/>
                <w:color w:val="7030A0"/>
                <w:sz w:val="20"/>
                <w:szCs w:val="20"/>
              </w:rPr>
            </w:pPr>
          </w:p>
          <w:p w:rsidR="005468E7" w:rsidRPr="002F102D" w:rsidRDefault="005468E7" w:rsidP="00FF7F90">
            <w:pPr>
              <w:autoSpaceDE w:val="0"/>
              <w:autoSpaceDN w:val="0"/>
              <w:adjustRightInd w:val="0"/>
              <w:spacing w:before="60" w:after="60"/>
              <w:jc w:val="center"/>
              <w:rPr>
                <w:rFonts w:ascii="Calibri" w:hAnsi="Calibri" w:cs="Calibri"/>
                <w:color w:val="7030A0"/>
                <w:sz w:val="20"/>
                <w:szCs w:val="20"/>
              </w:rPr>
            </w:pPr>
          </w:p>
        </w:tc>
        <w:tc>
          <w:tcPr>
            <w:tcW w:w="761" w:type="pct"/>
            <w:vAlign w:val="center"/>
          </w:tcPr>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xml:space="preserve">'''''''' </w:t>
            </w:r>
            <w:r>
              <w:rPr>
                <w:rFonts w:ascii="Calibri" w:hAnsi="Calibri" w:cs="Calibri"/>
                <w:noProof/>
                <w:color w:val="000000"/>
                <w:sz w:val="20"/>
                <w:szCs w:val="20"/>
                <w:highlight w:val="black"/>
              </w:rPr>
              <w:br/>
              <w:t>''''''''''''''''''''' ''''''''''' '''''''</w:t>
            </w:r>
          </w:p>
          <w:p w:rsidR="005468E7" w:rsidRPr="0093627C" w:rsidRDefault="0093627C" w:rsidP="00FF7F90">
            <w:pPr>
              <w:autoSpaceDE w:val="0"/>
              <w:autoSpaceDN w:val="0"/>
              <w:adjustRightInd w:val="0"/>
              <w:spacing w:before="60" w:after="60"/>
              <w:jc w:val="center"/>
              <w:rPr>
                <w:rFonts w:ascii="Calibri" w:hAnsi="Calibri" w:cs="Calibri"/>
                <w:color w:val="7030A0"/>
                <w:sz w:val="20"/>
                <w:szCs w:val="20"/>
                <w:highlight w:val="black"/>
              </w:rPr>
            </w:pPr>
            <w:r>
              <w:rPr>
                <w:rFonts w:ascii="Calibri" w:hAnsi="Calibri" w:cs="Calibri"/>
                <w:noProof/>
                <w:color w:val="000000"/>
                <w:sz w:val="20"/>
                <w:szCs w:val="20"/>
                <w:highlight w:val="black"/>
              </w:rPr>
              <w:t xml:space="preserve">'''''''''''' ''''''''''' ''''''' </w:t>
            </w:r>
            <w:r>
              <w:rPr>
                <w:rFonts w:ascii="Calibri" w:hAnsi="Calibri" w:cs="Calibri"/>
                <w:noProof/>
                <w:color w:val="000000"/>
                <w:sz w:val="20"/>
                <w:szCs w:val="20"/>
                <w:highlight w:val="black"/>
              </w:rPr>
              <w:br/>
              <w:t>''''''''' '''' '''''''''''''' '''''''''' ''''''''''''''''' '''' '''''''''' ''''' '''''' '''' '''''''''''''''''''' '''' ''''''''''' '''''''</w:t>
            </w:r>
          </w:p>
        </w:tc>
        <w:tc>
          <w:tcPr>
            <w:tcW w:w="759" w:type="pct"/>
            <w:vAlign w:val="center"/>
          </w:tcPr>
          <w:p w:rsidR="005468E7" w:rsidRPr="00EF6C7B" w:rsidRDefault="005468E7" w:rsidP="00FF7F90">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Approval 2 (10-22wks): 87%</w:t>
            </w:r>
          </w:p>
          <w:p w:rsidR="005468E7" w:rsidRPr="00EF6C7B" w:rsidRDefault="005468E7" w:rsidP="00FF7F90">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 xml:space="preserve">Approval 4 (58-75 </w:t>
            </w:r>
            <w:proofErr w:type="spellStart"/>
            <w:r w:rsidRPr="00EF6C7B">
              <w:rPr>
                <w:rFonts w:ascii="Calibri" w:hAnsi="Calibri" w:cs="Calibri"/>
                <w:sz w:val="20"/>
                <w:szCs w:val="20"/>
              </w:rPr>
              <w:t>wks</w:t>
            </w:r>
            <w:proofErr w:type="spellEnd"/>
            <w:r w:rsidRPr="00EF6C7B">
              <w:rPr>
                <w:rFonts w:ascii="Calibri" w:hAnsi="Calibri" w:cs="Calibri"/>
                <w:sz w:val="20"/>
                <w:szCs w:val="20"/>
              </w:rPr>
              <w:t>): 72%</w:t>
            </w:r>
          </w:p>
          <w:p w:rsidR="005468E7" w:rsidRPr="00EF6C7B" w:rsidRDefault="005468E7" w:rsidP="00FF7F90">
            <w:pPr>
              <w:autoSpaceDE w:val="0"/>
              <w:autoSpaceDN w:val="0"/>
              <w:adjustRightInd w:val="0"/>
              <w:spacing w:before="60" w:after="60"/>
              <w:jc w:val="center"/>
              <w:rPr>
                <w:rFonts w:ascii="Calibri" w:hAnsi="Calibri" w:cs="Calibri"/>
                <w:sz w:val="20"/>
                <w:szCs w:val="20"/>
              </w:rPr>
            </w:pPr>
            <w:r w:rsidRPr="00EF6C7B">
              <w:rPr>
                <w:rFonts w:ascii="Calibri" w:hAnsi="Calibri" w:cs="Calibri"/>
                <w:sz w:val="20"/>
                <w:szCs w:val="20"/>
              </w:rPr>
              <w:t xml:space="preserve">Approval 6 (106-125 </w:t>
            </w:r>
            <w:proofErr w:type="spellStart"/>
            <w:r w:rsidRPr="00EF6C7B">
              <w:rPr>
                <w:rFonts w:ascii="Calibri" w:hAnsi="Calibri" w:cs="Calibri"/>
                <w:sz w:val="20"/>
                <w:szCs w:val="20"/>
              </w:rPr>
              <w:t>wks</w:t>
            </w:r>
            <w:proofErr w:type="spellEnd"/>
            <w:r w:rsidRPr="00EF6C7B">
              <w:rPr>
                <w:rFonts w:ascii="Calibri" w:hAnsi="Calibri" w:cs="Calibri"/>
                <w:sz w:val="20"/>
                <w:szCs w:val="20"/>
              </w:rPr>
              <w:t>): 61%</w:t>
            </w:r>
          </w:p>
        </w:tc>
      </w:tr>
    </w:tbl>
    <w:p w:rsidR="00297DC2" w:rsidRPr="00EF6C7B" w:rsidRDefault="00297DC2" w:rsidP="00297DC2">
      <w:pPr>
        <w:rPr>
          <w:rFonts w:ascii="Calibri" w:eastAsia="MS Mincho" w:hAnsi="Calibri" w:cs="Times New Roman"/>
          <w:sz w:val="20"/>
          <w:szCs w:val="20"/>
          <w:lang w:eastAsia="en-US"/>
        </w:rPr>
      </w:pPr>
      <w:r w:rsidRPr="00A9442B">
        <w:rPr>
          <w:rFonts w:ascii="Calibri" w:eastAsia="MS Mincho" w:hAnsi="Calibri" w:cs="Times New Roman"/>
          <w:sz w:val="20"/>
          <w:szCs w:val="20"/>
          <w:lang w:eastAsia="en-US"/>
        </w:rPr>
        <w:t xml:space="preserve">Source: </w:t>
      </w:r>
      <w:r w:rsidRPr="00EF6C7B">
        <w:rPr>
          <w:rFonts w:ascii="Calibri" w:eastAsia="MS Mincho" w:hAnsi="Calibri" w:cs="Times New Roman"/>
          <w:sz w:val="20"/>
          <w:szCs w:val="20"/>
          <w:lang w:eastAsia="en-US"/>
        </w:rPr>
        <w:t xml:space="preserve">Infliximab March 2007 commentary, </w:t>
      </w:r>
      <w:proofErr w:type="spellStart"/>
      <w:r w:rsidRPr="00EF6C7B">
        <w:rPr>
          <w:rFonts w:ascii="Calibri" w:eastAsia="MS Mincho" w:hAnsi="Calibri" w:cs="Times New Roman"/>
          <w:sz w:val="20"/>
          <w:szCs w:val="20"/>
          <w:lang w:eastAsia="en-US"/>
        </w:rPr>
        <w:t>Adalimumab</w:t>
      </w:r>
      <w:proofErr w:type="spellEnd"/>
      <w:r w:rsidRPr="00EF6C7B">
        <w:rPr>
          <w:rFonts w:ascii="Calibri" w:eastAsia="MS Mincho" w:hAnsi="Calibri" w:cs="Times New Roman"/>
          <w:sz w:val="20"/>
          <w:szCs w:val="20"/>
          <w:lang w:eastAsia="en-US"/>
        </w:rPr>
        <w:t xml:space="preserve"> November 2007 Commentary. IQR = inter quartile range</w:t>
      </w:r>
      <w:r w:rsidRPr="00EF6C7B">
        <w:rPr>
          <w:rFonts w:ascii="Calibri" w:eastAsia="MS Mincho" w:hAnsi="Calibri" w:cs="Times New Roman"/>
          <w:sz w:val="20"/>
          <w:szCs w:val="20"/>
          <w:lang w:eastAsia="en-US"/>
        </w:rPr>
        <w:br/>
        <w:t>Note: Continuation in this table refers to continuation with the same medicine</w:t>
      </w:r>
      <w:r>
        <w:rPr>
          <w:rFonts w:ascii="Calibri" w:eastAsia="MS Mincho" w:hAnsi="Calibri" w:cs="Times New Roman"/>
          <w:sz w:val="20"/>
          <w:szCs w:val="20"/>
          <w:lang w:eastAsia="en-US"/>
        </w:rPr>
        <w:br/>
      </w:r>
      <w:proofErr w:type="spellStart"/>
      <w:proofErr w:type="gramStart"/>
      <w:r w:rsidRPr="00EF6C7B">
        <w:rPr>
          <w:rFonts w:ascii="Calibri" w:eastAsia="MS Mincho" w:hAnsi="Calibri" w:cs="Times New Roman"/>
          <w:sz w:val="20"/>
          <w:szCs w:val="20"/>
          <w:vertAlign w:val="superscript"/>
          <w:lang w:eastAsia="en-US"/>
        </w:rPr>
        <w:t>a</w:t>
      </w:r>
      <w:proofErr w:type="spellEnd"/>
      <w:proofErr w:type="gramEnd"/>
      <w:r w:rsidRPr="00EF6C7B">
        <w:rPr>
          <w:rFonts w:ascii="Calibri" w:eastAsia="MS Mincho" w:hAnsi="Calibri" w:cs="Times New Roman"/>
          <w:sz w:val="20"/>
          <w:szCs w:val="20"/>
          <w:vertAlign w:val="superscript"/>
          <w:lang w:eastAsia="en-US"/>
        </w:rPr>
        <w:t xml:space="preserve"> </w:t>
      </w:r>
      <w:r w:rsidRPr="00EF6C7B">
        <w:rPr>
          <w:rFonts w:ascii="Calibri" w:eastAsia="MS Mincho" w:hAnsi="Calibri" w:cs="Times New Roman"/>
          <w:sz w:val="20"/>
          <w:szCs w:val="20"/>
          <w:lang w:eastAsia="en-US"/>
        </w:rPr>
        <w:t xml:space="preserve">ACCENT I trial: Response = CDAI reduction </w:t>
      </w:r>
      <w:r w:rsidRPr="00EF6C7B">
        <w:rPr>
          <w:rFonts w:ascii="Calibri" w:eastAsia="MS Mincho" w:hAnsi="Calibri" w:cs="Times New Roman"/>
          <w:sz w:val="20"/>
          <w:szCs w:val="20"/>
          <w:lang w:eastAsia="en-US"/>
        </w:rPr>
        <w:sym w:font="Symbol" w:char="F0B3"/>
      </w:r>
      <w:r w:rsidRPr="00EF6C7B">
        <w:rPr>
          <w:rFonts w:ascii="Calibri" w:eastAsia="MS Mincho" w:hAnsi="Calibri" w:cs="Times New Roman"/>
          <w:sz w:val="20"/>
          <w:szCs w:val="20"/>
          <w:lang w:eastAsia="en-US"/>
        </w:rPr>
        <w:t xml:space="preserve"> 70 points and </w:t>
      </w:r>
      <w:r w:rsidRPr="00EF6C7B">
        <w:rPr>
          <w:rFonts w:ascii="Calibri" w:eastAsia="MS Mincho" w:hAnsi="Calibri" w:cs="Times New Roman"/>
          <w:sz w:val="20"/>
          <w:szCs w:val="20"/>
          <w:lang w:eastAsia="en-US"/>
        </w:rPr>
        <w:sym w:font="Symbol" w:char="F0B3"/>
      </w:r>
      <w:r w:rsidRPr="00EF6C7B">
        <w:rPr>
          <w:rFonts w:ascii="Calibri" w:eastAsia="MS Mincho" w:hAnsi="Calibri" w:cs="Times New Roman"/>
          <w:sz w:val="20"/>
          <w:szCs w:val="20"/>
          <w:lang w:eastAsia="en-US"/>
        </w:rPr>
        <w:t>25% from baseline</w:t>
      </w:r>
      <w:r w:rsidRPr="00EF6C7B">
        <w:rPr>
          <w:rFonts w:ascii="Calibri" w:eastAsia="MS Mincho" w:hAnsi="Calibri" w:cs="Times New Roman"/>
          <w:sz w:val="20"/>
          <w:szCs w:val="20"/>
          <w:lang w:eastAsia="en-US"/>
        </w:rPr>
        <w:br/>
      </w:r>
      <w:r w:rsidRPr="00EF6C7B">
        <w:rPr>
          <w:rFonts w:ascii="Calibri" w:eastAsia="MS Mincho" w:hAnsi="Calibri" w:cs="Times New Roman"/>
          <w:sz w:val="20"/>
          <w:szCs w:val="20"/>
          <w:vertAlign w:val="superscript"/>
          <w:lang w:eastAsia="en-US"/>
        </w:rPr>
        <w:t>b</w:t>
      </w:r>
      <w:r w:rsidRPr="00EF6C7B">
        <w:rPr>
          <w:rFonts w:ascii="Calibri" w:eastAsia="MS Mincho" w:hAnsi="Calibri" w:cs="Times New Roman"/>
          <w:sz w:val="20"/>
          <w:szCs w:val="20"/>
          <w:lang w:eastAsia="en-US"/>
        </w:rPr>
        <w:t xml:space="preserve"> CHARM trial: m-ITT population only includes patients who responded to </w:t>
      </w:r>
      <w:proofErr w:type="spellStart"/>
      <w:r w:rsidRPr="00EF6C7B">
        <w:rPr>
          <w:rFonts w:ascii="Calibri" w:eastAsia="MS Mincho" w:hAnsi="Calibri" w:cs="Times New Roman"/>
          <w:sz w:val="20"/>
          <w:szCs w:val="20"/>
          <w:lang w:eastAsia="en-US"/>
        </w:rPr>
        <w:t>adalimumab</w:t>
      </w:r>
      <w:proofErr w:type="spellEnd"/>
      <w:r w:rsidRPr="00EF6C7B">
        <w:rPr>
          <w:rFonts w:ascii="Calibri" w:eastAsia="MS Mincho" w:hAnsi="Calibri" w:cs="Times New Roman"/>
          <w:sz w:val="20"/>
          <w:szCs w:val="20"/>
          <w:lang w:eastAsia="en-US"/>
        </w:rPr>
        <w:t xml:space="preserve"> at week 4. Response = CDAI reduction </w:t>
      </w:r>
      <w:r w:rsidRPr="00EF6C7B">
        <w:rPr>
          <w:rFonts w:ascii="Calibri" w:eastAsia="MS Mincho" w:hAnsi="Calibri" w:cs="Times New Roman"/>
          <w:sz w:val="20"/>
          <w:szCs w:val="20"/>
          <w:lang w:eastAsia="en-US"/>
        </w:rPr>
        <w:sym w:font="Symbol" w:char="F0B3"/>
      </w:r>
      <w:r w:rsidRPr="00EF6C7B">
        <w:rPr>
          <w:rFonts w:ascii="Calibri" w:eastAsia="MS Mincho" w:hAnsi="Calibri" w:cs="Times New Roman"/>
          <w:sz w:val="20"/>
          <w:szCs w:val="20"/>
          <w:lang w:eastAsia="en-US"/>
        </w:rPr>
        <w:t xml:space="preserve"> 70 points</w:t>
      </w:r>
      <w:r w:rsidRPr="00EF6C7B">
        <w:rPr>
          <w:rFonts w:ascii="Calibri" w:eastAsia="MS Mincho" w:hAnsi="Calibri" w:cs="Times New Roman"/>
          <w:sz w:val="20"/>
          <w:szCs w:val="20"/>
          <w:lang w:eastAsia="en-US"/>
        </w:rPr>
        <w:br/>
      </w:r>
      <w:r w:rsidRPr="00EF6C7B">
        <w:rPr>
          <w:rFonts w:ascii="Calibri" w:eastAsia="MS Mincho" w:hAnsi="Calibri" w:cs="Times New Roman"/>
          <w:sz w:val="20"/>
          <w:szCs w:val="20"/>
          <w:vertAlign w:val="superscript"/>
          <w:lang w:eastAsia="en-US"/>
        </w:rPr>
        <w:t xml:space="preserve">c </w:t>
      </w:r>
      <w:r w:rsidRPr="00EF6C7B">
        <w:rPr>
          <w:rFonts w:ascii="Calibri" w:eastAsia="MS Mincho" w:hAnsi="Calibri" w:cs="Times New Roman"/>
          <w:sz w:val="20"/>
          <w:szCs w:val="20"/>
          <w:lang w:eastAsia="en-US"/>
        </w:rPr>
        <w:t xml:space="preserve">CLASSIC I and II trials: Response = CDAI reduction </w:t>
      </w:r>
      <w:r w:rsidRPr="00EF6C7B">
        <w:rPr>
          <w:rFonts w:ascii="Calibri" w:eastAsia="MS Mincho" w:hAnsi="Calibri" w:cs="Times New Roman"/>
          <w:sz w:val="20"/>
          <w:szCs w:val="20"/>
          <w:lang w:eastAsia="en-US"/>
        </w:rPr>
        <w:sym w:font="Symbol" w:char="F0B3"/>
      </w:r>
      <w:r w:rsidRPr="00EF6C7B">
        <w:rPr>
          <w:rFonts w:ascii="Calibri" w:eastAsia="MS Mincho" w:hAnsi="Calibri" w:cs="Times New Roman"/>
          <w:sz w:val="20"/>
          <w:szCs w:val="20"/>
          <w:lang w:eastAsia="en-US"/>
        </w:rPr>
        <w:t xml:space="preserve"> 70 points</w:t>
      </w:r>
    </w:p>
    <w:p w:rsidR="00297DC2" w:rsidRDefault="00297DC2">
      <w:pPr>
        <w:spacing w:line="276" w:lineRule="auto"/>
        <w:sectPr w:rsidR="00297DC2" w:rsidSect="00297DC2">
          <w:pgSz w:w="16838" w:h="11906" w:orient="landscape"/>
          <w:pgMar w:top="1588" w:right="1644" w:bottom="1361" w:left="1644" w:header="709" w:footer="709" w:gutter="0"/>
          <w:cols w:space="708"/>
          <w:docGrid w:linePitch="360"/>
        </w:sectPr>
      </w:pPr>
    </w:p>
    <w:p w:rsidR="00394B9F" w:rsidRDefault="00394B9F" w:rsidP="00394B9F">
      <w:r w:rsidRPr="00394B9F">
        <w:lastRenderedPageBreak/>
        <w:t>The DUSC noted that the rates of continuation in the PBS population are substantially higher than rates of remission and response in the key trials as well as the continuation rate in the economic models and financial estimates.</w:t>
      </w:r>
    </w:p>
    <w:p w:rsidR="0002334C" w:rsidRDefault="0002334C" w:rsidP="0002334C">
      <w:pPr>
        <w:pStyle w:val="Heading2"/>
      </w:pPr>
      <w:r>
        <w:t>Infliximab dose in adult patients</w:t>
      </w:r>
    </w:p>
    <w:p w:rsidR="0002334C" w:rsidRPr="00D45A41" w:rsidRDefault="0002334C" w:rsidP="0002334C">
      <w:r>
        <w:t xml:space="preserve">A longitudinal analysis of infliximab dose for both severe and fistulising Crohn’s disease was undertaken for patients who received their first authority approval for infliximab in 2011 and had at least one approval for infliximab in the subsequent years including 2014. The average number of vials approved for infliximab increased between 2011 and 2014 from 3.88 to 4.22. A distribution of the number of vials dispensed is presented in Figure 7. </w:t>
      </w:r>
    </w:p>
    <w:p w:rsidR="0002334C" w:rsidRPr="00FE645A" w:rsidRDefault="0002334C" w:rsidP="0002334C">
      <w:pPr>
        <w:pStyle w:val="Figuretitle"/>
      </w:pPr>
      <w:r>
        <w:rPr>
          <w:noProof/>
          <w:lang w:val="en-AU"/>
        </w:rPr>
        <w:drawing>
          <wp:inline distT="0" distB="0" distL="0" distR="0" wp14:anchorId="4A225960" wp14:editId="215A7E67">
            <wp:extent cx="5699051" cy="2870790"/>
            <wp:effectExtent l="0" t="0" r="16510" b="25400"/>
            <wp:docPr id="7" name="Chart 7" title="The graph shows that the average number of vials approved for infliximab increase between 2011 and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FE645A">
        <w:t xml:space="preserve">Figure </w:t>
      </w:r>
      <w:r>
        <w:t>7</w:t>
      </w:r>
      <w:r w:rsidRPr="00FE645A">
        <w:t xml:space="preserve">: </w:t>
      </w:r>
      <w:r>
        <w:t>Infliximab vial distribution for patients starting treatment in 2011 (n=399)</w:t>
      </w:r>
    </w:p>
    <w:p w:rsidR="0002334C" w:rsidRPr="00FE645A" w:rsidRDefault="0002334C" w:rsidP="0002334C">
      <w:pPr>
        <w:pStyle w:val="Figurecaption"/>
      </w:pPr>
      <w:r>
        <w:t xml:space="preserve">Source: DHS Authority approval database, extracted November 2014. Approvals for 1, 8 and 9 vials have been omitted from the graph due to small patient numbers. </w:t>
      </w:r>
    </w:p>
    <w:p w:rsidR="0002334C" w:rsidRDefault="0002334C" w:rsidP="0002334C">
      <w:r>
        <w:t xml:space="preserve">There has been a gradual increase in the number of vials per approval for this cohort of patients that is reflected both in the average number of vials approved and the results in Figure 7. </w:t>
      </w:r>
    </w:p>
    <w:p w:rsidR="0002334C" w:rsidRDefault="0002334C" w:rsidP="0002334C">
      <w:pPr>
        <w:spacing w:line="276" w:lineRule="auto"/>
        <w:rPr>
          <w:b/>
          <w:i/>
        </w:rPr>
      </w:pPr>
      <w:r>
        <w:br w:type="page"/>
      </w:r>
    </w:p>
    <w:p w:rsidR="0002334C" w:rsidRDefault="0002334C" w:rsidP="0002334C">
      <w:pPr>
        <w:pStyle w:val="Heading2"/>
      </w:pPr>
      <w:r>
        <w:lastRenderedPageBreak/>
        <w:t xml:space="preserve">Age and infliximab dose in paediatric patients </w:t>
      </w:r>
    </w:p>
    <w:p w:rsidR="0002334C" w:rsidRDefault="0002334C" w:rsidP="0002334C">
      <w:r>
        <w:t xml:space="preserve">Figure 8 presents the age of patients who received infliximab for paediatric Crohn’s disease in the 2013-14 financial </w:t>
      </w:r>
      <w:proofErr w:type="gramStart"/>
      <w:r>
        <w:t>year</w:t>
      </w:r>
      <w:proofErr w:type="gramEnd"/>
      <w:r>
        <w:t xml:space="preserve">. </w:t>
      </w:r>
    </w:p>
    <w:p w:rsidR="0002334C" w:rsidRDefault="0002334C" w:rsidP="0002334C">
      <w:pPr>
        <w:pStyle w:val="Figuretitle"/>
      </w:pPr>
      <w:r>
        <w:rPr>
          <w:noProof/>
          <w:lang w:val="en-AU"/>
        </w:rPr>
        <w:drawing>
          <wp:inline distT="0" distB="0" distL="0" distR="0" wp14:anchorId="79DAE608" wp14:editId="1B12F5C2">
            <wp:extent cx="5605153" cy="2386940"/>
            <wp:effectExtent l="0" t="0" r="14605" b="13970"/>
            <wp:docPr id="12" name="Chart 12" title="The graph shows that the majority of paediatric patients are over the age o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2334C" w:rsidRPr="00FE645A" w:rsidRDefault="0002334C" w:rsidP="0002334C">
      <w:pPr>
        <w:pStyle w:val="Figuretitle"/>
      </w:pPr>
      <w:r w:rsidRPr="00FE645A">
        <w:t xml:space="preserve">Figure </w:t>
      </w:r>
      <w:r>
        <w:t>8</w:t>
      </w:r>
      <w:r w:rsidRPr="00FE645A">
        <w:t xml:space="preserve">: </w:t>
      </w:r>
      <w:r>
        <w:t xml:space="preserve">Age of </w:t>
      </w:r>
      <w:proofErr w:type="spellStart"/>
      <w:r>
        <w:t>paediatric</w:t>
      </w:r>
      <w:proofErr w:type="spellEnd"/>
      <w:r>
        <w:t xml:space="preserve"> patients receiving treatment in 2013-14 financial </w:t>
      </w:r>
      <w:proofErr w:type="gramStart"/>
      <w:r>
        <w:t>year</w:t>
      </w:r>
      <w:proofErr w:type="gramEnd"/>
      <w:r>
        <w:t xml:space="preserve"> </w:t>
      </w:r>
    </w:p>
    <w:p w:rsidR="0002334C" w:rsidRDefault="0002334C" w:rsidP="0002334C">
      <w:pPr>
        <w:pStyle w:val="Figurecaption"/>
      </w:pPr>
      <w:r>
        <w:t xml:space="preserve">Source: DHS Supplied prescriptions database, extracted December 2014. </w:t>
      </w:r>
      <w:r>
        <w:br/>
        <w:t>Note: Age was calculated at the date of supply of first prescription in the period.</w:t>
      </w:r>
    </w:p>
    <w:p w:rsidR="0002334C" w:rsidRDefault="0002334C" w:rsidP="0002334C">
      <w:pPr>
        <w:pStyle w:val="Figurecaption"/>
      </w:pPr>
      <w:r>
        <w:t xml:space="preserve"> </w:t>
      </w:r>
    </w:p>
    <w:p w:rsidR="0002334C" w:rsidRDefault="0002334C" w:rsidP="0002334C">
      <w:r>
        <w:t xml:space="preserve">The majority of paediatric patients are aged 13 to 17 years. Approximately 12% of patients who received infliximab under the paediatric Crohn’s disease item codes were aged 19 years or older. </w:t>
      </w:r>
    </w:p>
    <w:p w:rsidR="0002334C" w:rsidRPr="00FE645A" w:rsidRDefault="0002334C" w:rsidP="0002334C">
      <w:r>
        <w:t xml:space="preserve">Figure 9 presents the distribution of vials per prescription supplied to paediatric patients in the 2013-14 financial </w:t>
      </w:r>
      <w:proofErr w:type="gramStart"/>
      <w:r>
        <w:t>year</w:t>
      </w:r>
      <w:proofErr w:type="gramEnd"/>
      <w:r>
        <w:t xml:space="preserve">. </w:t>
      </w:r>
    </w:p>
    <w:p w:rsidR="0002334C" w:rsidRPr="00FE645A" w:rsidRDefault="0002334C" w:rsidP="0002334C">
      <w:pPr>
        <w:pStyle w:val="Figuretitle"/>
      </w:pPr>
      <w:r>
        <w:rPr>
          <w:noProof/>
          <w:lang w:val="en-AU"/>
        </w:rPr>
        <w:drawing>
          <wp:inline distT="0" distB="0" distL="0" distR="0" wp14:anchorId="6E60F65E" wp14:editId="7079DD46">
            <wp:extent cx="5533901" cy="2196935"/>
            <wp:effectExtent l="0" t="0" r="10160" b="13335"/>
            <wp:docPr id="13" name="Chart 13" title="The graph shows that 50% of prescriptions are for 3 vial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br/>
      </w:r>
      <w:r w:rsidRPr="00FE645A">
        <w:t xml:space="preserve">Figure </w:t>
      </w:r>
      <w:r>
        <w:t>9</w:t>
      </w:r>
      <w:r w:rsidRPr="00FE645A">
        <w:t xml:space="preserve">: </w:t>
      </w:r>
      <w:r>
        <w:t xml:space="preserve">Infliximab vial distribution for </w:t>
      </w:r>
      <w:proofErr w:type="spellStart"/>
      <w:r>
        <w:t>paediatric</w:t>
      </w:r>
      <w:proofErr w:type="spellEnd"/>
      <w:r>
        <w:t xml:space="preserve"> patients in 2013-14 financial </w:t>
      </w:r>
      <w:proofErr w:type="gramStart"/>
      <w:r>
        <w:t>year</w:t>
      </w:r>
      <w:proofErr w:type="gramEnd"/>
      <w:r>
        <w:t xml:space="preserve"> (n=1,970 prescriptions)</w:t>
      </w:r>
    </w:p>
    <w:p w:rsidR="0002334C" w:rsidRPr="002D3942" w:rsidRDefault="0002334C" w:rsidP="0002334C">
      <w:pPr>
        <w:rPr>
          <w:sz w:val="20"/>
          <w:szCs w:val="20"/>
          <w:lang w:eastAsia="en-US"/>
        </w:rPr>
      </w:pPr>
      <w:r w:rsidRPr="002D3942">
        <w:rPr>
          <w:sz w:val="20"/>
          <w:szCs w:val="20"/>
          <w:lang w:eastAsia="en-US"/>
        </w:rPr>
        <w:t>Source: DHS Supplied prescriptions database, extracted December 2014.</w:t>
      </w:r>
    </w:p>
    <w:p w:rsidR="0002334C" w:rsidRDefault="0002334C" w:rsidP="0002334C">
      <w:pPr>
        <w:spacing w:line="276" w:lineRule="auto"/>
        <w:sectPr w:rsidR="0002334C" w:rsidSect="00297DC2">
          <w:pgSz w:w="11906" w:h="16838"/>
          <w:pgMar w:top="1644" w:right="1361" w:bottom="1644" w:left="1588" w:header="709" w:footer="709" w:gutter="0"/>
          <w:cols w:space="708"/>
          <w:docGrid w:linePitch="360"/>
        </w:sectPr>
      </w:pPr>
      <w:r>
        <w:t xml:space="preserve">The average of 3.27 vials per prescription was supplied to paediatric patients in the 2013-14 financial </w:t>
      </w:r>
      <w:proofErr w:type="gramStart"/>
      <w:r>
        <w:t>year</w:t>
      </w:r>
      <w:proofErr w:type="gramEnd"/>
      <w:r>
        <w:t xml:space="preserve">. This is </w:t>
      </w:r>
      <w:r w:rsidRPr="00BE5A25">
        <w:t>higher</w:t>
      </w:r>
      <w:r>
        <w:t xml:space="preserve"> than predicted. </w:t>
      </w:r>
    </w:p>
    <w:p w:rsidR="0002334C" w:rsidRPr="005E22C2" w:rsidRDefault="0002334C" w:rsidP="0002334C">
      <w:pPr>
        <w:pStyle w:val="Heading3"/>
      </w:pPr>
      <w:r w:rsidRPr="005E22C2">
        <w:lastRenderedPageBreak/>
        <w:t xml:space="preserve">Analysis of </w:t>
      </w:r>
      <w:r>
        <w:t>e</w:t>
      </w:r>
      <w:r w:rsidRPr="005E22C2">
        <w:t>xpenditure</w:t>
      </w:r>
    </w:p>
    <w:p w:rsidR="0002334C" w:rsidRDefault="0002334C" w:rsidP="0002334C">
      <w:r>
        <w:t xml:space="preserve">Table </w:t>
      </w:r>
      <w:r w:rsidR="00156164">
        <w:t>11</w:t>
      </w:r>
      <w:r>
        <w:t xml:space="preserve"> presents the PBS expenditure on </w:t>
      </w:r>
      <w:proofErr w:type="spellStart"/>
      <w:r>
        <w:t>adalimumab</w:t>
      </w:r>
      <w:proofErr w:type="spellEnd"/>
      <w:r>
        <w:t xml:space="preserve"> and infliximab for Crohn’s disease. </w:t>
      </w:r>
    </w:p>
    <w:p w:rsidR="0002334C" w:rsidRDefault="0002334C" w:rsidP="0002334C">
      <w:pPr>
        <w:pStyle w:val="Tabletitle"/>
      </w:pPr>
      <w:r>
        <w:t>Table 1</w:t>
      </w:r>
      <w:r w:rsidR="00156164">
        <w:t>1</w:t>
      </w:r>
      <w:r>
        <w:t>: PBS expenditure on infliximab on Crohn’s disease</w:t>
      </w:r>
    </w:p>
    <w:tbl>
      <w:tblPr>
        <w:tblStyle w:val="TableGrid"/>
        <w:tblW w:w="0" w:type="auto"/>
        <w:tblLook w:val="04A0" w:firstRow="1" w:lastRow="0" w:firstColumn="1" w:lastColumn="0" w:noHBand="0" w:noVBand="1"/>
        <w:tblCaption w:val="the years are listed in the top row, the first column lists the different indications, read across the row for the values for 2007 - 2014"/>
      </w:tblPr>
      <w:tblGrid>
        <w:gridCol w:w="1529"/>
        <w:gridCol w:w="1529"/>
        <w:gridCol w:w="1529"/>
        <w:gridCol w:w="1529"/>
        <w:gridCol w:w="1530"/>
        <w:gridCol w:w="1530"/>
        <w:gridCol w:w="1530"/>
        <w:gridCol w:w="1530"/>
        <w:gridCol w:w="1530"/>
      </w:tblGrid>
      <w:tr w:rsidR="0002334C" w:rsidTr="00164524">
        <w:trPr>
          <w:tblHeader/>
        </w:trPr>
        <w:tc>
          <w:tcPr>
            <w:tcW w:w="1529" w:type="dxa"/>
            <w:shd w:val="clear" w:color="auto" w:fill="BFBFBF" w:themeFill="background1" w:themeFillShade="BF"/>
          </w:tcPr>
          <w:p w:rsidR="0002334C" w:rsidRPr="003441D7" w:rsidRDefault="0002334C" w:rsidP="005C4223">
            <w:pPr>
              <w:rPr>
                <w:b/>
              </w:rPr>
            </w:pPr>
          </w:p>
        </w:tc>
        <w:tc>
          <w:tcPr>
            <w:tcW w:w="1529"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2007</w:t>
            </w:r>
          </w:p>
        </w:tc>
        <w:tc>
          <w:tcPr>
            <w:tcW w:w="1529"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2008</w:t>
            </w:r>
          </w:p>
        </w:tc>
        <w:tc>
          <w:tcPr>
            <w:tcW w:w="1529"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2009</w:t>
            </w:r>
          </w:p>
        </w:tc>
        <w:tc>
          <w:tcPr>
            <w:tcW w:w="1530"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2010</w:t>
            </w:r>
          </w:p>
        </w:tc>
        <w:tc>
          <w:tcPr>
            <w:tcW w:w="1530"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2011</w:t>
            </w:r>
          </w:p>
        </w:tc>
        <w:tc>
          <w:tcPr>
            <w:tcW w:w="1530"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2012</w:t>
            </w:r>
          </w:p>
        </w:tc>
        <w:tc>
          <w:tcPr>
            <w:tcW w:w="1530"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2013</w:t>
            </w:r>
          </w:p>
        </w:tc>
        <w:tc>
          <w:tcPr>
            <w:tcW w:w="1530" w:type="dxa"/>
            <w:shd w:val="clear" w:color="auto" w:fill="BFBFBF" w:themeFill="background1" w:themeFillShade="BF"/>
            <w:vAlign w:val="bottom"/>
          </w:tcPr>
          <w:p w:rsidR="0002334C" w:rsidRPr="003441D7" w:rsidRDefault="0002334C" w:rsidP="005C4223">
            <w:pPr>
              <w:pStyle w:val="Tablewriting"/>
              <w:jc w:val="center"/>
              <w:rPr>
                <w:b/>
              </w:rPr>
            </w:pPr>
            <w:r w:rsidRPr="003441D7">
              <w:rPr>
                <w:b/>
              </w:rPr>
              <w:t>2014 (first half)</w:t>
            </w:r>
          </w:p>
        </w:tc>
      </w:tr>
      <w:tr w:rsidR="00F82EDD" w:rsidTr="005C4223">
        <w:tc>
          <w:tcPr>
            <w:tcW w:w="1529" w:type="dxa"/>
            <w:vAlign w:val="bottom"/>
          </w:tcPr>
          <w:p w:rsidR="00F82EDD" w:rsidRPr="0086300B" w:rsidRDefault="00F82EDD" w:rsidP="0086300B">
            <w:pPr>
              <w:pStyle w:val="Tablewriting"/>
            </w:pPr>
            <w:r w:rsidRPr="0086300B">
              <w:t>Fistulising</w:t>
            </w:r>
          </w:p>
        </w:tc>
        <w:tc>
          <w:tcPr>
            <w:tcW w:w="1529" w:type="dxa"/>
            <w:vAlign w:val="center"/>
          </w:tcPr>
          <w:p w:rsidR="00F82EDD" w:rsidRPr="0086300B" w:rsidRDefault="00F82EDD" w:rsidP="0086300B">
            <w:pPr>
              <w:pStyle w:val="Tablewriting"/>
              <w:jc w:val="right"/>
            </w:pPr>
            <w:r w:rsidRPr="0086300B">
              <w:t>Not yet listed</w:t>
            </w:r>
          </w:p>
        </w:tc>
        <w:tc>
          <w:tcPr>
            <w:tcW w:w="1529" w:type="dxa"/>
            <w:vAlign w:val="center"/>
          </w:tcPr>
          <w:p w:rsidR="00F82EDD" w:rsidRPr="0086300B" w:rsidRDefault="00F82EDD" w:rsidP="0086300B">
            <w:pPr>
              <w:pStyle w:val="Tablewriting"/>
              <w:jc w:val="right"/>
            </w:pPr>
            <w:r w:rsidRPr="0086300B">
              <w:t>Not yet listed</w:t>
            </w:r>
          </w:p>
        </w:tc>
        <w:tc>
          <w:tcPr>
            <w:tcW w:w="1529" w:type="dxa"/>
            <w:vAlign w:val="center"/>
          </w:tcPr>
          <w:p w:rsidR="00F82EDD" w:rsidRPr="0086300B" w:rsidRDefault="00F82EDD" w:rsidP="0086300B">
            <w:pPr>
              <w:pStyle w:val="Tablewriting"/>
              <w:jc w:val="right"/>
            </w:pPr>
            <w:r w:rsidRPr="0086300B">
              <w:t>Not yet listed</w:t>
            </w:r>
          </w:p>
        </w:tc>
        <w:tc>
          <w:tcPr>
            <w:tcW w:w="1530" w:type="dxa"/>
            <w:vAlign w:val="center"/>
          </w:tcPr>
          <w:p w:rsidR="00F82EDD" w:rsidRPr="0086300B" w:rsidRDefault="00F82EDD" w:rsidP="0086300B">
            <w:pPr>
              <w:pStyle w:val="Tablewriting"/>
              <w:jc w:val="right"/>
            </w:pPr>
            <w:r w:rsidRPr="0086300B">
              <w:t>$1,225,010</w:t>
            </w:r>
          </w:p>
        </w:tc>
        <w:tc>
          <w:tcPr>
            <w:tcW w:w="1530" w:type="dxa"/>
            <w:vAlign w:val="center"/>
          </w:tcPr>
          <w:p w:rsidR="00F82EDD" w:rsidRPr="0086300B" w:rsidRDefault="00F82EDD" w:rsidP="0086300B">
            <w:pPr>
              <w:pStyle w:val="Tablewriting"/>
              <w:jc w:val="right"/>
            </w:pPr>
            <w:r w:rsidRPr="0086300B">
              <w:t>$5,624,015</w:t>
            </w:r>
          </w:p>
        </w:tc>
        <w:tc>
          <w:tcPr>
            <w:tcW w:w="1530" w:type="dxa"/>
            <w:vAlign w:val="center"/>
          </w:tcPr>
          <w:p w:rsidR="00F82EDD" w:rsidRPr="0086300B" w:rsidRDefault="00F82EDD" w:rsidP="0086300B">
            <w:pPr>
              <w:pStyle w:val="Tablewriting"/>
              <w:jc w:val="right"/>
            </w:pPr>
            <w:r w:rsidRPr="0086300B">
              <w:t>$7,664,945</w:t>
            </w:r>
          </w:p>
        </w:tc>
        <w:tc>
          <w:tcPr>
            <w:tcW w:w="1530" w:type="dxa"/>
            <w:vAlign w:val="center"/>
          </w:tcPr>
          <w:p w:rsidR="00F82EDD" w:rsidRPr="0086300B" w:rsidRDefault="00F82EDD" w:rsidP="0086300B">
            <w:pPr>
              <w:pStyle w:val="Tablewriting"/>
              <w:jc w:val="right"/>
            </w:pPr>
            <w:r w:rsidRPr="0086300B">
              <w:t>$10,490,349</w:t>
            </w:r>
          </w:p>
        </w:tc>
        <w:tc>
          <w:tcPr>
            <w:tcW w:w="1530" w:type="dxa"/>
            <w:vAlign w:val="center"/>
          </w:tcPr>
          <w:p w:rsidR="00F82EDD" w:rsidRPr="0086300B" w:rsidRDefault="00F82EDD" w:rsidP="0086300B">
            <w:pPr>
              <w:pStyle w:val="Tablewriting"/>
              <w:jc w:val="right"/>
            </w:pPr>
            <w:r w:rsidRPr="0086300B">
              <w:t>$6,172,992</w:t>
            </w:r>
          </w:p>
        </w:tc>
      </w:tr>
      <w:tr w:rsidR="00F82EDD" w:rsidTr="005C4223">
        <w:tc>
          <w:tcPr>
            <w:tcW w:w="1529" w:type="dxa"/>
            <w:vAlign w:val="bottom"/>
          </w:tcPr>
          <w:p w:rsidR="00F82EDD" w:rsidRPr="0086300B" w:rsidRDefault="00F82EDD" w:rsidP="0086300B">
            <w:pPr>
              <w:pStyle w:val="Tablewriting"/>
            </w:pPr>
            <w:r w:rsidRPr="0086300B">
              <w:t>Paediatric</w:t>
            </w:r>
          </w:p>
        </w:tc>
        <w:tc>
          <w:tcPr>
            <w:tcW w:w="1529" w:type="dxa"/>
            <w:vAlign w:val="center"/>
          </w:tcPr>
          <w:p w:rsidR="00F82EDD" w:rsidRPr="0086300B" w:rsidRDefault="00F82EDD" w:rsidP="0086300B">
            <w:pPr>
              <w:pStyle w:val="Tablewriting"/>
              <w:jc w:val="right"/>
            </w:pPr>
            <w:r w:rsidRPr="0086300B">
              <w:t>$95,608</w:t>
            </w:r>
          </w:p>
        </w:tc>
        <w:tc>
          <w:tcPr>
            <w:tcW w:w="1529" w:type="dxa"/>
            <w:vAlign w:val="center"/>
          </w:tcPr>
          <w:p w:rsidR="00F82EDD" w:rsidRPr="0086300B" w:rsidRDefault="00F82EDD" w:rsidP="0086300B">
            <w:pPr>
              <w:pStyle w:val="Tablewriting"/>
              <w:jc w:val="right"/>
            </w:pPr>
            <w:r w:rsidRPr="0086300B">
              <w:t>$655,264</w:t>
            </w:r>
          </w:p>
        </w:tc>
        <w:tc>
          <w:tcPr>
            <w:tcW w:w="1529" w:type="dxa"/>
            <w:vAlign w:val="center"/>
          </w:tcPr>
          <w:p w:rsidR="00F82EDD" w:rsidRPr="0086300B" w:rsidRDefault="00F82EDD" w:rsidP="0086300B">
            <w:pPr>
              <w:pStyle w:val="Tablewriting"/>
              <w:jc w:val="right"/>
            </w:pPr>
            <w:r w:rsidRPr="0086300B">
              <w:t>$1,278,383</w:t>
            </w:r>
          </w:p>
        </w:tc>
        <w:tc>
          <w:tcPr>
            <w:tcW w:w="1530" w:type="dxa"/>
            <w:vAlign w:val="center"/>
          </w:tcPr>
          <w:p w:rsidR="00F82EDD" w:rsidRPr="0086300B" w:rsidRDefault="00F82EDD" w:rsidP="0086300B">
            <w:pPr>
              <w:pStyle w:val="Tablewriting"/>
              <w:jc w:val="right"/>
            </w:pPr>
            <w:r w:rsidRPr="0086300B">
              <w:t>$2,277,511</w:t>
            </w:r>
          </w:p>
        </w:tc>
        <w:tc>
          <w:tcPr>
            <w:tcW w:w="1530" w:type="dxa"/>
            <w:vAlign w:val="center"/>
          </w:tcPr>
          <w:p w:rsidR="00F82EDD" w:rsidRPr="0086300B" w:rsidRDefault="00F82EDD" w:rsidP="0086300B">
            <w:pPr>
              <w:pStyle w:val="Tablewriting"/>
              <w:jc w:val="right"/>
            </w:pPr>
            <w:r w:rsidRPr="0086300B">
              <w:t>$2,521,470</w:t>
            </w:r>
          </w:p>
        </w:tc>
        <w:tc>
          <w:tcPr>
            <w:tcW w:w="1530" w:type="dxa"/>
            <w:vAlign w:val="center"/>
          </w:tcPr>
          <w:p w:rsidR="00F82EDD" w:rsidRPr="0086300B" w:rsidRDefault="00F82EDD" w:rsidP="0086300B">
            <w:pPr>
              <w:pStyle w:val="Tablewriting"/>
              <w:jc w:val="right"/>
            </w:pPr>
            <w:r w:rsidRPr="0086300B">
              <w:t>$3,080,502</w:t>
            </w:r>
          </w:p>
        </w:tc>
        <w:tc>
          <w:tcPr>
            <w:tcW w:w="1530" w:type="dxa"/>
            <w:vAlign w:val="center"/>
          </w:tcPr>
          <w:p w:rsidR="00F82EDD" w:rsidRPr="0086300B" w:rsidRDefault="00F82EDD" w:rsidP="0086300B">
            <w:pPr>
              <w:pStyle w:val="Tablewriting"/>
              <w:jc w:val="right"/>
            </w:pPr>
            <w:r w:rsidRPr="0086300B">
              <w:t>$4,230,808</w:t>
            </w:r>
          </w:p>
        </w:tc>
        <w:tc>
          <w:tcPr>
            <w:tcW w:w="1530" w:type="dxa"/>
            <w:vAlign w:val="center"/>
          </w:tcPr>
          <w:p w:rsidR="00F82EDD" w:rsidRPr="0086300B" w:rsidRDefault="00F82EDD" w:rsidP="0086300B">
            <w:pPr>
              <w:pStyle w:val="Tablewriting"/>
              <w:jc w:val="right"/>
            </w:pPr>
            <w:r w:rsidRPr="0086300B">
              <w:t>$2,587,912</w:t>
            </w:r>
          </w:p>
        </w:tc>
      </w:tr>
      <w:tr w:rsidR="00F82EDD" w:rsidTr="005C4223">
        <w:tc>
          <w:tcPr>
            <w:tcW w:w="1529" w:type="dxa"/>
            <w:vAlign w:val="bottom"/>
          </w:tcPr>
          <w:p w:rsidR="00F82EDD" w:rsidRPr="0086300B" w:rsidRDefault="00F82EDD" w:rsidP="0086300B">
            <w:pPr>
              <w:pStyle w:val="Tablewriting"/>
            </w:pPr>
            <w:r w:rsidRPr="0086300B">
              <w:t>Severe</w:t>
            </w:r>
          </w:p>
        </w:tc>
        <w:tc>
          <w:tcPr>
            <w:tcW w:w="1529" w:type="dxa"/>
            <w:vAlign w:val="center"/>
          </w:tcPr>
          <w:p w:rsidR="00F82EDD" w:rsidRPr="0086300B" w:rsidRDefault="00F82EDD" w:rsidP="0086300B">
            <w:pPr>
              <w:pStyle w:val="Tablewriting"/>
              <w:jc w:val="right"/>
            </w:pPr>
            <w:r w:rsidRPr="0086300B">
              <w:t>$1,205,370</w:t>
            </w:r>
          </w:p>
        </w:tc>
        <w:tc>
          <w:tcPr>
            <w:tcW w:w="1529" w:type="dxa"/>
            <w:vAlign w:val="center"/>
          </w:tcPr>
          <w:p w:rsidR="00F82EDD" w:rsidRPr="0086300B" w:rsidRDefault="00F82EDD" w:rsidP="0086300B">
            <w:pPr>
              <w:pStyle w:val="Tablewriting"/>
              <w:jc w:val="right"/>
            </w:pPr>
            <w:r w:rsidRPr="0086300B">
              <w:t>$9,987,591</w:t>
            </w:r>
          </w:p>
        </w:tc>
        <w:tc>
          <w:tcPr>
            <w:tcW w:w="1529" w:type="dxa"/>
            <w:vAlign w:val="center"/>
          </w:tcPr>
          <w:p w:rsidR="00F82EDD" w:rsidRPr="0086300B" w:rsidRDefault="00F82EDD" w:rsidP="0086300B">
            <w:pPr>
              <w:pStyle w:val="Tablewriting"/>
              <w:jc w:val="right"/>
            </w:pPr>
            <w:r w:rsidRPr="0086300B">
              <w:t>$13,855,304</w:t>
            </w:r>
          </w:p>
        </w:tc>
        <w:tc>
          <w:tcPr>
            <w:tcW w:w="1530" w:type="dxa"/>
            <w:vAlign w:val="center"/>
          </w:tcPr>
          <w:p w:rsidR="00F82EDD" w:rsidRPr="0086300B" w:rsidRDefault="00F82EDD" w:rsidP="0086300B">
            <w:pPr>
              <w:pStyle w:val="Tablewriting"/>
              <w:jc w:val="right"/>
            </w:pPr>
            <w:r w:rsidRPr="0086300B">
              <w:t>$18,093,409</w:t>
            </w:r>
          </w:p>
        </w:tc>
        <w:tc>
          <w:tcPr>
            <w:tcW w:w="1530" w:type="dxa"/>
            <w:vAlign w:val="center"/>
          </w:tcPr>
          <w:p w:rsidR="00F82EDD" w:rsidRPr="0086300B" w:rsidRDefault="00F82EDD" w:rsidP="0086300B">
            <w:pPr>
              <w:pStyle w:val="Tablewriting"/>
              <w:jc w:val="right"/>
            </w:pPr>
            <w:r w:rsidRPr="0086300B">
              <w:t>$22,461,247</w:t>
            </w:r>
          </w:p>
        </w:tc>
        <w:tc>
          <w:tcPr>
            <w:tcW w:w="1530" w:type="dxa"/>
            <w:vAlign w:val="center"/>
          </w:tcPr>
          <w:p w:rsidR="00F82EDD" w:rsidRPr="0086300B" w:rsidRDefault="00F82EDD" w:rsidP="0086300B">
            <w:pPr>
              <w:pStyle w:val="Tablewriting"/>
              <w:jc w:val="right"/>
            </w:pPr>
            <w:r w:rsidRPr="0086300B">
              <w:t>$26,792,579</w:t>
            </w:r>
          </w:p>
        </w:tc>
        <w:tc>
          <w:tcPr>
            <w:tcW w:w="1530" w:type="dxa"/>
            <w:vAlign w:val="center"/>
          </w:tcPr>
          <w:p w:rsidR="00F82EDD" w:rsidRPr="0086300B" w:rsidRDefault="00F82EDD" w:rsidP="0086300B">
            <w:pPr>
              <w:pStyle w:val="Tablewriting"/>
              <w:jc w:val="right"/>
            </w:pPr>
            <w:r w:rsidRPr="0086300B">
              <w:t>$32,433,898</w:t>
            </w:r>
          </w:p>
        </w:tc>
        <w:tc>
          <w:tcPr>
            <w:tcW w:w="1530" w:type="dxa"/>
            <w:vAlign w:val="center"/>
          </w:tcPr>
          <w:p w:rsidR="00F82EDD" w:rsidRPr="0086300B" w:rsidRDefault="00F82EDD" w:rsidP="0086300B">
            <w:pPr>
              <w:pStyle w:val="Tablewriting"/>
              <w:jc w:val="right"/>
            </w:pPr>
            <w:r w:rsidRPr="0086300B">
              <w:t>$18,896,873</w:t>
            </w:r>
          </w:p>
        </w:tc>
      </w:tr>
      <w:tr w:rsidR="00F82EDD" w:rsidTr="005C4223">
        <w:tc>
          <w:tcPr>
            <w:tcW w:w="1529" w:type="dxa"/>
          </w:tcPr>
          <w:p w:rsidR="00F82EDD" w:rsidRPr="0086300B" w:rsidRDefault="00F82EDD" w:rsidP="0086300B">
            <w:pPr>
              <w:pStyle w:val="Tablewriting"/>
            </w:pPr>
            <w:r w:rsidRPr="0086300B">
              <w:t>Total</w:t>
            </w:r>
            <w:r w:rsidR="0086300B">
              <w:t xml:space="preserve"> </w:t>
            </w:r>
            <w:r w:rsidR="0086300B" w:rsidRPr="0086300B">
              <w:t>Crohn's disease</w:t>
            </w:r>
          </w:p>
        </w:tc>
        <w:tc>
          <w:tcPr>
            <w:tcW w:w="1529" w:type="dxa"/>
            <w:vAlign w:val="center"/>
          </w:tcPr>
          <w:p w:rsidR="00F82EDD" w:rsidRPr="0086300B" w:rsidRDefault="00F82EDD" w:rsidP="0086300B">
            <w:pPr>
              <w:pStyle w:val="Tablewriting"/>
              <w:jc w:val="right"/>
            </w:pPr>
            <w:r w:rsidRPr="0086300B">
              <w:t>$1,300,978</w:t>
            </w:r>
          </w:p>
        </w:tc>
        <w:tc>
          <w:tcPr>
            <w:tcW w:w="1529" w:type="dxa"/>
            <w:vAlign w:val="center"/>
          </w:tcPr>
          <w:p w:rsidR="00F82EDD" w:rsidRPr="0086300B" w:rsidRDefault="00F82EDD" w:rsidP="0086300B">
            <w:pPr>
              <w:pStyle w:val="Tablewriting"/>
              <w:jc w:val="right"/>
            </w:pPr>
            <w:r w:rsidRPr="0086300B">
              <w:t>$10,642,855</w:t>
            </w:r>
          </w:p>
        </w:tc>
        <w:tc>
          <w:tcPr>
            <w:tcW w:w="1529" w:type="dxa"/>
            <w:vAlign w:val="center"/>
          </w:tcPr>
          <w:p w:rsidR="00F82EDD" w:rsidRPr="0086300B" w:rsidRDefault="00F82EDD" w:rsidP="0086300B">
            <w:pPr>
              <w:pStyle w:val="Tablewriting"/>
              <w:jc w:val="right"/>
            </w:pPr>
            <w:r w:rsidRPr="0086300B">
              <w:t>$15,133,687</w:t>
            </w:r>
          </w:p>
        </w:tc>
        <w:tc>
          <w:tcPr>
            <w:tcW w:w="1530" w:type="dxa"/>
            <w:vAlign w:val="center"/>
          </w:tcPr>
          <w:p w:rsidR="00F82EDD" w:rsidRPr="0086300B" w:rsidRDefault="00F82EDD" w:rsidP="0086300B">
            <w:pPr>
              <w:pStyle w:val="Tablewriting"/>
              <w:jc w:val="right"/>
            </w:pPr>
            <w:r w:rsidRPr="0086300B">
              <w:t>$21,595,930</w:t>
            </w:r>
          </w:p>
        </w:tc>
        <w:tc>
          <w:tcPr>
            <w:tcW w:w="1530" w:type="dxa"/>
            <w:vAlign w:val="center"/>
          </w:tcPr>
          <w:p w:rsidR="00F82EDD" w:rsidRPr="0086300B" w:rsidRDefault="00F82EDD" w:rsidP="0086300B">
            <w:pPr>
              <w:pStyle w:val="Tablewriting"/>
              <w:jc w:val="right"/>
            </w:pPr>
            <w:r w:rsidRPr="0086300B">
              <w:t>$30,606,732</w:t>
            </w:r>
          </w:p>
        </w:tc>
        <w:tc>
          <w:tcPr>
            <w:tcW w:w="1530" w:type="dxa"/>
            <w:vAlign w:val="center"/>
          </w:tcPr>
          <w:p w:rsidR="00F82EDD" w:rsidRPr="0086300B" w:rsidRDefault="00F82EDD" w:rsidP="0086300B">
            <w:pPr>
              <w:pStyle w:val="Tablewriting"/>
              <w:jc w:val="right"/>
            </w:pPr>
            <w:r w:rsidRPr="0086300B">
              <w:t>$37,538,026</w:t>
            </w:r>
          </w:p>
        </w:tc>
        <w:tc>
          <w:tcPr>
            <w:tcW w:w="1530" w:type="dxa"/>
            <w:vAlign w:val="center"/>
          </w:tcPr>
          <w:p w:rsidR="00F82EDD" w:rsidRPr="0086300B" w:rsidRDefault="00F82EDD" w:rsidP="0086300B">
            <w:pPr>
              <w:pStyle w:val="Tablewriting"/>
              <w:jc w:val="right"/>
            </w:pPr>
            <w:r w:rsidRPr="0086300B">
              <w:t>$47,155,055</w:t>
            </w:r>
          </w:p>
        </w:tc>
        <w:tc>
          <w:tcPr>
            <w:tcW w:w="1530" w:type="dxa"/>
            <w:vAlign w:val="center"/>
          </w:tcPr>
          <w:p w:rsidR="00F82EDD" w:rsidRPr="0086300B" w:rsidRDefault="00F82EDD" w:rsidP="0086300B">
            <w:pPr>
              <w:pStyle w:val="Tablewriting"/>
              <w:jc w:val="right"/>
            </w:pPr>
            <w:r w:rsidRPr="0086300B">
              <w:t>$27,657,777</w:t>
            </w:r>
          </w:p>
        </w:tc>
      </w:tr>
    </w:tbl>
    <w:p w:rsidR="0002334C" w:rsidRDefault="0002334C" w:rsidP="0002334C">
      <w:pPr>
        <w:pStyle w:val="Figurecaption"/>
      </w:pPr>
      <w:r>
        <w:t>Source: DHS Supplied Prescriptions Database, extracted December 2014 (</w:t>
      </w:r>
      <w:proofErr w:type="spellStart"/>
      <w:r>
        <w:t>adalimumab</w:t>
      </w:r>
      <w:proofErr w:type="spellEnd"/>
      <w:r>
        <w:t>), DUSC HSD Database, extracted December 2014 (infliximab)</w:t>
      </w:r>
    </w:p>
    <w:p w:rsidR="0087624C" w:rsidRDefault="0087624C" w:rsidP="0087624C">
      <w:pPr>
        <w:pStyle w:val="Tabletitle"/>
      </w:pPr>
      <w:r>
        <w:t xml:space="preserve">Table 11: PBS expenditure on </w:t>
      </w:r>
      <w:proofErr w:type="spellStart"/>
      <w:r>
        <w:t>adalimumab</w:t>
      </w:r>
      <w:proofErr w:type="spellEnd"/>
      <w:r>
        <w:t xml:space="preserve"> on Crohn’s disease</w:t>
      </w:r>
    </w:p>
    <w:tbl>
      <w:tblPr>
        <w:tblStyle w:val="TableGrid"/>
        <w:tblW w:w="0" w:type="auto"/>
        <w:tblLook w:val="04A0" w:firstRow="1" w:lastRow="0" w:firstColumn="1" w:lastColumn="0" w:noHBand="0" w:noVBand="1"/>
        <w:tblCaption w:val="the years are listed in the top row, the first column lists the different indications, read across the row for the values for 2007 - 2014"/>
      </w:tblPr>
      <w:tblGrid>
        <w:gridCol w:w="1529"/>
        <w:gridCol w:w="1529"/>
        <w:gridCol w:w="1529"/>
        <w:gridCol w:w="1529"/>
        <w:gridCol w:w="1530"/>
        <w:gridCol w:w="1530"/>
        <w:gridCol w:w="1530"/>
        <w:gridCol w:w="1530"/>
        <w:gridCol w:w="1530"/>
      </w:tblGrid>
      <w:tr w:rsidR="0087624C" w:rsidRPr="003441D7" w:rsidTr="003F4C85">
        <w:trPr>
          <w:tblHeader/>
        </w:trPr>
        <w:tc>
          <w:tcPr>
            <w:tcW w:w="1529" w:type="dxa"/>
            <w:shd w:val="clear" w:color="auto" w:fill="BFBFBF" w:themeFill="background1" w:themeFillShade="BF"/>
          </w:tcPr>
          <w:p w:rsidR="0087624C" w:rsidRDefault="0087624C" w:rsidP="005C4223">
            <w:pPr>
              <w:pStyle w:val="Tablewriting"/>
            </w:pPr>
          </w:p>
        </w:tc>
        <w:tc>
          <w:tcPr>
            <w:tcW w:w="1529" w:type="dxa"/>
            <w:shd w:val="clear" w:color="auto" w:fill="BFBFBF" w:themeFill="background1" w:themeFillShade="BF"/>
            <w:vAlign w:val="bottom"/>
          </w:tcPr>
          <w:p w:rsidR="0087624C" w:rsidRPr="003441D7" w:rsidRDefault="0087624C" w:rsidP="0086300B">
            <w:pPr>
              <w:pStyle w:val="Tablewriting"/>
              <w:jc w:val="center"/>
            </w:pPr>
            <w:r w:rsidRPr="003441D7">
              <w:rPr>
                <w:b/>
              </w:rPr>
              <w:t>2007</w:t>
            </w:r>
          </w:p>
        </w:tc>
        <w:tc>
          <w:tcPr>
            <w:tcW w:w="1529" w:type="dxa"/>
            <w:shd w:val="clear" w:color="auto" w:fill="BFBFBF" w:themeFill="background1" w:themeFillShade="BF"/>
            <w:vAlign w:val="bottom"/>
          </w:tcPr>
          <w:p w:rsidR="0087624C" w:rsidRPr="003441D7" w:rsidRDefault="0087624C" w:rsidP="0086300B">
            <w:pPr>
              <w:pStyle w:val="Tablewriting"/>
              <w:jc w:val="center"/>
            </w:pPr>
            <w:r w:rsidRPr="003441D7">
              <w:rPr>
                <w:b/>
              </w:rPr>
              <w:t>2008</w:t>
            </w:r>
          </w:p>
        </w:tc>
        <w:tc>
          <w:tcPr>
            <w:tcW w:w="1529" w:type="dxa"/>
            <w:shd w:val="clear" w:color="auto" w:fill="BFBFBF" w:themeFill="background1" w:themeFillShade="BF"/>
            <w:vAlign w:val="bottom"/>
          </w:tcPr>
          <w:p w:rsidR="0087624C" w:rsidRPr="003441D7" w:rsidRDefault="0087624C" w:rsidP="0086300B">
            <w:pPr>
              <w:pStyle w:val="Tablewriting"/>
              <w:jc w:val="center"/>
            </w:pPr>
            <w:r w:rsidRPr="003441D7">
              <w:rPr>
                <w:b/>
              </w:rPr>
              <w:t>2009</w:t>
            </w:r>
          </w:p>
        </w:tc>
        <w:tc>
          <w:tcPr>
            <w:tcW w:w="1530" w:type="dxa"/>
            <w:shd w:val="clear" w:color="auto" w:fill="BFBFBF" w:themeFill="background1" w:themeFillShade="BF"/>
            <w:vAlign w:val="bottom"/>
          </w:tcPr>
          <w:p w:rsidR="0087624C" w:rsidRPr="003441D7" w:rsidRDefault="0087624C" w:rsidP="0086300B">
            <w:pPr>
              <w:pStyle w:val="Tablewriting"/>
              <w:jc w:val="center"/>
            </w:pPr>
            <w:r w:rsidRPr="003441D7">
              <w:rPr>
                <w:b/>
              </w:rPr>
              <w:t>2010</w:t>
            </w:r>
          </w:p>
        </w:tc>
        <w:tc>
          <w:tcPr>
            <w:tcW w:w="1530" w:type="dxa"/>
            <w:shd w:val="clear" w:color="auto" w:fill="BFBFBF" w:themeFill="background1" w:themeFillShade="BF"/>
            <w:vAlign w:val="bottom"/>
          </w:tcPr>
          <w:p w:rsidR="0087624C" w:rsidRPr="003441D7" w:rsidRDefault="0087624C" w:rsidP="0086300B">
            <w:pPr>
              <w:pStyle w:val="Tablewriting"/>
              <w:jc w:val="center"/>
            </w:pPr>
            <w:r w:rsidRPr="003441D7">
              <w:rPr>
                <w:b/>
              </w:rPr>
              <w:t>2011</w:t>
            </w:r>
          </w:p>
        </w:tc>
        <w:tc>
          <w:tcPr>
            <w:tcW w:w="1530" w:type="dxa"/>
            <w:shd w:val="clear" w:color="auto" w:fill="BFBFBF" w:themeFill="background1" w:themeFillShade="BF"/>
            <w:vAlign w:val="bottom"/>
          </w:tcPr>
          <w:p w:rsidR="0087624C" w:rsidRPr="003441D7" w:rsidRDefault="0087624C" w:rsidP="0086300B">
            <w:pPr>
              <w:pStyle w:val="Tablewriting"/>
              <w:jc w:val="center"/>
            </w:pPr>
            <w:r w:rsidRPr="003441D7">
              <w:rPr>
                <w:b/>
              </w:rPr>
              <w:t>2012</w:t>
            </w:r>
          </w:p>
        </w:tc>
        <w:tc>
          <w:tcPr>
            <w:tcW w:w="1530" w:type="dxa"/>
            <w:shd w:val="clear" w:color="auto" w:fill="BFBFBF" w:themeFill="background1" w:themeFillShade="BF"/>
            <w:vAlign w:val="bottom"/>
          </w:tcPr>
          <w:p w:rsidR="0087624C" w:rsidRPr="003441D7" w:rsidRDefault="0087624C" w:rsidP="0086300B">
            <w:pPr>
              <w:pStyle w:val="Tablewriting"/>
              <w:jc w:val="center"/>
            </w:pPr>
            <w:r w:rsidRPr="003441D7">
              <w:rPr>
                <w:b/>
              </w:rPr>
              <w:t>2013</w:t>
            </w:r>
          </w:p>
        </w:tc>
        <w:tc>
          <w:tcPr>
            <w:tcW w:w="1530" w:type="dxa"/>
            <w:shd w:val="clear" w:color="auto" w:fill="BFBFBF" w:themeFill="background1" w:themeFillShade="BF"/>
            <w:vAlign w:val="bottom"/>
          </w:tcPr>
          <w:p w:rsidR="0087624C" w:rsidRPr="003441D7" w:rsidRDefault="0087624C" w:rsidP="0086300B">
            <w:pPr>
              <w:pStyle w:val="Tablewriting"/>
              <w:jc w:val="center"/>
            </w:pPr>
            <w:r w:rsidRPr="003441D7">
              <w:rPr>
                <w:b/>
              </w:rPr>
              <w:t>2014 (first half)</w:t>
            </w:r>
          </w:p>
        </w:tc>
      </w:tr>
      <w:tr w:rsidR="0087624C" w:rsidRPr="003441D7" w:rsidTr="005C4223">
        <w:tc>
          <w:tcPr>
            <w:tcW w:w="1529" w:type="dxa"/>
            <w:vAlign w:val="center"/>
          </w:tcPr>
          <w:p w:rsidR="0087624C" w:rsidRPr="0086300B" w:rsidRDefault="0087624C" w:rsidP="0086300B">
            <w:pPr>
              <w:pStyle w:val="Tablewriting"/>
            </w:pPr>
            <w:r w:rsidRPr="0086300B">
              <w:t>Fistulising</w:t>
            </w:r>
          </w:p>
        </w:tc>
        <w:tc>
          <w:tcPr>
            <w:tcW w:w="1529" w:type="dxa"/>
            <w:vAlign w:val="center"/>
          </w:tcPr>
          <w:p w:rsidR="0087624C" w:rsidRPr="0086300B" w:rsidRDefault="00F82EDD" w:rsidP="0086300B">
            <w:pPr>
              <w:pStyle w:val="Tablewriting"/>
              <w:jc w:val="right"/>
            </w:pPr>
            <w:r w:rsidRPr="0086300B">
              <w:t>Not yet listed</w:t>
            </w:r>
          </w:p>
        </w:tc>
        <w:tc>
          <w:tcPr>
            <w:tcW w:w="1529" w:type="dxa"/>
            <w:vAlign w:val="center"/>
          </w:tcPr>
          <w:p w:rsidR="0087624C" w:rsidRPr="0086300B" w:rsidRDefault="00F82EDD" w:rsidP="0086300B">
            <w:pPr>
              <w:pStyle w:val="Tablewriting"/>
              <w:jc w:val="right"/>
            </w:pPr>
            <w:r w:rsidRPr="0086300B">
              <w:t>Not yet listed</w:t>
            </w:r>
          </w:p>
        </w:tc>
        <w:tc>
          <w:tcPr>
            <w:tcW w:w="1529" w:type="dxa"/>
            <w:vAlign w:val="center"/>
          </w:tcPr>
          <w:p w:rsidR="0087624C" w:rsidRPr="0086300B" w:rsidRDefault="00F82EDD" w:rsidP="0086300B">
            <w:pPr>
              <w:pStyle w:val="Tablewriting"/>
              <w:jc w:val="right"/>
            </w:pPr>
            <w:r w:rsidRPr="0086300B">
              <w:t>Not yet listed</w:t>
            </w:r>
          </w:p>
        </w:tc>
        <w:tc>
          <w:tcPr>
            <w:tcW w:w="1530" w:type="dxa"/>
            <w:vAlign w:val="center"/>
          </w:tcPr>
          <w:p w:rsidR="0087624C" w:rsidRPr="0086300B" w:rsidRDefault="00F82EDD" w:rsidP="0086300B">
            <w:pPr>
              <w:pStyle w:val="Tablewriting"/>
              <w:jc w:val="right"/>
            </w:pPr>
            <w:r w:rsidRPr="0086300B">
              <w:t>Not yet listed</w:t>
            </w:r>
          </w:p>
        </w:tc>
        <w:tc>
          <w:tcPr>
            <w:tcW w:w="1530" w:type="dxa"/>
            <w:vAlign w:val="center"/>
          </w:tcPr>
          <w:p w:rsidR="0087624C" w:rsidRPr="0086300B" w:rsidRDefault="0087624C" w:rsidP="0086300B">
            <w:pPr>
              <w:pStyle w:val="Tablewriting"/>
              <w:jc w:val="right"/>
            </w:pPr>
            <w:r w:rsidRPr="0086300B">
              <w:t>$1,920,108</w:t>
            </w:r>
          </w:p>
        </w:tc>
        <w:tc>
          <w:tcPr>
            <w:tcW w:w="1530" w:type="dxa"/>
            <w:vAlign w:val="center"/>
          </w:tcPr>
          <w:p w:rsidR="0087624C" w:rsidRPr="0086300B" w:rsidRDefault="0087624C" w:rsidP="0086300B">
            <w:pPr>
              <w:pStyle w:val="Tablewriting"/>
              <w:jc w:val="right"/>
            </w:pPr>
            <w:r w:rsidRPr="0086300B">
              <w:t>$6,392,210</w:t>
            </w:r>
          </w:p>
        </w:tc>
        <w:tc>
          <w:tcPr>
            <w:tcW w:w="1530" w:type="dxa"/>
            <w:vAlign w:val="center"/>
          </w:tcPr>
          <w:p w:rsidR="0087624C" w:rsidRPr="0086300B" w:rsidRDefault="0087624C" w:rsidP="0086300B">
            <w:pPr>
              <w:pStyle w:val="Tablewriting"/>
              <w:jc w:val="right"/>
            </w:pPr>
            <w:r w:rsidRPr="0086300B">
              <w:t>$8,894,332</w:t>
            </w:r>
          </w:p>
        </w:tc>
        <w:tc>
          <w:tcPr>
            <w:tcW w:w="1530" w:type="dxa"/>
            <w:vAlign w:val="center"/>
          </w:tcPr>
          <w:p w:rsidR="0087624C" w:rsidRPr="0086300B" w:rsidRDefault="0087624C" w:rsidP="0086300B">
            <w:pPr>
              <w:pStyle w:val="Tablewriting"/>
              <w:jc w:val="right"/>
            </w:pPr>
            <w:r w:rsidRPr="0086300B">
              <w:t>$7,205,933</w:t>
            </w:r>
          </w:p>
        </w:tc>
      </w:tr>
      <w:tr w:rsidR="0087624C" w:rsidRPr="003441D7" w:rsidTr="005C4223">
        <w:tc>
          <w:tcPr>
            <w:tcW w:w="1529" w:type="dxa"/>
            <w:vAlign w:val="center"/>
          </w:tcPr>
          <w:p w:rsidR="0087624C" w:rsidRPr="0086300B" w:rsidRDefault="0087624C" w:rsidP="0086300B">
            <w:pPr>
              <w:pStyle w:val="Tablewriting"/>
            </w:pPr>
            <w:r w:rsidRPr="0086300B">
              <w:t>Severe</w:t>
            </w:r>
          </w:p>
        </w:tc>
        <w:tc>
          <w:tcPr>
            <w:tcW w:w="1529" w:type="dxa"/>
            <w:vAlign w:val="center"/>
          </w:tcPr>
          <w:p w:rsidR="0087624C" w:rsidRPr="0086300B" w:rsidRDefault="00F82EDD" w:rsidP="0086300B">
            <w:pPr>
              <w:pStyle w:val="Tablewriting"/>
              <w:jc w:val="right"/>
            </w:pPr>
            <w:r w:rsidRPr="0086300B">
              <w:t>Not yet listed</w:t>
            </w:r>
          </w:p>
        </w:tc>
        <w:tc>
          <w:tcPr>
            <w:tcW w:w="1529" w:type="dxa"/>
            <w:vAlign w:val="center"/>
          </w:tcPr>
          <w:p w:rsidR="0087624C" w:rsidRPr="0086300B" w:rsidRDefault="0087624C" w:rsidP="0086300B">
            <w:pPr>
              <w:pStyle w:val="Tablewriting"/>
              <w:jc w:val="right"/>
            </w:pPr>
            <w:r w:rsidRPr="0086300B">
              <w:t>$4,186,920</w:t>
            </w:r>
          </w:p>
        </w:tc>
        <w:tc>
          <w:tcPr>
            <w:tcW w:w="1529" w:type="dxa"/>
            <w:vAlign w:val="center"/>
          </w:tcPr>
          <w:p w:rsidR="0087624C" w:rsidRPr="0086300B" w:rsidRDefault="0087624C" w:rsidP="0086300B">
            <w:pPr>
              <w:pStyle w:val="Tablewriting"/>
              <w:jc w:val="right"/>
            </w:pPr>
            <w:r w:rsidRPr="0086300B">
              <w:t>$19,822,719</w:t>
            </w:r>
          </w:p>
        </w:tc>
        <w:tc>
          <w:tcPr>
            <w:tcW w:w="1530" w:type="dxa"/>
            <w:vAlign w:val="center"/>
          </w:tcPr>
          <w:p w:rsidR="0087624C" w:rsidRPr="0086300B" w:rsidRDefault="0087624C" w:rsidP="0086300B">
            <w:pPr>
              <w:pStyle w:val="Tablewriting"/>
              <w:jc w:val="right"/>
            </w:pPr>
            <w:r w:rsidRPr="0086300B">
              <w:t>$27,272,281</w:t>
            </w:r>
          </w:p>
        </w:tc>
        <w:tc>
          <w:tcPr>
            <w:tcW w:w="1530" w:type="dxa"/>
            <w:vAlign w:val="center"/>
          </w:tcPr>
          <w:p w:rsidR="0087624C" w:rsidRPr="0086300B" w:rsidRDefault="0087624C" w:rsidP="0086300B">
            <w:pPr>
              <w:pStyle w:val="Tablewriting"/>
              <w:jc w:val="right"/>
            </w:pPr>
            <w:r w:rsidRPr="0086300B">
              <w:t>$34,234,197</w:t>
            </w:r>
          </w:p>
        </w:tc>
        <w:tc>
          <w:tcPr>
            <w:tcW w:w="1530" w:type="dxa"/>
            <w:vAlign w:val="center"/>
          </w:tcPr>
          <w:p w:rsidR="0087624C" w:rsidRPr="0086300B" w:rsidRDefault="0087624C" w:rsidP="0086300B">
            <w:pPr>
              <w:pStyle w:val="Tablewriting"/>
              <w:jc w:val="right"/>
            </w:pPr>
            <w:r w:rsidRPr="0086300B">
              <w:t>$40,998,386</w:t>
            </w:r>
          </w:p>
        </w:tc>
        <w:tc>
          <w:tcPr>
            <w:tcW w:w="1530" w:type="dxa"/>
            <w:vAlign w:val="center"/>
          </w:tcPr>
          <w:p w:rsidR="0087624C" w:rsidRPr="0086300B" w:rsidRDefault="0087624C" w:rsidP="0086300B">
            <w:pPr>
              <w:pStyle w:val="Tablewriting"/>
              <w:jc w:val="right"/>
            </w:pPr>
            <w:r w:rsidRPr="0086300B">
              <w:t>$47,790,939</w:t>
            </w:r>
          </w:p>
        </w:tc>
        <w:tc>
          <w:tcPr>
            <w:tcW w:w="1530" w:type="dxa"/>
            <w:vAlign w:val="center"/>
          </w:tcPr>
          <w:p w:rsidR="0087624C" w:rsidRPr="0086300B" w:rsidRDefault="0087624C" w:rsidP="0086300B">
            <w:pPr>
              <w:pStyle w:val="Tablewriting"/>
              <w:jc w:val="right"/>
            </w:pPr>
            <w:r w:rsidRPr="0086300B">
              <w:t>$36,259,710</w:t>
            </w:r>
          </w:p>
        </w:tc>
      </w:tr>
      <w:tr w:rsidR="0087624C" w:rsidRPr="003441D7" w:rsidTr="005C4223">
        <w:tc>
          <w:tcPr>
            <w:tcW w:w="1529" w:type="dxa"/>
            <w:vAlign w:val="center"/>
          </w:tcPr>
          <w:p w:rsidR="0087624C" w:rsidRPr="0086300B" w:rsidRDefault="0087624C" w:rsidP="0086300B">
            <w:pPr>
              <w:pStyle w:val="Tablewriting"/>
            </w:pPr>
            <w:r w:rsidRPr="0086300B">
              <w:t>Total</w:t>
            </w:r>
          </w:p>
        </w:tc>
        <w:tc>
          <w:tcPr>
            <w:tcW w:w="1529" w:type="dxa"/>
            <w:vAlign w:val="center"/>
          </w:tcPr>
          <w:p w:rsidR="0087624C" w:rsidRPr="0086300B" w:rsidRDefault="00F82EDD" w:rsidP="0086300B">
            <w:pPr>
              <w:pStyle w:val="Tablewriting"/>
              <w:jc w:val="right"/>
            </w:pPr>
            <w:r w:rsidRPr="0086300B">
              <w:t>Not yet listed</w:t>
            </w:r>
          </w:p>
        </w:tc>
        <w:tc>
          <w:tcPr>
            <w:tcW w:w="1529" w:type="dxa"/>
            <w:vAlign w:val="center"/>
          </w:tcPr>
          <w:p w:rsidR="0087624C" w:rsidRPr="0086300B" w:rsidRDefault="0087624C" w:rsidP="0086300B">
            <w:pPr>
              <w:pStyle w:val="Tablewriting"/>
              <w:jc w:val="right"/>
            </w:pPr>
            <w:r w:rsidRPr="0086300B">
              <w:t>$4,186,920</w:t>
            </w:r>
          </w:p>
        </w:tc>
        <w:tc>
          <w:tcPr>
            <w:tcW w:w="1529" w:type="dxa"/>
            <w:vAlign w:val="center"/>
          </w:tcPr>
          <w:p w:rsidR="0087624C" w:rsidRPr="0086300B" w:rsidRDefault="0087624C" w:rsidP="0086300B">
            <w:pPr>
              <w:pStyle w:val="Tablewriting"/>
              <w:jc w:val="right"/>
            </w:pPr>
            <w:r w:rsidRPr="0086300B">
              <w:t>$19,822,719</w:t>
            </w:r>
          </w:p>
        </w:tc>
        <w:tc>
          <w:tcPr>
            <w:tcW w:w="1530" w:type="dxa"/>
            <w:vAlign w:val="center"/>
          </w:tcPr>
          <w:p w:rsidR="0087624C" w:rsidRPr="0086300B" w:rsidRDefault="0087624C" w:rsidP="0086300B">
            <w:pPr>
              <w:pStyle w:val="Tablewriting"/>
              <w:jc w:val="right"/>
            </w:pPr>
            <w:r w:rsidRPr="0086300B">
              <w:t>$27,272,281</w:t>
            </w:r>
          </w:p>
        </w:tc>
        <w:tc>
          <w:tcPr>
            <w:tcW w:w="1530" w:type="dxa"/>
            <w:vAlign w:val="center"/>
          </w:tcPr>
          <w:p w:rsidR="0087624C" w:rsidRPr="0086300B" w:rsidRDefault="0087624C" w:rsidP="0086300B">
            <w:pPr>
              <w:pStyle w:val="Tablewriting"/>
              <w:jc w:val="right"/>
            </w:pPr>
            <w:r w:rsidRPr="0086300B">
              <w:t>$36,154,305</w:t>
            </w:r>
          </w:p>
        </w:tc>
        <w:tc>
          <w:tcPr>
            <w:tcW w:w="1530" w:type="dxa"/>
            <w:vAlign w:val="center"/>
          </w:tcPr>
          <w:p w:rsidR="0087624C" w:rsidRPr="0086300B" w:rsidRDefault="0087624C" w:rsidP="0086300B">
            <w:pPr>
              <w:pStyle w:val="Tablewriting"/>
              <w:jc w:val="right"/>
            </w:pPr>
            <w:r w:rsidRPr="0086300B">
              <w:t>$47,390,596</w:t>
            </w:r>
          </w:p>
        </w:tc>
        <w:tc>
          <w:tcPr>
            <w:tcW w:w="1530" w:type="dxa"/>
            <w:vAlign w:val="center"/>
          </w:tcPr>
          <w:p w:rsidR="0087624C" w:rsidRPr="0086300B" w:rsidRDefault="0087624C" w:rsidP="0086300B">
            <w:pPr>
              <w:pStyle w:val="Tablewriting"/>
              <w:jc w:val="right"/>
            </w:pPr>
            <w:r w:rsidRPr="0086300B">
              <w:t>$56,685,270</w:t>
            </w:r>
          </w:p>
        </w:tc>
        <w:tc>
          <w:tcPr>
            <w:tcW w:w="1530" w:type="dxa"/>
            <w:vAlign w:val="center"/>
          </w:tcPr>
          <w:p w:rsidR="0087624C" w:rsidRPr="0086300B" w:rsidRDefault="0087624C" w:rsidP="0086300B">
            <w:pPr>
              <w:pStyle w:val="Tablewriting"/>
              <w:jc w:val="right"/>
            </w:pPr>
            <w:r w:rsidRPr="0086300B">
              <w:t>$43,465,644</w:t>
            </w:r>
          </w:p>
        </w:tc>
      </w:tr>
      <w:tr w:rsidR="0087624C" w:rsidRPr="00AC1872" w:rsidTr="005C4223">
        <w:tc>
          <w:tcPr>
            <w:tcW w:w="1529" w:type="dxa"/>
            <w:vAlign w:val="bottom"/>
          </w:tcPr>
          <w:p w:rsidR="0087624C" w:rsidRPr="003441D7" w:rsidRDefault="0087624C" w:rsidP="005C4223">
            <w:pPr>
              <w:pStyle w:val="Tablewriting"/>
              <w:rPr>
                <w:b/>
              </w:rPr>
            </w:pPr>
            <w:r w:rsidRPr="003441D7">
              <w:rPr>
                <w:b/>
              </w:rPr>
              <w:t xml:space="preserve">Total </w:t>
            </w:r>
            <w:r>
              <w:rPr>
                <w:b/>
              </w:rPr>
              <w:t>C</w:t>
            </w:r>
            <w:r w:rsidRPr="003441D7">
              <w:rPr>
                <w:b/>
              </w:rPr>
              <w:t>rohn's disease</w:t>
            </w:r>
          </w:p>
        </w:tc>
        <w:tc>
          <w:tcPr>
            <w:tcW w:w="1529" w:type="dxa"/>
            <w:vAlign w:val="center"/>
          </w:tcPr>
          <w:p w:rsidR="0087624C" w:rsidRPr="00AC1872" w:rsidRDefault="0087624C" w:rsidP="005C4223">
            <w:pPr>
              <w:pStyle w:val="Tablewriting"/>
              <w:jc w:val="right"/>
              <w:rPr>
                <w:b/>
              </w:rPr>
            </w:pPr>
            <w:r w:rsidRPr="00AC1872">
              <w:rPr>
                <w:b/>
              </w:rPr>
              <w:t>$1,300,978</w:t>
            </w:r>
          </w:p>
        </w:tc>
        <w:tc>
          <w:tcPr>
            <w:tcW w:w="1529" w:type="dxa"/>
            <w:vAlign w:val="center"/>
          </w:tcPr>
          <w:p w:rsidR="0087624C" w:rsidRPr="00AC1872" w:rsidRDefault="0087624C" w:rsidP="005C4223">
            <w:pPr>
              <w:pStyle w:val="Tablewriting"/>
              <w:jc w:val="right"/>
              <w:rPr>
                <w:b/>
              </w:rPr>
            </w:pPr>
            <w:r w:rsidRPr="00AC1872">
              <w:rPr>
                <w:b/>
              </w:rPr>
              <w:t>$14,829,775</w:t>
            </w:r>
          </w:p>
        </w:tc>
        <w:tc>
          <w:tcPr>
            <w:tcW w:w="1529" w:type="dxa"/>
            <w:vAlign w:val="center"/>
          </w:tcPr>
          <w:p w:rsidR="0087624C" w:rsidRPr="00AC1872" w:rsidRDefault="0087624C" w:rsidP="005C4223">
            <w:pPr>
              <w:pStyle w:val="Tablewriting"/>
              <w:jc w:val="right"/>
              <w:rPr>
                <w:b/>
              </w:rPr>
            </w:pPr>
            <w:r w:rsidRPr="00AC1872">
              <w:rPr>
                <w:b/>
              </w:rPr>
              <w:t>$34,956,406</w:t>
            </w:r>
          </w:p>
        </w:tc>
        <w:tc>
          <w:tcPr>
            <w:tcW w:w="1530" w:type="dxa"/>
            <w:vAlign w:val="center"/>
          </w:tcPr>
          <w:p w:rsidR="0087624C" w:rsidRPr="00AC1872" w:rsidRDefault="0087624C" w:rsidP="005C4223">
            <w:pPr>
              <w:pStyle w:val="Tablewriting"/>
              <w:jc w:val="right"/>
              <w:rPr>
                <w:b/>
              </w:rPr>
            </w:pPr>
            <w:r w:rsidRPr="00AC1872">
              <w:rPr>
                <w:b/>
              </w:rPr>
              <w:t>$48,868,211</w:t>
            </w:r>
          </w:p>
        </w:tc>
        <w:tc>
          <w:tcPr>
            <w:tcW w:w="1530" w:type="dxa"/>
            <w:vAlign w:val="center"/>
          </w:tcPr>
          <w:p w:rsidR="0087624C" w:rsidRPr="00AC1872" w:rsidRDefault="0087624C" w:rsidP="005C4223">
            <w:pPr>
              <w:pStyle w:val="Tablewriting"/>
              <w:jc w:val="right"/>
              <w:rPr>
                <w:b/>
              </w:rPr>
            </w:pPr>
            <w:r w:rsidRPr="00AC1872">
              <w:rPr>
                <w:b/>
              </w:rPr>
              <w:t>$66,761,037</w:t>
            </w:r>
          </w:p>
        </w:tc>
        <w:tc>
          <w:tcPr>
            <w:tcW w:w="1530" w:type="dxa"/>
            <w:vAlign w:val="center"/>
          </w:tcPr>
          <w:p w:rsidR="0087624C" w:rsidRPr="00AC1872" w:rsidRDefault="0087624C" w:rsidP="005C4223">
            <w:pPr>
              <w:pStyle w:val="Tablewriting"/>
              <w:jc w:val="right"/>
              <w:rPr>
                <w:b/>
              </w:rPr>
            </w:pPr>
            <w:r w:rsidRPr="00AC1872">
              <w:rPr>
                <w:b/>
              </w:rPr>
              <w:t>$84,928,622</w:t>
            </w:r>
          </w:p>
        </w:tc>
        <w:tc>
          <w:tcPr>
            <w:tcW w:w="1530" w:type="dxa"/>
            <w:vAlign w:val="center"/>
          </w:tcPr>
          <w:p w:rsidR="0087624C" w:rsidRPr="00AC1872" w:rsidRDefault="0087624C" w:rsidP="005C4223">
            <w:pPr>
              <w:pStyle w:val="Tablewriting"/>
              <w:jc w:val="right"/>
              <w:rPr>
                <w:b/>
              </w:rPr>
            </w:pPr>
            <w:r w:rsidRPr="00AC1872">
              <w:rPr>
                <w:b/>
              </w:rPr>
              <w:t>$103,840,325</w:t>
            </w:r>
          </w:p>
        </w:tc>
        <w:tc>
          <w:tcPr>
            <w:tcW w:w="1530" w:type="dxa"/>
            <w:vAlign w:val="center"/>
          </w:tcPr>
          <w:p w:rsidR="0087624C" w:rsidRPr="00AC1872" w:rsidRDefault="0087624C" w:rsidP="005C4223">
            <w:pPr>
              <w:pStyle w:val="Tablewriting"/>
              <w:jc w:val="right"/>
              <w:rPr>
                <w:b/>
              </w:rPr>
            </w:pPr>
            <w:r w:rsidRPr="00AC1872">
              <w:rPr>
                <w:b/>
              </w:rPr>
              <w:t>$71,123,421</w:t>
            </w:r>
          </w:p>
        </w:tc>
      </w:tr>
    </w:tbl>
    <w:p w:rsidR="0087624C" w:rsidRDefault="0087624C" w:rsidP="0086300B">
      <w:pPr>
        <w:pStyle w:val="Notes"/>
      </w:pPr>
      <w:r>
        <w:t>Source: DHS Supplied Prescriptions Database, extracted December 2014 (</w:t>
      </w:r>
      <w:proofErr w:type="spellStart"/>
      <w:r>
        <w:t>adalimumab</w:t>
      </w:r>
      <w:proofErr w:type="spellEnd"/>
      <w:r>
        <w:t>), DUSC HSD Database, extracted December 2014 (infliximab</w:t>
      </w:r>
      <w:proofErr w:type="gramStart"/>
      <w:r>
        <w:t>)</w:t>
      </w:r>
      <w:proofErr w:type="gramEnd"/>
      <w:r w:rsidR="0086300B">
        <w:br/>
        <w:t xml:space="preserve">Note: Special pricing arrangements apply. </w:t>
      </w:r>
    </w:p>
    <w:p w:rsidR="0002334C" w:rsidRDefault="0002334C" w:rsidP="0002334C">
      <w:r w:rsidRPr="003441D7">
        <w:t>As DUSC analyses are u</w:t>
      </w:r>
      <w:r w:rsidR="00CE04A4">
        <w:t xml:space="preserve">sually based on date of supply </w:t>
      </w:r>
      <w:r w:rsidRPr="003441D7">
        <w:t xml:space="preserve">there may be small differences between publicly available Medicare Australia </w:t>
      </w:r>
      <w:proofErr w:type="gramStart"/>
      <w:r w:rsidRPr="003441D7">
        <w:t>date</w:t>
      </w:r>
      <w:proofErr w:type="gramEnd"/>
      <w:r w:rsidRPr="003441D7">
        <w:t xml:space="preserve"> of processing data.</w:t>
      </w:r>
      <w:r w:rsidRPr="002F61CA">
        <w:t xml:space="preserve"> </w:t>
      </w:r>
      <w:r>
        <w:t>The expenditure data is based on the prices published in the PBS Schedule.</w:t>
      </w:r>
      <w:r w:rsidRPr="002F61CA">
        <w:t xml:space="preserve"> </w:t>
      </w:r>
    </w:p>
    <w:p w:rsidR="0002334C" w:rsidRDefault="0002334C" w:rsidP="0002334C">
      <w:pPr>
        <w:spacing w:line="276" w:lineRule="auto"/>
        <w:sectPr w:rsidR="0002334C" w:rsidSect="0002334C">
          <w:pgSz w:w="16838" w:h="11906" w:orient="landscape"/>
          <w:pgMar w:top="1588" w:right="1644" w:bottom="1361" w:left="1644" w:header="709" w:footer="709" w:gutter="0"/>
          <w:cols w:space="708"/>
          <w:docGrid w:linePitch="360"/>
        </w:sectPr>
      </w:pPr>
    </w:p>
    <w:p w:rsidR="0002334C" w:rsidRDefault="0002334C" w:rsidP="0002334C">
      <w:r>
        <w:lastRenderedPageBreak/>
        <w:t xml:space="preserve">Figure 10 presents the expenditure data in a graph. </w:t>
      </w:r>
    </w:p>
    <w:p w:rsidR="0002334C" w:rsidRDefault="0002334C" w:rsidP="0002334C">
      <w:pPr>
        <w:pStyle w:val="Figurecaption"/>
      </w:pPr>
      <w:r>
        <w:rPr>
          <w:noProof/>
          <w:lang w:eastAsia="en-AU"/>
        </w:rPr>
        <w:drawing>
          <wp:inline distT="0" distB="0" distL="0" distR="0" wp14:anchorId="4163BCC2" wp14:editId="271787EF">
            <wp:extent cx="5687695" cy="3166515"/>
            <wp:effectExtent l="0" t="0" r="27305" b="15240"/>
            <wp:docPr id="14" name="Chart 14" title="The graph shows that the expenditure on bDMARDS for Crohn's disease is increas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B5780">
        <w:rPr>
          <w:rStyle w:val="FiguretitleChar"/>
          <w:rFonts w:asciiTheme="minorHAnsi" w:hAnsiTheme="minorHAnsi"/>
        </w:rPr>
        <w:t xml:space="preserve">Figure </w:t>
      </w:r>
      <w:r>
        <w:rPr>
          <w:rStyle w:val="FiguretitleChar"/>
          <w:rFonts w:asciiTheme="minorHAnsi" w:hAnsiTheme="minorHAnsi"/>
        </w:rPr>
        <w:t>10</w:t>
      </w:r>
      <w:r w:rsidRPr="001B5780">
        <w:rPr>
          <w:rStyle w:val="FiguretitleChar"/>
          <w:rFonts w:asciiTheme="minorHAnsi" w:hAnsiTheme="minorHAnsi"/>
        </w:rPr>
        <w:t xml:space="preserve">: </w:t>
      </w:r>
      <w:r>
        <w:rPr>
          <w:rStyle w:val="FiguretitleChar"/>
          <w:rFonts w:asciiTheme="minorHAnsi" w:hAnsiTheme="minorHAnsi"/>
        </w:rPr>
        <w:t xml:space="preserve">R/PBS expenditure on </w:t>
      </w:r>
      <w:proofErr w:type="spellStart"/>
      <w:r>
        <w:rPr>
          <w:rStyle w:val="FiguretitleChar"/>
          <w:rFonts w:asciiTheme="minorHAnsi" w:hAnsiTheme="minorHAnsi"/>
        </w:rPr>
        <w:t>bDMARDs</w:t>
      </w:r>
      <w:proofErr w:type="spellEnd"/>
      <w:r>
        <w:rPr>
          <w:rStyle w:val="FiguretitleChar"/>
          <w:rFonts w:asciiTheme="minorHAnsi" w:hAnsiTheme="minorHAnsi"/>
        </w:rPr>
        <w:t xml:space="preserve"> for Crohn’s disease</w:t>
      </w:r>
      <w:r>
        <w:br/>
        <w:t>Source: DHS Supplied Prescriptions Database, extracted December 2014 (</w:t>
      </w:r>
      <w:proofErr w:type="spellStart"/>
      <w:r>
        <w:t>adalimumab</w:t>
      </w:r>
      <w:proofErr w:type="spellEnd"/>
      <w:r>
        <w:t>), DUSC HSD Database, extracted December 2014 (infliximab)</w:t>
      </w:r>
    </w:p>
    <w:p w:rsidR="00736041" w:rsidRPr="005E22C2" w:rsidRDefault="00D151EB" w:rsidP="00E55D60">
      <w:pPr>
        <w:pStyle w:val="Heading4"/>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02334C" w:rsidRDefault="0002334C" w:rsidP="00577B46">
      <w:pPr>
        <w:pStyle w:val="Heading5"/>
      </w:pPr>
      <w:r>
        <w:t>Severe Crohn’s disease</w:t>
      </w:r>
    </w:p>
    <w:p w:rsidR="0002334C" w:rsidRDefault="0002334C" w:rsidP="00577B46">
      <w:pPr>
        <w:pStyle w:val="Heading5"/>
      </w:pPr>
      <w:proofErr w:type="spellStart"/>
      <w:r>
        <w:t>Adalimumab</w:t>
      </w:r>
      <w:proofErr w:type="spellEnd"/>
      <w:r>
        <w:t xml:space="preserve"> </w:t>
      </w:r>
    </w:p>
    <w:p w:rsidR="0002334C" w:rsidRDefault="0002334C" w:rsidP="0002334C">
      <w:r>
        <w:t xml:space="preserve">Table 11 presents the predicted and actual utilisation of </w:t>
      </w:r>
      <w:proofErr w:type="spellStart"/>
      <w:r>
        <w:t>adalimumab</w:t>
      </w:r>
      <w:proofErr w:type="spellEnd"/>
      <w:r>
        <w:t xml:space="preserve"> for severe refractory Crohn’s disease</w:t>
      </w:r>
      <w:r w:rsidR="00382BF2">
        <w:t xml:space="preserve"> in terms of patient numbers</w:t>
      </w:r>
      <w:r>
        <w:t>.</w:t>
      </w:r>
      <w:r w:rsidR="00382BF2">
        <w:t xml:space="preserve"> </w:t>
      </w:r>
      <w:proofErr w:type="gramStart"/>
      <w:r w:rsidR="00382BF2">
        <w:t>Table 12 and 13 show the predicted and actual number of packs and expenditure.</w:t>
      </w:r>
      <w:proofErr w:type="gramEnd"/>
      <w:r>
        <w:t xml:space="preserve"> </w:t>
      </w:r>
      <w:r w:rsidR="00AB3993">
        <w:t xml:space="preserve">The utilisation of </w:t>
      </w:r>
      <w:proofErr w:type="spellStart"/>
      <w:r w:rsidR="00AB3993">
        <w:t>adalimumab</w:t>
      </w:r>
      <w:proofErr w:type="spellEnd"/>
      <w:r w:rsidR="00AB3993">
        <w:t xml:space="preserve"> for severe Crohn’s disease was less than predicted in the earlier years of listing and close to estimated utilisation in the most recent year. </w:t>
      </w:r>
    </w:p>
    <w:p w:rsidR="0002334C" w:rsidRDefault="0002334C" w:rsidP="0002334C">
      <w:pPr>
        <w:pStyle w:val="Tabletitle"/>
      </w:pPr>
      <w:r>
        <w:t xml:space="preserve">Table 11: </w:t>
      </w:r>
      <w:proofErr w:type="spellStart"/>
      <w:r>
        <w:t>Adalimumab</w:t>
      </w:r>
      <w:proofErr w:type="spellEnd"/>
      <w:r>
        <w:t xml:space="preserve"> predicted versus actual</w:t>
      </w:r>
      <w:r w:rsidR="009067BA">
        <w:t xml:space="preserve"> patient numbers</w:t>
      </w:r>
      <w:r>
        <w:t xml:space="preserve"> – severe Crohn’s disease</w:t>
      </w:r>
    </w:p>
    <w:tbl>
      <w:tblPr>
        <w:tblStyle w:val="TableGrid"/>
        <w:tblW w:w="0" w:type="auto"/>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throught to 6"/>
      </w:tblPr>
      <w:tblGrid>
        <w:gridCol w:w="1066"/>
        <w:gridCol w:w="1334"/>
        <w:gridCol w:w="1333"/>
        <w:gridCol w:w="1333"/>
        <w:gridCol w:w="1333"/>
        <w:gridCol w:w="1333"/>
        <w:gridCol w:w="1333"/>
      </w:tblGrid>
      <w:tr w:rsidR="0002334C" w:rsidRPr="001D0858" w:rsidTr="00071F03">
        <w:trPr>
          <w:trHeight w:val="249"/>
          <w:tblHeader/>
        </w:trPr>
        <w:tc>
          <w:tcPr>
            <w:tcW w:w="958" w:type="dxa"/>
            <w:shd w:val="clear" w:color="auto" w:fill="BFBFBF" w:themeFill="background1" w:themeFillShade="BF"/>
          </w:tcPr>
          <w:p w:rsidR="0002334C" w:rsidRPr="001D0858" w:rsidRDefault="0002334C" w:rsidP="005C4223">
            <w:pPr>
              <w:pStyle w:val="Tableheading"/>
              <w:rPr>
                <w:szCs w:val="20"/>
              </w:rPr>
            </w:pPr>
          </w:p>
        </w:tc>
        <w:tc>
          <w:tcPr>
            <w:tcW w:w="0" w:type="auto"/>
            <w:shd w:val="clear" w:color="auto" w:fill="BFBFBF" w:themeFill="background1" w:themeFillShade="BF"/>
          </w:tcPr>
          <w:p w:rsidR="0002334C" w:rsidRPr="001D0858" w:rsidRDefault="0002334C" w:rsidP="005C4223">
            <w:pPr>
              <w:pStyle w:val="Tableheading"/>
              <w:rPr>
                <w:szCs w:val="20"/>
              </w:rPr>
            </w:pPr>
            <w:r>
              <w:rPr>
                <w:szCs w:val="20"/>
              </w:rPr>
              <w:t xml:space="preserve">Year1 </w:t>
            </w:r>
            <w:r>
              <w:rPr>
                <w:szCs w:val="20"/>
              </w:rPr>
              <w:br/>
              <w:t>(Aug08-Jul09)</w:t>
            </w:r>
          </w:p>
        </w:tc>
        <w:tc>
          <w:tcPr>
            <w:tcW w:w="0" w:type="auto"/>
            <w:shd w:val="clear" w:color="auto" w:fill="BFBFBF" w:themeFill="background1" w:themeFillShade="BF"/>
          </w:tcPr>
          <w:p w:rsidR="0002334C" w:rsidRDefault="0002334C" w:rsidP="005C4223">
            <w:pPr>
              <w:pStyle w:val="Tableheading"/>
              <w:rPr>
                <w:szCs w:val="20"/>
              </w:rPr>
            </w:pPr>
            <w:r>
              <w:rPr>
                <w:szCs w:val="20"/>
              </w:rPr>
              <w:t>Year 2</w:t>
            </w:r>
          </w:p>
          <w:p w:rsidR="0002334C" w:rsidRPr="001D0858" w:rsidRDefault="0002334C" w:rsidP="005C4223">
            <w:pPr>
              <w:pStyle w:val="Tableheading"/>
              <w:rPr>
                <w:szCs w:val="20"/>
              </w:rPr>
            </w:pPr>
            <w:r>
              <w:rPr>
                <w:szCs w:val="20"/>
              </w:rPr>
              <w:t>(</w:t>
            </w:r>
            <w:r w:rsidRPr="00DC5980">
              <w:rPr>
                <w:szCs w:val="20"/>
              </w:rPr>
              <w:t>Aug0</w:t>
            </w:r>
            <w:r>
              <w:rPr>
                <w:szCs w:val="20"/>
              </w:rPr>
              <w:t>9</w:t>
            </w:r>
            <w:r w:rsidRPr="00DC5980">
              <w:rPr>
                <w:szCs w:val="20"/>
              </w:rPr>
              <w:t>-Jul</w:t>
            </w:r>
            <w:r>
              <w:rPr>
                <w:szCs w:val="20"/>
              </w:rPr>
              <w:t>10)</w:t>
            </w:r>
          </w:p>
        </w:tc>
        <w:tc>
          <w:tcPr>
            <w:tcW w:w="0" w:type="auto"/>
            <w:shd w:val="clear" w:color="auto" w:fill="BFBFBF" w:themeFill="background1" w:themeFillShade="BF"/>
          </w:tcPr>
          <w:p w:rsidR="0002334C" w:rsidRDefault="0002334C" w:rsidP="005C4223">
            <w:pPr>
              <w:pStyle w:val="Tableheading"/>
              <w:rPr>
                <w:szCs w:val="20"/>
              </w:rPr>
            </w:pPr>
            <w:r>
              <w:rPr>
                <w:szCs w:val="20"/>
              </w:rPr>
              <w:t>Year 3</w:t>
            </w:r>
          </w:p>
          <w:p w:rsidR="0002334C" w:rsidRPr="001D0858" w:rsidRDefault="0002334C" w:rsidP="005C4223">
            <w:pPr>
              <w:pStyle w:val="Tableheading"/>
              <w:rPr>
                <w:szCs w:val="20"/>
              </w:rPr>
            </w:pPr>
            <w:r>
              <w:rPr>
                <w:szCs w:val="20"/>
              </w:rPr>
              <w:t>(</w:t>
            </w:r>
            <w:r w:rsidRPr="00DC5980">
              <w:rPr>
                <w:szCs w:val="20"/>
              </w:rPr>
              <w:t>Aug</w:t>
            </w:r>
            <w:r>
              <w:rPr>
                <w:szCs w:val="20"/>
              </w:rPr>
              <w:t>10</w:t>
            </w:r>
            <w:r w:rsidRPr="00DC5980">
              <w:rPr>
                <w:szCs w:val="20"/>
              </w:rPr>
              <w:t>-Jul</w:t>
            </w:r>
            <w:r>
              <w:rPr>
                <w:szCs w:val="20"/>
              </w:rPr>
              <w:t>11)</w:t>
            </w:r>
          </w:p>
        </w:tc>
        <w:tc>
          <w:tcPr>
            <w:tcW w:w="0" w:type="auto"/>
            <w:shd w:val="clear" w:color="auto" w:fill="BFBFBF" w:themeFill="background1" w:themeFillShade="BF"/>
          </w:tcPr>
          <w:p w:rsidR="0002334C" w:rsidRDefault="0002334C" w:rsidP="005C4223">
            <w:pPr>
              <w:pStyle w:val="Tableheading"/>
              <w:rPr>
                <w:szCs w:val="20"/>
              </w:rPr>
            </w:pPr>
            <w:r>
              <w:rPr>
                <w:szCs w:val="20"/>
              </w:rPr>
              <w:t>Year 4</w:t>
            </w:r>
          </w:p>
          <w:p w:rsidR="0002334C" w:rsidRPr="001D0858" w:rsidRDefault="0002334C" w:rsidP="005C4223">
            <w:pPr>
              <w:pStyle w:val="Tableheading"/>
              <w:rPr>
                <w:szCs w:val="20"/>
              </w:rPr>
            </w:pPr>
            <w:r w:rsidRPr="00DC5980">
              <w:rPr>
                <w:szCs w:val="20"/>
              </w:rPr>
              <w:t>(Aug1</w:t>
            </w:r>
            <w:r>
              <w:rPr>
                <w:szCs w:val="20"/>
              </w:rPr>
              <w:t>1</w:t>
            </w:r>
            <w:r w:rsidRPr="00DC5980">
              <w:rPr>
                <w:szCs w:val="20"/>
              </w:rPr>
              <w:t>-Jul1</w:t>
            </w:r>
            <w:r>
              <w:rPr>
                <w:szCs w:val="20"/>
              </w:rPr>
              <w:t>2</w:t>
            </w:r>
            <w:r w:rsidRPr="00DC5980">
              <w:rPr>
                <w:szCs w:val="20"/>
              </w:rPr>
              <w:t>)</w:t>
            </w:r>
          </w:p>
        </w:tc>
        <w:tc>
          <w:tcPr>
            <w:tcW w:w="0" w:type="auto"/>
            <w:shd w:val="clear" w:color="auto" w:fill="BFBFBF" w:themeFill="background1" w:themeFillShade="BF"/>
          </w:tcPr>
          <w:p w:rsidR="0002334C" w:rsidRDefault="0002334C" w:rsidP="005C4223">
            <w:pPr>
              <w:pStyle w:val="Tableheading"/>
              <w:rPr>
                <w:szCs w:val="20"/>
              </w:rPr>
            </w:pPr>
            <w:r>
              <w:rPr>
                <w:szCs w:val="20"/>
              </w:rPr>
              <w:t>Year 5</w:t>
            </w:r>
          </w:p>
          <w:p w:rsidR="0002334C" w:rsidRPr="001D0858" w:rsidRDefault="0002334C" w:rsidP="005C4223">
            <w:pPr>
              <w:pStyle w:val="Tableheading"/>
              <w:rPr>
                <w:szCs w:val="20"/>
              </w:rPr>
            </w:pPr>
            <w:r w:rsidRPr="00DC5980">
              <w:rPr>
                <w:szCs w:val="20"/>
              </w:rPr>
              <w:t>(Aug1</w:t>
            </w:r>
            <w:r>
              <w:rPr>
                <w:szCs w:val="20"/>
              </w:rPr>
              <w:t>2</w:t>
            </w:r>
            <w:r w:rsidRPr="00DC5980">
              <w:rPr>
                <w:szCs w:val="20"/>
              </w:rPr>
              <w:t>-Jul1</w:t>
            </w:r>
            <w:r>
              <w:rPr>
                <w:szCs w:val="20"/>
              </w:rPr>
              <w:t>3</w:t>
            </w:r>
            <w:r w:rsidRPr="00DC5980">
              <w:rPr>
                <w:szCs w:val="20"/>
              </w:rPr>
              <w:t>)</w:t>
            </w:r>
          </w:p>
        </w:tc>
        <w:tc>
          <w:tcPr>
            <w:tcW w:w="0" w:type="auto"/>
            <w:shd w:val="clear" w:color="auto" w:fill="BFBFBF" w:themeFill="background1" w:themeFillShade="BF"/>
          </w:tcPr>
          <w:p w:rsidR="0002334C" w:rsidRDefault="0002334C" w:rsidP="005C4223">
            <w:pPr>
              <w:pStyle w:val="Tableheading"/>
              <w:rPr>
                <w:szCs w:val="20"/>
              </w:rPr>
            </w:pPr>
            <w:r>
              <w:rPr>
                <w:szCs w:val="20"/>
              </w:rPr>
              <w:t>Year 6</w:t>
            </w:r>
          </w:p>
          <w:p w:rsidR="0002334C" w:rsidRPr="001D0858" w:rsidRDefault="0002334C" w:rsidP="005C4223">
            <w:pPr>
              <w:pStyle w:val="Tableheading"/>
              <w:rPr>
                <w:szCs w:val="20"/>
              </w:rPr>
            </w:pPr>
            <w:r w:rsidRPr="00DC5980">
              <w:rPr>
                <w:szCs w:val="20"/>
              </w:rPr>
              <w:t>(Aug1</w:t>
            </w:r>
            <w:r>
              <w:rPr>
                <w:szCs w:val="20"/>
              </w:rPr>
              <w:t>3</w:t>
            </w:r>
            <w:r w:rsidRPr="00DC5980">
              <w:rPr>
                <w:szCs w:val="20"/>
              </w:rPr>
              <w:t>-Jul1</w:t>
            </w:r>
            <w:r>
              <w:rPr>
                <w:szCs w:val="20"/>
              </w:rPr>
              <w:t>4</w:t>
            </w:r>
            <w:r w:rsidRPr="00DC5980">
              <w:rPr>
                <w:szCs w:val="20"/>
              </w:rPr>
              <w:t>)</w:t>
            </w:r>
          </w:p>
        </w:tc>
      </w:tr>
      <w:tr w:rsidR="0002334C" w:rsidRPr="001D0858" w:rsidTr="00071F03">
        <w:trPr>
          <w:trHeight w:val="296"/>
        </w:trPr>
        <w:tc>
          <w:tcPr>
            <w:tcW w:w="958" w:type="dxa"/>
          </w:tcPr>
          <w:p w:rsidR="0002334C" w:rsidRPr="001D0858" w:rsidRDefault="0002334C" w:rsidP="005C4223">
            <w:pPr>
              <w:pStyle w:val="Tableheading"/>
              <w:jc w:val="left"/>
              <w:rPr>
                <w:b w:val="0"/>
                <w:szCs w:val="20"/>
              </w:rPr>
            </w:pPr>
            <w:r>
              <w:rPr>
                <w:b w:val="0"/>
                <w:szCs w:val="20"/>
              </w:rPr>
              <w:t>Predicted</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r>
      <w:tr w:rsidR="0002334C" w:rsidRPr="001D0858" w:rsidTr="00071F03">
        <w:trPr>
          <w:trHeight w:val="296"/>
        </w:trPr>
        <w:tc>
          <w:tcPr>
            <w:tcW w:w="958" w:type="dxa"/>
          </w:tcPr>
          <w:p w:rsidR="0002334C" w:rsidRDefault="0002334C" w:rsidP="005C4223">
            <w:pPr>
              <w:pStyle w:val="Tableheading"/>
              <w:jc w:val="left"/>
              <w:rPr>
                <w:b w:val="0"/>
                <w:szCs w:val="20"/>
              </w:rPr>
            </w:pPr>
            <w:r>
              <w:rPr>
                <w:b w:val="0"/>
                <w:szCs w:val="20"/>
              </w:rPr>
              <w:t>Actual</w:t>
            </w:r>
          </w:p>
        </w:tc>
        <w:tc>
          <w:tcPr>
            <w:tcW w:w="0" w:type="auto"/>
            <w:vAlign w:val="bottom"/>
          </w:tcPr>
          <w:p w:rsidR="0002334C" w:rsidRPr="004C07D3" w:rsidRDefault="0002334C" w:rsidP="005C4223">
            <w:pPr>
              <w:pStyle w:val="Tablewriting"/>
              <w:jc w:val="center"/>
            </w:pPr>
            <w:r>
              <w:rPr>
                <w:rFonts w:ascii="Calibri" w:hAnsi="Calibri"/>
              </w:rPr>
              <w:t>470</w:t>
            </w:r>
          </w:p>
        </w:tc>
        <w:tc>
          <w:tcPr>
            <w:tcW w:w="0" w:type="auto"/>
            <w:vAlign w:val="bottom"/>
          </w:tcPr>
          <w:p w:rsidR="0002334C" w:rsidRPr="004C07D3" w:rsidRDefault="0002334C" w:rsidP="005C4223">
            <w:pPr>
              <w:pStyle w:val="Tablewriting"/>
              <w:jc w:val="center"/>
            </w:pPr>
            <w:r>
              <w:rPr>
                <w:rFonts w:ascii="Calibri" w:hAnsi="Calibri"/>
              </w:rPr>
              <w:t>1,193</w:t>
            </w:r>
          </w:p>
        </w:tc>
        <w:tc>
          <w:tcPr>
            <w:tcW w:w="0" w:type="auto"/>
            <w:vAlign w:val="bottom"/>
          </w:tcPr>
          <w:p w:rsidR="0002334C" w:rsidRPr="004C07D3" w:rsidRDefault="0002334C" w:rsidP="005C4223">
            <w:pPr>
              <w:pStyle w:val="Tablewriting"/>
              <w:jc w:val="center"/>
            </w:pPr>
            <w:r>
              <w:rPr>
                <w:rFonts w:ascii="Calibri" w:hAnsi="Calibri"/>
              </w:rPr>
              <w:t>1,577</w:t>
            </w:r>
          </w:p>
        </w:tc>
        <w:tc>
          <w:tcPr>
            <w:tcW w:w="0" w:type="auto"/>
            <w:vAlign w:val="bottom"/>
          </w:tcPr>
          <w:p w:rsidR="0002334C" w:rsidRPr="004C07D3" w:rsidRDefault="0002334C" w:rsidP="005C4223">
            <w:pPr>
              <w:pStyle w:val="Tablewriting"/>
              <w:jc w:val="center"/>
            </w:pPr>
            <w:r>
              <w:rPr>
                <w:rFonts w:ascii="Calibri" w:hAnsi="Calibri"/>
              </w:rPr>
              <w:t>1,971</w:t>
            </w:r>
          </w:p>
        </w:tc>
        <w:tc>
          <w:tcPr>
            <w:tcW w:w="0" w:type="auto"/>
            <w:vAlign w:val="bottom"/>
          </w:tcPr>
          <w:p w:rsidR="0002334C" w:rsidRPr="004C07D3" w:rsidRDefault="0002334C" w:rsidP="005C4223">
            <w:pPr>
              <w:pStyle w:val="Tablewriting"/>
              <w:jc w:val="center"/>
            </w:pPr>
            <w:r>
              <w:rPr>
                <w:rFonts w:ascii="Calibri" w:hAnsi="Calibri"/>
              </w:rPr>
              <w:t>2,277</w:t>
            </w:r>
          </w:p>
        </w:tc>
        <w:tc>
          <w:tcPr>
            <w:tcW w:w="0" w:type="auto"/>
            <w:vAlign w:val="bottom"/>
          </w:tcPr>
          <w:p w:rsidR="0002334C" w:rsidRPr="004C07D3" w:rsidRDefault="0002334C" w:rsidP="005C4223">
            <w:pPr>
              <w:pStyle w:val="Tablewriting"/>
              <w:jc w:val="center"/>
            </w:pPr>
            <w:r>
              <w:rPr>
                <w:rFonts w:ascii="Calibri" w:hAnsi="Calibri"/>
              </w:rPr>
              <w:t>2,664</w:t>
            </w:r>
          </w:p>
        </w:tc>
      </w:tr>
      <w:tr w:rsidR="0002334C" w:rsidRPr="001D0858" w:rsidTr="00071F03">
        <w:trPr>
          <w:trHeight w:val="296"/>
        </w:trPr>
        <w:tc>
          <w:tcPr>
            <w:tcW w:w="958" w:type="dxa"/>
          </w:tcPr>
          <w:p w:rsidR="0002334C" w:rsidRDefault="0002334C" w:rsidP="005C4223">
            <w:pPr>
              <w:pStyle w:val="Tableheading"/>
              <w:jc w:val="left"/>
              <w:rPr>
                <w:b w:val="0"/>
                <w:szCs w:val="20"/>
              </w:rPr>
            </w:pPr>
            <w:r>
              <w:rPr>
                <w:b w:val="0"/>
                <w:szCs w:val="20"/>
              </w:rPr>
              <w:t>Difference</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c>
          <w:tcPr>
            <w:tcW w:w="0" w:type="auto"/>
            <w:vAlign w:val="bottom"/>
          </w:tcPr>
          <w:p w:rsidR="0002334C" w:rsidRPr="0093627C" w:rsidRDefault="0093627C" w:rsidP="005C4223">
            <w:pPr>
              <w:pStyle w:val="Tablewriting"/>
              <w:jc w:val="center"/>
              <w:rPr>
                <w:color w:val="7030A0"/>
                <w:highlight w:val="black"/>
              </w:rPr>
            </w:pPr>
            <w:r>
              <w:rPr>
                <w:noProof/>
                <w:highlight w:val="black"/>
              </w:rPr>
              <w:t>''''''''''</w:t>
            </w:r>
          </w:p>
        </w:tc>
      </w:tr>
    </w:tbl>
    <w:p w:rsidR="0002334C" w:rsidRDefault="0002334C" w:rsidP="0002334C">
      <w:pPr>
        <w:pStyle w:val="Figurecaption"/>
      </w:pPr>
      <w:r>
        <w:t xml:space="preserve">Source: </w:t>
      </w:r>
      <w:proofErr w:type="spellStart"/>
      <w:r>
        <w:t>Adalimumab</w:t>
      </w:r>
      <w:proofErr w:type="spellEnd"/>
      <w:r>
        <w:t xml:space="preserve"> Severe Crohn’s disease final estimates, June 2008.</w:t>
      </w:r>
    </w:p>
    <w:p w:rsidR="009067BA" w:rsidRDefault="009067BA" w:rsidP="009067BA">
      <w:pPr>
        <w:pStyle w:val="Tabletitle"/>
      </w:pPr>
      <w:r>
        <w:lastRenderedPageBreak/>
        <w:t xml:space="preserve">Table 12: </w:t>
      </w:r>
      <w:proofErr w:type="spellStart"/>
      <w:r>
        <w:t>Adalimumab</w:t>
      </w:r>
      <w:proofErr w:type="spellEnd"/>
      <w:r>
        <w:t xml:space="preserve"> predicted versus actual pack numbers – severe Crohn’s disease</w:t>
      </w:r>
    </w:p>
    <w:tbl>
      <w:tblPr>
        <w:tblStyle w:val="TableGrid"/>
        <w:tblW w:w="0" w:type="auto"/>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throught to 6"/>
      </w:tblPr>
      <w:tblGrid>
        <w:gridCol w:w="1066"/>
        <w:gridCol w:w="1333"/>
        <w:gridCol w:w="1333"/>
        <w:gridCol w:w="1333"/>
        <w:gridCol w:w="1333"/>
        <w:gridCol w:w="1333"/>
        <w:gridCol w:w="1334"/>
      </w:tblGrid>
      <w:tr w:rsidR="001C14E8" w:rsidRPr="001D0858" w:rsidTr="00071F03">
        <w:trPr>
          <w:trHeight w:val="249"/>
          <w:tblHeader/>
        </w:trPr>
        <w:tc>
          <w:tcPr>
            <w:tcW w:w="957" w:type="dxa"/>
            <w:shd w:val="clear" w:color="auto" w:fill="BFBFBF" w:themeFill="background1" w:themeFillShade="BF"/>
          </w:tcPr>
          <w:p w:rsidR="001C14E8" w:rsidRPr="001D0858" w:rsidRDefault="001C14E8" w:rsidP="005C4223">
            <w:pPr>
              <w:pStyle w:val="Tableheading"/>
              <w:rPr>
                <w:szCs w:val="20"/>
              </w:rPr>
            </w:pPr>
          </w:p>
        </w:tc>
        <w:tc>
          <w:tcPr>
            <w:tcW w:w="1351" w:type="dxa"/>
            <w:shd w:val="clear" w:color="auto" w:fill="BFBFBF" w:themeFill="background1" w:themeFillShade="BF"/>
          </w:tcPr>
          <w:p w:rsidR="001C14E8" w:rsidRPr="001D0858" w:rsidRDefault="001C14E8" w:rsidP="005C4223">
            <w:pPr>
              <w:pStyle w:val="Tableheading"/>
              <w:rPr>
                <w:szCs w:val="20"/>
              </w:rPr>
            </w:pPr>
            <w:r>
              <w:rPr>
                <w:szCs w:val="20"/>
              </w:rPr>
              <w:t xml:space="preserve">Year1 </w:t>
            </w:r>
            <w:r>
              <w:rPr>
                <w:szCs w:val="20"/>
              </w:rPr>
              <w:br/>
              <w:t>(Aug08-Jul09)</w:t>
            </w:r>
          </w:p>
        </w:tc>
        <w:tc>
          <w:tcPr>
            <w:tcW w:w="1351" w:type="dxa"/>
            <w:shd w:val="clear" w:color="auto" w:fill="BFBFBF" w:themeFill="background1" w:themeFillShade="BF"/>
          </w:tcPr>
          <w:p w:rsidR="001C14E8" w:rsidRDefault="001C14E8" w:rsidP="005C4223">
            <w:pPr>
              <w:pStyle w:val="Tableheading"/>
              <w:rPr>
                <w:szCs w:val="20"/>
              </w:rPr>
            </w:pPr>
            <w:r>
              <w:rPr>
                <w:szCs w:val="20"/>
              </w:rPr>
              <w:t>Year 2</w:t>
            </w:r>
          </w:p>
          <w:p w:rsidR="001C14E8" w:rsidRPr="001D0858" w:rsidRDefault="001C14E8" w:rsidP="005C4223">
            <w:pPr>
              <w:pStyle w:val="Tableheading"/>
              <w:rPr>
                <w:szCs w:val="20"/>
              </w:rPr>
            </w:pPr>
            <w:r>
              <w:rPr>
                <w:szCs w:val="20"/>
              </w:rPr>
              <w:t>(</w:t>
            </w:r>
            <w:r w:rsidRPr="00DC5980">
              <w:rPr>
                <w:szCs w:val="20"/>
              </w:rPr>
              <w:t>Aug0</w:t>
            </w:r>
            <w:r>
              <w:rPr>
                <w:szCs w:val="20"/>
              </w:rPr>
              <w:t>9</w:t>
            </w:r>
            <w:r w:rsidRPr="00DC5980">
              <w:rPr>
                <w:szCs w:val="20"/>
              </w:rPr>
              <w:t>-Jul</w:t>
            </w:r>
            <w:r>
              <w:rPr>
                <w:szCs w:val="20"/>
              </w:rPr>
              <w:t>10)</w:t>
            </w:r>
          </w:p>
        </w:tc>
        <w:tc>
          <w:tcPr>
            <w:tcW w:w="1351" w:type="dxa"/>
            <w:shd w:val="clear" w:color="auto" w:fill="BFBFBF" w:themeFill="background1" w:themeFillShade="BF"/>
          </w:tcPr>
          <w:p w:rsidR="001C14E8" w:rsidRDefault="001C14E8" w:rsidP="005C4223">
            <w:pPr>
              <w:pStyle w:val="Tableheading"/>
              <w:rPr>
                <w:szCs w:val="20"/>
              </w:rPr>
            </w:pPr>
            <w:r>
              <w:rPr>
                <w:szCs w:val="20"/>
              </w:rPr>
              <w:t>Year 3</w:t>
            </w:r>
          </w:p>
          <w:p w:rsidR="001C14E8" w:rsidRPr="001D0858" w:rsidRDefault="001C14E8" w:rsidP="005C4223">
            <w:pPr>
              <w:pStyle w:val="Tableheading"/>
              <w:rPr>
                <w:szCs w:val="20"/>
              </w:rPr>
            </w:pPr>
            <w:r>
              <w:rPr>
                <w:szCs w:val="20"/>
              </w:rPr>
              <w:t>(</w:t>
            </w:r>
            <w:r w:rsidRPr="00DC5980">
              <w:rPr>
                <w:szCs w:val="20"/>
              </w:rPr>
              <w:t>Aug</w:t>
            </w:r>
            <w:r>
              <w:rPr>
                <w:szCs w:val="20"/>
              </w:rPr>
              <w:t>10</w:t>
            </w:r>
            <w:r w:rsidRPr="00DC5980">
              <w:rPr>
                <w:szCs w:val="20"/>
              </w:rPr>
              <w:t>-Jul</w:t>
            </w:r>
            <w:r>
              <w:rPr>
                <w:szCs w:val="20"/>
              </w:rPr>
              <w:t>11)</w:t>
            </w:r>
          </w:p>
        </w:tc>
        <w:tc>
          <w:tcPr>
            <w:tcW w:w="1351" w:type="dxa"/>
            <w:shd w:val="clear" w:color="auto" w:fill="BFBFBF" w:themeFill="background1" w:themeFillShade="BF"/>
          </w:tcPr>
          <w:p w:rsidR="001C14E8" w:rsidRDefault="001C14E8" w:rsidP="005C4223">
            <w:pPr>
              <w:pStyle w:val="Tableheading"/>
              <w:rPr>
                <w:szCs w:val="20"/>
              </w:rPr>
            </w:pPr>
            <w:r>
              <w:rPr>
                <w:szCs w:val="20"/>
              </w:rPr>
              <w:t>Year 4</w:t>
            </w:r>
          </w:p>
          <w:p w:rsidR="001C14E8" w:rsidRPr="001D0858" w:rsidRDefault="001C14E8" w:rsidP="005C4223">
            <w:pPr>
              <w:pStyle w:val="Tableheading"/>
              <w:rPr>
                <w:szCs w:val="20"/>
              </w:rPr>
            </w:pPr>
            <w:r w:rsidRPr="00DC5980">
              <w:rPr>
                <w:szCs w:val="20"/>
              </w:rPr>
              <w:t>(Aug1</w:t>
            </w:r>
            <w:r>
              <w:rPr>
                <w:szCs w:val="20"/>
              </w:rPr>
              <w:t>1</w:t>
            </w:r>
            <w:r w:rsidRPr="00DC5980">
              <w:rPr>
                <w:szCs w:val="20"/>
              </w:rPr>
              <w:t>-Jul1</w:t>
            </w:r>
            <w:r>
              <w:rPr>
                <w:szCs w:val="20"/>
              </w:rPr>
              <w:t>2</w:t>
            </w:r>
            <w:r w:rsidRPr="00DC5980">
              <w:rPr>
                <w:szCs w:val="20"/>
              </w:rPr>
              <w:t>)</w:t>
            </w:r>
          </w:p>
        </w:tc>
        <w:tc>
          <w:tcPr>
            <w:tcW w:w="1351" w:type="dxa"/>
            <w:shd w:val="clear" w:color="auto" w:fill="BFBFBF" w:themeFill="background1" w:themeFillShade="BF"/>
          </w:tcPr>
          <w:p w:rsidR="001C14E8" w:rsidRDefault="001C14E8" w:rsidP="005C4223">
            <w:pPr>
              <w:pStyle w:val="Tableheading"/>
              <w:rPr>
                <w:szCs w:val="20"/>
              </w:rPr>
            </w:pPr>
            <w:r>
              <w:rPr>
                <w:szCs w:val="20"/>
              </w:rPr>
              <w:t>Year 5</w:t>
            </w:r>
          </w:p>
          <w:p w:rsidR="001C14E8" w:rsidRPr="001D0858" w:rsidRDefault="001C14E8" w:rsidP="005C4223">
            <w:pPr>
              <w:pStyle w:val="Tableheading"/>
              <w:rPr>
                <w:szCs w:val="20"/>
              </w:rPr>
            </w:pPr>
            <w:r w:rsidRPr="00DC5980">
              <w:rPr>
                <w:szCs w:val="20"/>
              </w:rPr>
              <w:t>(Aug1</w:t>
            </w:r>
            <w:r>
              <w:rPr>
                <w:szCs w:val="20"/>
              </w:rPr>
              <w:t>2</w:t>
            </w:r>
            <w:r w:rsidRPr="00DC5980">
              <w:rPr>
                <w:szCs w:val="20"/>
              </w:rPr>
              <w:t>-Jul1</w:t>
            </w:r>
            <w:r>
              <w:rPr>
                <w:szCs w:val="20"/>
              </w:rPr>
              <w:t>3</w:t>
            </w:r>
            <w:r w:rsidRPr="00DC5980">
              <w:rPr>
                <w:szCs w:val="20"/>
              </w:rPr>
              <w:t>)</w:t>
            </w:r>
          </w:p>
        </w:tc>
        <w:tc>
          <w:tcPr>
            <w:tcW w:w="1352" w:type="dxa"/>
            <w:shd w:val="clear" w:color="auto" w:fill="BFBFBF" w:themeFill="background1" w:themeFillShade="BF"/>
          </w:tcPr>
          <w:p w:rsidR="001C14E8" w:rsidRDefault="001C14E8" w:rsidP="005C4223">
            <w:pPr>
              <w:pStyle w:val="Tableheading"/>
              <w:rPr>
                <w:szCs w:val="20"/>
              </w:rPr>
            </w:pPr>
            <w:r>
              <w:rPr>
                <w:szCs w:val="20"/>
              </w:rPr>
              <w:t>Year 6</w:t>
            </w:r>
          </w:p>
          <w:p w:rsidR="001C14E8" w:rsidRPr="001D0858" w:rsidRDefault="001C14E8" w:rsidP="005C4223">
            <w:pPr>
              <w:pStyle w:val="Tableheading"/>
              <w:rPr>
                <w:szCs w:val="20"/>
              </w:rPr>
            </w:pPr>
            <w:r w:rsidRPr="00DC5980">
              <w:rPr>
                <w:szCs w:val="20"/>
              </w:rPr>
              <w:t>(Aug1</w:t>
            </w:r>
            <w:r>
              <w:rPr>
                <w:szCs w:val="20"/>
              </w:rPr>
              <w:t>3</w:t>
            </w:r>
            <w:r w:rsidRPr="00DC5980">
              <w:rPr>
                <w:szCs w:val="20"/>
              </w:rPr>
              <w:t>-Jul1</w:t>
            </w:r>
            <w:r>
              <w:rPr>
                <w:szCs w:val="20"/>
              </w:rPr>
              <w:t>4</w:t>
            </w:r>
            <w:r w:rsidRPr="00DC5980">
              <w:rPr>
                <w:szCs w:val="20"/>
              </w:rPr>
              <w:t>)</w:t>
            </w:r>
          </w:p>
        </w:tc>
      </w:tr>
      <w:tr w:rsidR="009067BA" w:rsidRPr="00DC5980" w:rsidTr="00071F03">
        <w:trPr>
          <w:trHeight w:val="296"/>
        </w:trPr>
        <w:tc>
          <w:tcPr>
            <w:tcW w:w="957" w:type="dxa"/>
          </w:tcPr>
          <w:p w:rsidR="009067BA" w:rsidRDefault="009067BA" w:rsidP="005C4223">
            <w:pPr>
              <w:pStyle w:val="Tableheading"/>
              <w:jc w:val="left"/>
              <w:rPr>
                <w:b w:val="0"/>
                <w:szCs w:val="20"/>
              </w:rPr>
            </w:pPr>
            <w:r>
              <w:rPr>
                <w:b w:val="0"/>
                <w:szCs w:val="20"/>
              </w:rPr>
              <w:t>Predicted</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2"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r>
      <w:tr w:rsidR="009067BA" w:rsidRPr="00B963F1" w:rsidTr="00071F03">
        <w:trPr>
          <w:trHeight w:val="296"/>
        </w:trPr>
        <w:tc>
          <w:tcPr>
            <w:tcW w:w="957" w:type="dxa"/>
          </w:tcPr>
          <w:p w:rsidR="009067BA" w:rsidRDefault="009067BA" w:rsidP="005C4223">
            <w:pPr>
              <w:pStyle w:val="Tableheading"/>
              <w:jc w:val="left"/>
              <w:rPr>
                <w:b w:val="0"/>
                <w:szCs w:val="20"/>
              </w:rPr>
            </w:pPr>
            <w:r>
              <w:rPr>
                <w:b w:val="0"/>
                <w:szCs w:val="20"/>
              </w:rPr>
              <w:t>Actual</w:t>
            </w:r>
          </w:p>
        </w:tc>
        <w:tc>
          <w:tcPr>
            <w:tcW w:w="1351" w:type="dxa"/>
            <w:vAlign w:val="bottom"/>
          </w:tcPr>
          <w:p w:rsidR="009067BA" w:rsidRPr="00B963F1" w:rsidRDefault="009067BA" w:rsidP="005C4223">
            <w:pPr>
              <w:pStyle w:val="Tablewriting"/>
              <w:jc w:val="center"/>
              <w:rPr>
                <w:color w:val="7030A0"/>
              </w:rPr>
            </w:pPr>
            <w:r>
              <w:rPr>
                <w:rFonts w:ascii="Calibri" w:hAnsi="Calibri"/>
              </w:rPr>
              <w:t>6,651</w:t>
            </w:r>
          </w:p>
        </w:tc>
        <w:tc>
          <w:tcPr>
            <w:tcW w:w="1351" w:type="dxa"/>
            <w:vAlign w:val="bottom"/>
          </w:tcPr>
          <w:p w:rsidR="009067BA" w:rsidRPr="00B963F1" w:rsidRDefault="009067BA" w:rsidP="005C4223">
            <w:pPr>
              <w:pStyle w:val="Tablewriting"/>
              <w:jc w:val="center"/>
              <w:rPr>
                <w:color w:val="7030A0"/>
              </w:rPr>
            </w:pPr>
            <w:r>
              <w:rPr>
                <w:rFonts w:ascii="Calibri" w:hAnsi="Calibri"/>
              </w:rPr>
              <w:t>12,660</w:t>
            </w:r>
          </w:p>
        </w:tc>
        <w:tc>
          <w:tcPr>
            <w:tcW w:w="1351" w:type="dxa"/>
            <w:vAlign w:val="bottom"/>
          </w:tcPr>
          <w:p w:rsidR="009067BA" w:rsidRPr="00B963F1" w:rsidRDefault="009067BA" w:rsidP="005C4223">
            <w:pPr>
              <w:pStyle w:val="Tablewriting"/>
              <w:jc w:val="center"/>
              <w:rPr>
                <w:color w:val="7030A0"/>
              </w:rPr>
            </w:pPr>
            <w:r>
              <w:rPr>
                <w:rFonts w:ascii="Calibri" w:hAnsi="Calibri"/>
              </w:rPr>
              <w:t>16,406</w:t>
            </w:r>
          </w:p>
        </w:tc>
        <w:tc>
          <w:tcPr>
            <w:tcW w:w="1351" w:type="dxa"/>
            <w:vAlign w:val="bottom"/>
          </w:tcPr>
          <w:p w:rsidR="009067BA" w:rsidRPr="00B963F1" w:rsidRDefault="009067BA" w:rsidP="005C4223">
            <w:pPr>
              <w:pStyle w:val="Tablewriting"/>
              <w:jc w:val="center"/>
              <w:rPr>
                <w:color w:val="7030A0"/>
              </w:rPr>
            </w:pPr>
            <w:r>
              <w:rPr>
                <w:rFonts w:ascii="Calibri" w:hAnsi="Calibri"/>
              </w:rPr>
              <w:t>20,622</w:t>
            </w:r>
          </w:p>
        </w:tc>
        <w:tc>
          <w:tcPr>
            <w:tcW w:w="1351" w:type="dxa"/>
            <w:vAlign w:val="bottom"/>
          </w:tcPr>
          <w:p w:rsidR="009067BA" w:rsidRPr="00B963F1" w:rsidRDefault="009067BA" w:rsidP="005C4223">
            <w:pPr>
              <w:pStyle w:val="Tablewriting"/>
              <w:jc w:val="center"/>
              <w:rPr>
                <w:color w:val="7030A0"/>
              </w:rPr>
            </w:pPr>
            <w:r>
              <w:rPr>
                <w:rFonts w:ascii="Calibri" w:hAnsi="Calibri"/>
              </w:rPr>
              <w:t>24,180</w:t>
            </w:r>
          </w:p>
        </w:tc>
        <w:tc>
          <w:tcPr>
            <w:tcW w:w="1352" w:type="dxa"/>
            <w:vAlign w:val="bottom"/>
          </w:tcPr>
          <w:p w:rsidR="009067BA" w:rsidRPr="00B963F1" w:rsidRDefault="009067BA" w:rsidP="005C4223">
            <w:pPr>
              <w:pStyle w:val="Tablewriting"/>
              <w:jc w:val="center"/>
              <w:rPr>
                <w:color w:val="7030A0"/>
              </w:rPr>
            </w:pPr>
            <w:r>
              <w:rPr>
                <w:rFonts w:ascii="Calibri" w:hAnsi="Calibri"/>
              </w:rPr>
              <w:t>28,635</w:t>
            </w:r>
          </w:p>
        </w:tc>
      </w:tr>
      <w:tr w:rsidR="009067BA" w:rsidRPr="00DC5980" w:rsidTr="00071F03">
        <w:trPr>
          <w:trHeight w:val="296"/>
        </w:trPr>
        <w:tc>
          <w:tcPr>
            <w:tcW w:w="957" w:type="dxa"/>
          </w:tcPr>
          <w:p w:rsidR="009067BA" w:rsidRDefault="009067BA" w:rsidP="005C4223">
            <w:pPr>
              <w:pStyle w:val="Tableheading"/>
              <w:jc w:val="left"/>
              <w:rPr>
                <w:b w:val="0"/>
                <w:szCs w:val="20"/>
              </w:rPr>
            </w:pPr>
            <w:r>
              <w:rPr>
                <w:b w:val="0"/>
                <w:szCs w:val="20"/>
              </w:rPr>
              <w:t>Difference</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c>
          <w:tcPr>
            <w:tcW w:w="1352" w:type="dxa"/>
            <w:vAlign w:val="bottom"/>
          </w:tcPr>
          <w:p w:rsidR="009067BA" w:rsidRPr="0093627C" w:rsidRDefault="0093627C" w:rsidP="005C4223">
            <w:pPr>
              <w:pStyle w:val="Tablewriting"/>
              <w:jc w:val="center"/>
              <w:rPr>
                <w:color w:val="7030A0"/>
                <w:highlight w:val="black"/>
              </w:rPr>
            </w:pPr>
            <w:r>
              <w:rPr>
                <w:rFonts w:ascii="Calibri" w:hAnsi="Calibri"/>
                <w:noProof/>
                <w:highlight w:val="black"/>
              </w:rPr>
              <w:t>'''''''</w:t>
            </w:r>
          </w:p>
        </w:tc>
      </w:tr>
    </w:tbl>
    <w:p w:rsidR="009067BA" w:rsidRDefault="009067BA" w:rsidP="009067BA">
      <w:pPr>
        <w:pStyle w:val="Figurecaption"/>
      </w:pPr>
      <w:r>
        <w:t xml:space="preserve">Source: </w:t>
      </w:r>
      <w:proofErr w:type="spellStart"/>
      <w:r>
        <w:t>Adalimumab</w:t>
      </w:r>
      <w:proofErr w:type="spellEnd"/>
      <w:r>
        <w:t xml:space="preserve"> Severe Crohn’s disease final estimates, June 2008.</w:t>
      </w:r>
    </w:p>
    <w:p w:rsidR="009067BA" w:rsidRDefault="009067BA" w:rsidP="009067BA">
      <w:pPr>
        <w:pStyle w:val="Tabletitle"/>
      </w:pPr>
      <w:r>
        <w:t xml:space="preserve">Table 13: </w:t>
      </w:r>
      <w:proofErr w:type="spellStart"/>
      <w:r>
        <w:t>Adalimumab</w:t>
      </w:r>
      <w:proofErr w:type="spellEnd"/>
      <w:r>
        <w:t xml:space="preserve"> predicted versus actual expenditure – severe Crohn’s disease</w:t>
      </w:r>
    </w:p>
    <w:tbl>
      <w:tblPr>
        <w:tblStyle w:val="TableGrid"/>
        <w:tblW w:w="0" w:type="auto"/>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throught to 6"/>
      </w:tblPr>
      <w:tblGrid>
        <w:gridCol w:w="1065"/>
        <w:gridCol w:w="1325"/>
        <w:gridCol w:w="1332"/>
        <w:gridCol w:w="1339"/>
        <w:gridCol w:w="1332"/>
        <w:gridCol w:w="1332"/>
        <w:gridCol w:w="1340"/>
      </w:tblGrid>
      <w:tr w:rsidR="001C14E8" w:rsidRPr="001D0858" w:rsidTr="00071F03">
        <w:trPr>
          <w:trHeight w:val="249"/>
          <w:tblHeader/>
        </w:trPr>
        <w:tc>
          <w:tcPr>
            <w:tcW w:w="957" w:type="dxa"/>
            <w:shd w:val="clear" w:color="auto" w:fill="BFBFBF" w:themeFill="background1" w:themeFillShade="BF"/>
          </w:tcPr>
          <w:p w:rsidR="001C14E8" w:rsidRPr="001D0858" w:rsidRDefault="001C14E8" w:rsidP="005C4223">
            <w:pPr>
              <w:pStyle w:val="Tableheading"/>
              <w:rPr>
                <w:szCs w:val="20"/>
              </w:rPr>
            </w:pPr>
          </w:p>
        </w:tc>
        <w:tc>
          <w:tcPr>
            <w:tcW w:w="1351" w:type="dxa"/>
            <w:shd w:val="clear" w:color="auto" w:fill="BFBFBF" w:themeFill="background1" w:themeFillShade="BF"/>
          </w:tcPr>
          <w:p w:rsidR="001C14E8" w:rsidRPr="001D0858" w:rsidRDefault="001C14E8" w:rsidP="005C4223">
            <w:pPr>
              <w:pStyle w:val="Tableheading"/>
              <w:rPr>
                <w:szCs w:val="20"/>
              </w:rPr>
            </w:pPr>
            <w:r>
              <w:rPr>
                <w:szCs w:val="20"/>
              </w:rPr>
              <w:t xml:space="preserve">Year1 </w:t>
            </w:r>
            <w:r>
              <w:rPr>
                <w:szCs w:val="20"/>
              </w:rPr>
              <w:br/>
              <w:t>(Aug08-Jul09)</w:t>
            </w:r>
          </w:p>
        </w:tc>
        <w:tc>
          <w:tcPr>
            <w:tcW w:w="1351" w:type="dxa"/>
            <w:shd w:val="clear" w:color="auto" w:fill="BFBFBF" w:themeFill="background1" w:themeFillShade="BF"/>
          </w:tcPr>
          <w:p w:rsidR="001C14E8" w:rsidRDefault="001C14E8" w:rsidP="005C4223">
            <w:pPr>
              <w:pStyle w:val="Tableheading"/>
              <w:rPr>
                <w:szCs w:val="20"/>
              </w:rPr>
            </w:pPr>
            <w:r>
              <w:rPr>
                <w:szCs w:val="20"/>
              </w:rPr>
              <w:t>Year 2</w:t>
            </w:r>
          </w:p>
          <w:p w:rsidR="001C14E8" w:rsidRPr="001D0858" w:rsidRDefault="001C14E8" w:rsidP="005C4223">
            <w:pPr>
              <w:pStyle w:val="Tableheading"/>
              <w:rPr>
                <w:szCs w:val="20"/>
              </w:rPr>
            </w:pPr>
            <w:r>
              <w:rPr>
                <w:szCs w:val="20"/>
              </w:rPr>
              <w:t>(</w:t>
            </w:r>
            <w:r w:rsidRPr="00DC5980">
              <w:rPr>
                <w:szCs w:val="20"/>
              </w:rPr>
              <w:t>Aug0</w:t>
            </w:r>
            <w:r>
              <w:rPr>
                <w:szCs w:val="20"/>
              </w:rPr>
              <w:t>9</w:t>
            </w:r>
            <w:r w:rsidRPr="00DC5980">
              <w:rPr>
                <w:szCs w:val="20"/>
              </w:rPr>
              <w:t>-Jul</w:t>
            </w:r>
            <w:r>
              <w:rPr>
                <w:szCs w:val="20"/>
              </w:rPr>
              <w:t>10)</w:t>
            </w:r>
          </w:p>
        </w:tc>
        <w:tc>
          <w:tcPr>
            <w:tcW w:w="1351" w:type="dxa"/>
            <w:shd w:val="clear" w:color="auto" w:fill="BFBFBF" w:themeFill="background1" w:themeFillShade="BF"/>
          </w:tcPr>
          <w:p w:rsidR="001C14E8" w:rsidRDefault="001C14E8" w:rsidP="005C4223">
            <w:pPr>
              <w:pStyle w:val="Tableheading"/>
              <w:rPr>
                <w:szCs w:val="20"/>
              </w:rPr>
            </w:pPr>
            <w:r>
              <w:rPr>
                <w:szCs w:val="20"/>
              </w:rPr>
              <w:t>Year 3</w:t>
            </w:r>
          </w:p>
          <w:p w:rsidR="001C14E8" w:rsidRPr="001D0858" w:rsidRDefault="001C14E8" w:rsidP="005C4223">
            <w:pPr>
              <w:pStyle w:val="Tableheading"/>
              <w:rPr>
                <w:szCs w:val="20"/>
              </w:rPr>
            </w:pPr>
            <w:r>
              <w:rPr>
                <w:szCs w:val="20"/>
              </w:rPr>
              <w:t>(</w:t>
            </w:r>
            <w:r w:rsidRPr="00DC5980">
              <w:rPr>
                <w:szCs w:val="20"/>
              </w:rPr>
              <w:t>Aug</w:t>
            </w:r>
            <w:r>
              <w:rPr>
                <w:szCs w:val="20"/>
              </w:rPr>
              <w:t>10</w:t>
            </w:r>
            <w:r w:rsidRPr="00DC5980">
              <w:rPr>
                <w:szCs w:val="20"/>
              </w:rPr>
              <w:t>-Jul</w:t>
            </w:r>
            <w:r>
              <w:rPr>
                <w:szCs w:val="20"/>
              </w:rPr>
              <w:t>11)</w:t>
            </w:r>
          </w:p>
        </w:tc>
        <w:tc>
          <w:tcPr>
            <w:tcW w:w="1351" w:type="dxa"/>
            <w:shd w:val="clear" w:color="auto" w:fill="BFBFBF" w:themeFill="background1" w:themeFillShade="BF"/>
          </w:tcPr>
          <w:p w:rsidR="001C14E8" w:rsidRDefault="001C14E8" w:rsidP="005C4223">
            <w:pPr>
              <w:pStyle w:val="Tableheading"/>
              <w:rPr>
                <w:szCs w:val="20"/>
              </w:rPr>
            </w:pPr>
            <w:r>
              <w:rPr>
                <w:szCs w:val="20"/>
              </w:rPr>
              <w:t>Year 4</w:t>
            </w:r>
          </w:p>
          <w:p w:rsidR="001C14E8" w:rsidRPr="001D0858" w:rsidRDefault="001C14E8" w:rsidP="005C4223">
            <w:pPr>
              <w:pStyle w:val="Tableheading"/>
              <w:rPr>
                <w:szCs w:val="20"/>
              </w:rPr>
            </w:pPr>
            <w:r w:rsidRPr="00DC5980">
              <w:rPr>
                <w:szCs w:val="20"/>
              </w:rPr>
              <w:t>(Aug1</w:t>
            </w:r>
            <w:r>
              <w:rPr>
                <w:szCs w:val="20"/>
              </w:rPr>
              <w:t>1</w:t>
            </w:r>
            <w:r w:rsidRPr="00DC5980">
              <w:rPr>
                <w:szCs w:val="20"/>
              </w:rPr>
              <w:t>-Jul1</w:t>
            </w:r>
            <w:r>
              <w:rPr>
                <w:szCs w:val="20"/>
              </w:rPr>
              <w:t>2</w:t>
            </w:r>
            <w:r w:rsidRPr="00DC5980">
              <w:rPr>
                <w:szCs w:val="20"/>
              </w:rPr>
              <w:t>)</w:t>
            </w:r>
          </w:p>
        </w:tc>
        <w:tc>
          <w:tcPr>
            <w:tcW w:w="1351" w:type="dxa"/>
            <w:shd w:val="clear" w:color="auto" w:fill="BFBFBF" w:themeFill="background1" w:themeFillShade="BF"/>
          </w:tcPr>
          <w:p w:rsidR="001C14E8" w:rsidRDefault="001C14E8" w:rsidP="005C4223">
            <w:pPr>
              <w:pStyle w:val="Tableheading"/>
              <w:rPr>
                <w:szCs w:val="20"/>
              </w:rPr>
            </w:pPr>
            <w:r>
              <w:rPr>
                <w:szCs w:val="20"/>
              </w:rPr>
              <w:t>Year 5</w:t>
            </w:r>
          </w:p>
          <w:p w:rsidR="001C14E8" w:rsidRPr="001D0858" w:rsidRDefault="001C14E8" w:rsidP="005C4223">
            <w:pPr>
              <w:pStyle w:val="Tableheading"/>
              <w:rPr>
                <w:szCs w:val="20"/>
              </w:rPr>
            </w:pPr>
            <w:r w:rsidRPr="00DC5980">
              <w:rPr>
                <w:szCs w:val="20"/>
              </w:rPr>
              <w:t>(Aug1</w:t>
            </w:r>
            <w:r>
              <w:rPr>
                <w:szCs w:val="20"/>
              </w:rPr>
              <w:t>2</w:t>
            </w:r>
            <w:r w:rsidRPr="00DC5980">
              <w:rPr>
                <w:szCs w:val="20"/>
              </w:rPr>
              <w:t>-Jul1</w:t>
            </w:r>
            <w:r>
              <w:rPr>
                <w:szCs w:val="20"/>
              </w:rPr>
              <w:t>3</w:t>
            </w:r>
            <w:r w:rsidRPr="00DC5980">
              <w:rPr>
                <w:szCs w:val="20"/>
              </w:rPr>
              <w:t>)</w:t>
            </w:r>
          </w:p>
        </w:tc>
        <w:tc>
          <w:tcPr>
            <w:tcW w:w="1352" w:type="dxa"/>
            <w:shd w:val="clear" w:color="auto" w:fill="BFBFBF" w:themeFill="background1" w:themeFillShade="BF"/>
          </w:tcPr>
          <w:p w:rsidR="001C14E8" w:rsidRDefault="001C14E8" w:rsidP="005C4223">
            <w:pPr>
              <w:pStyle w:val="Tableheading"/>
              <w:rPr>
                <w:szCs w:val="20"/>
              </w:rPr>
            </w:pPr>
            <w:r>
              <w:rPr>
                <w:szCs w:val="20"/>
              </w:rPr>
              <w:t>Year 6</w:t>
            </w:r>
          </w:p>
          <w:p w:rsidR="001C14E8" w:rsidRPr="001D0858" w:rsidRDefault="001C14E8" w:rsidP="005C4223">
            <w:pPr>
              <w:pStyle w:val="Tableheading"/>
              <w:rPr>
                <w:szCs w:val="20"/>
              </w:rPr>
            </w:pPr>
            <w:r w:rsidRPr="00DC5980">
              <w:rPr>
                <w:szCs w:val="20"/>
              </w:rPr>
              <w:t>(Aug1</w:t>
            </w:r>
            <w:r>
              <w:rPr>
                <w:szCs w:val="20"/>
              </w:rPr>
              <w:t>3</w:t>
            </w:r>
            <w:r w:rsidRPr="00DC5980">
              <w:rPr>
                <w:szCs w:val="20"/>
              </w:rPr>
              <w:t>-Jul1</w:t>
            </w:r>
            <w:r>
              <w:rPr>
                <w:szCs w:val="20"/>
              </w:rPr>
              <w:t>4</w:t>
            </w:r>
            <w:r w:rsidRPr="00DC5980">
              <w:rPr>
                <w:szCs w:val="20"/>
              </w:rPr>
              <w:t>)</w:t>
            </w:r>
          </w:p>
        </w:tc>
      </w:tr>
      <w:tr w:rsidR="009067BA" w:rsidRPr="00B963F1" w:rsidTr="00071F03">
        <w:trPr>
          <w:trHeight w:val="296"/>
        </w:trPr>
        <w:tc>
          <w:tcPr>
            <w:tcW w:w="957" w:type="dxa"/>
          </w:tcPr>
          <w:p w:rsidR="009067BA" w:rsidRDefault="009067BA" w:rsidP="005C4223">
            <w:pPr>
              <w:pStyle w:val="Tableheading"/>
              <w:jc w:val="left"/>
              <w:rPr>
                <w:b w:val="0"/>
                <w:szCs w:val="20"/>
              </w:rPr>
            </w:pPr>
            <w:r>
              <w:rPr>
                <w:b w:val="0"/>
                <w:szCs w:val="20"/>
              </w:rPr>
              <w:t>Predicted</w:t>
            </w:r>
          </w:p>
        </w:tc>
        <w:tc>
          <w:tcPr>
            <w:tcW w:w="1351" w:type="dxa"/>
            <w:vAlign w:val="bottom"/>
          </w:tcPr>
          <w:p w:rsidR="009067BA" w:rsidRPr="0093627C" w:rsidRDefault="0093627C" w:rsidP="005C4223">
            <w:pPr>
              <w:pStyle w:val="Tablewriting"/>
              <w:jc w:val="right"/>
              <w:rPr>
                <w:color w:val="7030A0"/>
                <w:highlight w:val="black"/>
              </w:rPr>
            </w:pPr>
            <w:r>
              <w:rPr>
                <w:noProof/>
                <w:highlight w:val="black"/>
              </w:rPr>
              <w:t>''''''''''''''''''''''</w:t>
            </w:r>
          </w:p>
        </w:tc>
        <w:tc>
          <w:tcPr>
            <w:tcW w:w="1351" w:type="dxa"/>
            <w:vAlign w:val="bottom"/>
          </w:tcPr>
          <w:p w:rsidR="009067BA" w:rsidRPr="0093627C" w:rsidRDefault="0093627C" w:rsidP="005C4223">
            <w:pPr>
              <w:pStyle w:val="Tablewriting"/>
              <w:jc w:val="right"/>
              <w:rPr>
                <w:color w:val="7030A0"/>
                <w:highlight w:val="black"/>
              </w:rPr>
            </w:pPr>
            <w:r>
              <w:rPr>
                <w:noProof/>
                <w:highlight w:val="black"/>
              </w:rPr>
              <w:t>''''''''''''''''''''''</w:t>
            </w:r>
          </w:p>
        </w:tc>
        <w:tc>
          <w:tcPr>
            <w:tcW w:w="1351" w:type="dxa"/>
            <w:vAlign w:val="bottom"/>
          </w:tcPr>
          <w:p w:rsidR="009067BA" w:rsidRPr="0093627C" w:rsidRDefault="0093627C" w:rsidP="005C4223">
            <w:pPr>
              <w:pStyle w:val="Tablewriting"/>
              <w:jc w:val="right"/>
              <w:rPr>
                <w:color w:val="7030A0"/>
                <w:highlight w:val="black"/>
              </w:rPr>
            </w:pPr>
            <w:r>
              <w:rPr>
                <w:noProof/>
                <w:highlight w:val="black"/>
              </w:rPr>
              <w:t>''''''''''''''''''''''''</w:t>
            </w:r>
          </w:p>
        </w:tc>
        <w:tc>
          <w:tcPr>
            <w:tcW w:w="1351" w:type="dxa"/>
            <w:vAlign w:val="bottom"/>
          </w:tcPr>
          <w:p w:rsidR="009067BA" w:rsidRPr="0093627C" w:rsidRDefault="0093627C" w:rsidP="005C4223">
            <w:pPr>
              <w:pStyle w:val="Tablewriting"/>
              <w:jc w:val="right"/>
              <w:rPr>
                <w:color w:val="7030A0"/>
                <w:highlight w:val="black"/>
              </w:rPr>
            </w:pPr>
            <w:r>
              <w:rPr>
                <w:noProof/>
                <w:highlight w:val="black"/>
              </w:rPr>
              <w:t>''''''''''''''''''''''</w:t>
            </w:r>
          </w:p>
        </w:tc>
        <w:tc>
          <w:tcPr>
            <w:tcW w:w="1351" w:type="dxa"/>
            <w:vAlign w:val="bottom"/>
          </w:tcPr>
          <w:p w:rsidR="009067BA" w:rsidRPr="0093627C" w:rsidRDefault="0093627C" w:rsidP="005C4223">
            <w:pPr>
              <w:pStyle w:val="Tablewriting"/>
              <w:jc w:val="right"/>
              <w:rPr>
                <w:color w:val="7030A0"/>
                <w:highlight w:val="black"/>
              </w:rPr>
            </w:pPr>
            <w:r>
              <w:rPr>
                <w:noProof/>
                <w:highlight w:val="black"/>
              </w:rPr>
              <w:t>''''''''''''''''''''''</w:t>
            </w:r>
          </w:p>
        </w:tc>
        <w:tc>
          <w:tcPr>
            <w:tcW w:w="1352" w:type="dxa"/>
            <w:vAlign w:val="bottom"/>
          </w:tcPr>
          <w:p w:rsidR="009067BA" w:rsidRPr="0093627C" w:rsidRDefault="0093627C" w:rsidP="005C4223">
            <w:pPr>
              <w:pStyle w:val="Tablewriting"/>
              <w:jc w:val="right"/>
              <w:rPr>
                <w:color w:val="7030A0"/>
                <w:highlight w:val="black"/>
              </w:rPr>
            </w:pPr>
            <w:r>
              <w:rPr>
                <w:noProof/>
                <w:highlight w:val="black"/>
              </w:rPr>
              <w:t>''''''''''''''''''''''''</w:t>
            </w:r>
          </w:p>
        </w:tc>
      </w:tr>
      <w:tr w:rsidR="009067BA" w:rsidRPr="004835D7" w:rsidTr="00071F03">
        <w:trPr>
          <w:trHeight w:val="296"/>
        </w:trPr>
        <w:tc>
          <w:tcPr>
            <w:tcW w:w="957" w:type="dxa"/>
          </w:tcPr>
          <w:p w:rsidR="009067BA" w:rsidRDefault="009067BA" w:rsidP="005C4223">
            <w:pPr>
              <w:pStyle w:val="Tableheading"/>
              <w:jc w:val="left"/>
              <w:rPr>
                <w:b w:val="0"/>
                <w:szCs w:val="20"/>
              </w:rPr>
            </w:pPr>
            <w:r>
              <w:rPr>
                <w:b w:val="0"/>
                <w:szCs w:val="20"/>
              </w:rPr>
              <w:t>Actual</w:t>
            </w:r>
          </w:p>
        </w:tc>
        <w:tc>
          <w:tcPr>
            <w:tcW w:w="1351" w:type="dxa"/>
            <w:vAlign w:val="bottom"/>
          </w:tcPr>
          <w:p w:rsidR="009067BA" w:rsidRPr="004835D7" w:rsidRDefault="009067BA" w:rsidP="005C4223">
            <w:pPr>
              <w:pStyle w:val="Tablewriting"/>
              <w:jc w:val="right"/>
            </w:pPr>
            <w:r w:rsidRPr="004835D7">
              <w:t>$4,186,920</w:t>
            </w:r>
          </w:p>
        </w:tc>
        <w:tc>
          <w:tcPr>
            <w:tcW w:w="1351" w:type="dxa"/>
            <w:vAlign w:val="bottom"/>
          </w:tcPr>
          <w:p w:rsidR="009067BA" w:rsidRPr="004835D7" w:rsidRDefault="009067BA" w:rsidP="005C4223">
            <w:pPr>
              <w:pStyle w:val="Tablewriting"/>
              <w:jc w:val="right"/>
            </w:pPr>
            <w:r w:rsidRPr="004835D7">
              <w:t>$19,822,719</w:t>
            </w:r>
          </w:p>
        </w:tc>
        <w:tc>
          <w:tcPr>
            <w:tcW w:w="1351" w:type="dxa"/>
            <w:vAlign w:val="bottom"/>
          </w:tcPr>
          <w:p w:rsidR="009067BA" w:rsidRPr="004835D7" w:rsidRDefault="009067BA" w:rsidP="005C4223">
            <w:pPr>
              <w:pStyle w:val="Tablewriting"/>
              <w:jc w:val="right"/>
            </w:pPr>
            <w:r w:rsidRPr="004835D7">
              <w:t>$27,272,281</w:t>
            </w:r>
          </w:p>
        </w:tc>
        <w:tc>
          <w:tcPr>
            <w:tcW w:w="1351" w:type="dxa"/>
            <w:vAlign w:val="bottom"/>
          </w:tcPr>
          <w:p w:rsidR="009067BA" w:rsidRPr="004835D7" w:rsidRDefault="009067BA" w:rsidP="005C4223">
            <w:pPr>
              <w:pStyle w:val="Tablewriting"/>
              <w:jc w:val="right"/>
            </w:pPr>
            <w:r w:rsidRPr="004835D7">
              <w:t>$34,234,197</w:t>
            </w:r>
          </w:p>
        </w:tc>
        <w:tc>
          <w:tcPr>
            <w:tcW w:w="1351" w:type="dxa"/>
            <w:vAlign w:val="bottom"/>
          </w:tcPr>
          <w:p w:rsidR="009067BA" w:rsidRPr="004835D7" w:rsidRDefault="009067BA" w:rsidP="005C4223">
            <w:pPr>
              <w:pStyle w:val="Tablewriting"/>
              <w:jc w:val="right"/>
            </w:pPr>
            <w:r w:rsidRPr="004835D7">
              <w:t>$40,998,386</w:t>
            </w:r>
          </w:p>
        </w:tc>
        <w:tc>
          <w:tcPr>
            <w:tcW w:w="1352" w:type="dxa"/>
            <w:vAlign w:val="bottom"/>
          </w:tcPr>
          <w:p w:rsidR="009067BA" w:rsidRPr="004835D7" w:rsidRDefault="009067BA" w:rsidP="005C4223">
            <w:pPr>
              <w:pStyle w:val="Tablewriting"/>
              <w:jc w:val="right"/>
            </w:pPr>
            <w:r w:rsidRPr="004835D7">
              <w:t>$47,790,939</w:t>
            </w:r>
          </w:p>
        </w:tc>
      </w:tr>
      <w:tr w:rsidR="009067BA" w:rsidRPr="00B963F1" w:rsidTr="00071F03">
        <w:trPr>
          <w:trHeight w:val="296"/>
        </w:trPr>
        <w:tc>
          <w:tcPr>
            <w:tcW w:w="957" w:type="dxa"/>
          </w:tcPr>
          <w:p w:rsidR="009067BA" w:rsidRDefault="009067BA" w:rsidP="005C4223">
            <w:pPr>
              <w:pStyle w:val="Tableheading"/>
              <w:jc w:val="left"/>
              <w:rPr>
                <w:b w:val="0"/>
                <w:szCs w:val="20"/>
              </w:rPr>
            </w:pPr>
            <w:r>
              <w:rPr>
                <w:b w:val="0"/>
                <w:szCs w:val="20"/>
              </w:rPr>
              <w:t>Difference</w:t>
            </w:r>
          </w:p>
        </w:tc>
        <w:tc>
          <w:tcPr>
            <w:tcW w:w="1351" w:type="dxa"/>
            <w:vAlign w:val="bottom"/>
          </w:tcPr>
          <w:p w:rsidR="009067BA" w:rsidRPr="0093627C" w:rsidRDefault="0093627C" w:rsidP="005C4223">
            <w:pPr>
              <w:pStyle w:val="Tablewriting"/>
              <w:jc w:val="center"/>
              <w:rPr>
                <w:color w:val="7030A0"/>
                <w:highlight w:val="black"/>
              </w:rPr>
            </w:pPr>
            <w:r>
              <w:rPr>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noProof/>
                <w:highlight w:val="black"/>
              </w:rPr>
              <w:t>'''''''''</w:t>
            </w:r>
          </w:p>
        </w:tc>
        <w:tc>
          <w:tcPr>
            <w:tcW w:w="1351" w:type="dxa"/>
            <w:vAlign w:val="bottom"/>
          </w:tcPr>
          <w:p w:rsidR="009067BA" w:rsidRPr="0093627C" w:rsidRDefault="0093627C" w:rsidP="005C4223">
            <w:pPr>
              <w:pStyle w:val="Tablewriting"/>
              <w:jc w:val="center"/>
              <w:rPr>
                <w:color w:val="7030A0"/>
                <w:highlight w:val="black"/>
              </w:rPr>
            </w:pPr>
            <w:r>
              <w:rPr>
                <w:noProof/>
                <w:highlight w:val="black"/>
              </w:rPr>
              <w:t>'''''''''</w:t>
            </w:r>
          </w:p>
        </w:tc>
        <w:tc>
          <w:tcPr>
            <w:tcW w:w="1352" w:type="dxa"/>
            <w:vAlign w:val="bottom"/>
          </w:tcPr>
          <w:p w:rsidR="009067BA" w:rsidRPr="0093627C" w:rsidRDefault="0093627C" w:rsidP="005C4223">
            <w:pPr>
              <w:pStyle w:val="Tablewriting"/>
              <w:jc w:val="center"/>
              <w:rPr>
                <w:color w:val="7030A0"/>
                <w:highlight w:val="black"/>
              </w:rPr>
            </w:pPr>
            <w:r>
              <w:rPr>
                <w:noProof/>
                <w:highlight w:val="black"/>
              </w:rPr>
              <w:t>'''''''''</w:t>
            </w:r>
          </w:p>
        </w:tc>
      </w:tr>
    </w:tbl>
    <w:p w:rsidR="009067BA" w:rsidRDefault="009067BA" w:rsidP="009067BA">
      <w:pPr>
        <w:pStyle w:val="Figurecaption"/>
      </w:pPr>
      <w:r>
        <w:t xml:space="preserve">Source: </w:t>
      </w:r>
      <w:proofErr w:type="spellStart"/>
      <w:r>
        <w:t>Adalimumab</w:t>
      </w:r>
      <w:proofErr w:type="spellEnd"/>
      <w:r>
        <w:t xml:space="preserve"> Severe Crohn’s disease final estimates, June 2008.</w:t>
      </w:r>
    </w:p>
    <w:p w:rsidR="00394B9F" w:rsidRDefault="00394B9F" w:rsidP="00394B9F">
      <w:r w:rsidRPr="00394B9F">
        <w:t xml:space="preserve">The DUSC noted the results in Table 11 showing that the number of patients receiving </w:t>
      </w:r>
      <w:proofErr w:type="spellStart"/>
      <w:r w:rsidRPr="00394B9F">
        <w:t>adalimumab</w:t>
      </w:r>
      <w:proofErr w:type="spellEnd"/>
      <w:r w:rsidRPr="00394B9F">
        <w:t xml:space="preserve"> for severe Crohn’s disease have been less that those predicted, however that the number of packs is similar to that predicted reflecting patients continuing on treatment for longer than estimated.</w:t>
      </w:r>
    </w:p>
    <w:p w:rsidR="0002334C" w:rsidRDefault="0002334C" w:rsidP="0002334C">
      <w:pPr>
        <w:rPr>
          <w:b/>
        </w:rPr>
      </w:pPr>
      <w:r>
        <w:rPr>
          <w:b/>
        </w:rPr>
        <w:t>Infliximab</w:t>
      </w:r>
    </w:p>
    <w:p w:rsidR="0002334C" w:rsidRDefault="0002334C" w:rsidP="0002334C">
      <w:r w:rsidRPr="00723888">
        <w:t>Table</w:t>
      </w:r>
      <w:r w:rsidR="001C3DB9">
        <w:t>s</w:t>
      </w:r>
      <w:r w:rsidRPr="00723888">
        <w:t xml:space="preserve"> </w:t>
      </w:r>
      <w:r>
        <w:t>1</w:t>
      </w:r>
      <w:r w:rsidR="007B55A6">
        <w:t>4</w:t>
      </w:r>
      <w:r w:rsidR="001C3DB9">
        <w:t xml:space="preserve"> - 16</w:t>
      </w:r>
      <w:r>
        <w:t xml:space="preserve"> </w:t>
      </w:r>
      <w:r w:rsidRPr="00723888">
        <w:t xml:space="preserve">present the predicted and actual </w:t>
      </w:r>
      <w:r w:rsidR="007B55A6">
        <w:t>number of patients</w:t>
      </w:r>
      <w:r w:rsidR="001C3DB9">
        <w:t>, vials and net cost to the R/PBS of</w:t>
      </w:r>
      <w:r w:rsidRPr="00723888">
        <w:t xml:space="preserve"> </w:t>
      </w:r>
      <w:r>
        <w:t>infliximab</w:t>
      </w:r>
      <w:r w:rsidRPr="00723888">
        <w:t xml:space="preserve"> for severe refractory </w:t>
      </w:r>
      <w:r>
        <w:t>C</w:t>
      </w:r>
      <w:r w:rsidRPr="00723888">
        <w:t>rohn’s disease</w:t>
      </w:r>
      <w:r w:rsidR="00771448">
        <w:t xml:space="preserve"> for infliximab</w:t>
      </w:r>
      <w:r w:rsidRPr="00723888">
        <w:t>.</w:t>
      </w:r>
    </w:p>
    <w:p w:rsidR="0002334C" w:rsidRDefault="0002334C" w:rsidP="0002334C">
      <w:pPr>
        <w:pStyle w:val="Tabletitle"/>
      </w:pPr>
      <w:r>
        <w:t xml:space="preserve">Table </w:t>
      </w:r>
      <w:r w:rsidR="00B16DB7">
        <w:t>14</w:t>
      </w:r>
      <w:r>
        <w:t xml:space="preserve">: Infliximab </w:t>
      </w:r>
      <w:r w:rsidRPr="00723888">
        <w:t xml:space="preserve">predicted versus actual </w:t>
      </w:r>
      <w:r w:rsidR="00B16DB7">
        <w:t xml:space="preserve">number of patients </w:t>
      </w:r>
      <w:r w:rsidRPr="00723888">
        <w:t xml:space="preserve">– severe </w:t>
      </w:r>
      <w:r>
        <w:t>C</w:t>
      </w:r>
      <w:r w:rsidRPr="00723888">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throught to 6"/>
      </w:tblPr>
      <w:tblGrid>
        <w:gridCol w:w="1065"/>
        <w:gridCol w:w="1331"/>
        <w:gridCol w:w="1333"/>
        <w:gridCol w:w="1334"/>
        <w:gridCol w:w="1334"/>
        <w:gridCol w:w="1334"/>
        <w:gridCol w:w="1334"/>
      </w:tblGrid>
      <w:tr w:rsidR="0002334C" w:rsidRPr="001D0858" w:rsidTr="00071F03">
        <w:trPr>
          <w:trHeight w:val="249"/>
          <w:tblHeader/>
        </w:trPr>
        <w:tc>
          <w:tcPr>
            <w:tcW w:w="579" w:type="pct"/>
            <w:shd w:val="clear" w:color="auto" w:fill="BFBFBF" w:themeFill="background1" w:themeFillShade="BF"/>
          </w:tcPr>
          <w:p w:rsidR="0002334C" w:rsidRPr="001D0858" w:rsidRDefault="0002334C" w:rsidP="005C4223">
            <w:pPr>
              <w:pStyle w:val="Tableheading"/>
              <w:rPr>
                <w:szCs w:val="20"/>
              </w:rPr>
            </w:pPr>
          </w:p>
        </w:tc>
        <w:tc>
          <w:tcPr>
            <w:tcW w:w="736" w:type="pct"/>
            <w:shd w:val="clear" w:color="auto" w:fill="BFBFBF" w:themeFill="background1" w:themeFillShade="BF"/>
          </w:tcPr>
          <w:p w:rsidR="0002334C" w:rsidRDefault="0002334C" w:rsidP="005C4223">
            <w:pPr>
              <w:pStyle w:val="Tableheading"/>
              <w:rPr>
                <w:szCs w:val="20"/>
              </w:rPr>
            </w:pPr>
            <w:r>
              <w:rPr>
                <w:szCs w:val="20"/>
              </w:rPr>
              <w:t>Year1</w:t>
            </w:r>
          </w:p>
          <w:p w:rsidR="0002334C" w:rsidRPr="001D0858" w:rsidRDefault="0002334C" w:rsidP="005C4223">
            <w:pPr>
              <w:pStyle w:val="Tableheading"/>
              <w:rPr>
                <w:szCs w:val="20"/>
              </w:rPr>
            </w:pPr>
            <w:r>
              <w:rPr>
                <w:szCs w:val="20"/>
              </w:rPr>
              <w:t>(Oct07-Sep08)</w:t>
            </w:r>
          </w:p>
        </w:tc>
        <w:tc>
          <w:tcPr>
            <w:tcW w:w="737" w:type="pct"/>
            <w:shd w:val="clear" w:color="auto" w:fill="BFBFBF" w:themeFill="background1" w:themeFillShade="BF"/>
          </w:tcPr>
          <w:p w:rsidR="0002334C" w:rsidRDefault="0002334C" w:rsidP="005C4223">
            <w:pPr>
              <w:pStyle w:val="Tableheading"/>
              <w:rPr>
                <w:szCs w:val="20"/>
              </w:rPr>
            </w:pPr>
            <w:r>
              <w:rPr>
                <w:szCs w:val="20"/>
              </w:rPr>
              <w:t>Year 2</w:t>
            </w:r>
          </w:p>
          <w:p w:rsidR="0002334C" w:rsidRPr="001D0858" w:rsidRDefault="0002334C" w:rsidP="005C4223">
            <w:pPr>
              <w:pStyle w:val="Tableheading"/>
              <w:rPr>
                <w:szCs w:val="20"/>
              </w:rPr>
            </w:pPr>
            <w:r>
              <w:rPr>
                <w:szCs w:val="20"/>
              </w:rPr>
              <w:t>(Oct08-Sep09)</w:t>
            </w:r>
          </w:p>
        </w:tc>
        <w:tc>
          <w:tcPr>
            <w:tcW w:w="737" w:type="pct"/>
            <w:shd w:val="clear" w:color="auto" w:fill="BFBFBF" w:themeFill="background1" w:themeFillShade="BF"/>
          </w:tcPr>
          <w:p w:rsidR="0002334C" w:rsidRDefault="0002334C" w:rsidP="005C4223">
            <w:pPr>
              <w:pStyle w:val="Tableheading"/>
              <w:rPr>
                <w:szCs w:val="20"/>
              </w:rPr>
            </w:pPr>
            <w:r>
              <w:rPr>
                <w:szCs w:val="20"/>
              </w:rPr>
              <w:t>Year 3</w:t>
            </w:r>
          </w:p>
          <w:p w:rsidR="0002334C" w:rsidRPr="001D0858" w:rsidRDefault="0002334C" w:rsidP="005C4223">
            <w:pPr>
              <w:pStyle w:val="Tableheading"/>
              <w:rPr>
                <w:szCs w:val="20"/>
              </w:rPr>
            </w:pPr>
            <w:r>
              <w:rPr>
                <w:szCs w:val="20"/>
              </w:rPr>
              <w:t>(Oct09-Sep10)</w:t>
            </w:r>
          </w:p>
        </w:tc>
        <w:tc>
          <w:tcPr>
            <w:tcW w:w="737" w:type="pct"/>
            <w:shd w:val="clear" w:color="auto" w:fill="BFBFBF" w:themeFill="background1" w:themeFillShade="BF"/>
          </w:tcPr>
          <w:p w:rsidR="0002334C" w:rsidRDefault="0002334C" w:rsidP="005C4223">
            <w:pPr>
              <w:pStyle w:val="Tableheading"/>
              <w:rPr>
                <w:szCs w:val="20"/>
              </w:rPr>
            </w:pPr>
            <w:r>
              <w:rPr>
                <w:szCs w:val="20"/>
              </w:rPr>
              <w:t>Year 4</w:t>
            </w:r>
          </w:p>
          <w:p w:rsidR="0002334C" w:rsidRPr="001D0858" w:rsidRDefault="0002334C" w:rsidP="005C4223">
            <w:pPr>
              <w:pStyle w:val="Tableheading"/>
              <w:rPr>
                <w:szCs w:val="20"/>
              </w:rPr>
            </w:pPr>
            <w:r>
              <w:rPr>
                <w:szCs w:val="20"/>
              </w:rPr>
              <w:t>(Oct10-Sep11)</w:t>
            </w:r>
          </w:p>
        </w:tc>
        <w:tc>
          <w:tcPr>
            <w:tcW w:w="737" w:type="pct"/>
            <w:shd w:val="clear" w:color="auto" w:fill="BFBFBF" w:themeFill="background1" w:themeFillShade="BF"/>
          </w:tcPr>
          <w:p w:rsidR="0002334C" w:rsidRDefault="0002334C" w:rsidP="005C4223">
            <w:pPr>
              <w:pStyle w:val="Tableheading"/>
              <w:rPr>
                <w:szCs w:val="20"/>
              </w:rPr>
            </w:pPr>
            <w:r>
              <w:rPr>
                <w:szCs w:val="20"/>
              </w:rPr>
              <w:t>Year 5</w:t>
            </w:r>
          </w:p>
          <w:p w:rsidR="0002334C" w:rsidRPr="001D0858" w:rsidRDefault="0002334C" w:rsidP="005C4223">
            <w:pPr>
              <w:pStyle w:val="Tableheading"/>
              <w:rPr>
                <w:szCs w:val="20"/>
              </w:rPr>
            </w:pPr>
            <w:r>
              <w:rPr>
                <w:szCs w:val="20"/>
              </w:rPr>
              <w:t>(Oct11-Sep12)</w:t>
            </w:r>
          </w:p>
        </w:tc>
        <w:tc>
          <w:tcPr>
            <w:tcW w:w="737" w:type="pct"/>
            <w:shd w:val="clear" w:color="auto" w:fill="BFBFBF" w:themeFill="background1" w:themeFillShade="BF"/>
          </w:tcPr>
          <w:p w:rsidR="0002334C" w:rsidRDefault="0002334C" w:rsidP="005C4223">
            <w:pPr>
              <w:pStyle w:val="Tableheading"/>
              <w:rPr>
                <w:szCs w:val="20"/>
              </w:rPr>
            </w:pPr>
            <w:r>
              <w:rPr>
                <w:szCs w:val="20"/>
              </w:rPr>
              <w:t>Year 6</w:t>
            </w:r>
          </w:p>
          <w:p w:rsidR="0002334C" w:rsidRPr="001D0858" w:rsidRDefault="0002334C" w:rsidP="005C4223">
            <w:pPr>
              <w:pStyle w:val="Tableheading"/>
              <w:rPr>
                <w:szCs w:val="20"/>
              </w:rPr>
            </w:pPr>
            <w:r>
              <w:rPr>
                <w:szCs w:val="20"/>
              </w:rPr>
              <w:t>(Oct12-Sep13)</w:t>
            </w:r>
          </w:p>
        </w:tc>
      </w:tr>
      <w:tr w:rsidR="0002334C" w:rsidRPr="001D0858" w:rsidTr="00071F03">
        <w:trPr>
          <w:trHeight w:val="296"/>
        </w:trPr>
        <w:tc>
          <w:tcPr>
            <w:tcW w:w="579" w:type="pct"/>
          </w:tcPr>
          <w:p w:rsidR="0002334C" w:rsidRPr="001D0858" w:rsidRDefault="0002334C" w:rsidP="005C4223">
            <w:pPr>
              <w:pStyle w:val="Tableheading"/>
              <w:jc w:val="left"/>
              <w:rPr>
                <w:b w:val="0"/>
                <w:szCs w:val="20"/>
              </w:rPr>
            </w:pPr>
            <w:r>
              <w:rPr>
                <w:b w:val="0"/>
                <w:szCs w:val="20"/>
              </w:rPr>
              <w:t>Predicted</w:t>
            </w:r>
          </w:p>
        </w:tc>
        <w:tc>
          <w:tcPr>
            <w:tcW w:w="736"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r>
      <w:tr w:rsidR="0002334C" w:rsidRPr="001D0858" w:rsidTr="00071F03">
        <w:trPr>
          <w:trHeight w:val="296"/>
        </w:trPr>
        <w:tc>
          <w:tcPr>
            <w:tcW w:w="579" w:type="pct"/>
          </w:tcPr>
          <w:p w:rsidR="0002334C" w:rsidRPr="001D0858" w:rsidRDefault="0002334C" w:rsidP="005C4223">
            <w:pPr>
              <w:pStyle w:val="Tableheading"/>
              <w:jc w:val="left"/>
              <w:rPr>
                <w:b w:val="0"/>
                <w:szCs w:val="20"/>
              </w:rPr>
            </w:pPr>
            <w:r>
              <w:rPr>
                <w:b w:val="0"/>
                <w:szCs w:val="20"/>
              </w:rPr>
              <w:t>Actual</w:t>
            </w:r>
          </w:p>
        </w:tc>
        <w:tc>
          <w:tcPr>
            <w:tcW w:w="736" w:type="pct"/>
            <w:vAlign w:val="bottom"/>
          </w:tcPr>
          <w:p w:rsidR="0002334C" w:rsidRDefault="0002334C" w:rsidP="005C4223">
            <w:pPr>
              <w:pStyle w:val="Tablewriting"/>
              <w:jc w:val="center"/>
              <w:rPr>
                <w:b/>
              </w:rPr>
            </w:pPr>
            <w:r>
              <w:rPr>
                <w:rFonts w:ascii="Calibri" w:hAnsi="Calibri"/>
              </w:rPr>
              <w:t>981</w:t>
            </w:r>
          </w:p>
        </w:tc>
        <w:tc>
          <w:tcPr>
            <w:tcW w:w="737" w:type="pct"/>
            <w:vAlign w:val="bottom"/>
          </w:tcPr>
          <w:p w:rsidR="0002334C" w:rsidRPr="001D0858" w:rsidRDefault="0002334C" w:rsidP="005C4223">
            <w:pPr>
              <w:pStyle w:val="Tablewriting"/>
              <w:jc w:val="center"/>
              <w:rPr>
                <w:b/>
              </w:rPr>
            </w:pPr>
            <w:r>
              <w:rPr>
                <w:rFonts w:ascii="Calibri" w:hAnsi="Calibri"/>
              </w:rPr>
              <w:t>1,058</w:t>
            </w:r>
          </w:p>
        </w:tc>
        <w:tc>
          <w:tcPr>
            <w:tcW w:w="737" w:type="pct"/>
            <w:vAlign w:val="bottom"/>
          </w:tcPr>
          <w:p w:rsidR="0002334C" w:rsidRPr="001D0858" w:rsidRDefault="0002334C" w:rsidP="005C4223">
            <w:pPr>
              <w:pStyle w:val="Tablewriting"/>
              <w:jc w:val="center"/>
              <w:rPr>
                <w:b/>
              </w:rPr>
            </w:pPr>
            <w:r>
              <w:rPr>
                <w:rFonts w:ascii="Calibri" w:hAnsi="Calibri"/>
              </w:rPr>
              <w:t>1,181</w:t>
            </w:r>
          </w:p>
        </w:tc>
        <w:tc>
          <w:tcPr>
            <w:tcW w:w="737" w:type="pct"/>
            <w:vAlign w:val="bottom"/>
          </w:tcPr>
          <w:p w:rsidR="0002334C" w:rsidRPr="001D0858" w:rsidRDefault="0002334C" w:rsidP="005C4223">
            <w:pPr>
              <w:pStyle w:val="Tablewriting"/>
              <w:jc w:val="center"/>
              <w:rPr>
                <w:b/>
              </w:rPr>
            </w:pPr>
            <w:r>
              <w:rPr>
                <w:rFonts w:ascii="Calibri" w:hAnsi="Calibri"/>
              </w:rPr>
              <w:t>1,364</w:t>
            </w:r>
          </w:p>
        </w:tc>
        <w:tc>
          <w:tcPr>
            <w:tcW w:w="737" w:type="pct"/>
            <w:vAlign w:val="bottom"/>
          </w:tcPr>
          <w:p w:rsidR="0002334C" w:rsidRPr="001D0858" w:rsidRDefault="0002334C" w:rsidP="005C4223">
            <w:pPr>
              <w:pStyle w:val="Tablewriting"/>
              <w:jc w:val="center"/>
              <w:rPr>
                <w:b/>
              </w:rPr>
            </w:pPr>
            <w:r>
              <w:rPr>
                <w:rFonts w:ascii="Calibri" w:hAnsi="Calibri"/>
              </w:rPr>
              <w:t>1,574</w:t>
            </w:r>
          </w:p>
        </w:tc>
        <w:tc>
          <w:tcPr>
            <w:tcW w:w="737" w:type="pct"/>
            <w:vAlign w:val="bottom"/>
          </w:tcPr>
          <w:p w:rsidR="0002334C" w:rsidRPr="001D0858" w:rsidRDefault="0002334C" w:rsidP="005C4223">
            <w:pPr>
              <w:pStyle w:val="Tablewriting"/>
              <w:jc w:val="center"/>
              <w:rPr>
                <w:b/>
              </w:rPr>
            </w:pPr>
            <w:r>
              <w:rPr>
                <w:rFonts w:ascii="Calibri" w:hAnsi="Calibri"/>
              </w:rPr>
              <w:t>1,863</w:t>
            </w:r>
          </w:p>
        </w:tc>
      </w:tr>
      <w:tr w:rsidR="0002334C" w:rsidRPr="001D0858" w:rsidTr="00071F03">
        <w:trPr>
          <w:trHeight w:val="296"/>
        </w:trPr>
        <w:tc>
          <w:tcPr>
            <w:tcW w:w="579" w:type="pct"/>
          </w:tcPr>
          <w:p w:rsidR="0002334C" w:rsidRPr="001D0858" w:rsidRDefault="0002334C" w:rsidP="005C4223">
            <w:pPr>
              <w:pStyle w:val="Tableheading"/>
              <w:jc w:val="left"/>
              <w:rPr>
                <w:b w:val="0"/>
                <w:szCs w:val="20"/>
              </w:rPr>
            </w:pPr>
            <w:r>
              <w:rPr>
                <w:b w:val="0"/>
                <w:szCs w:val="20"/>
              </w:rPr>
              <w:t>Difference</w:t>
            </w:r>
          </w:p>
        </w:tc>
        <w:tc>
          <w:tcPr>
            <w:tcW w:w="736"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c>
          <w:tcPr>
            <w:tcW w:w="737" w:type="pct"/>
            <w:vAlign w:val="bottom"/>
          </w:tcPr>
          <w:p w:rsidR="0002334C" w:rsidRPr="0093627C" w:rsidRDefault="0093627C" w:rsidP="005C4223">
            <w:pPr>
              <w:pStyle w:val="Tablewriting"/>
              <w:jc w:val="center"/>
              <w:rPr>
                <w:b/>
                <w:color w:val="7030A0"/>
                <w:highlight w:val="black"/>
              </w:rPr>
            </w:pPr>
            <w:r>
              <w:rPr>
                <w:rFonts w:ascii="Calibri" w:hAnsi="Calibri"/>
                <w:noProof/>
                <w:highlight w:val="black"/>
              </w:rPr>
              <w:t>'''''''''''</w:t>
            </w:r>
          </w:p>
        </w:tc>
      </w:tr>
    </w:tbl>
    <w:p w:rsidR="004D27FA" w:rsidRDefault="0002334C" w:rsidP="0002334C">
      <w:pPr>
        <w:pStyle w:val="Figurecaption"/>
      </w:pPr>
      <w:r w:rsidRPr="00723888">
        <w:t>Source: Infliximab Severe Crohn’s disease final estimates, July 2007</w:t>
      </w:r>
      <w:r>
        <w:t>(predicted)</w:t>
      </w:r>
      <w:r w:rsidRPr="00723888">
        <w:t>.</w:t>
      </w:r>
      <w:r>
        <w:t xml:space="preserve"> DUSC HSD Database, extracted November 2014 (actual). Estimates for patients with CDAI </w:t>
      </w:r>
      <w:r>
        <w:sym w:font="Symbol" w:char="F0B3"/>
      </w:r>
      <w:r w:rsidRPr="00723888">
        <w:t xml:space="preserve"> 300</w:t>
      </w:r>
      <w:r>
        <w:t xml:space="preserve"> and CDAI exempt patients were added for the analysis.</w:t>
      </w:r>
    </w:p>
    <w:p w:rsidR="004D27FA" w:rsidRDefault="004D27FA">
      <w:pPr>
        <w:spacing w:line="276" w:lineRule="auto"/>
        <w:rPr>
          <w:sz w:val="20"/>
          <w:szCs w:val="20"/>
          <w:lang w:eastAsia="en-US"/>
        </w:rPr>
      </w:pPr>
      <w:r>
        <w:br w:type="page"/>
      </w:r>
    </w:p>
    <w:p w:rsidR="00B16DB7" w:rsidRDefault="00B16DB7" w:rsidP="00B16DB7">
      <w:pPr>
        <w:pStyle w:val="Tabletitle"/>
      </w:pPr>
      <w:r>
        <w:lastRenderedPageBreak/>
        <w:t xml:space="preserve">Table 15: Infliximab </w:t>
      </w:r>
      <w:r w:rsidRPr="00723888">
        <w:t xml:space="preserve">predicted versus actual </w:t>
      </w:r>
      <w:r>
        <w:t xml:space="preserve">number of </w:t>
      </w:r>
      <w:r w:rsidR="001C3DB9">
        <w:t>vials</w:t>
      </w:r>
      <w:r>
        <w:t xml:space="preserve"> </w:t>
      </w:r>
      <w:r w:rsidRPr="00723888">
        <w:t xml:space="preserve">– severe </w:t>
      </w:r>
      <w:r>
        <w:t>C</w:t>
      </w:r>
      <w:r w:rsidRPr="00723888">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throught to 6"/>
      </w:tblPr>
      <w:tblGrid>
        <w:gridCol w:w="1065"/>
        <w:gridCol w:w="1331"/>
        <w:gridCol w:w="1333"/>
        <w:gridCol w:w="1334"/>
        <w:gridCol w:w="1334"/>
        <w:gridCol w:w="1334"/>
        <w:gridCol w:w="1334"/>
      </w:tblGrid>
      <w:tr w:rsidR="0099675B" w:rsidRPr="001D0858" w:rsidTr="00071F03">
        <w:trPr>
          <w:trHeight w:val="249"/>
          <w:tblHeader/>
        </w:trPr>
        <w:tc>
          <w:tcPr>
            <w:tcW w:w="579" w:type="pct"/>
            <w:shd w:val="clear" w:color="auto" w:fill="BFBFBF" w:themeFill="background1" w:themeFillShade="BF"/>
          </w:tcPr>
          <w:p w:rsidR="0099675B" w:rsidRPr="001D0858" w:rsidRDefault="0099675B" w:rsidP="005C4223">
            <w:pPr>
              <w:pStyle w:val="Tableheading"/>
              <w:rPr>
                <w:szCs w:val="20"/>
              </w:rPr>
            </w:pPr>
          </w:p>
        </w:tc>
        <w:tc>
          <w:tcPr>
            <w:tcW w:w="736" w:type="pct"/>
            <w:shd w:val="clear" w:color="auto" w:fill="BFBFBF" w:themeFill="background1" w:themeFillShade="BF"/>
          </w:tcPr>
          <w:p w:rsidR="0099675B" w:rsidRDefault="0099675B" w:rsidP="005C4223">
            <w:pPr>
              <w:pStyle w:val="Tableheading"/>
              <w:rPr>
                <w:szCs w:val="20"/>
              </w:rPr>
            </w:pPr>
            <w:r>
              <w:rPr>
                <w:szCs w:val="20"/>
              </w:rPr>
              <w:t>Year1</w:t>
            </w:r>
          </w:p>
          <w:p w:rsidR="0099675B" w:rsidRPr="001D0858" w:rsidRDefault="0099675B" w:rsidP="005C4223">
            <w:pPr>
              <w:pStyle w:val="Tableheading"/>
              <w:rPr>
                <w:szCs w:val="20"/>
              </w:rPr>
            </w:pPr>
            <w:r>
              <w:rPr>
                <w:szCs w:val="20"/>
              </w:rPr>
              <w:t>(Oct07-Sep08)</w:t>
            </w:r>
          </w:p>
        </w:tc>
        <w:tc>
          <w:tcPr>
            <w:tcW w:w="737" w:type="pct"/>
            <w:shd w:val="clear" w:color="auto" w:fill="BFBFBF" w:themeFill="background1" w:themeFillShade="BF"/>
          </w:tcPr>
          <w:p w:rsidR="0099675B" w:rsidRDefault="0099675B" w:rsidP="005C4223">
            <w:pPr>
              <w:pStyle w:val="Tableheading"/>
              <w:rPr>
                <w:szCs w:val="20"/>
              </w:rPr>
            </w:pPr>
            <w:r>
              <w:rPr>
                <w:szCs w:val="20"/>
              </w:rPr>
              <w:t>Year 2</w:t>
            </w:r>
          </w:p>
          <w:p w:rsidR="0099675B" w:rsidRPr="001D0858" w:rsidRDefault="0099675B" w:rsidP="005C4223">
            <w:pPr>
              <w:pStyle w:val="Tableheading"/>
              <w:rPr>
                <w:szCs w:val="20"/>
              </w:rPr>
            </w:pPr>
            <w:r>
              <w:rPr>
                <w:szCs w:val="20"/>
              </w:rPr>
              <w:t>(Oct08-Sep09)</w:t>
            </w:r>
          </w:p>
        </w:tc>
        <w:tc>
          <w:tcPr>
            <w:tcW w:w="737" w:type="pct"/>
            <w:shd w:val="clear" w:color="auto" w:fill="BFBFBF" w:themeFill="background1" w:themeFillShade="BF"/>
          </w:tcPr>
          <w:p w:rsidR="0099675B" w:rsidRDefault="0099675B" w:rsidP="005C4223">
            <w:pPr>
              <w:pStyle w:val="Tableheading"/>
              <w:rPr>
                <w:szCs w:val="20"/>
              </w:rPr>
            </w:pPr>
            <w:r>
              <w:rPr>
                <w:szCs w:val="20"/>
              </w:rPr>
              <w:t>Year 3</w:t>
            </w:r>
          </w:p>
          <w:p w:rsidR="0099675B" w:rsidRPr="001D0858" w:rsidRDefault="0099675B" w:rsidP="005C4223">
            <w:pPr>
              <w:pStyle w:val="Tableheading"/>
              <w:rPr>
                <w:szCs w:val="20"/>
              </w:rPr>
            </w:pPr>
            <w:r>
              <w:rPr>
                <w:szCs w:val="20"/>
              </w:rPr>
              <w:t>(Oct09-Sep10)</w:t>
            </w:r>
          </w:p>
        </w:tc>
        <w:tc>
          <w:tcPr>
            <w:tcW w:w="737" w:type="pct"/>
            <w:shd w:val="clear" w:color="auto" w:fill="BFBFBF" w:themeFill="background1" w:themeFillShade="BF"/>
          </w:tcPr>
          <w:p w:rsidR="0099675B" w:rsidRDefault="0099675B" w:rsidP="005C4223">
            <w:pPr>
              <w:pStyle w:val="Tableheading"/>
              <w:rPr>
                <w:szCs w:val="20"/>
              </w:rPr>
            </w:pPr>
            <w:r>
              <w:rPr>
                <w:szCs w:val="20"/>
              </w:rPr>
              <w:t>Year 4</w:t>
            </w:r>
          </w:p>
          <w:p w:rsidR="0099675B" w:rsidRPr="001D0858" w:rsidRDefault="0099675B" w:rsidP="005C4223">
            <w:pPr>
              <w:pStyle w:val="Tableheading"/>
              <w:rPr>
                <w:szCs w:val="20"/>
              </w:rPr>
            </w:pPr>
            <w:r>
              <w:rPr>
                <w:szCs w:val="20"/>
              </w:rPr>
              <w:t>(Oct10-Sep11)</w:t>
            </w:r>
          </w:p>
        </w:tc>
        <w:tc>
          <w:tcPr>
            <w:tcW w:w="737" w:type="pct"/>
            <w:shd w:val="clear" w:color="auto" w:fill="BFBFBF" w:themeFill="background1" w:themeFillShade="BF"/>
          </w:tcPr>
          <w:p w:rsidR="0099675B" w:rsidRDefault="0099675B" w:rsidP="005C4223">
            <w:pPr>
              <w:pStyle w:val="Tableheading"/>
              <w:rPr>
                <w:szCs w:val="20"/>
              </w:rPr>
            </w:pPr>
            <w:r>
              <w:rPr>
                <w:szCs w:val="20"/>
              </w:rPr>
              <w:t>Year 5</w:t>
            </w:r>
          </w:p>
          <w:p w:rsidR="0099675B" w:rsidRPr="001D0858" w:rsidRDefault="0099675B" w:rsidP="005C4223">
            <w:pPr>
              <w:pStyle w:val="Tableheading"/>
              <w:rPr>
                <w:szCs w:val="20"/>
              </w:rPr>
            </w:pPr>
            <w:r>
              <w:rPr>
                <w:szCs w:val="20"/>
              </w:rPr>
              <w:t>(Oct11-Sep12)</w:t>
            </w:r>
          </w:p>
        </w:tc>
        <w:tc>
          <w:tcPr>
            <w:tcW w:w="737" w:type="pct"/>
            <w:shd w:val="clear" w:color="auto" w:fill="BFBFBF" w:themeFill="background1" w:themeFillShade="BF"/>
          </w:tcPr>
          <w:p w:rsidR="0099675B" w:rsidRDefault="0099675B" w:rsidP="005C4223">
            <w:pPr>
              <w:pStyle w:val="Tableheading"/>
              <w:rPr>
                <w:szCs w:val="20"/>
              </w:rPr>
            </w:pPr>
            <w:r>
              <w:rPr>
                <w:szCs w:val="20"/>
              </w:rPr>
              <w:t>Year 6</w:t>
            </w:r>
          </w:p>
          <w:p w:rsidR="0099675B" w:rsidRPr="001D0858" w:rsidRDefault="0099675B" w:rsidP="005C4223">
            <w:pPr>
              <w:pStyle w:val="Tableheading"/>
              <w:rPr>
                <w:szCs w:val="20"/>
              </w:rPr>
            </w:pPr>
            <w:r>
              <w:rPr>
                <w:szCs w:val="20"/>
              </w:rPr>
              <w:t>(Oct12-Sep13)</w:t>
            </w:r>
          </w:p>
        </w:tc>
      </w:tr>
      <w:tr w:rsidR="00B16DB7" w:rsidRPr="00B963F1" w:rsidTr="00071F03">
        <w:trPr>
          <w:trHeight w:val="296"/>
        </w:trPr>
        <w:tc>
          <w:tcPr>
            <w:tcW w:w="579" w:type="pct"/>
          </w:tcPr>
          <w:p w:rsidR="00B16DB7" w:rsidRDefault="00B16DB7" w:rsidP="005C4223">
            <w:pPr>
              <w:pStyle w:val="Tableheading"/>
              <w:jc w:val="left"/>
              <w:rPr>
                <w:b w:val="0"/>
                <w:szCs w:val="20"/>
              </w:rPr>
            </w:pPr>
            <w:r>
              <w:rPr>
                <w:b w:val="0"/>
                <w:szCs w:val="20"/>
              </w:rPr>
              <w:t>Predicted</w:t>
            </w:r>
          </w:p>
        </w:tc>
        <w:tc>
          <w:tcPr>
            <w:tcW w:w="736"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r>
      <w:tr w:rsidR="00B16DB7" w:rsidTr="00071F03">
        <w:trPr>
          <w:trHeight w:val="296"/>
        </w:trPr>
        <w:tc>
          <w:tcPr>
            <w:tcW w:w="579" w:type="pct"/>
          </w:tcPr>
          <w:p w:rsidR="00B16DB7" w:rsidRDefault="00B16DB7" w:rsidP="005C4223">
            <w:pPr>
              <w:pStyle w:val="Tableheading"/>
              <w:jc w:val="left"/>
              <w:rPr>
                <w:b w:val="0"/>
                <w:szCs w:val="20"/>
              </w:rPr>
            </w:pPr>
            <w:r>
              <w:rPr>
                <w:b w:val="0"/>
                <w:szCs w:val="20"/>
              </w:rPr>
              <w:t>Actual</w:t>
            </w:r>
          </w:p>
        </w:tc>
        <w:tc>
          <w:tcPr>
            <w:tcW w:w="736" w:type="pct"/>
            <w:vAlign w:val="bottom"/>
          </w:tcPr>
          <w:p w:rsidR="00B16DB7" w:rsidRDefault="00B16DB7" w:rsidP="005C4223">
            <w:pPr>
              <w:pStyle w:val="Tablewriting"/>
              <w:jc w:val="center"/>
            </w:pPr>
            <w:r>
              <w:rPr>
                <w:rFonts w:ascii="Calibri" w:hAnsi="Calibri"/>
              </w:rPr>
              <w:t>10,910</w:t>
            </w:r>
          </w:p>
        </w:tc>
        <w:tc>
          <w:tcPr>
            <w:tcW w:w="737" w:type="pct"/>
            <w:vAlign w:val="bottom"/>
          </w:tcPr>
          <w:p w:rsidR="00B16DB7" w:rsidRDefault="00B16DB7" w:rsidP="005C4223">
            <w:pPr>
              <w:pStyle w:val="Tablewriting"/>
              <w:jc w:val="center"/>
            </w:pPr>
            <w:r>
              <w:rPr>
                <w:rFonts w:ascii="Calibri" w:hAnsi="Calibri"/>
              </w:rPr>
              <w:t>16,839</w:t>
            </w:r>
          </w:p>
        </w:tc>
        <w:tc>
          <w:tcPr>
            <w:tcW w:w="737" w:type="pct"/>
            <w:vAlign w:val="bottom"/>
          </w:tcPr>
          <w:p w:rsidR="00B16DB7" w:rsidRDefault="00B16DB7" w:rsidP="005C4223">
            <w:pPr>
              <w:pStyle w:val="Tablewriting"/>
              <w:jc w:val="center"/>
            </w:pPr>
            <w:r>
              <w:rPr>
                <w:rFonts w:ascii="Calibri" w:hAnsi="Calibri"/>
              </w:rPr>
              <w:t>22,468</w:t>
            </w:r>
          </w:p>
        </w:tc>
        <w:tc>
          <w:tcPr>
            <w:tcW w:w="737" w:type="pct"/>
            <w:vAlign w:val="bottom"/>
          </w:tcPr>
          <w:p w:rsidR="00B16DB7" w:rsidRDefault="00B16DB7" w:rsidP="005C4223">
            <w:pPr>
              <w:pStyle w:val="Tablewriting"/>
              <w:jc w:val="center"/>
            </w:pPr>
            <w:r>
              <w:rPr>
                <w:rFonts w:ascii="Calibri" w:hAnsi="Calibri"/>
              </w:rPr>
              <w:t>27,902</w:t>
            </w:r>
          </w:p>
        </w:tc>
        <w:tc>
          <w:tcPr>
            <w:tcW w:w="737" w:type="pct"/>
            <w:vAlign w:val="bottom"/>
          </w:tcPr>
          <w:p w:rsidR="00B16DB7" w:rsidRDefault="00B16DB7" w:rsidP="005C4223">
            <w:pPr>
              <w:pStyle w:val="Tablewriting"/>
              <w:jc w:val="center"/>
            </w:pPr>
            <w:r>
              <w:rPr>
                <w:rFonts w:ascii="Calibri" w:hAnsi="Calibri"/>
              </w:rPr>
              <w:t>33,909</w:t>
            </w:r>
          </w:p>
        </w:tc>
        <w:tc>
          <w:tcPr>
            <w:tcW w:w="737" w:type="pct"/>
            <w:vAlign w:val="bottom"/>
          </w:tcPr>
          <w:p w:rsidR="00B16DB7" w:rsidRDefault="00B16DB7" w:rsidP="005C4223">
            <w:pPr>
              <w:pStyle w:val="Tablewriting"/>
              <w:jc w:val="center"/>
            </w:pPr>
            <w:r>
              <w:rPr>
                <w:rFonts w:ascii="Calibri" w:hAnsi="Calibri"/>
              </w:rPr>
              <w:t>40,452</w:t>
            </w:r>
          </w:p>
        </w:tc>
      </w:tr>
      <w:tr w:rsidR="00B16DB7" w:rsidRPr="00B963F1" w:rsidTr="00071F03">
        <w:trPr>
          <w:trHeight w:val="296"/>
        </w:trPr>
        <w:tc>
          <w:tcPr>
            <w:tcW w:w="579" w:type="pct"/>
          </w:tcPr>
          <w:p w:rsidR="00B16DB7" w:rsidRDefault="00B16DB7" w:rsidP="005C4223">
            <w:pPr>
              <w:pStyle w:val="Tableheading"/>
              <w:jc w:val="left"/>
              <w:rPr>
                <w:b w:val="0"/>
                <w:szCs w:val="20"/>
              </w:rPr>
            </w:pPr>
            <w:r>
              <w:rPr>
                <w:b w:val="0"/>
                <w:szCs w:val="20"/>
              </w:rPr>
              <w:t>Difference</w:t>
            </w:r>
          </w:p>
        </w:tc>
        <w:tc>
          <w:tcPr>
            <w:tcW w:w="736"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bottom"/>
          </w:tcPr>
          <w:p w:rsidR="00B16DB7" w:rsidRPr="0093627C" w:rsidRDefault="0093627C" w:rsidP="005C4223">
            <w:pPr>
              <w:pStyle w:val="Tablewriting"/>
              <w:jc w:val="center"/>
              <w:rPr>
                <w:color w:val="7030A0"/>
                <w:highlight w:val="black"/>
              </w:rPr>
            </w:pPr>
            <w:r>
              <w:rPr>
                <w:rFonts w:ascii="Calibri" w:hAnsi="Calibri"/>
                <w:noProof/>
                <w:highlight w:val="black"/>
              </w:rPr>
              <w:t>'''''''''''</w:t>
            </w:r>
          </w:p>
        </w:tc>
      </w:tr>
    </w:tbl>
    <w:p w:rsidR="00B16DB7" w:rsidRDefault="00B16DB7" w:rsidP="00B16DB7">
      <w:pPr>
        <w:pStyle w:val="Figurecaption"/>
      </w:pPr>
      <w:r w:rsidRPr="00723888">
        <w:t>Source: Infliximab Severe Crohn’s disease final estimates, July 2007</w:t>
      </w:r>
      <w:r>
        <w:t>(predicted)</w:t>
      </w:r>
      <w:r w:rsidRPr="00723888">
        <w:t>.</w:t>
      </w:r>
      <w:r>
        <w:t xml:space="preserve"> DUSC HSD Database, extracted November 2014 (actual). Estimates for patients with CDAI </w:t>
      </w:r>
      <w:r>
        <w:sym w:font="Symbol" w:char="F0B3"/>
      </w:r>
      <w:r w:rsidRPr="00723888">
        <w:t xml:space="preserve"> 300</w:t>
      </w:r>
      <w:r>
        <w:t xml:space="preserve"> and CDAI exempt patients were added for the analysis.</w:t>
      </w:r>
    </w:p>
    <w:p w:rsidR="00B16DB7" w:rsidRDefault="00B16DB7" w:rsidP="00B16DB7">
      <w:pPr>
        <w:pStyle w:val="Tabletitle"/>
      </w:pPr>
      <w:r>
        <w:t xml:space="preserve">Table 16: Infliximab </w:t>
      </w:r>
      <w:r w:rsidRPr="00723888">
        <w:t xml:space="preserve">predicted versus actual </w:t>
      </w:r>
      <w:r w:rsidR="001C3DB9">
        <w:t>net cost to the R/PBS</w:t>
      </w:r>
      <w:r>
        <w:t xml:space="preserve"> </w:t>
      </w:r>
      <w:r w:rsidRPr="00723888">
        <w:t xml:space="preserve">– severe </w:t>
      </w:r>
      <w:r>
        <w:t>C</w:t>
      </w:r>
      <w:r w:rsidRPr="00723888">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throught to 6"/>
      </w:tblPr>
      <w:tblGrid>
        <w:gridCol w:w="1065"/>
        <w:gridCol w:w="1331"/>
        <w:gridCol w:w="1333"/>
        <w:gridCol w:w="1334"/>
        <w:gridCol w:w="1334"/>
        <w:gridCol w:w="1334"/>
        <w:gridCol w:w="1334"/>
      </w:tblGrid>
      <w:tr w:rsidR="0099675B" w:rsidRPr="001D0858" w:rsidTr="00071F03">
        <w:trPr>
          <w:trHeight w:val="249"/>
          <w:tblHeader/>
        </w:trPr>
        <w:tc>
          <w:tcPr>
            <w:tcW w:w="579" w:type="pct"/>
            <w:shd w:val="clear" w:color="auto" w:fill="BFBFBF" w:themeFill="background1" w:themeFillShade="BF"/>
          </w:tcPr>
          <w:p w:rsidR="0099675B" w:rsidRPr="001D0858" w:rsidRDefault="0099675B" w:rsidP="005C4223">
            <w:pPr>
              <w:pStyle w:val="Tableheading"/>
              <w:rPr>
                <w:szCs w:val="20"/>
              </w:rPr>
            </w:pPr>
          </w:p>
        </w:tc>
        <w:tc>
          <w:tcPr>
            <w:tcW w:w="736" w:type="pct"/>
            <w:shd w:val="clear" w:color="auto" w:fill="BFBFBF" w:themeFill="background1" w:themeFillShade="BF"/>
          </w:tcPr>
          <w:p w:rsidR="0099675B" w:rsidRDefault="0099675B" w:rsidP="005C4223">
            <w:pPr>
              <w:pStyle w:val="Tableheading"/>
              <w:rPr>
                <w:szCs w:val="20"/>
              </w:rPr>
            </w:pPr>
            <w:r>
              <w:rPr>
                <w:szCs w:val="20"/>
              </w:rPr>
              <w:t>Year1</w:t>
            </w:r>
          </w:p>
          <w:p w:rsidR="0099675B" w:rsidRPr="001D0858" w:rsidRDefault="0099675B" w:rsidP="005C4223">
            <w:pPr>
              <w:pStyle w:val="Tableheading"/>
              <w:rPr>
                <w:szCs w:val="20"/>
              </w:rPr>
            </w:pPr>
            <w:r>
              <w:rPr>
                <w:szCs w:val="20"/>
              </w:rPr>
              <w:t>(Oct07-Sep08)</w:t>
            </w:r>
          </w:p>
        </w:tc>
        <w:tc>
          <w:tcPr>
            <w:tcW w:w="737" w:type="pct"/>
            <w:shd w:val="clear" w:color="auto" w:fill="BFBFBF" w:themeFill="background1" w:themeFillShade="BF"/>
          </w:tcPr>
          <w:p w:rsidR="0099675B" w:rsidRDefault="0099675B" w:rsidP="005C4223">
            <w:pPr>
              <w:pStyle w:val="Tableheading"/>
              <w:rPr>
                <w:szCs w:val="20"/>
              </w:rPr>
            </w:pPr>
            <w:r>
              <w:rPr>
                <w:szCs w:val="20"/>
              </w:rPr>
              <w:t>Year 2</w:t>
            </w:r>
          </w:p>
          <w:p w:rsidR="0099675B" w:rsidRPr="001D0858" w:rsidRDefault="0099675B" w:rsidP="005C4223">
            <w:pPr>
              <w:pStyle w:val="Tableheading"/>
              <w:rPr>
                <w:szCs w:val="20"/>
              </w:rPr>
            </w:pPr>
            <w:r>
              <w:rPr>
                <w:szCs w:val="20"/>
              </w:rPr>
              <w:t>(Oct08-Sep09)</w:t>
            </w:r>
          </w:p>
        </w:tc>
        <w:tc>
          <w:tcPr>
            <w:tcW w:w="737" w:type="pct"/>
            <w:shd w:val="clear" w:color="auto" w:fill="BFBFBF" w:themeFill="background1" w:themeFillShade="BF"/>
          </w:tcPr>
          <w:p w:rsidR="0099675B" w:rsidRDefault="0099675B" w:rsidP="005C4223">
            <w:pPr>
              <w:pStyle w:val="Tableheading"/>
              <w:rPr>
                <w:szCs w:val="20"/>
              </w:rPr>
            </w:pPr>
            <w:r>
              <w:rPr>
                <w:szCs w:val="20"/>
              </w:rPr>
              <w:t>Year 3</w:t>
            </w:r>
          </w:p>
          <w:p w:rsidR="0099675B" w:rsidRPr="001D0858" w:rsidRDefault="0099675B" w:rsidP="005C4223">
            <w:pPr>
              <w:pStyle w:val="Tableheading"/>
              <w:rPr>
                <w:szCs w:val="20"/>
              </w:rPr>
            </w:pPr>
            <w:r>
              <w:rPr>
                <w:szCs w:val="20"/>
              </w:rPr>
              <w:t>(Oct09-Sep10)</w:t>
            </w:r>
          </w:p>
        </w:tc>
        <w:tc>
          <w:tcPr>
            <w:tcW w:w="737" w:type="pct"/>
            <w:shd w:val="clear" w:color="auto" w:fill="BFBFBF" w:themeFill="background1" w:themeFillShade="BF"/>
          </w:tcPr>
          <w:p w:rsidR="0099675B" w:rsidRDefault="0099675B" w:rsidP="005C4223">
            <w:pPr>
              <w:pStyle w:val="Tableheading"/>
              <w:rPr>
                <w:szCs w:val="20"/>
              </w:rPr>
            </w:pPr>
            <w:r>
              <w:rPr>
                <w:szCs w:val="20"/>
              </w:rPr>
              <w:t>Year 4</w:t>
            </w:r>
          </w:p>
          <w:p w:rsidR="0099675B" w:rsidRPr="001D0858" w:rsidRDefault="0099675B" w:rsidP="005C4223">
            <w:pPr>
              <w:pStyle w:val="Tableheading"/>
              <w:rPr>
                <w:szCs w:val="20"/>
              </w:rPr>
            </w:pPr>
            <w:r>
              <w:rPr>
                <w:szCs w:val="20"/>
              </w:rPr>
              <w:t>(Oct10-Sep11)</w:t>
            </w:r>
          </w:p>
        </w:tc>
        <w:tc>
          <w:tcPr>
            <w:tcW w:w="737" w:type="pct"/>
            <w:shd w:val="clear" w:color="auto" w:fill="BFBFBF" w:themeFill="background1" w:themeFillShade="BF"/>
          </w:tcPr>
          <w:p w:rsidR="0099675B" w:rsidRDefault="0099675B" w:rsidP="005C4223">
            <w:pPr>
              <w:pStyle w:val="Tableheading"/>
              <w:rPr>
                <w:szCs w:val="20"/>
              </w:rPr>
            </w:pPr>
            <w:r>
              <w:rPr>
                <w:szCs w:val="20"/>
              </w:rPr>
              <w:t>Year 5</w:t>
            </w:r>
          </w:p>
          <w:p w:rsidR="0099675B" w:rsidRPr="001D0858" w:rsidRDefault="0099675B" w:rsidP="005C4223">
            <w:pPr>
              <w:pStyle w:val="Tableheading"/>
              <w:rPr>
                <w:szCs w:val="20"/>
              </w:rPr>
            </w:pPr>
            <w:r>
              <w:rPr>
                <w:szCs w:val="20"/>
              </w:rPr>
              <w:t>(Oct11-Sep12)</w:t>
            </w:r>
          </w:p>
        </w:tc>
        <w:tc>
          <w:tcPr>
            <w:tcW w:w="737" w:type="pct"/>
            <w:shd w:val="clear" w:color="auto" w:fill="BFBFBF" w:themeFill="background1" w:themeFillShade="BF"/>
          </w:tcPr>
          <w:p w:rsidR="0099675B" w:rsidRDefault="0099675B" w:rsidP="005C4223">
            <w:pPr>
              <w:pStyle w:val="Tableheading"/>
              <w:rPr>
                <w:szCs w:val="20"/>
              </w:rPr>
            </w:pPr>
            <w:r>
              <w:rPr>
                <w:szCs w:val="20"/>
              </w:rPr>
              <w:t>Year 6</w:t>
            </w:r>
          </w:p>
          <w:p w:rsidR="0099675B" w:rsidRPr="001D0858" w:rsidRDefault="0099675B" w:rsidP="005C4223">
            <w:pPr>
              <w:pStyle w:val="Tableheading"/>
              <w:rPr>
                <w:szCs w:val="20"/>
              </w:rPr>
            </w:pPr>
            <w:r>
              <w:rPr>
                <w:szCs w:val="20"/>
              </w:rPr>
              <w:t>(Oct12-Sep13)</w:t>
            </w:r>
          </w:p>
        </w:tc>
      </w:tr>
      <w:tr w:rsidR="00B16DB7" w:rsidRPr="00723888" w:rsidTr="00071F03">
        <w:trPr>
          <w:trHeight w:val="296"/>
        </w:trPr>
        <w:tc>
          <w:tcPr>
            <w:tcW w:w="579" w:type="pct"/>
          </w:tcPr>
          <w:p w:rsidR="00B16DB7" w:rsidRDefault="00B16DB7" w:rsidP="005C4223">
            <w:pPr>
              <w:pStyle w:val="Tableheading"/>
              <w:jc w:val="left"/>
              <w:rPr>
                <w:b w:val="0"/>
                <w:szCs w:val="20"/>
              </w:rPr>
            </w:pPr>
            <w:r>
              <w:rPr>
                <w:b w:val="0"/>
                <w:szCs w:val="20"/>
              </w:rPr>
              <w:t>Predicted</w:t>
            </w:r>
          </w:p>
        </w:tc>
        <w:tc>
          <w:tcPr>
            <w:tcW w:w="736" w:type="pct"/>
            <w:vAlign w:val="bottom"/>
          </w:tcPr>
          <w:p w:rsidR="00B16DB7" w:rsidRPr="0093627C" w:rsidRDefault="0093627C" w:rsidP="005C4223">
            <w:pPr>
              <w:pStyle w:val="Tablewriting"/>
              <w:rPr>
                <w:color w:val="7030A0"/>
                <w:highlight w:val="black"/>
              </w:rPr>
            </w:pPr>
            <w:r>
              <w:rPr>
                <w:rFonts w:ascii="Calibri" w:hAnsi="Calibri"/>
                <w:noProof/>
                <w:highlight w:val="black"/>
              </w:rPr>
              <w:t>''''''''''''''''''''''''</w:t>
            </w:r>
          </w:p>
        </w:tc>
        <w:tc>
          <w:tcPr>
            <w:tcW w:w="737" w:type="pct"/>
            <w:vAlign w:val="bottom"/>
          </w:tcPr>
          <w:p w:rsidR="00B16DB7" w:rsidRPr="0093627C" w:rsidRDefault="0093627C" w:rsidP="00406953">
            <w:pPr>
              <w:pStyle w:val="Tablewriting"/>
              <w:jc w:val="right"/>
              <w:rPr>
                <w:color w:val="7030A0"/>
                <w:highlight w:val="black"/>
              </w:rPr>
            </w:pPr>
            <w:r>
              <w:rPr>
                <w:rFonts w:ascii="Calibri" w:hAnsi="Calibri"/>
                <w:noProof/>
                <w:highlight w:val="black"/>
              </w:rPr>
              <w:t>''''''''''''''''''''''''</w:t>
            </w:r>
          </w:p>
        </w:tc>
        <w:tc>
          <w:tcPr>
            <w:tcW w:w="737" w:type="pct"/>
            <w:vAlign w:val="bottom"/>
          </w:tcPr>
          <w:p w:rsidR="00B16DB7" w:rsidRPr="0093627C" w:rsidRDefault="0093627C" w:rsidP="00406953">
            <w:pPr>
              <w:pStyle w:val="Tablewriting"/>
              <w:jc w:val="right"/>
              <w:rPr>
                <w:color w:val="7030A0"/>
                <w:highlight w:val="black"/>
              </w:rPr>
            </w:pPr>
            <w:r>
              <w:rPr>
                <w:rFonts w:ascii="Calibri" w:hAnsi="Calibri"/>
                <w:noProof/>
                <w:highlight w:val="black"/>
              </w:rPr>
              <w:t>'''''''''''''''''''''</w:t>
            </w:r>
          </w:p>
        </w:tc>
        <w:tc>
          <w:tcPr>
            <w:tcW w:w="737" w:type="pct"/>
            <w:vAlign w:val="bottom"/>
          </w:tcPr>
          <w:p w:rsidR="00B16DB7" w:rsidRPr="0093627C" w:rsidRDefault="0093627C" w:rsidP="00406953">
            <w:pPr>
              <w:pStyle w:val="Tablewriting"/>
              <w:jc w:val="right"/>
              <w:rPr>
                <w:color w:val="7030A0"/>
                <w:highlight w:val="black"/>
              </w:rPr>
            </w:pPr>
            <w:r>
              <w:rPr>
                <w:rFonts w:ascii="Calibri" w:hAnsi="Calibri"/>
                <w:noProof/>
                <w:highlight w:val="black"/>
              </w:rPr>
              <w:t>'''''''''''''''''''''</w:t>
            </w:r>
          </w:p>
        </w:tc>
        <w:tc>
          <w:tcPr>
            <w:tcW w:w="737" w:type="pct"/>
            <w:vAlign w:val="bottom"/>
          </w:tcPr>
          <w:p w:rsidR="00B16DB7" w:rsidRPr="0093627C" w:rsidRDefault="0093627C" w:rsidP="00406953">
            <w:pPr>
              <w:pStyle w:val="Tablewriting"/>
              <w:jc w:val="right"/>
              <w:rPr>
                <w:color w:val="7030A0"/>
                <w:highlight w:val="black"/>
              </w:rPr>
            </w:pPr>
            <w:r>
              <w:rPr>
                <w:rFonts w:ascii="Calibri" w:hAnsi="Calibri"/>
                <w:noProof/>
                <w:highlight w:val="black"/>
              </w:rPr>
              <w:t>''''''''''''''''''''''</w:t>
            </w:r>
          </w:p>
        </w:tc>
        <w:tc>
          <w:tcPr>
            <w:tcW w:w="737" w:type="pct"/>
            <w:vAlign w:val="bottom"/>
          </w:tcPr>
          <w:p w:rsidR="00B16DB7" w:rsidRPr="0093627C" w:rsidRDefault="0093627C" w:rsidP="00406953">
            <w:pPr>
              <w:pStyle w:val="Tablewriting"/>
              <w:jc w:val="right"/>
              <w:rPr>
                <w:color w:val="7030A0"/>
                <w:highlight w:val="black"/>
              </w:rPr>
            </w:pPr>
            <w:r>
              <w:rPr>
                <w:rFonts w:ascii="Calibri" w:hAnsi="Calibri"/>
                <w:noProof/>
                <w:highlight w:val="black"/>
              </w:rPr>
              <w:t>'''''''''''''''''''''</w:t>
            </w:r>
          </w:p>
        </w:tc>
      </w:tr>
      <w:tr w:rsidR="00B16DB7" w:rsidRPr="00A45F46" w:rsidTr="00071F03">
        <w:trPr>
          <w:trHeight w:val="296"/>
        </w:trPr>
        <w:tc>
          <w:tcPr>
            <w:tcW w:w="579" w:type="pct"/>
          </w:tcPr>
          <w:p w:rsidR="00B16DB7" w:rsidRDefault="00B16DB7" w:rsidP="005C4223">
            <w:pPr>
              <w:pStyle w:val="Tableheading"/>
              <w:jc w:val="left"/>
              <w:rPr>
                <w:b w:val="0"/>
                <w:szCs w:val="20"/>
              </w:rPr>
            </w:pPr>
            <w:r>
              <w:rPr>
                <w:b w:val="0"/>
                <w:szCs w:val="20"/>
              </w:rPr>
              <w:t>Actual</w:t>
            </w:r>
          </w:p>
        </w:tc>
        <w:tc>
          <w:tcPr>
            <w:tcW w:w="736" w:type="pct"/>
            <w:vAlign w:val="bottom"/>
          </w:tcPr>
          <w:p w:rsidR="00B16DB7" w:rsidRPr="00A45F46" w:rsidRDefault="00B16DB7" w:rsidP="005C4223">
            <w:pPr>
              <w:pStyle w:val="Tablewriting"/>
            </w:pPr>
            <w:r>
              <w:rPr>
                <w:rFonts w:ascii="Calibri" w:hAnsi="Calibri"/>
              </w:rPr>
              <w:t>$8,329,345</w:t>
            </w:r>
          </w:p>
        </w:tc>
        <w:tc>
          <w:tcPr>
            <w:tcW w:w="737" w:type="pct"/>
            <w:vAlign w:val="bottom"/>
          </w:tcPr>
          <w:p w:rsidR="00B16DB7" w:rsidRPr="00A45F46" w:rsidRDefault="00B16DB7" w:rsidP="00406953">
            <w:pPr>
              <w:pStyle w:val="Tablewriting"/>
              <w:jc w:val="right"/>
            </w:pPr>
            <w:r>
              <w:rPr>
                <w:rFonts w:ascii="Calibri" w:hAnsi="Calibri"/>
              </w:rPr>
              <w:t>$12,855,651</w:t>
            </w:r>
          </w:p>
        </w:tc>
        <w:tc>
          <w:tcPr>
            <w:tcW w:w="737" w:type="pct"/>
            <w:vAlign w:val="bottom"/>
          </w:tcPr>
          <w:p w:rsidR="00B16DB7" w:rsidRPr="00A45F46" w:rsidRDefault="00B16DB7" w:rsidP="00406953">
            <w:pPr>
              <w:pStyle w:val="Tablewriting"/>
              <w:jc w:val="right"/>
            </w:pPr>
            <w:r>
              <w:rPr>
                <w:rFonts w:ascii="Calibri" w:hAnsi="Calibri"/>
              </w:rPr>
              <w:t>$17,115,436</w:t>
            </w:r>
          </w:p>
        </w:tc>
        <w:tc>
          <w:tcPr>
            <w:tcW w:w="737" w:type="pct"/>
            <w:vAlign w:val="bottom"/>
          </w:tcPr>
          <w:p w:rsidR="00B16DB7" w:rsidRPr="00A45F46" w:rsidRDefault="00B16DB7" w:rsidP="00406953">
            <w:pPr>
              <w:pStyle w:val="Tablewriting"/>
              <w:jc w:val="right"/>
            </w:pPr>
            <w:r>
              <w:rPr>
                <w:rFonts w:ascii="Calibri" w:hAnsi="Calibri"/>
              </w:rPr>
              <w:t>$21,212,071</w:t>
            </w:r>
          </w:p>
        </w:tc>
        <w:tc>
          <w:tcPr>
            <w:tcW w:w="737" w:type="pct"/>
            <w:vAlign w:val="bottom"/>
          </w:tcPr>
          <w:p w:rsidR="00B16DB7" w:rsidRPr="00A45F46" w:rsidRDefault="00B16DB7" w:rsidP="00406953">
            <w:pPr>
              <w:pStyle w:val="Tablewriting"/>
              <w:jc w:val="right"/>
            </w:pPr>
            <w:r>
              <w:rPr>
                <w:rFonts w:ascii="Calibri" w:hAnsi="Calibri"/>
              </w:rPr>
              <w:t>$25,744,414</w:t>
            </w:r>
          </w:p>
        </w:tc>
        <w:tc>
          <w:tcPr>
            <w:tcW w:w="737" w:type="pct"/>
            <w:vAlign w:val="bottom"/>
          </w:tcPr>
          <w:p w:rsidR="00B16DB7" w:rsidRPr="00A45F46" w:rsidRDefault="00B16DB7" w:rsidP="00406953">
            <w:pPr>
              <w:pStyle w:val="Tablewriting"/>
              <w:jc w:val="right"/>
            </w:pPr>
            <w:r>
              <w:rPr>
                <w:rFonts w:ascii="Calibri" w:hAnsi="Calibri"/>
              </w:rPr>
              <w:t>$30,699,838</w:t>
            </w:r>
          </w:p>
        </w:tc>
      </w:tr>
      <w:tr w:rsidR="00B16DB7" w:rsidRPr="00723888" w:rsidTr="00071F03">
        <w:trPr>
          <w:trHeight w:val="296"/>
        </w:trPr>
        <w:tc>
          <w:tcPr>
            <w:tcW w:w="579" w:type="pct"/>
          </w:tcPr>
          <w:p w:rsidR="00B16DB7" w:rsidRDefault="00B16DB7" w:rsidP="005C4223">
            <w:pPr>
              <w:pStyle w:val="Tableheading"/>
              <w:jc w:val="left"/>
              <w:rPr>
                <w:b w:val="0"/>
                <w:szCs w:val="20"/>
              </w:rPr>
            </w:pPr>
            <w:r>
              <w:rPr>
                <w:b w:val="0"/>
                <w:szCs w:val="20"/>
              </w:rPr>
              <w:t>Difference</w:t>
            </w:r>
          </w:p>
        </w:tc>
        <w:tc>
          <w:tcPr>
            <w:tcW w:w="736" w:type="pct"/>
            <w:vAlign w:val="center"/>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center"/>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center"/>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center"/>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center"/>
          </w:tcPr>
          <w:p w:rsidR="00B16DB7" w:rsidRPr="0093627C" w:rsidRDefault="0093627C" w:rsidP="005C4223">
            <w:pPr>
              <w:pStyle w:val="Tablewriting"/>
              <w:jc w:val="center"/>
              <w:rPr>
                <w:color w:val="7030A0"/>
                <w:highlight w:val="black"/>
              </w:rPr>
            </w:pPr>
            <w:r>
              <w:rPr>
                <w:rFonts w:ascii="Calibri" w:hAnsi="Calibri"/>
                <w:noProof/>
                <w:highlight w:val="black"/>
              </w:rPr>
              <w:t>''''''''''</w:t>
            </w:r>
          </w:p>
        </w:tc>
        <w:tc>
          <w:tcPr>
            <w:tcW w:w="737" w:type="pct"/>
            <w:vAlign w:val="center"/>
          </w:tcPr>
          <w:p w:rsidR="00B16DB7" w:rsidRPr="0093627C" w:rsidRDefault="0093627C" w:rsidP="005C4223">
            <w:pPr>
              <w:pStyle w:val="Tablewriting"/>
              <w:jc w:val="center"/>
              <w:rPr>
                <w:color w:val="7030A0"/>
                <w:highlight w:val="black"/>
              </w:rPr>
            </w:pPr>
            <w:r>
              <w:rPr>
                <w:rFonts w:ascii="Calibri" w:hAnsi="Calibri"/>
                <w:noProof/>
                <w:highlight w:val="black"/>
              </w:rPr>
              <w:t>''''''''''</w:t>
            </w:r>
          </w:p>
        </w:tc>
      </w:tr>
    </w:tbl>
    <w:p w:rsidR="00B16DB7" w:rsidRDefault="00B16DB7" w:rsidP="00B16DB7">
      <w:pPr>
        <w:pStyle w:val="Figurecaption"/>
      </w:pPr>
      <w:r w:rsidRPr="00723888">
        <w:t>Source: Infliximab Severe Crohn’s disease final estimates, July 2007</w:t>
      </w:r>
      <w:r>
        <w:t>(predicted)</w:t>
      </w:r>
      <w:r w:rsidRPr="00723888">
        <w:t>.</w:t>
      </w:r>
      <w:r>
        <w:t xml:space="preserve"> DUSC HSD Database, extracted November 2014 (actual). Estimates for patients with CDAI </w:t>
      </w:r>
      <w:r>
        <w:sym w:font="Symbol" w:char="F0B3"/>
      </w:r>
      <w:r w:rsidRPr="00723888">
        <w:t xml:space="preserve"> 300</w:t>
      </w:r>
      <w:r>
        <w:t xml:space="preserve"> and CDAI exempt patients were added for the analysis.</w:t>
      </w:r>
    </w:p>
    <w:p w:rsidR="00A76E87" w:rsidRDefault="00394B9F" w:rsidP="0002334C">
      <w:r w:rsidRPr="00394B9F">
        <w:t xml:space="preserve">The DUSC also </w:t>
      </w:r>
      <w:r w:rsidRPr="00BE5A25">
        <w:t>noted the results in Table 14 illustrating that the number of patients being treated with infliximab for severe Crohn’s disease was initially less than predicted (less in the first three years of listing), however has been much higher than those estimated in years 4, 5 and 6.  The number of patients treated with infliximab in year 6 was over four times that estimated.  The DUSC also noted that the number of packs was less than estimated in the first two years of listing, however was higher than estimated in years 3 to 6.  Again the higher than estimated number of packs compared to the patient numbers was considered to reflect the high continuation rate.  In year 6 the net cost to the PBS of infliximab for severe Crohn’s disease was more than seven times that estimated</w:t>
      </w:r>
      <w:r w:rsidRPr="00394B9F">
        <w:t>.</w:t>
      </w:r>
    </w:p>
    <w:p w:rsidR="004D27FA" w:rsidRDefault="004D27FA">
      <w:pPr>
        <w:spacing w:line="276" w:lineRule="auto"/>
        <w:rPr>
          <w:rFonts w:eastAsiaTheme="majorEastAsia" w:cstheme="majorBidi"/>
          <w:b/>
          <w:bCs/>
          <w:i/>
        </w:rPr>
      </w:pPr>
      <w:r>
        <w:br w:type="page"/>
      </w:r>
    </w:p>
    <w:p w:rsidR="0002334C" w:rsidRDefault="0002334C" w:rsidP="0002334C">
      <w:pPr>
        <w:pStyle w:val="Heading2"/>
      </w:pPr>
      <w:r>
        <w:lastRenderedPageBreak/>
        <w:t>Fistulising Crohn’s disease</w:t>
      </w:r>
    </w:p>
    <w:p w:rsidR="004D27FA" w:rsidRDefault="0002334C" w:rsidP="004D27FA">
      <w:proofErr w:type="gramStart"/>
      <w:r>
        <w:t>Table</w:t>
      </w:r>
      <w:r w:rsidR="001C3DB9">
        <w:t>s</w:t>
      </w:r>
      <w:r>
        <w:t xml:space="preserve"> 1</w:t>
      </w:r>
      <w:r w:rsidR="001C3DB9">
        <w:t>7</w:t>
      </w:r>
      <w:r w:rsidR="00331A62">
        <w:t xml:space="preserve"> </w:t>
      </w:r>
      <w:r>
        <w:t>presents</w:t>
      </w:r>
      <w:proofErr w:type="gramEnd"/>
      <w:r>
        <w:t xml:space="preserve"> the predicted and actual utilisation of </w:t>
      </w:r>
      <w:proofErr w:type="spellStart"/>
      <w:r>
        <w:t>adalimumab</w:t>
      </w:r>
      <w:proofErr w:type="spellEnd"/>
      <w:r>
        <w:t xml:space="preserve"> for fistulising Crohn’s disease. </w:t>
      </w:r>
    </w:p>
    <w:p w:rsidR="0002334C" w:rsidRDefault="0002334C" w:rsidP="0002334C">
      <w:pPr>
        <w:pStyle w:val="Tabletitle"/>
      </w:pPr>
      <w:r>
        <w:t>Table 1</w:t>
      </w:r>
      <w:r w:rsidR="009F2B30">
        <w:t>7</w:t>
      </w:r>
      <w:r>
        <w:t xml:space="preserve">: </w:t>
      </w:r>
      <w:proofErr w:type="spellStart"/>
      <w:r w:rsidRPr="000D78D3">
        <w:t>Adalimumab</w:t>
      </w:r>
      <w:proofErr w:type="spellEnd"/>
      <w:r w:rsidRPr="000D78D3">
        <w:t xml:space="preserve"> predicted versus actual </w:t>
      </w:r>
      <w:r w:rsidR="009F2B30">
        <w:t xml:space="preserve">number of patients </w:t>
      </w:r>
      <w:r w:rsidRPr="000D78D3">
        <w:t xml:space="preserve">– </w:t>
      </w:r>
      <w:r>
        <w:t>fistulising</w:t>
      </w:r>
      <w:r w:rsidRPr="000D78D3">
        <w:t xml:space="preserve"> </w:t>
      </w:r>
      <w:r>
        <w:t>C</w:t>
      </w:r>
      <w:r w:rsidRPr="000D78D3">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2 and 3"/>
      </w:tblPr>
      <w:tblGrid>
        <w:gridCol w:w="1797"/>
        <w:gridCol w:w="2524"/>
        <w:gridCol w:w="2371"/>
        <w:gridCol w:w="2373"/>
      </w:tblGrid>
      <w:tr w:rsidR="0002334C" w:rsidRPr="001D0858" w:rsidTr="00071F03">
        <w:trPr>
          <w:trHeight w:val="249"/>
          <w:tblHeader/>
        </w:trPr>
        <w:tc>
          <w:tcPr>
            <w:tcW w:w="991" w:type="pct"/>
            <w:shd w:val="clear" w:color="auto" w:fill="BFBFBF" w:themeFill="background1" w:themeFillShade="BF"/>
          </w:tcPr>
          <w:p w:rsidR="0002334C" w:rsidRPr="001D0858" w:rsidRDefault="0002334C" w:rsidP="005C4223">
            <w:pPr>
              <w:pStyle w:val="Tableheading"/>
              <w:rPr>
                <w:szCs w:val="20"/>
              </w:rPr>
            </w:pPr>
          </w:p>
        </w:tc>
        <w:tc>
          <w:tcPr>
            <w:tcW w:w="1392" w:type="pct"/>
            <w:shd w:val="clear" w:color="auto" w:fill="BFBFBF" w:themeFill="background1" w:themeFillShade="BF"/>
          </w:tcPr>
          <w:p w:rsidR="0002334C" w:rsidRDefault="0002334C" w:rsidP="005C4223">
            <w:pPr>
              <w:pStyle w:val="Tableheading"/>
              <w:rPr>
                <w:szCs w:val="20"/>
              </w:rPr>
            </w:pPr>
            <w:r>
              <w:rPr>
                <w:szCs w:val="20"/>
              </w:rPr>
              <w:t>Year1</w:t>
            </w:r>
          </w:p>
          <w:p w:rsidR="0002334C" w:rsidRPr="001D0858" w:rsidRDefault="0002334C" w:rsidP="005C4223">
            <w:pPr>
              <w:pStyle w:val="Tableheading"/>
              <w:rPr>
                <w:szCs w:val="20"/>
              </w:rPr>
            </w:pPr>
            <w:r>
              <w:rPr>
                <w:szCs w:val="20"/>
              </w:rPr>
              <w:t>(Apr11 –Mar12)</w:t>
            </w:r>
          </w:p>
        </w:tc>
        <w:tc>
          <w:tcPr>
            <w:tcW w:w="1308" w:type="pct"/>
            <w:shd w:val="clear" w:color="auto" w:fill="BFBFBF" w:themeFill="background1" w:themeFillShade="BF"/>
          </w:tcPr>
          <w:p w:rsidR="0002334C" w:rsidRDefault="0002334C" w:rsidP="005C4223">
            <w:pPr>
              <w:pStyle w:val="Tableheading"/>
              <w:rPr>
                <w:szCs w:val="20"/>
              </w:rPr>
            </w:pPr>
            <w:r>
              <w:rPr>
                <w:szCs w:val="20"/>
              </w:rPr>
              <w:t>Year 2</w:t>
            </w:r>
          </w:p>
          <w:p w:rsidR="0002334C" w:rsidRPr="001D0858" w:rsidRDefault="0002334C" w:rsidP="005C4223">
            <w:pPr>
              <w:pStyle w:val="Tableheading"/>
              <w:rPr>
                <w:szCs w:val="20"/>
              </w:rPr>
            </w:pPr>
            <w:r>
              <w:rPr>
                <w:szCs w:val="20"/>
              </w:rPr>
              <w:t>(Apr12-Mar13)</w:t>
            </w:r>
          </w:p>
        </w:tc>
        <w:tc>
          <w:tcPr>
            <w:tcW w:w="1309" w:type="pct"/>
            <w:shd w:val="clear" w:color="auto" w:fill="BFBFBF" w:themeFill="background1" w:themeFillShade="BF"/>
          </w:tcPr>
          <w:p w:rsidR="0002334C" w:rsidRDefault="0002334C" w:rsidP="005C4223">
            <w:pPr>
              <w:pStyle w:val="Tableheading"/>
              <w:rPr>
                <w:szCs w:val="20"/>
              </w:rPr>
            </w:pPr>
            <w:r>
              <w:rPr>
                <w:szCs w:val="20"/>
              </w:rPr>
              <w:t>Year 3</w:t>
            </w:r>
          </w:p>
          <w:p w:rsidR="0002334C" w:rsidRPr="001D0858" w:rsidRDefault="0002334C" w:rsidP="005C4223">
            <w:pPr>
              <w:pStyle w:val="Tableheading"/>
              <w:rPr>
                <w:szCs w:val="20"/>
              </w:rPr>
            </w:pPr>
            <w:r>
              <w:rPr>
                <w:szCs w:val="20"/>
              </w:rPr>
              <w:t>(Apr13-Mar14)</w:t>
            </w:r>
          </w:p>
        </w:tc>
      </w:tr>
      <w:tr w:rsidR="0002334C" w:rsidRPr="001D0858" w:rsidTr="00071F03">
        <w:trPr>
          <w:trHeight w:val="296"/>
        </w:trPr>
        <w:tc>
          <w:tcPr>
            <w:tcW w:w="991" w:type="pct"/>
          </w:tcPr>
          <w:p w:rsidR="0002334C" w:rsidRDefault="0002334C" w:rsidP="005C4223">
            <w:pPr>
              <w:pStyle w:val="Tableheading"/>
              <w:jc w:val="left"/>
              <w:rPr>
                <w:b w:val="0"/>
                <w:szCs w:val="20"/>
              </w:rPr>
            </w:pPr>
            <w:r>
              <w:rPr>
                <w:b w:val="0"/>
                <w:szCs w:val="20"/>
              </w:rPr>
              <w:t xml:space="preserve">Predicted </w:t>
            </w:r>
          </w:p>
        </w:tc>
        <w:tc>
          <w:tcPr>
            <w:tcW w:w="1392" w:type="pct"/>
            <w:vAlign w:val="bottom"/>
          </w:tcPr>
          <w:p w:rsidR="0002334C" w:rsidRPr="0093627C" w:rsidRDefault="0093627C" w:rsidP="005C4223">
            <w:pPr>
              <w:pStyle w:val="Tablewriting"/>
              <w:jc w:val="center"/>
              <w:rPr>
                <w:color w:val="7030A0"/>
                <w:highlight w:val="black"/>
              </w:rPr>
            </w:pPr>
            <w:r>
              <w:rPr>
                <w:noProof/>
                <w:highlight w:val="black"/>
              </w:rPr>
              <w:t>''''''''</w:t>
            </w:r>
          </w:p>
        </w:tc>
        <w:tc>
          <w:tcPr>
            <w:tcW w:w="1308" w:type="pct"/>
            <w:vAlign w:val="bottom"/>
          </w:tcPr>
          <w:p w:rsidR="0002334C" w:rsidRPr="0093627C" w:rsidRDefault="0093627C" w:rsidP="005C4223">
            <w:pPr>
              <w:pStyle w:val="Tablewriting"/>
              <w:jc w:val="center"/>
              <w:rPr>
                <w:color w:val="7030A0"/>
                <w:highlight w:val="black"/>
              </w:rPr>
            </w:pPr>
            <w:r>
              <w:rPr>
                <w:noProof/>
                <w:highlight w:val="black"/>
              </w:rPr>
              <w:t>''''''''</w:t>
            </w:r>
          </w:p>
        </w:tc>
        <w:tc>
          <w:tcPr>
            <w:tcW w:w="1309" w:type="pct"/>
            <w:vAlign w:val="bottom"/>
          </w:tcPr>
          <w:p w:rsidR="0002334C" w:rsidRPr="0093627C" w:rsidRDefault="0093627C" w:rsidP="005C4223">
            <w:pPr>
              <w:pStyle w:val="Tablewriting"/>
              <w:jc w:val="center"/>
              <w:rPr>
                <w:color w:val="7030A0"/>
                <w:highlight w:val="black"/>
              </w:rPr>
            </w:pPr>
            <w:r>
              <w:rPr>
                <w:noProof/>
                <w:highlight w:val="black"/>
              </w:rPr>
              <w:t>'''''''</w:t>
            </w:r>
          </w:p>
        </w:tc>
      </w:tr>
      <w:tr w:rsidR="0002334C" w:rsidRPr="001D0858" w:rsidTr="00071F03">
        <w:trPr>
          <w:trHeight w:val="296"/>
        </w:trPr>
        <w:tc>
          <w:tcPr>
            <w:tcW w:w="991" w:type="pct"/>
          </w:tcPr>
          <w:p w:rsidR="0002334C" w:rsidRDefault="0002334C" w:rsidP="005C4223">
            <w:pPr>
              <w:pStyle w:val="Tableheading"/>
              <w:jc w:val="left"/>
              <w:rPr>
                <w:b w:val="0"/>
                <w:szCs w:val="20"/>
              </w:rPr>
            </w:pPr>
            <w:r>
              <w:rPr>
                <w:b w:val="0"/>
                <w:szCs w:val="20"/>
              </w:rPr>
              <w:t>Actual</w:t>
            </w:r>
          </w:p>
        </w:tc>
        <w:tc>
          <w:tcPr>
            <w:tcW w:w="1392" w:type="pct"/>
            <w:vAlign w:val="bottom"/>
          </w:tcPr>
          <w:p w:rsidR="0002334C" w:rsidRPr="007A0466" w:rsidRDefault="0002334C" w:rsidP="005C4223">
            <w:pPr>
              <w:pStyle w:val="Tablewriting"/>
              <w:jc w:val="center"/>
            </w:pPr>
            <w:r>
              <w:rPr>
                <w:rFonts w:ascii="Calibri" w:hAnsi="Calibri"/>
                <w:sz w:val="22"/>
                <w:szCs w:val="22"/>
              </w:rPr>
              <w:t>159</w:t>
            </w:r>
          </w:p>
        </w:tc>
        <w:tc>
          <w:tcPr>
            <w:tcW w:w="1308" w:type="pct"/>
            <w:vAlign w:val="bottom"/>
          </w:tcPr>
          <w:p w:rsidR="0002334C" w:rsidRPr="007A0466" w:rsidRDefault="0002334C" w:rsidP="005C4223">
            <w:pPr>
              <w:pStyle w:val="Tablewriting"/>
              <w:jc w:val="center"/>
            </w:pPr>
            <w:r>
              <w:rPr>
                <w:rFonts w:ascii="Calibri" w:hAnsi="Calibri"/>
                <w:sz w:val="22"/>
                <w:szCs w:val="22"/>
              </w:rPr>
              <w:t>382</w:t>
            </w:r>
          </w:p>
        </w:tc>
        <w:tc>
          <w:tcPr>
            <w:tcW w:w="1309" w:type="pct"/>
            <w:vAlign w:val="bottom"/>
          </w:tcPr>
          <w:p w:rsidR="0002334C" w:rsidRPr="007A0466" w:rsidRDefault="0002334C" w:rsidP="005C4223">
            <w:pPr>
              <w:pStyle w:val="Tablewriting"/>
              <w:jc w:val="center"/>
            </w:pPr>
            <w:r>
              <w:rPr>
                <w:rFonts w:ascii="Calibri" w:hAnsi="Calibri"/>
                <w:sz w:val="22"/>
                <w:szCs w:val="22"/>
              </w:rPr>
              <w:t>495</w:t>
            </w:r>
          </w:p>
        </w:tc>
      </w:tr>
      <w:tr w:rsidR="0002334C" w:rsidRPr="001D0858" w:rsidTr="00071F03">
        <w:trPr>
          <w:trHeight w:val="296"/>
        </w:trPr>
        <w:tc>
          <w:tcPr>
            <w:tcW w:w="991" w:type="pct"/>
          </w:tcPr>
          <w:p w:rsidR="0002334C" w:rsidRDefault="0002334C" w:rsidP="005C4223">
            <w:pPr>
              <w:pStyle w:val="Tableheading"/>
              <w:jc w:val="left"/>
              <w:rPr>
                <w:b w:val="0"/>
                <w:szCs w:val="20"/>
              </w:rPr>
            </w:pPr>
            <w:r>
              <w:rPr>
                <w:b w:val="0"/>
                <w:szCs w:val="20"/>
              </w:rPr>
              <w:t>Difference</w:t>
            </w:r>
          </w:p>
        </w:tc>
        <w:tc>
          <w:tcPr>
            <w:tcW w:w="1392"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1308"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1309"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r>
    </w:tbl>
    <w:p w:rsidR="009F2B30" w:rsidRDefault="0002334C" w:rsidP="0002334C">
      <w:pPr>
        <w:pStyle w:val="Figurecaption"/>
      </w:pPr>
      <w:r>
        <w:t xml:space="preserve">Source: </w:t>
      </w:r>
      <w:proofErr w:type="spellStart"/>
      <w:r>
        <w:t>Adalimumab</w:t>
      </w:r>
      <w:proofErr w:type="spellEnd"/>
      <w:r>
        <w:t xml:space="preserve"> fistulising Crohn’s disease submission, November 2010; DHS Authority approval database, extracted November 2014. DHS Supplied Prescriptions Database, extracted November 2014. </w:t>
      </w:r>
    </w:p>
    <w:p w:rsidR="00656AB5" w:rsidRDefault="00656AB5" w:rsidP="00656AB5">
      <w:pPr>
        <w:pStyle w:val="Tabletitle"/>
      </w:pPr>
      <w:r>
        <w:t xml:space="preserve">Table 18: </w:t>
      </w:r>
      <w:proofErr w:type="spellStart"/>
      <w:r w:rsidRPr="000D78D3">
        <w:t>Adalimumab</w:t>
      </w:r>
      <w:proofErr w:type="spellEnd"/>
      <w:r w:rsidRPr="000D78D3">
        <w:t xml:space="preserve"> predicted versus actual </w:t>
      </w:r>
      <w:r>
        <w:t xml:space="preserve">number of prescriptions </w:t>
      </w:r>
      <w:r w:rsidRPr="000D78D3">
        <w:t xml:space="preserve">– </w:t>
      </w:r>
      <w:r>
        <w:t>fistulising</w:t>
      </w:r>
      <w:r w:rsidRPr="000D78D3">
        <w:t xml:space="preserve"> </w:t>
      </w:r>
      <w:r>
        <w:t>C</w:t>
      </w:r>
      <w:r w:rsidRPr="000D78D3">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2 and 3"/>
      </w:tblPr>
      <w:tblGrid>
        <w:gridCol w:w="1797"/>
        <w:gridCol w:w="2524"/>
        <w:gridCol w:w="2371"/>
        <w:gridCol w:w="2373"/>
      </w:tblGrid>
      <w:tr w:rsidR="009F2B30" w:rsidRPr="001D0858" w:rsidTr="00071F03">
        <w:trPr>
          <w:trHeight w:val="249"/>
          <w:tblHeader/>
        </w:trPr>
        <w:tc>
          <w:tcPr>
            <w:tcW w:w="991" w:type="pct"/>
            <w:shd w:val="clear" w:color="auto" w:fill="BFBFBF" w:themeFill="background1" w:themeFillShade="BF"/>
          </w:tcPr>
          <w:p w:rsidR="009F2B30" w:rsidRPr="001D0858" w:rsidRDefault="009F2B30" w:rsidP="00FF7F90">
            <w:pPr>
              <w:pStyle w:val="Tableheading"/>
              <w:rPr>
                <w:szCs w:val="20"/>
              </w:rPr>
            </w:pPr>
          </w:p>
        </w:tc>
        <w:tc>
          <w:tcPr>
            <w:tcW w:w="1392" w:type="pct"/>
            <w:shd w:val="clear" w:color="auto" w:fill="BFBFBF" w:themeFill="background1" w:themeFillShade="BF"/>
          </w:tcPr>
          <w:p w:rsidR="009F2B30" w:rsidRDefault="009F2B30" w:rsidP="00FF7F90">
            <w:pPr>
              <w:pStyle w:val="Tableheading"/>
              <w:rPr>
                <w:szCs w:val="20"/>
              </w:rPr>
            </w:pPr>
            <w:r>
              <w:rPr>
                <w:szCs w:val="20"/>
              </w:rPr>
              <w:t>Year1</w:t>
            </w:r>
          </w:p>
          <w:p w:rsidR="009F2B30" w:rsidRPr="001D0858" w:rsidRDefault="009F2B30" w:rsidP="00FF7F90">
            <w:pPr>
              <w:pStyle w:val="Tableheading"/>
              <w:rPr>
                <w:szCs w:val="20"/>
              </w:rPr>
            </w:pPr>
            <w:r>
              <w:rPr>
                <w:szCs w:val="20"/>
              </w:rPr>
              <w:t>(Apr11 –Mar12)</w:t>
            </w:r>
          </w:p>
        </w:tc>
        <w:tc>
          <w:tcPr>
            <w:tcW w:w="1308" w:type="pct"/>
            <w:shd w:val="clear" w:color="auto" w:fill="BFBFBF" w:themeFill="background1" w:themeFillShade="BF"/>
          </w:tcPr>
          <w:p w:rsidR="009F2B30" w:rsidRDefault="009F2B30" w:rsidP="00FF7F90">
            <w:pPr>
              <w:pStyle w:val="Tableheading"/>
              <w:rPr>
                <w:szCs w:val="20"/>
              </w:rPr>
            </w:pPr>
            <w:r>
              <w:rPr>
                <w:szCs w:val="20"/>
              </w:rPr>
              <w:t>Year 2</w:t>
            </w:r>
          </w:p>
          <w:p w:rsidR="009F2B30" w:rsidRPr="001D0858" w:rsidRDefault="009F2B30" w:rsidP="00FF7F90">
            <w:pPr>
              <w:pStyle w:val="Tableheading"/>
              <w:rPr>
                <w:szCs w:val="20"/>
              </w:rPr>
            </w:pPr>
            <w:r>
              <w:rPr>
                <w:szCs w:val="20"/>
              </w:rPr>
              <w:t>(Apr12-Mar13)</w:t>
            </w:r>
          </w:p>
        </w:tc>
        <w:tc>
          <w:tcPr>
            <w:tcW w:w="1309" w:type="pct"/>
            <w:shd w:val="clear" w:color="auto" w:fill="BFBFBF" w:themeFill="background1" w:themeFillShade="BF"/>
          </w:tcPr>
          <w:p w:rsidR="009F2B30" w:rsidRDefault="009F2B30" w:rsidP="00FF7F90">
            <w:pPr>
              <w:pStyle w:val="Tableheading"/>
              <w:rPr>
                <w:szCs w:val="20"/>
              </w:rPr>
            </w:pPr>
            <w:r>
              <w:rPr>
                <w:szCs w:val="20"/>
              </w:rPr>
              <w:t>Year 3</w:t>
            </w:r>
          </w:p>
          <w:p w:rsidR="009F2B30" w:rsidRPr="001D0858" w:rsidRDefault="009F2B30" w:rsidP="00FF7F90">
            <w:pPr>
              <w:pStyle w:val="Tableheading"/>
              <w:rPr>
                <w:szCs w:val="20"/>
              </w:rPr>
            </w:pPr>
            <w:r>
              <w:rPr>
                <w:szCs w:val="20"/>
              </w:rPr>
              <w:t>(Apr13-Mar14)</w:t>
            </w:r>
          </w:p>
        </w:tc>
      </w:tr>
      <w:tr w:rsidR="009F2B30" w:rsidRPr="009F2B30" w:rsidTr="00071F03">
        <w:trPr>
          <w:trHeight w:val="296"/>
        </w:trPr>
        <w:tc>
          <w:tcPr>
            <w:tcW w:w="991" w:type="pct"/>
          </w:tcPr>
          <w:p w:rsidR="009F2B30" w:rsidRPr="009F2B30" w:rsidRDefault="009F2B30" w:rsidP="009F2B30">
            <w:pPr>
              <w:pStyle w:val="Figurecaption"/>
            </w:pPr>
            <w:r w:rsidRPr="009F2B30">
              <w:t>Predicted</w:t>
            </w:r>
          </w:p>
        </w:tc>
        <w:tc>
          <w:tcPr>
            <w:tcW w:w="1392" w:type="pct"/>
            <w:vAlign w:val="bottom"/>
          </w:tcPr>
          <w:p w:rsidR="009F2B30" w:rsidRPr="0093627C" w:rsidRDefault="0093627C" w:rsidP="00C44A5B">
            <w:pPr>
              <w:pStyle w:val="Figurecaption"/>
              <w:jc w:val="center"/>
              <w:rPr>
                <w:color w:val="7030A0"/>
                <w:highlight w:val="black"/>
              </w:rPr>
            </w:pPr>
            <w:r>
              <w:rPr>
                <w:noProof/>
                <w:color w:val="000000"/>
                <w:highlight w:val="black"/>
              </w:rPr>
              <w:t>'''''''''''</w:t>
            </w:r>
          </w:p>
        </w:tc>
        <w:tc>
          <w:tcPr>
            <w:tcW w:w="1308" w:type="pct"/>
            <w:vAlign w:val="bottom"/>
          </w:tcPr>
          <w:p w:rsidR="009F2B30" w:rsidRPr="0093627C" w:rsidRDefault="0093627C" w:rsidP="00C44A5B">
            <w:pPr>
              <w:pStyle w:val="Figurecaption"/>
              <w:jc w:val="center"/>
              <w:rPr>
                <w:color w:val="7030A0"/>
                <w:highlight w:val="black"/>
              </w:rPr>
            </w:pPr>
            <w:r>
              <w:rPr>
                <w:noProof/>
                <w:color w:val="000000"/>
                <w:highlight w:val="black"/>
              </w:rPr>
              <w:t>''''''''''''</w:t>
            </w:r>
          </w:p>
        </w:tc>
        <w:tc>
          <w:tcPr>
            <w:tcW w:w="1309" w:type="pct"/>
            <w:vAlign w:val="bottom"/>
          </w:tcPr>
          <w:p w:rsidR="009F2B30" w:rsidRPr="0093627C" w:rsidRDefault="0093627C" w:rsidP="00C44A5B">
            <w:pPr>
              <w:pStyle w:val="Figurecaption"/>
              <w:jc w:val="center"/>
              <w:rPr>
                <w:color w:val="7030A0"/>
                <w:highlight w:val="black"/>
              </w:rPr>
            </w:pPr>
            <w:r>
              <w:rPr>
                <w:noProof/>
                <w:color w:val="000000"/>
                <w:highlight w:val="black"/>
              </w:rPr>
              <w:t>'''''''''''</w:t>
            </w:r>
          </w:p>
        </w:tc>
      </w:tr>
      <w:tr w:rsidR="009F2B30" w:rsidRPr="009F2B30" w:rsidTr="00071F03">
        <w:trPr>
          <w:trHeight w:val="296"/>
        </w:trPr>
        <w:tc>
          <w:tcPr>
            <w:tcW w:w="991" w:type="pct"/>
          </w:tcPr>
          <w:p w:rsidR="009F2B30" w:rsidRPr="009F2B30" w:rsidRDefault="009F2B30" w:rsidP="009F2B30">
            <w:pPr>
              <w:pStyle w:val="Figurecaption"/>
            </w:pPr>
            <w:r w:rsidRPr="009F2B30">
              <w:t>Actual</w:t>
            </w:r>
          </w:p>
        </w:tc>
        <w:tc>
          <w:tcPr>
            <w:tcW w:w="1392" w:type="pct"/>
            <w:vAlign w:val="bottom"/>
          </w:tcPr>
          <w:p w:rsidR="009F2B30" w:rsidRPr="009F2B30" w:rsidRDefault="009F2B30" w:rsidP="00C44A5B">
            <w:pPr>
              <w:pStyle w:val="Figurecaption"/>
              <w:jc w:val="center"/>
            </w:pPr>
            <w:r w:rsidRPr="009F2B30">
              <w:t>1,444</w:t>
            </w:r>
          </w:p>
        </w:tc>
        <w:tc>
          <w:tcPr>
            <w:tcW w:w="1308" w:type="pct"/>
            <w:vAlign w:val="bottom"/>
          </w:tcPr>
          <w:p w:rsidR="009F2B30" w:rsidRPr="009F2B30" w:rsidRDefault="009F2B30" w:rsidP="00C44A5B">
            <w:pPr>
              <w:pStyle w:val="Figurecaption"/>
              <w:jc w:val="center"/>
            </w:pPr>
            <w:r w:rsidRPr="009F2B30">
              <w:t>3,623</w:t>
            </w:r>
          </w:p>
        </w:tc>
        <w:tc>
          <w:tcPr>
            <w:tcW w:w="1309" w:type="pct"/>
            <w:vAlign w:val="bottom"/>
          </w:tcPr>
          <w:p w:rsidR="009F2B30" w:rsidRPr="009F2B30" w:rsidRDefault="009F2B30" w:rsidP="00C44A5B">
            <w:pPr>
              <w:pStyle w:val="Figurecaption"/>
              <w:jc w:val="center"/>
            </w:pPr>
            <w:r w:rsidRPr="009F2B30">
              <w:t>5,026</w:t>
            </w:r>
          </w:p>
        </w:tc>
      </w:tr>
      <w:tr w:rsidR="009F2B30" w:rsidRPr="009F2B30" w:rsidTr="00071F03">
        <w:trPr>
          <w:trHeight w:val="296"/>
        </w:trPr>
        <w:tc>
          <w:tcPr>
            <w:tcW w:w="991" w:type="pct"/>
          </w:tcPr>
          <w:p w:rsidR="009F2B30" w:rsidRPr="009F2B30" w:rsidRDefault="009F2B30" w:rsidP="009F2B30">
            <w:pPr>
              <w:pStyle w:val="Figurecaption"/>
            </w:pPr>
            <w:r w:rsidRPr="009F2B30">
              <w:t>Difference</w:t>
            </w:r>
          </w:p>
        </w:tc>
        <w:tc>
          <w:tcPr>
            <w:tcW w:w="1392" w:type="pct"/>
            <w:vAlign w:val="bottom"/>
          </w:tcPr>
          <w:p w:rsidR="009F2B30" w:rsidRPr="0093627C" w:rsidRDefault="0093627C" w:rsidP="00C44A5B">
            <w:pPr>
              <w:pStyle w:val="Figurecaption"/>
              <w:jc w:val="center"/>
              <w:rPr>
                <w:color w:val="7030A0"/>
                <w:highlight w:val="black"/>
              </w:rPr>
            </w:pPr>
            <w:r>
              <w:rPr>
                <w:noProof/>
                <w:color w:val="000000"/>
                <w:highlight w:val="black"/>
              </w:rPr>
              <w:t>'''''''''</w:t>
            </w:r>
          </w:p>
        </w:tc>
        <w:tc>
          <w:tcPr>
            <w:tcW w:w="1308" w:type="pct"/>
            <w:vAlign w:val="bottom"/>
          </w:tcPr>
          <w:p w:rsidR="009F2B30" w:rsidRPr="0093627C" w:rsidRDefault="0093627C" w:rsidP="00C44A5B">
            <w:pPr>
              <w:pStyle w:val="Figurecaption"/>
              <w:jc w:val="center"/>
              <w:rPr>
                <w:color w:val="7030A0"/>
                <w:highlight w:val="black"/>
              </w:rPr>
            </w:pPr>
            <w:r>
              <w:rPr>
                <w:noProof/>
                <w:color w:val="000000"/>
                <w:highlight w:val="black"/>
              </w:rPr>
              <w:t>'''''''''</w:t>
            </w:r>
          </w:p>
        </w:tc>
        <w:tc>
          <w:tcPr>
            <w:tcW w:w="1309" w:type="pct"/>
            <w:vAlign w:val="bottom"/>
          </w:tcPr>
          <w:p w:rsidR="009F2B30" w:rsidRPr="0093627C" w:rsidRDefault="0093627C" w:rsidP="00C44A5B">
            <w:pPr>
              <w:pStyle w:val="Figurecaption"/>
              <w:jc w:val="center"/>
              <w:rPr>
                <w:color w:val="7030A0"/>
                <w:highlight w:val="black"/>
              </w:rPr>
            </w:pPr>
            <w:r>
              <w:rPr>
                <w:noProof/>
                <w:color w:val="000000"/>
                <w:highlight w:val="black"/>
              </w:rPr>
              <w:t>''''''''''</w:t>
            </w:r>
          </w:p>
        </w:tc>
      </w:tr>
    </w:tbl>
    <w:p w:rsidR="00656AB5" w:rsidRDefault="00656AB5" w:rsidP="00656AB5">
      <w:pPr>
        <w:pStyle w:val="Figurecaption"/>
      </w:pPr>
      <w:r>
        <w:t xml:space="preserve">Source: </w:t>
      </w:r>
      <w:proofErr w:type="spellStart"/>
      <w:r>
        <w:t>Adalimumab</w:t>
      </w:r>
      <w:proofErr w:type="spellEnd"/>
      <w:r>
        <w:t xml:space="preserve"> fistulising Crohn’s disease submission, November 2010; DHS Authority approval database, extracted November 2014. DHS Supplied Prescriptions Database, extracted November 2014. </w:t>
      </w:r>
    </w:p>
    <w:p w:rsidR="00656AB5" w:rsidRDefault="00656AB5" w:rsidP="00656AB5">
      <w:pPr>
        <w:pStyle w:val="Tabletitle"/>
      </w:pPr>
      <w:r>
        <w:t xml:space="preserve">Table 19: </w:t>
      </w:r>
      <w:proofErr w:type="spellStart"/>
      <w:r w:rsidRPr="000D78D3">
        <w:t>Adalimumab</w:t>
      </w:r>
      <w:proofErr w:type="spellEnd"/>
      <w:r w:rsidRPr="000D78D3">
        <w:t xml:space="preserve"> predicted versus actual </w:t>
      </w:r>
      <w:r>
        <w:t xml:space="preserve">R/PBS expenditure </w:t>
      </w:r>
      <w:r w:rsidRPr="000D78D3">
        <w:t xml:space="preserve">– </w:t>
      </w:r>
      <w:r>
        <w:t>fistulising</w:t>
      </w:r>
      <w:r w:rsidRPr="000D78D3">
        <w:t xml:space="preserve"> </w:t>
      </w:r>
      <w:r>
        <w:t>C</w:t>
      </w:r>
      <w:r w:rsidRPr="000D78D3">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s 1, 2 and 3"/>
      </w:tblPr>
      <w:tblGrid>
        <w:gridCol w:w="1797"/>
        <w:gridCol w:w="2524"/>
        <w:gridCol w:w="2371"/>
        <w:gridCol w:w="2373"/>
      </w:tblGrid>
      <w:tr w:rsidR="009F2B30" w:rsidRPr="001D0858" w:rsidTr="00071F03">
        <w:trPr>
          <w:trHeight w:val="249"/>
          <w:tblHeader/>
        </w:trPr>
        <w:tc>
          <w:tcPr>
            <w:tcW w:w="991" w:type="pct"/>
            <w:shd w:val="clear" w:color="auto" w:fill="BFBFBF" w:themeFill="background1" w:themeFillShade="BF"/>
          </w:tcPr>
          <w:p w:rsidR="009F2B30" w:rsidRPr="001D0858" w:rsidRDefault="009F2B30" w:rsidP="00FF7F90">
            <w:pPr>
              <w:pStyle w:val="Tableheading"/>
              <w:rPr>
                <w:szCs w:val="20"/>
              </w:rPr>
            </w:pPr>
          </w:p>
        </w:tc>
        <w:tc>
          <w:tcPr>
            <w:tcW w:w="1392" w:type="pct"/>
            <w:shd w:val="clear" w:color="auto" w:fill="BFBFBF" w:themeFill="background1" w:themeFillShade="BF"/>
          </w:tcPr>
          <w:p w:rsidR="009F2B30" w:rsidRDefault="009F2B30" w:rsidP="00FF7F90">
            <w:pPr>
              <w:pStyle w:val="Tableheading"/>
              <w:rPr>
                <w:szCs w:val="20"/>
              </w:rPr>
            </w:pPr>
            <w:r>
              <w:rPr>
                <w:szCs w:val="20"/>
              </w:rPr>
              <w:t>Year1</w:t>
            </w:r>
          </w:p>
          <w:p w:rsidR="009F2B30" w:rsidRPr="001D0858" w:rsidRDefault="009F2B30" w:rsidP="00FF7F90">
            <w:pPr>
              <w:pStyle w:val="Tableheading"/>
              <w:rPr>
                <w:szCs w:val="20"/>
              </w:rPr>
            </w:pPr>
            <w:r>
              <w:rPr>
                <w:szCs w:val="20"/>
              </w:rPr>
              <w:t>(Apr11 –Mar12)</w:t>
            </w:r>
          </w:p>
        </w:tc>
        <w:tc>
          <w:tcPr>
            <w:tcW w:w="1308" w:type="pct"/>
            <w:shd w:val="clear" w:color="auto" w:fill="BFBFBF" w:themeFill="background1" w:themeFillShade="BF"/>
          </w:tcPr>
          <w:p w:rsidR="009F2B30" w:rsidRDefault="009F2B30" w:rsidP="00FF7F90">
            <w:pPr>
              <w:pStyle w:val="Tableheading"/>
              <w:rPr>
                <w:szCs w:val="20"/>
              </w:rPr>
            </w:pPr>
            <w:r>
              <w:rPr>
                <w:szCs w:val="20"/>
              </w:rPr>
              <w:t>Year 2</w:t>
            </w:r>
          </w:p>
          <w:p w:rsidR="009F2B30" w:rsidRPr="001D0858" w:rsidRDefault="009F2B30" w:rsidP="00FF7F90">
            <w:pPr>
              <w:pStyle w:val="Tableheading"/>
              <w:rPr>
                <w:szCs w:val="20"/>
              </w:rPr>
            </w:pPr>
            <w:r>
              <w:rPr>
                <w:szCs w:val="20"/>
              </w:rPr>
              <w:t>(Apr12-Mar13)</w:t>
            </w:r>
          </w:p>
        </w:tc>
        <w:tc>
          <w:tcPr>
            <w:tcW w:w="1309" w:type="pct"/>
            <w:shd w:val="clear" w:color="auto" w:fill="BFBFBF" w:themeFill="background1" w:themeFillShade="BF"/>
          </w:tcPr>
          <w:p w:rsidR="009F2B30" w:rsidRDefault="009F2B30" w:rsidP="00FF7F90">
            <w:pPr>
              <w:pStyle w:val="Tableheading"/>
              <w:rPr>
                <w:szCs w:val="20"/>
              </w:rPr>
            </w:pPr>
            <w:r>
              <w:rPr>
                <w:szCs w:val="20"/>
              </w:rPr>
              <w:t>Year 3</w:t>
            </w:r>
          </w:p>
          <w:p w:rsidR="009F2B30" w:rsidRPr="001D0858" w:rsidRDefault="009F2B30" w:rsidP="00FF7F90">
            <w:pPr>
              <w:pStyle w:val="Tableheading"/>
              <w:rPr>
                <w:szCs w:val="20"/>
              </w:rPr>
            </w:pPr>
            <w:r>
              <w:rPr>
                <w:szCs w:val="20"/>
              </w:rPr>
              <w:t>(Apr13-Mar14)</w:t>
            </w:r>
          </w:p>
        </w:tc>
      </w:tr>
      <w:tr w:rsidR="009F2B30" w:rsidRPr="009F2B30" w:rsidTr="00071F03">
        <w:trPr>
          <w:trHeight w:val="296"/>
        </w:trPr>
        <w:tc>
          <w:tcPr>
            <w:tcW w:w="991" w:type="pct"/>
          </w:tcPr>
          <w:p w:rsidR="009F2B30" w:rsidRPr="009F2B30" w:rsidRDefault="009F2B30" w:rsidP="009F2B30">
            <w:pPr>
              <w:pStyle w:val="Figurecaption"/>
            </w:pPr>
            <w:r w:rsidRPr="009F2B30">
              <w:t>Predicted</w:t>
            </w:r>
          </w:p>
        </w:tc>
        <w:tc>
          <w:tcPr>
            <w:tcW w:w="1392" w:type="pct"/>
            <w:vAlign w:val="center"/>
          </w:tcPr>
          <w:p w:rsidR="009F2B30" w:rsidRPr="0093627C" w:rsidRDefault="0093627C" w:rsidP="00C44A5B">
            <w:pPr>
              <w:pStyle w:val="Figurecaption"/>
              <w:jc w:val="center"/>
              <w:rPr>
                <w:color w:val="7030A0"/>
                <w:highlight w:val="black"/>
              </w:rPr>
            </w:pPr>
            <w:r>
              <w:rPr>
                <w:noProof/>
                <w:color w:val="000000"/>
                <w:highlight w:val="black"/>
              </w:rPr>
              <w:t>'''''''''''''''''''''''''</w:t>
            </w:r>
          </w:p>
        </w:tc>
        <w:tc>
          <w:tcPr>
            <w:tcW w:w="1308" w:type="pct"/>
            <w:vAlign w:val="center"/>
          </w:tcPr>
          <w:p w:rsidR="009F2B30" w:rsidRPr="0093627C" w:rsidRDefault="0093627C" w:rsidP="00C44A5B">
            <w:pPr>
              <w:pStyle w:val="Figurecaption"/>
              <w:jc w:val="center"/>
              <w:rPr>
                <w:color w:val="7030A0"/>
                <w:highlight w:val="black"/>
              </w:rPr>
            </w:pPr>
            <w:r>
              <w:rPr>
                <w:noProof/>
                <w:color w:val="000000"/>
                <w:highlight w:val="black"/>
              </w:rPr>
              <w:t>''''''''''''''''''''''''</w:t>
            </w:r>
          </w:p>
        </w:tc>
        <w:tc>
          <w:tcPr>
            <w:tcW w:w="1309" w:type="pct"/>
            <w:vAlign w:val="center"/>
          </w:tcPr>
          <w:p w:rsidR="009F2B30" w:rsidRPr="0093627C" w:rsidRDefault="0093627C" w:rsidP="00C44A5B">
            <w:pPr>
              <w:pStyle w:val="Figurecaption"/>
              <w:jc w:val="center"/>
              <w:rPr>
                <w:color w:val="7030A0"/>
                <w:highlight w:val="black"/>
              </w:rPr>
            </w:pPr>
            <w:r>
              <w:rPr>
                <w:noProof/>
                <w:color w:val="000000"/>
                <w:highlight w:val="black"/>
              </w:rPr>
              <w:t>'''''''''''''''''''''</w:t>
            </w:r>
          </w:p>
        </w:tc>
      </w:tr>
      <w:tr w:rsidR="009F2B30" w:rsidRPr="009F2B30" w:rsidTr="00071F03">
        <w:trPr>
          <w:trHeight w:val="296"/>
        </w:trPr>
        <w:tc>
          <w:tcPr>
            <w:tcW w:w="991" w:type="pct"/>
          </w:tcPr>
          <w:p w:rsidR="009F2B30" w:rsidRPr="009F2B30" w:rsidRDefault="009F2B30" w:rsidP="009F2B30">
            <w:pPr>
              <w:pStyle w:val="Figurecaption"/>
            </w:pPr>
            <w:r w:rsidRPr="009F2B30">
              <w:t>Actual</w:t>
            </w:r>
          </w:p>
        </w:tc>
        <w:tc>
          <w:tcPr>
            <w:tcW w:w="1392" w:type="pct"/>
            <w:vAlign w:val="center"/>
          </w:tcPr>
          <w:p w:rsidR="009F2B30" w:rsidRPr="009F2B30" w:rsidRDefault="009F2B30" w:rsidP="00C44A5B">
            <w:pPr>
              <w:pStyle w:val="Figurecaption"/>
              <w:jc w:val="center"/>
            </w:pPr>
            <w:r w:rsidRPr="009F2B30">
              <w:t>$3,177,376</w:t>
            </w:r>
          </w:p>
        </w:tc>
        <w:tc>
          <w:tcPr>
            <w:tcW w:w="1308" w:type="pct"/>
            <w:vAlign w:val="center"/>
          </w:tcPr>
          <w:p w:rsidR="009F2B30" w:rsidRPr="009F2B30" w:rsidRDefault="009F2B30" w:rsidP="00C44A5B">
            <w:pPr>
              <w:pStyle w:val="Figurecaption"/>
              <w:jc w:val="center"/>
            </w:pPr>
            <w:r w:rsidRPr="009F2B30">
              <w:t>$7,047,506</w:t>
            </w:r>
          </w:p>
        </w:tc>
        <w:tc>
          <w:tcPr>
            <w:tcW w:w="1309" w:type="pct"/>
            <w:vAlign w:val="center"/>
          </w:tcPr>
          <w:p w:rsidR="009F2B30" w:rsidRPr="009F2B30" w:rsidRDefault="009F2B30" w:rsidP="00C44A5B">
            <w:pPr>
              <w:pStyle w:val="Figurecaption"/>
              <w:jc w:val="center"/>
            </w:pPr>
            <w:r w:rsidRPr="009F2B30">
              <w:t>$9,485,399</w:t>
            </w:r>
          </w:p>
        </w:tc>
      </w:tr>
      <w:tr w:rsidR="009F2B30" w:rsidRPr="009F2B30" w:rsidTr="00071F03">
        <w:trPr>
          <w:trHeight w:val="296"/>
        </w:trPr>
        <w:tc>
          <w:tcPr>
            <w:tcW w:w="991" w:type="pct"/>
          </w:tcPr>
          <w:p w:rsidR="009F2B30" w:rsidRPr="009F2B30" w:rsidRDefault="009F2B30" w:rsidP="009F2B30">
            <w:pPr>
              <w:pStyle w:val="Figurecaption"/>
            </w:pPr>
            <w:r w:rsidRPr="009F2B30">
              <w:t>Difference</w:t>
            </w:r>
          </w:p>
        </w:tc>
        <w:tc>
          <w:tcPr>
            <w:tcW w:w="1392" w:type="pct"/>
            <w:vAlign w:val="center"/>
          </w:tcPr>
          <w:p w:rsidR="009F2B30" w:rsidRPr="0093627C" w:rsidRDefault="0093627C" w:rsidP="00C44A5B">
            <w:pPr>
              <w:pStyle w:val="Figurecaption"/>
              <w:jc w:val="center"/>
              <w:rPr>
                <w:color w:val="7030A0"/>
                <w:highlight w:val="black"/>
              </w:rPr>
            </w:pPr>
            <w:r>
              <w:rPr>
                <w:noProof/>
                <w:color w:val="000000"/>
                <w:highlight w:val="black"/>
              </w:rPr>
              <w:t>''''''''''</w:t>
            </w:r>
          </w:p>
        </w:tc>
        <w:tc>
          <w:tcPr>
            <w:tcW w:w="1308" w:type="pct"/>
            <w:vAlign w:val="center"/>
          </w:tcPr>
          <w:p w:rsidR="009F2B30" w:rsidRPr="0093627C" w:rsidRDefault="0093627C" w:rsidP="00C44A5B">
            <w:pPr>
              <w:pStyle w:val="Figurecaption"/>
              <w:jc w:val="center"/>
              <w:rPr>
                <w:color w:val="7030A0"/>
                <w:highlight w:val="black"/>
              </w:rPr>
            </w:pPr>
            <w:r>
              <w:rPr>
                <w:noProof/>
                <w:color w:val="000000"/>
                <w:highlight w:val="black"/>
              </w:rPr>
              <w:t>'''''''''</w:t>
            </w:r>
          </w:p>
        </w:tc>
        <w:tc>
          <w:tcPr>
            <w:tcW w:w="1309" w:type="pct"/>
            <w:vAlign w:val="center"/>
          </w:tcPr>
          <w:p w:rsidR="009F2B30" w:rsidRPr="0093627C" w:rsidRDefault="0093627C" w:rsidP="00C44A5B">
            <w:pPr>
              <w:pStyle w:val="Figurecaption"/>
              <w:jc w:val="center"/>
              <w:rPr>
                <w:color w:val="7030A0"/>
                <w:highlight w:val="black"/>
              </w:rPr>
            </w:pPr>
            <w:r>
              <w:rPr>
                <w:noProof/>
                <w:color w:val="000000"/>
                <w:highlight w:val="black"/>
              </w:rPr>
              <w:t>'''''''''''</w:t>
            </w:r>
          </w:p>
        </w:tc>
      </w:tr>
    </w:tbl>
    <w:p w:rsidR="00656AB5" w:rsidRDefault="00656AB5" w:rsidP="00656AB5">
      <w:pPr>
        <w:pStyle w:val="Figurecaption"/>
      </w:pPr>
      <w:r>
        <w:t xml:space="preserve">Source: </w:t>
      </w:r>
      <w:proofErr w:type="spellStart"/>
      <w:r>
        <w:t>Adalimumab</w:t>
      </w:r>
      <w:proofErr w:type="spellEnd"/>
      <w:r>
        <w:t xml:space="preserve"> fistulising Crohn’s disease submission, November 2010; DHS Authority approval database, extracted November 2014. DHS Supplied Prescriptions Database, extracted November 2014. </w:t>
      </w:r>
    </w:p>
    <w:p w:rsidR="0002334C" w:rsidRDefault="0002334C" w:rsidP="0002334C">
      <w:r w:rsidRPr="00BD7106">
        <w:t xml:space="preserve">The utilisation of </w:t>
      </w:r>
      <w:proofErr w:type="spellStart"/>
      <w:r w:rsidRPr="00BD7106">
        <w:t>adalimumab</w:t>
      </w:r>
      <w:proofErr w:type="spellEnd"/>
      <w:r w:rsidRPr="00BD7106">
        <w:t xml:space="preserve"> for </w:t>
      </w:r>
      <w:r>
        <w:t>fistulising C</w:t>
      </w:r>
      <w:r w:rsidRPr="00BD7106">
        <w:t xml:space="preserve">rohn’s </w:t>
      </w:r>
      <w:r w:rsidRPr="00EE7257">
        <w:t xml:space="preserve">disease was less than predicted </w:t>
      </w:r>
      <w:r w:rsidRPr="00BD7106">
        <w:t xml:space="preserve">in the </w:t>
      </w:r>
      <w:r>
        <w:t xml:space="preserve">first two </w:t>
      </w:r>
      <w:r w:rsidRPr="00BD7106">
        <w:t xml:space="preserve">years of listing and close to estimated utilisation in the most recent year. </w:t>
      </w:r>
    </w:p>
    <w:p w:rsidR="004D27FA" w:rsidRDefault="0002334C" w:rsidP="0002334C">
      <w:r w:rsidRPr="00081995">
        <w:t>Table</w:t>
      </w:r>
      <w:r w:rsidR="0091076E">
        <w:t>s 20 - 22</w:t>
      </w:r>
      <w:r w:rsidRPr="00081995">
        <w:t xml:space="preserve"> present the predicted and actual utilisation of </w:t>
      </w:r>
      <w:r>
        <w:t>infliximab</w:t>
      </w:r>
      <w:r w:rsidRPr="00081995">
        <w:t xml:space="preserve"> for fistulising </w:t>
      </w:r>
      <w:r>
        <w:t>C</w:t>
      </w:r>
      <w:r w:rsidRPr="00081995">
        <w:t>rohn’s disease.</w:t>
      </w:r>
      <w:r>
        <w:t xml:space="preserve"> The data for vials and expenditure</w:t>
      </w:r>
      <w:r w:rsidR="00331A62">
        <w:t xml:space="preserve"> </w:t>
      </w:r>
      <w:r w:rsidR="0091076E">
        <w:t xml:space="preserve">(table 21 and 22) </w:t>
      </w:r>
      <w:r>
        <w:t xml:space="preserve">do not correspond exactly to the listing years because historical HSD data were reported by quarter of supply. The patient number data are based on patients receiving authority approvals in the relevant listing year. </w:t>
      </w:r>
    </w:p>
    <w:p w:rsidR="004D27FA" w:rsidRDefault="004D27FA">
      <w:pPr>
        <w:spacing w:line="276" w:lineRule="auto"/>
      </w:pPr>
      <w:r>
        <w:br w:type="page"/>
      </w:r>
    </w:p>
    <w:p w:rsidR="0002334C" w:rsidRDefault="0091076E" w:rsidP="0002334C">
      <w:pPr>
        <w:pStyle w:val="Tabletitle"/>
      </w:pPr>
      <w:r>
        <w:lastRenderedPageBreak/>
        <w:t>Table 20</w:t>
      </w:r>
      <w:r w:rsidR="0002334C">
        <w:t xml:space="preserve">: Infliximab </w:t>
      </w:r>
      <w:r w:rsidR="0002334C" w:rsidRPr="00C51B09">
        <w:t xml:space="preserve">predicted versus actual </w:t>
      </w:r>
      <w:r>
        <w:t xml:space="preserve">patient numbers </w:t>
      </w:r>
      <w:r w:rsidR="0002334C" w:rsidRPr="00C51B09">
        <w:t xml:space="preserve">– fistulising </w:t>
      </w:r>
      <w:r w:rsidR="0002334C">
        <w:t>C</w:t>
      </w:r>
      <w:r w:rsidR="0002334C" w:rsidRPr="00C51B09">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 1 throught to 4"/>
      </w:tblPr>
      <w:tblGrid>
        <w:gridCol w:w="1065"/>
        <w:gridCol w:w="2011"/>
        <w:gridCol w:w="2012"/>
        <w:gridCol w:w="1963"/>
        <w:gridCol w:w="2014"/>
      </w:tblGrid>
      <w:tr w:rsidR="0002334C" w:rsidRPr="001D0858" w:rsidTr="00071F03">
        <w:trPr>
          <w:trHeight w:val="249"/>
          <w:tblHeader/>
        </w:trPr>
        <w:tc>
          <w:tcPr>
            <w:tcW w:w="586" w:type="pct"/>
            <w:shd w:val="clear" w:color="auto" w:fill="BFBFBF" w:themeFill="background1" w:themeFillShade="BF"/>
          </w:tcPr>
          <w:p w:rsidR="0002334C" w:rsidRPr="001D0858" w:rsidRDefault="0002334C" w:rsidP="005C4223">
            <w:pPr>
              <w:pStyle w:val="Tableheading"/>
              <w:rPr>
                <w:szCs w:val="20"/>
              </w:rPr>
            </w:pPr>
          </w:p>
        </w:tc>
        <w:tc>
          <w:tcPr>
            <w:tcW w:w="1110" w:type="pct"/>
            <w:shd w:val="clear" w:color="auto" w:fill="BFBFBF" w:themeFill="background1" w:themeFillShade="BF"/>
          </w:tcPr>
          <w:p w:rsidR="0002334C" w:rsidRDefault="0002334C" w:rsidP="005C4223">
            <w:pPr>
              <w:pStyle w:val="Tableheading"/>
              <w:rPr>
                <w:szCs w:val="20"/>
              </w:rPr>
            </w:pPr>
            <w:r>
              <w:rPr>
                <w:szCs w:val="20"/>
              </w:rPr>
              <w:t>Year1</w:t>
            </w:r>
          </w:p>
          <w:p w:rsidR="0002334C" w:rsidRPr="001D0858" w:rsidRDefault="0002334C" w:rsidP="005C4223">
            <w:pPr>
              <w:pStyle w:val="Tableheading"/>
              <w:rPr>
                <w:szCs w:val="20"/>
              </w:rPr>
            </w:pPr>
            <w:r>
              <w:rPr>
                <w:szCs w:val="20"/>
              </w:rPr>
              <w:t>(2010 Q4 -2011 Q3)</w:t>
            </w:r>
          </w:p>
        </w:tc>
        <w:tc>
          <w:tcPr>
            <w:tcW w:w="1110" w:type="pct"/>
            <w:shd w:val="clear" w:color="auto" w:fill="BFBFBF" w:themeFill="background1" w:themeFillShade="BF"/>
          </w:tcPr>
          <w:p w:rsidR="0002334C" w:rsidRDefault="0002334C" w:rsidP="005C4223">
            <w:pPr>
              <w:pStyle w:val="Tableheading"/>
              <w:rPr>
                <w:szCs w:val="20"/>
              </w:rPr>
            </w:pPr>
            <w:r>
              <w:rPr>
                <w:szCs w:val="20"/>
              </w:rPr>
              <w:t>Year 2</w:t>
            </w:r>
          </w:p>
          <w:p w:rsidR="0002334C" w:rsidRPr="001D0858" w:rsidRDefault="0002334C" w:rsidP="005C4223">
            <w:pPr>
              <w:pStyle w:val="Tableheading"/>
              <w:rPr>
                <w:szCs w:val="20"/>
              </w:rPr>
            </w:pPr>
            <w:r w:rsidRPr="00C335B7">
              <w:rPr>
                <w:szCs w:val="20"/>
              </w:rPr>
              <w:t>(201</w:t>
            </w:r>
            <w:r>
              <w:rPr>
                <w:szCs w:val="20"/>
              </w:rPr>
              <w:t>1</w:t>
            </w:r>
            <w:r w:rsidRPr="00C335B7">
              <w:rPr>
                <w:szCs w:val="20"/>
              </w:rPr>
              <w:t xml:space="preserve"> Q4 -201</w:t>
            </w:r>
            <w:r>
              <w:rPr>
                <w:szCs w:val="20"/>
              </w:rPr>
              <w:t>2</w:t>
            </w:r>
            <w:r w:rsidRPr="00C335B7">
              <w:rPr>
                <w:szCs w:val="20"/>
              </w:rPr>
              <w:t xml:space="preserve"> Q3)</w:t>
            </w:r>
          </w:p>
        </w:tc>
        <w:tc>
          <w:tcPr>
            <w:tcW w:w="1083" w:type="pct"/>
            <w:shd w:val="clear" w:color="auto" w:fill="BFBFBF" w:themeFill="background1" w:themeFillShade="BF"/>
          </w:tcPr>
          <w:p w:rsidR="0002334C" w:rsidRDefault="0002334C" w:rsidP="005C4223">
            <w:pPr>
              <w:pStyle w:val="Tableheading"/>
              <w:rPr>
                <w:szCs w:val="20"/>
              </w:rPr>
            </w:pPr>
            <w:r>
              <w:rPr>
                <w:szCs w:val="20"/>
              </w:rPr>
              <w:t>Year 3</w:t>
            </w:r>
          </w:p>
          <w:p w:rsidR="0002334C" w:rsidRPr="001D0858" w:rsidRDefault="0002334C" w:rsidP="005C4223">
            <w:pPr>
              <w:pStyle w:val="Tableheading"/>
              <w:rPr>
                <w:szCs w:val="20"/>
              </w:rPr>
            </w:pPr>
            <w:r w:rsidRPr="00C335B7">
              <w:rPr>
                <w:szCs w:val="20"/>
              </w:rPr>
              <w:t>(201</w:t>
            </w:r>
            <w:r>
              <w:rPr>
                <w:szCs w:val="20"/>
              </w:rPr>
              <w:t>2</w:t>
            </w:r>
            <w:r w:rsidRPr="00C335B7">
              <w:rPr>
                <w:szCs w:val="20"/>
              </w:rPr>
              <w:t xml:space="preserve"> Q4 -201</w:t>
            </w:r>
            <w:r>
              <w:rPr>
                <w:szCs w:val="20"/>
              </w:rPr>
              <w:t xml:space="preserve">3 </w:t>
            </w:r>
            <w:r w:rsidRPr="00C335B7">
              <w:rPr>
                <w:szCs w:val="20"/>
              </w:rPr>
              <w:t>Q3)</w:t>
            </w:r>
          </w:p>
        </w:tc>
        <w:tc>
          <w:tcPr>
            <w:tcW w:w="1111" w:type="pct"/>
            <w:shd w:val="clear" w:color="auto" w:fill="BFBFBF" w:themeFill="background1" w:themeFillShade="BF"/>
          </w:tcPr>
          <w:p w:rsidR="0002334C" w:rsidRDefault="0002334C" w:rsidP="005C4223">
            <w:pPr>
              <w:pStyle w:val="Tableheading"/>
              <w:rPr>
                <w:szCs w:val="20"/>
              </w:rPr>
            </w:pPr>
            <w:r>
              <w:rPr>
                <w:szCs w:val="20"/>
              </w:rPr>
              <w:t>Year 4</w:t>
            </w:r>
          </w:p>
          <w:p w:rsidR="0002334C" w:rsidRPr="001D0858" w:rsidRDefault="0002334C" w:rsidP="005C4223">
            <w:pPr>
              <w:pStyle w:val="Tableheading"/>
              <w:rPr>
                <w:szCs w:val="20"/>
              </w:rPr>
            </w:pPr>
            <w:r w:rsidRPr="00C335B7">
              <w:rPr>
                <w:szCs w:val="20"/>
              </w:rPr>
              <w:t>(201</w:t>
            </w:r>
            <w:r>
              <w:rPr>
                <w:szCs w:val="20"/>
              </w:rPr>
              <w:t>3</w:t>
            </w:r>
            <w:r w:rsidRPr="00C335B7">
              <w:rPr>
                <w:szCs w:val="20"/>
              </w:rPr>
              <w:t xml:space="preserve"> Q4 -201</w:t>
            </w:r>
            <w:r>
              <w:rPr>
                <w:szCs w:val="20"/>
              </w:rPr>
              <w:t>4</w:t>
            </w:r>
            <w:r w:rsidRPr="00C335B7">
              <w:rPr>
                <w:szCs w:val="20"/>
              </w:rPr>
              <w:t xml:space="preserve"> Q3)</w:t>
            </w:r>
          </w:p>
        </w:tc>
      </w:tr>
      <w:tr w:rsidR="0002334C" w:rsidRPr="001D0858" w:rsidTr="00071F03">
        <w:trPr>
          <w:trHeight w:val="296"/>
        </w:trPr>
        <w:tc>
          <w:tcPr>
            <w:tcW w:w="586" w:type="pct"/>
          </w:tcPr>
          <w:p w:rsidR="0002334C" w:rsidRPr="001D0858" w:rsidRDefault="0002334C" w:rsidP="005C4223">
            <w:pPr>
              <w:pStyle w:val="Tableheading"/>
              <w:jc w:val="left"/>
              <w:rPr>
                <w:b w:val="0"/>
                <w:szCs w:val="20"/>
              </w:rPr>
            </w:pPr>
            <w:r>
              <w:rPr>
                <w:b w:val="0"/>
                <w:szCs w:val="20"/>
              </w:rPr>
              <w:t>Predicted</w:t>
            </w:r>
          </w:p>
        </w:tc>
        <w:tc>
          <w:tcPr>
            <w:tcW w:w="1110" w:type="pct"/>
            <w:vAlign w:val="bottom"/>
          </w:tcPr>
          <w:p w:rsidR="0002334C" w:rsidRPr="0093627C" w:rsidRDefault="0093627C" w:rsidP="005C4223">
            <w:pPr>
              <w:pStyle w:val="Tablewriting"/>
              <w:jc w:val="center"/>
              <w:rPr>
                <w:color w:val="7030A0"/>
                <w:highlight w:val="black"/>
              </w:rPr>
            </w:pPr>
            <w:r>
              <w:rPr>
                <w:noProof/>
                <w:highlight w:val="black"/>
              </w:rPr>
              <w:t>''''''''</w:t>
            </w:r>
          </w:p>
        </w:tc>
        <w:tc>
          <w:tcPr>
            <w:tcW w:w="1110" w:type="pct"/>
            <w:vAlign w:val="bottom"/>
          </w:tcPr>
          <w:p w:rsidR="0002334C" w:rsidRPr="0093627C" w:rsidRDefault="0093627C" w:rsidP="005C4223">
            <w:pPr>
              <w:pStyle w:val="Tablewriting"/>
              <w:jc w:val="center"/>
              <w:rPr>
                <w:color w:val="7030A0"/>
                <w:highlight w:val="black"/>
              </w:rPr>
            </w:pPr>
            <w:r>
              <w:rPr>
                <w:noProof/>
                <w:highlight w:val="black"/>
              </w:rPr>
              <w:t>''''''''</w:t>
            </w:r>
          </w:p>
        </w:tc>
        <w:tc>
          <w:tcPr>
            <w:tcW w:w="1083" w:type="pct"/>
            <w:vAlign w:val="bottom"/>
          </w:tcPr>
          <w:p w:rsidR="0002334C" w:rsidRPr="0093627C" w:rsidRDefault="0093627C" w:rsidP="005C4223">
            <w:pPr>
              <w:pStyle w:val="Tablewriting"/>
              <w:jc w:val="center"/>
              <w:rPr>
                <w:color w:val="7030A0"/>
                <w:highlight w:val="black"/>
              </w:rPr>
            </w:pPr>
            <w:r>
              <w:rPr>
                <w:noProof/>
                <w:highlight w:val="black"/>
              </w:rPr>
              <w:t>''''''''</w:t>
            </w:r>
          </w:p>
        </w:tc>
        <w:tc>
          <w:tcPr>
            <w:tcW w:w="1111" w:type="pct"/>
            <w:vAlign w:val="bottom"/>
          </w:tcPr>
          <w:p w:rsidR="0002334C" w:rsidRPr="0093627C" w:rsidRDefault="0093627C" w:rsidP="005C4223">
            <w:pPr>
              <w:pStyle w:val="Tablewriting"/>
              <w:jc w:val="center"/>
              <w:rPr>
                <w:color w:val="7030A0"/>
                <w:highlight w:val="black"/>
              </w:rPr>
            </w:pPr>
            <w:r>
              <w:rPr>
                <w:noProof/>
                <w:highlight w:val="black"/>
              </w:rPr>
              <w:t>'''''''</w:t>
            </w:r>
          </w:p>
        </w:tc>
      </w:tr>
      <w:tr w:rsidR="0002334C" w:rsidRPr="001D0858" w:rsidTr="00071F03">
        <w:trPr>
          <w:trHeight w:val="296"/>
        </w:trPr>
        <w:tc>
          <w:tcPr>
            <w:tcW w:w="586" w:type="pct"/>
          </w:tcPr>
          <w:p w:rsidR="0002334C" w:rsidRDefault="0002334C" w:rsidP="005C4223">
            <w:pPr>
              <w:pStyle w:val="Tableheading"/>
              <w:jc w:val="left"/>
              <w:rPr>
                <w:b w:val="0"/>
                <w:szCs w:val="20"/>
              </w:rPr>
            </w:pPr>
            <w:r>
              <w:rPr>
                <w:b w:val="0"/>
                <w:szCs w:val="20"/>
              </w:rPr>
              <w:t>Actual</w:t>
            </w:r>
          </w:p>
        </w:tc>
        <w:tc>
          <w:tcPr>
            <w:tcW w:w="1110" w:type="pct"/>
            <w:vAlign w:val="bottom"/>
          </w:tcPr>
          <w:p w:rsidR="0002334C" w:rsidRPr="00AB415B" w:rsidRDefault="0002334C" w:rsidP="005C4223">
            <w:pPr>
              <w:pStyle w:val="Tablewriting"/>
              <w:jc w:val="center"/>
            </w:pPr>
            <w:r>
              <w:rPr>
                <w:rFonts w:ascii="Calibri" w:hAnsi="Calibri"/>
              </w:rPr>
              <w:t>320</w:t>
            </w:r>
          </w:p>
        </w:tc>
        <w:tc>
          <w:tcPr>
            <w:tcW w:w="1110" w:type="pct"/>
            <w:vAlign w:val="bottom"/>
          </w:tcPr>
          <w:p w:rsidR="0002334C" w:rsidRPr="00AB415B" w:rsidRDefault="0002334C" w:rsidP="005C4223">
            <w:pPr>
              <w:pStyle w:val="Tablewriting"/>
              <w:jc w:val="center"/>
            </w:pPr>
            <w:r>
              <w:rPr>
                <w:rFonts w:ascii="Calibri" w:hAnsi="Calibri"/>
              </w:rPr>
              <w:t>432</w:t>
            </w:r>
          </w:p>
        </w:tc>
        <w:tc>
          <w:tcPr>
            <w:tcW w:w="1083" w:type="pct"/>
            <w:vAlign w:val="bottom"/>
          </w:tcPr>
          <w:p w:rsidR="0002334C" w:rsidRPr="00AB415B" w:rsidRDefault="0002334C" w:rsidP="005C4223">
            <w:pPr>
              <w:pStyle w:val="Tablewriting"/>
              <w:jc w:val="center"/>
            </w:pPr>
            <w:r>
              <w:rPr>
                <w:rFonts w:ascii="Calibri" w:hAnsi="Calibri"/>
              </w:rPr>
              <w:t>569</w:t>
            </w:r>
          </w:p>
        </w:tc>
        <w:tc>
          <w:tcPr>
            <w:tcW w:w="1111" w:type="pct"/>
            <w:vAlign w:val="bottom"/>
          </w:tcPr>
          <w:p w:rsidR="0002334C" w:rsidRPr="00AB415B" w:rsidRDefault="0002334C" w:rsidP="005C4223">
            <w:pPr>
              <w:pStyle w:val="Tablewriting"/>
              <w:jc w:val="center"/>
            </w:pPr>
            <w:r>
              <w:rPr>
                <w:rFonts w:ascii="Calibri" w:hAnsi="Calibri"/>
              </w:rPr>
              <w:t>725</w:t>
            </w:r>
          </w:p>
        </w:tc>
      </w:tr>
      <w:tr w:rsidR="0002334C" w:rsidRPr="001D0858" w:rsidTr="00071F03">
        <w:trPr>
          <w:trHeight w:val="296"/>
        </w:trPr>
        <w:tc>
          <w:tcPr>
            <w:tcW w:w="586" w:type="pct"/>
          </w:tcPr>
          <w:p w:rsidR="0002334C" w:rsidRDefault="0002334C" w:rsidP="005C4223">
            <w:pPr>
              <w:pStyle w:val="Tableheading"/>
              <w:jc w:val="left"/>
              <w:rPr>
                <w:b w:val="0"/>
                <w:szCs w:val="20"/>
              </w:rPr>
            </w:pPr>
            <w:r>
              <w:rPr>
                <w:b w:val="0"/>
                <w:szCs w:val="20"/>
              </w:rPr>
              <w:t>Difference</w:t>
            </w:r>
          </w:p>
        </w:tc>
        <w:tc>
          <w:tcPr>
            <w:tcW w:w="1110"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1110"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1083"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1111"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r>
    </w:tbl>
    <w:p w:rsidR="0002334C" w:rsidRDefault="0002334C" w:rsidP="0002334C">
      <w:pPr>
        <w:pStyle w:val="Figurecaption"/>
      </w:pPr>
      <w:r>
        <w:t xml:space="preserve">Source: Infliximab fistulising Crohn’s disease estimates, March 2010 submission to PBAC (predicted); DUSC HSD database, extracted November 2014; DHS Authority approval database, extracted November 2014. </w:t>
      </w:r>
    </w:p>
    <w:p w:rsidR="0091076E" w:rsidRDefault="0091076E" w:rsidP="0091076E">
      <w:pPr>
        <w:pStyle w:val="Tabletitle"/>
      </w:pPr>
      <w:r>
        <w:t xml:space="preserve">Table 21: Infliximab </w:t>
      </w:r>
      <w:r w:rsidRPr="00C51B09">
        <w:t>predicted versus actual</w:t>
      </w:r>
      <w:r>
        <w:t xml:space="preserve"> number of vials</w:t>
      </w:r>
      <w:r w:rsidRPr="00C51B09">
        <w:t xml:space="preserve"> – fistulising </w:t>
      </w:r>
      <w:r>
        <w:t>C</w:t>
      </w:r>
      <w:r w:rsidRPr="00C51B09">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 1 throught to 3"/>
        <w:tblDescription w:val="there are no values in the final column which is the year 4 data."/>
      </w:tblPr>
      <w:tblGrid>
        <w:gridCol w:w="1065"/>
        <w:gridCol w:w="2011"/>
        <w:gridCol w:w="2012"/>
        <w:gridCol w:w="1963"/>
        <w:gridCol w:w="2014"/>
      </w:tblGrid>
      <w:tr w:rsidR="0091076E" w:rsidRPr="001D0858" w:rsidTr="00071F03">
        <w:trPr>
          <w:trHeight w:val="249"/>
          <w:tblHeader/>
        </w:trPr>
        <w:tc>
          <w:tcPr>
            <w:tcW w:w="586" w:type="pct"/>
            <w:shd w:val="clear" w:color="auto" w:fill="BFBFBF" w:themeFill="background1" w:themeFillShade="BF"/>
          </w:tcPr>
          <w:p w:rsidR="0091076E" w:rsidRPr="001D0858" w:rsidRDefault="0091076E" w:rsidP="00FF7F90">
            <w:pPr>
              <w:pStyle w:val="Tableheading"/>
              <w:rPr>
                <w:szCs w:val="20"/>
              </w:rPr>
            </w:pPr>
          </w:p>
        </w:tc>
        <w:tc>
          <w:tcPr>
            <w:tcW w:w="1110" w:type="pct"/>
            <w:shd w:val="clear" w:color="auto" w:fill="BFBFBF" w:themeFill="background1" w:themeFillShade="BF"/>
          </w:tcPr>
          <w:p w:rsidR="0091076E" w:rsidRDefault="0091076E" w:rsidP="00FF7F90">
            <w:pPr>
              <w:pStyle w:val="Tableheading"/>
              <w:rPr>
                <w:szCs w:val="20"/>
              </w:rPr>
            </w:pPr>
            <w:r>
              <w:rPr>
                <w:szCs w:val="20"/>
              </w:rPr>
              <w:t>Year1</w:t>
            </w:r>
          </w:p>
          <w:p w:rsidR="0091076E" w:rsidRPr="001D0858" w:rsidRDefault="0091076E" w:rsidP="00FF7F90">
            <w:pPr>
              <w:pStyle w:val="Tableheading"/>
              <w:rPr>
                <w:szCs w:val="20"/>
              </w:rPr>
            </w:pPr>
            <w:r>
              <w:rPr>
                <w:szCs w:val="20"/>
              </w:rPr>
              <w:t>(2010 Q4 -2011 Q3)</w:t>
            </w:r>
          </w:p>
        </w:tc>
        <w:tc>
          <w:tcPr>
            <w:tcW w:w="1110" w:type="pct"/>
            <w:shd w:val="clear" w:color="auto" w:fill="BFBFBF" w:themeFill="background1" w:themeFillShade="BF"/>
          </w:tcPr>
          <w:p w:rsidR="0091076E" w:rsidRDefault="0091076E" w:rsidP="00FF7F90">
            <w:pPr>
              <w:pStyle w:val="Tableheading"/>
              <w:rPr>
                <w:szCs w:val="20"/>
              </w:rPr>
            </w:pPr>
            <w:r>
              <w:rPr>
                <w:szCs w:val="20"/>
              </w:rPr>
              <w:t>Year 2</w:t>
            </w:r>
          </w:p>
          <w:p w:rsidR="0091076E" w:rsidRPr="001D0858" w:rsidRDefault="0091076E" w:rsidP="00FF7F90">
            <w:pPr>
              <w:pStyle w:val="Tableheading"/>
              <w:rPr>
                <w:szCs w:val="20"/>
              </w:rPr>
            </w:pPr>
            <w:r w:rsidRPr="00C335B7">
              <w:rPr>
                <w:szCs w:val="20"/>
              </w:rPr>
              <w:t>(201</w:t>
            </w:r>
            <w:r>
              <w:rPr>
                <w:szCs w:val="20"/>
              </w:rPr>
              <w:t>1</w:t>
            </w:r>
            <w:r w:rsidRPr="00C335B7">
              <w:rPr>
                <w:szCs w:val="20"/>
              </w:rPr>
              <w:t xml:space="preserve"> Q4 -201</w:t>
            </w:r>
            <w:r>
              <w:rPr>
                <w:szCs w:val="20"/>
              </w:rPr>
              <w:t>2</w:t>
            </w:r>
            <w:r w:rsidRPr="00C335B7">
              <w:rPr>
                <w:szCs w:val="20"/>
              </w:rPr>
              <w:t xml:space="preserve"> Q3)</w:t>
            </w:r>
          </w:p>
        </w:tc>
        <w:tc>
          <w:tcPr>
            <w:tcW w:w="1083" w:type="pct"/>
            <w:shd w:val="clear" w:color="auto" w:fill="BFBFBF" w:themeFill="background1" w:themeFillShade="BF"/>
          </w:tcPr>
          <w:p w:rsidR="0091076E" w:rsidRDefault="0091076E" w:rsidP="00FF7F90">
            <w:pPr>
              <w:pStyle w:val="Tableheading"/>
              <w:rPr>
                <w:szCs w:val="20"/>
              </w:rPr>
            </w:pPr>
            <w:r>
              <w:rPr>
                <w:szCs w:val="20"/>
              </w:rPr>
              <w:t>Year 3</w:t>
            </w:r>
          </w:p>
          <w:p w:rsidR="0091076E" w:rsidRPr="001D0858" w:rsidRDefault="0091076E" w:rsidP="00FF7F90">
            <w:pPr>
              <w:pStyle w:val="Tableheading"/>
              <w:rPr>
                <w:szCs w:val="20"/>
              </w:rPr>
            </w:pPr>
            <w:r w:rsidRPr="00C335B7">
              <w:rPr>
                <w:szCs w:val="20"/>
              </w:rPr>
              <w:t>(201</w:t>
            </w:r>
            <w:r>
              <w:rPr>
                <w:szCs w:val="20"/>
              </w:rPr>
              <w:t>2</w:t>
            </w:r>
            <w:r w:rsidRPr="00C335B7">
              <w:rPr>
                <w:szCs w:val="20"/>
              </w:rPr>
              <w:t xml:space="preserve"> Q4 -201</w:t>
            </w:r>
            <w:r>
              <w:rPr>
                <w:szCs w:val="20"/>
              </w:rPr>
              <w:t xml:space="preserve">3 </w:t>
            </w:r>
            <w:r w:rsidRPr="00C335B7">
              <w:rPr>
                <w:szCs w:val="20"/>
              </w:rPr>
              <w:t>Q3)</w:t>
            </w:r>
          </w:p>
        </w:tc>
        <w:tc>
          <w:tcPr>
            <w:tcW w:w="1111" w:type="pct"/>
            <w:shd w:val="clear" w:color="auto" w:fill="BFBFBF" w:themeFill="background1" w:themeFillShade="BF"/>
          </w:tcPr>
          <w:p w:rsidR="0091076E" w:rsidRDefault="0091076E" w:rsidP="00FF7F90">
            <w:pPr>
              <w:pStyle w:val="Tableheading"/>
              <w:rPr>
                <w:szCs w:val="20"/>
              </w:rPr>
            </w:pPr>
            <w:r>
              <w:rPr>
                <w:szCs w:val="20"/>
              </w:rPr>
              <w:t>Year 4</w:t>
            </w:r>
          </w:p>
          <w:p w:rsidR="0091076E" w:rsidRPr="001D0858" w:rsidRDefault="0091076E" w:rsidP="00FF7F90">
            <w:pPr>
              <w:pStyle w:val="Tableheading"/>
              <w:rPr>
                <w:szCs w:val="20"/>
              </w:rPr>
            </w:pPr>
            <w:r w:rsidRPr="00C335B7">
              <w:rPr>
                <w:szCs w:val="20"/>
              </w:rPr>
              <w:t>(201</w:t>
            </w:r>
            <w:r>
              <w:rPr>
                <w:szCs w:val="20"/>
              </w:rPr>
              <w:t>3</w:t>
            </w:r>
            <w:r w:rsidRPr="00C335B7">
              <w:rPr>
                <w:szCs w:val="20"/>
              </w:rPr>
              <w:t xml:space="preserve"> Q4 -201</w:t>
            </w:r>
            <w:r>
              <w:rPr>
                <w:szCs w:val="20"/>
              </w:rPr>
              <w:t>4</w:t>
            </w:r>
            <w:r w:rsidRPr="00C335B7">
              <w:rPr>
                <w:szCs w:val="20"/>
              </w:rPr>
              <w:t xml:space="preserve"> Q3)</w:t>
            </w:r>
          </w:p>
        </w:tc>
      </w:tr>
      <w:tr w:rsidR="0091076E" w:rsidRPr="00C335B7" w:rsidTr="00071F03">
        <w:trPr>
          <w:trHeight w:val="296"/>
        </w:trPr>
        <w:tc>
          <w:tcPr>
            <w:tcW w:w="586" w:type="pct"/>
          </w:tcPr>
          <w:p w:rsidR="0091076E" w:rsidRDefault="0091076E" w:rsidP="00FF7F90">
            <w:pPr>
              <w:pStyle w:val="Tableheading"/>
              <w:jc w:val="left"/>
              <w:rPr>
                <w:b w:val="0"/>
                <w:szCs w:val="20"/>
              </w:rPr>
            </w:pPr>
            <w:r>
              <w:rPr>
                <w:b w:val="0"/>
                <w:szCs w:val="20"/>
              </w:rPr>
              <w:t>Predicted</w:t>
            </w:r>
          </w:p>
        </w:tc>
        <w:tc>
          <w:tcPr>
            <w:tcW w:w="1110" w:type="pct"/>
            <w:vAlign w:val="bottom"/>
          </w:tcPr>
          <w:p w:rsidR="0091076E" w:rsidRPr="0093627C" w:rsidRDefault="0093627C" w:rsidP="00FF7F90">
            <w:pPr>
              <w:pStyle w:val="Tablewriting"/>
              <w:jc w:val="center"/>
              <w:rPr>
                <w:color w:val="7030A0"/>
                <w:highlight w:val="black"/>
              </w:rPr>
            </w:pPr>
            <w:r>
              <w:rPr>
                <w:noProof/>
                <w:highlight w:val="black"/>
              </w:rPr>
              <w:t>'''''''''''</w:t>
            </w:r>
          </w:p>
        </w:tc>
        <w:tc>
          <w:tcPr>
            <w:tcW w:w="1110" w:type="pct"/>
            <w:vAlign w:val="bottom"/>
          </w:tcPr>
          <w:p w:rsidR="0091076E" w:rsidRPr="0093627C" w:rsidRDefault="0093627C" w:rsidP="00FF7F90">
            <w:pPr>
              <w:pStyle w:val="Tablewriting"/>
              <w:jc w:val="center"/>
              <w:rPr>
                <w:color w:val="7030A0"/>
                <w:highlight w:val="black"/>
              </w:rPr>
            </w:pPr>
            <w:r>
              <w:rPr>
                <w:noProof/>
                <w:highlight w:val="black"/>
              </w:rPr>
              <w:t>''''''''''</w:t>
            </w:r>
          </w:p>
        </w:tc>
        <w:tc>
          <w:tcPr>
            <w:tcW w:w="1083" w:type="pct"/>
            <w:vAlign w:val="bottom"/>
          </w:tcPr>
          <w:p w:rsidR="0091076E" w:rsidRPr="0093627C" w:rsidRDefault="0093627C" w:rsidP="00FF7F90">
            <w:pPr>
              <w:pStyle w:val="Tablewriting"/>
              <w:jc w:val="center"/>
              <w:rPr>
                <w:color w:val="7030A0"/>
                <w:highlight w:val="black"/>
              </w:rPr>
            </w:pPr>
            <w:r>
              <w:rPr>
                <w:noProof/>
                <w:highlight w:val="black"/>
              </w:rPr>
              <w:t>''''''''''</w:t>
            </w:r>
          </w:p>
        </w:tc>
        <w:tc>
          <w:tcPr>
            <w:tcW w:w="1111" w:type="pct"/>
            <w:vAlign w:val="bottom"/>
          </w:tcPr>
          <w:p w:rsidR="0091076E" w:rsidRPr="00C335B7" w:rsidRDefault="0091076E" w:rsidP="00FF7F90">
            <w:pPr>
              <w:pStyle w:val="Tablewriting"/>
              <w:jc w:val="center"/>
              <w:rPr>
                <w:color w:val="7030A0"/>
              </w:rPr>
            </w:pPr>
            <w:r w:rsidRPr="00C335B7">
              <w:rPr>
                <w:color w:val="7030A0"/>
              </w:rPr>
              <w:t>-</w:t>
            </w:r>
          </w:p>
        </w:tc>
      </w:tr>
      <w:tr w:rsidR="0091076E" w:rsidRPr="00AB415B" w:rsidTr="00071F03">
        <w:trPr>
          <w:trHeight w:val="296"/>
        </w:trPr>
        <w:tc>
          <w:tcPr>
            <w:tcW w:w="586" w:type="pct"/>
          </w:tcPr>
          <w:p w:rsidR="0091076E" w:rsidRDefault="0091076E" w:rsidP="00FF7F90">
            <w:pPr>
              <w:pStyle w:val="Tableheading"/>
              <w:jc w:val="left"/>
              <w:rPr>
                <w:b w:val="0"/>
                <w:szCs w:val="20"/>
              </w:rPr>
            </w:pPr>
            <w:r>
              <w:rPr>
                <w:b w:val="0"/>
                <w:szCs w:val="20"/>
              </w:rPr>
              <w:t>Actual</w:t>
            </w:r>
          </w:p>
        </w:tc>
        <w:tc>
          <w:tcPr>
            <w:tcW w:w="1110" w:type="pct"/>
            <w:vAlign w:val="bottom"/>
          </w:tcPr>
          <w:p w:rsidR="0091076E" w:rsidRPr="00AB415B" w:rsidRDefault="0091076E" w:rsidP="00FF7F90">
            <w:pPr>
              <w:pStyle w:val="Tablewriting"/>
              <w:jc w:val="center"/>
            </w:pPr>
            <w:r w:rsidRPr="00EE7257">
              <w:rPr>
                <w:rFonts w:ascii="Calibri" w:hAnsi="Calibri"/>
              </w:rPr>
              <w:t>6,612</w:t>
            </w:r>
          </w:p>
        </w:tc>
        <w:tc>
          <w:tcPr>
            <w:tcW w:w="1110" w:type="pct"/>
            <w:vAlign w:val="bottom"/>
          </w:tcPr>
          <w:p w:rsidR="0091076E" w:rsidRPr="00AB415B" w:rsidRDefault="0091076E" w:rsidP="00FF7F90">
            <w:pPr>
              <w:pStyle w:val="Tablewriting"/>
              <w:jc w:val="center"/>
            </w:pPr>
            <w:r w:rsidRPr="00EE7257">
              <w:rPr>
                <w:rFonts w:ascii="Calibri" w:hAnsi="Calibri"/>
              </w:rPr>
              <w:t>9,443</w:t>
            </w:r>
          </w:p>
        </w:tc>
        <w:tc>
          <w:tcPr>
            <w:tcW w:w="1083" w:type="pct"/>
            <w:vAlign w:val="bottom"/>
          </w:tcPr>
          <w:p w:rsidR="0091076E" w:rsidRPr="00AB415B" w:rsidRDefault="0091076E" w:rsidP="00FF7F90">
            <w:pPr>
              <w:pStyle w:val="Tablewriting"/>
              <w:jc w:val="center"/>
            </w:pPr>
            <w:r w:rsidRPr="00EE7257">
              <w:rPr>
                <w:rFonts w:ascii="Calibri" w:hAnsi="Calibri"/>
              </w:rPr>
              <w:t>12,900</w:t>
            </w:r>
          </w:p>
        </w:tc>
        <w:tc>
          <w:tcPr>
            <w:tcW w:w="1111" w:type="pct"/>
            <w:vAlign w:val="bottom"/>
          </w:tcPr>
          <w:p w:rsidR="0091076E" w:rsidRPr="00AB415B" w:rsidRDefault="0091076E" w:rsidP="00FF7F90">
            <w:pPr>
              <w:pStyle w:val="Tablewriting"/>
              <w:jc w:val="center"/>
            </w:pPr>
            <w:r>
              <w:t>-</w:t>
            </w:r>
          </w:p>
        </w:tc>
      </w:tr>
      <w:tr w:rsidR="0091076E" w:rsidRPr="00C335B7" w:rsidTr="00071F03">
        <w:trPr>
          <w:trHeight w:val="296"/>
        </w:trPr>
        <w:tc>
          <w:tcPr>
            <w:tcW w:w="586" w:type="pct"/>
          </w:tcPr>
          <w:p w:rsidR="0091076E" w:rsidRDefault="0091076E" w:rsidP="00FF7F90">
            <w:pPr>
              <w:pStyle w:val="Tableheading"/>
              <w:jc w:val="left"/>
              <w:rPr>
                <w:b w:val="0"/>
                <w:szCs w:val="20"/>
              </w:rPr>
            </w:pPr>
            <w:r>
              <w:rPr>
                <w:b w:val="0"/>
                <w:szCs w:val="20"/>
              </w:rPr>
              <w:t>Difference</w:t>
            </w:r>
          </w:p>
        </w:tc>
        <w:tc>
          <w:tcPr>
            <w:tcW w:w="1110" w:type="pct"/>
            <w:vAlign w:val="bottom"/>
          </w:tcPr>
          <w:p w:rsidR="0091076E" w:rsidRPr="0093627C" w:rsidRDefault="0093627C" w:rsidP="00FF7F90">
            <w:pPr>
              <w:pStyle w:val="Tablewriting"/>
              <w:jc w:val="center"/>
              <w:rPr>
                <w:color w:val="7030A0"/>
                <w:highlight w:val="black"/>
              </w:rPr>
            </w:pPr>
            <w:r>
              <w:rPr>
                <w:rFonts w:ascii="Calibri" w:hAnsi="Calibri"/>
                <w:noProof/>
                <w:highlight w:val="black"/>
              </w:rPr>
              <w:t>''''''''</w:t>
            </w:r>
          </w:p>
        </w:tc>
        <w:tc>
          <w:tcPr>
            <w:tcW w:w="1110" w:type="pct"/>
            <w:vAlign w:val="bottom"/>
          </w:tcPr>
          <w:p w:rsidR="0091076E" w:rsidRPr="0093627C" w:rsidRDefault="0093627C" w:rsidP="00FF7F90">
            <w:pPr>
              <w:pStyle w:val="Tablewriting"/>
              <w:jc w:val="center"/>
              <w:rPr>
                <w:color w:val="7030A0"/>
                <w:highlight w:val="black"/>
              </w:rPr>
            </w:pPr>
            <w:r>
              <w:rPr>
                <w:rFonts w:ascii="Calibri" w:hAnsi="Calibri"/>
                <w:noProof/>
                <w:highlight w:val="black"/>
              </w:rPr>
              <w:t>'''''''''</w:t>
            </w:r>
          </w:p>
        </w:tc>
        <w:tc>
          <w:tcPr>
            <w:tcW w:w="1083" w:type="pct"/>
            <w:vAlign w:val="bottom"/>
          </w:tcPr>
          <w:p w:rsidR="0091076E" w:rsidRPr="0093627C" w:rsidRDefault="0093627C" w:rsidP="00FF7F90">
            <w:pPr>
              <w:pStyle w:val="Tablewriting"/>
              <w:jc w:val="center"/>
              <w:rPr>
                <w:color w:val="7030A0"/>
                <w:highlight w:val="black"/>
              </w:rPr>
            </w:pPr>
            <w:r>
              <w:rPr>
                <w:rFonts w:ascii="Calibri" w:hAnsi="Calibri"/>
                <w:noProof/>
                <w:highlight w:val="black"/>
              </w:rPr>
              <w:t>'''''''''</w:t>
            </w:r>
          </w:p>
        </w:tc>
        <w:tc>
          <w:tcPr>
            <w:tcW w:w="1111" w:type="pct"/>
            <w:vAlign w:val="bottom"/>
          </w:tcPr>
          <w:p w:rsidR="0091076E" w:rsidRPr="00C335B7" w:rsidRDefault="0091076E" w:rsidP="00FF7F90">
            <w:pPr>
              <w:pStyle w:val="Tablewriting"/>
              <w:jc w:val="center"/>
              <w:rPr>
                <w:color w:val="7030A0"/>
              </w:rPr>
            </w:pPr>
            <w:r w:rsidRPr="00C335B7">
              <w:rPr>
                <w:color w:val="7030A0"/>
              </w:rPr>
              <w:t>-</w:t>
            </w:r>
          </w:p>
        </w:tc>
      </w:tr>
    </w:tbl>
    <w:p w:rsidR="001555AB" w:rsidRDefault="0091076E" w:rsidP="0091076E">
      <w:pPr>
        <w:pStyle w:val="Figurecaption"/>
      </w:pPr>
      <w:r>
        <w:t xml:space="preserve">Source: Infliximab fistulising Crohn’s disease estimates, March 2010 submission to PBAC (predicted); DUSC HSD database, extracted November 2014; DHS Authority approval database, extracted November 2014. </w:t>
      </w:r>
    </w:p>
    <w:p w:rsidR="0091076E" w:rsidRPr="001555AB" w:rsidRDefault="0091076E" w:rsidP="001555AB">
      <w:pPr>
        <w:pStyle w:val="Tabletitle"/>
      </w:pPr>
      <w:r>
        <w:t xml:space="preserve">Table 22: Infliximab </w:t>
      </w:r>
      <w:r w:rsidRPr="00C51B09">
        <w:t>predicted versus actual</w:t>
      </w:r>
      <w:r>
        <w:t xml:space="preserve"> R/PBS expenditure</w:t>
      </w:r>
      <w:r w:rsidRPr="00C51B09">
        <w:t xml:space="preserve"> – fistulising </w:t>
      </w:r>
      <w:r>
        <w:t>C</w:t>
      </w:r>
      <w:r w:rsidRPr="00C51B09">
        <w:t>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 1 throught to 4"/>
      </w:tblPr>
      <w:tblGrid>
        <w:gridCol w:w="1065"/>
        <w:gridCol w:w="2011"/>
        <w:gridCol w:w="2012"/>
        <w:gridCol w:w="1963"/>
        <w:gridCol w:w="2014"/>
      </w:tblGrid>
      <w:tr w:rsidR="0091076E" w:rsidRPr="001D0858" w:rsidTr="00071F03">
        <w:trPr>
          <w:trHeight w:val="249"/>
          <w:tblHeader/>
        </w:trPr>
        <w:tc>
          <w:tcPr>
            <w:tcW w:w="586" w:type="pct"/>
            <w:shd w:val="clear" w:color="auto" w:fill="BFBFBF" w:themeFill="background1" w:themeFillShade="BF"/>
          </w:tcPr>
          <w:p w:rsidR="0091076E" w:rsidRPr="001D0858" w:rsidRDefault="0091076E" w:rsidP="00FF7F90">
            <w:pPr>
              <w:pStyle w:val="Tableheading"/>
              <w:rPr>
                <w:szCs w:val="20"/>
              </w:rPr>
            </w:pPr>
          </w:p>
        </w:tc>
        <w:tc>
          <w:tcPr>
            <w:tcW w:w="1110" w:type="pct"/>
            <w:shd w:val="clear" w:color="auto" w:fill="BFBFBF" w:themeFill="background1" w:themeFillShade="BF"/>
          </w:tcPr>
          <w:p w:rsidR="0091076E" w:rsidRDefault="0091076E" w:rsidP="00FF7F90">
            <w:pPr>
              <w:pStyle w:val="Tableheading"/>
              <w:rPr>
                <w:szCs w:val="20"/>
              </w:rPr>
            </w:pPr>
            <w:r>
              <w:rPr>
                <w:szCs w:val="20"/>
              </w:rPr>
              <w:t>Year1</w:t>
            </w:r>
          </w:p>
          <w:p w:rsidR="0091076E" w:rsidRPr="001D0858" w:rsidRDefault="0091076E" w:rsidP="00FF7F90">
            <w:pPr>
              <w:pStyle w:val="Tableheading"/>
              <w:rPr>
                <w:szCs w:val="20"/>
              </w:rPr>
            </w:pPr>
            <w:r>
              <w:rPr>
                <w:szCs w:val="20"/>
              </w:rPr>
              <w:t>(2010 Q4 -2011 Q3)</w:t>
            </w:r>
          </w:p>
        </w:tc>
        <w:tc>
          <w:tcPr>
            <w:tcW w:w="1110" w:type="pct"/>
            <w:shd w:val="clear" w:color="auto" w:fill="BFBFBF" w:themeFill="background1" w:themeFillShade="BF"/>
          </w:tcPr>
          <w:p w:rsidR="0091076E" w:rsidRDefault="0091076E" w:rsidP="00FF7F90">
            <w:pPr>
              <w:pStyle w:val="Tableheading"/>
              <w:rPr>
                <w:szCs w:val="20"/>
              </w:rPr>
            </w:pPr>
            <w:r>
              <w:rPr>
                <w:szCs w:val="20"/>
              </w:rPr>
              <w:t>Year 2</w:t>
            </w:r>
          </w:p>
          <w:p w:rsidR="0091076E" w:rsidRPr="001D0858" w:rsidRDefault="0091076E" w:rsidP="00FF7F90">
            <w:pPr>
              <w:pStyle w:val="Tableheading"/>
              <w:rPr>
                <w:szCs w:val="20"/>
              </w:rPr>
            </w:pPr>
            <w:r w:rsidRPr="00C335B7">
              <w:rPr>
                <w:szCs w:val="20"/>
              </w:rPr>
              <w:t>(201</w:t>
            </w:r>
            <w:r>
              <w:rPr>
                <w:szCs w:val="20"/>
              </w:rPr>
              <w:t>1</w:t>
            </w:r>
            <w:r w:rsidRPr="00C335B7">
              <w:rPr>
                <w:szCs w:val="20"/>
              </w:rPr>
              <w:t xml:space="preserve"> Q4 -201</w:t>
            </w:r>
            <w:r>
              <w:rPr>
                <w:szCs w:val="20"/>
              </w:rPr>
              <w:t>2</w:t>
            </w:r>
            <w:r w:rsidRPr="00C335B7">
              <w:rPr>
                <w:szCs w:val="20"/>
              </w:rPr>
              <w:t xml:space="preserve"> Q3)</w:t>
            </w:r>
          </w:p>
        </w:tc>
        <w:tc>
          <w:tcPr>
            <w:tcW w:w="1083" w:type="pct"/>
            <w:shd w:val="clear" w:color="auto" w:fill="BFBFBF" w:themeFill="background1" w:themeFillShade="BF"/>
          </w:tcPr>
          <w:p w:rsidR="0091076E" w:rsidRDefault="0091076E" w:rsidP="00FF7F90">
            <w:pPr>
              <w:pStyle w:val="Tableheading"/>
              <w:rPr>
                <w:szCs w:val="20"/>
              </w:rPr>
            </w:pPr>
            <w:r>
              <w:rPr>
                <w:szCs w:val="20"/>
              </w:rPr>
              <w:t>Year 3</w:t>
            </w:r>
          </w:p>
          <w:p w:rsidR="0091076E" w:rsidRPr="001D0858" w:rsidRDefault="0091076E" w:rsidP="00FF7F90">
            <w:pPr>
              <w:pStyle w:val="Tableheading"/>
              <w:rPr>
                <w:szCs w:val="20"/>
              </w:rPr>
            </w:pPr>
            <w:r w:rsidRPr="00C335B7">
              <w:rPr>
                <w:szCs w:val="20"/>
              </w:rPr>
              <w:t>(201</w:t>
            </w:r>
            <w:r>
              <w:rPr>
                <w:szCs w:val="20"/>
              </w:rPr>
              <w:t>2</w:t>
            </w:r>
            <w:r w:rsidRPr="00C335B7">
              <w:rPr>
                <w:szCs w:val="20"/>
              </w:rPr>
              <w:t xml:space="preserve"> Q4 -201</w:t>
            </w:r>
            <w:r>
              <w:rPr>
                <w:szCs w:val="20"/>
              </w:rPr>
              <w:t xml:space="preserve">3 </w:t>
            </w:r>
            <w:r w:rsidRPr="00C335B7">
              <w:rPr>
                <w:szCs w:val="20"/>
              </w:rPr>
              <w:t>Q3)</w:t>
            </w:r>
          </w:p>
        </w:tc>
        <w:tc>
          <w:tcPr>
            <w:tcW w:w="1111" w:type="pct"/>
            <w:shd w:val="clear" w:color="auto" w:fill="BFBFBF" w:themeFill="background1" w:themeFillShade="BF"/>
          </w:tcPr>
          <w:p w:rsidR="0091076E" w:rsidRDefault="0091076E" w:rsidP="00FF7F90">
            <w:pPr>
              <w:pStyle w:val="Tableheading"/>
              <w:rPr>
                <w:szCs w:val="20"/>
              </w:rPr>
            </w:pPr>
            <w:r>
              <w:rPr>
                <w:szCs w:val="20"/>
              </w:rPr>
              <w:t>Year 4</w:t>
            </w:r>
          </w:p>
          <w:p w:rsidR="0091076E" w:rsidRPr="001D0858" w:rsidRDefault="0091076E" w:rsidP="00FF7F90">
            <w:pPr>
              <w:pStyle w:val="Tableheading"/>
              <w:rPr>
                <w:szCs w:val="20"/>
              </w:rPr>
            </w:pPr>
            <w:r w:rsidRPr="00C335B7">
              <w:rPr>
                <w:szCs w:val="20"/>
              </w:rPr>
              <w:t>(201</w:t>
            </w:r>
            <w:r>
              <w:rPr>
                <w:szCs w:val="20"/>
              </w:rPr>
              <w:t>3</w:t>
            </w:r>
            <w:r w:rsidRPr="00C335B7">
              <w:rPr>
                <w:szCs w:val="20"/>
              </w:rPr>
              <w:t xml:space="preserve"> Q4 -201</w:t>
            </w:r>
            <w:r>
              <w:rPr>
                <w:szCs w:val="20"/>
              </w:rPr>
              <w:t>4</w:t>
            </w:r>
            <w:r w:rsidRPr="00C335B7">
              <w:rPr>
                <w:szCs w:val="20"/>
              </w:rPr>
              <w:t xml:space="preserve"> Q3)</w:t>
            </w:r>
          </w:p>
        </w:tc>
      </w:tr>
      <w:tr w:rsidR="0091076E" w:rsidRPr="00C335B7" w:rsidTr="00071F03">
        <w:trPr>
          <w:trHeight w:val="296"/>
        </w:trPr>
        <w:tc>
          <w:tcPr>
            <w:tcW w:w="586" w:type="pct"/>
          </w:tcPr>
          <w:p w:rsidR="0091076E" w:rsidRDefault="0091076E" w:rsidP="00FF7F90">
            <w:pPr>
              <w:pStyle w:val="Tableheading"/>
              <w:jc w:val="left"/>
              <w:rPr>
                <w:b w:val="0"/>
                <w:szCs w:val="20"/>
              </w:rPr>
            </w:pPr>
            <w:r>
              <w:rPr>
                <w:b w:val="0"/>
                <w:szCs w:val="20"/>
              </w:rPr>
              <w:t>Predicted</w:t>
            </w:r>
          </w:p>
        </w:tc>
        <w:tc>
          <w:tcPr>
            <w:tcW w:w="1110" w:type="pct"/>
            <w:vAlign w:val="bottom"/>
          </w:tcPr>
          <w:p w:rsidR="0091076E" w:rsidRPr="0093627C" w:rsidRDefault="0093627C" w:rsidP="00FF7F90">
            <w:pPr>
              <w:pStyle w:val="Tablewriting"/>
              <w:jc w:val="center"/>
              <w:rPr>
                <w:color w:val="7030A0"/>
                <w:highlight w:val="black"/>
              </w:rPr>
            </w:pPr>
            <w:r>
              <w:rPr>
                <w:noProof/>
                <w:highlight w:val="black"/>
              </w:rPr>
              <w:t>''''''''''''''''''''''</w:t>
            </w:r>
          </w:p>
        </w:tc>
        <w:tc>
          <w:tcPr>
            <w:tcW w:w="1110" w:type="pct"/>
            <w:vAlign w:val="bottom"/>
          </w:tcPr>
          <w:p w:rsidR="0091076E" w:rsidRPr="0093627C" w:rsidRDefault="0093627C" w:rsidP="00FF7F90">
            <w:pPr>
              <w:pStyle w:val="Tablewriting"/>
              <w:jc w:val="center"/>
              <w:rPr>
                <w:color w:val="7030A0"/>
                <w:highlight w:val="black"/>
              </w:rPr>
            </w:pPr>
            <w:r>
              <w:rPr>
                <w:noProof/>
                <w:highlight w:val="black"/>
              </w:rPr>
              <w:t>'''''''''''''''''''''</w:t>
            </w:r>
          </w:p>
        </w:tc>
        <w:tc>
          <w:tcPr>
            <w:tcW w:w="1083" w:type="pct"/>
            <w:vAlign w:val="bottom"/>
          </w:tcPr>
          <w:p w:rsidR="0091076E" w:rsidRPr="0093627C" w:rsidRDefault="0093627C" w:rsidP="00FF7F90">
            <w:pPr>
              <w:pStyle w:val="Tablewriting"/>
              <w:jc w:val="center"/>
              <w:rPr>
                <w:color w:val="7030A0"/>
                <w:highlight w:val="black"/>
              </w:rPr>
            </w:pPr>
            <w:r>
              <w:rPr>
                <w:noProof/>
                <w:highlight w:val="black"/>
              </w:rPr>
              <w:t>'''''''''''''''''''</w:t>
            </w:r>
          </w:p>
        </w:tc>
        <w:tc>
          <w:tcPr>
            <w:tcW w:w="1111" w:type="pct"/>
            <w:vAlign w:val="center"/>
          </w:tcPr>
          <w:p w:rsidR="0091076E" w:rsidRPr="00C335B7" w:rsidRDefault="0091076E" w:rsidP="00FF7F90">
            <w:pPr>
              <w:pStyle w:val="Tablewriting"/>
              <w:jc w:val="center"/>
              <w:rPr>
                <w:color w:val="7030A0"/>
              </w:rPr>
            </w:pPr>
            <w:r w:rsidRPr="00C335B7">
              <w:rPr>
                <w:color w:val="7030A0"/>
              </w:rPr>
              <w:t>-</w:t>
            </w:r>
          </w:p>
        </w:tc>
      </w:tr>
      <w:tr w:rsidR="0091076E" w:rsidRPr="00AB415B" w:rsidTr="00071F03">
        <w:trPr>
          <w:trHeight w:val="296"/>
        </w:trPr>
        <w:tc>
          <w:tcPr>
            <w:tcW w:w="586" w:type="pct"/>
          </w:tcPr>
          <w:p w:rsidR="0091076E" w:rsidRDefault="0091076E" w:rsidP="00FF7F90">
            <w:pPr>
              <w:pStyle w:val="Tableheading"/>
              <w:jc w:val="left"/>
              <w:rPr>
                <w:b w:val="0"/>
                <w:szCs w:val="20"/>
              </w:rPr>
            </w:pPr>
            <w:r>
              <w:rPr>
                <w:b w:val="0"/>
                <w:szCs w:val="20"/>
              </w:rPr>
              <w:t>Actual</w:t>
            </w:r>
          </w:p>
        </w:tc>
        <w:tc>
          <w:tcPr>
            <w:tcW w:w="1110" w:type="pct"/>
            <w:vAlign w:val="bottom"/>
          </w:tcPr>
          <w:p w:rsidR="0091076E" w:rsidRPr="00AB415B" w:rsidRDefault="0091076E" w:rsidP="00FF7F90">
            <w:pPr>
              <w:pStyle w:val="Tablewriting"/>
              <w:jc w:val="center"/>
            </w:pPr>
            <w:r>
              <w:rPr>
                <w:rFonts w:ascii="Calibri" w:hAnsi="Calibri"/>
              </w:rPr>
              <w:t>$5,012,446</w:t>
            </w:r>
          </w:p>
        </w:tc>
        <w:tc>
          <w:tcPr>
            <w:tcW w:w="1110" w:type="pct"/>
            <w:vAlign w:val="bottom"/>
          </w:tcPr>
          <w:p w:rsidR="0091076E" w:rsidRPr="00AB415B" w:rsidRDefault="0091076E" w:rsidP="00FF7F90">
            <w:pPr>
              <w:pStyle w:val="Tablewriting"/>
              <w:jc w:val="center"/>
            </w:pPr>
            <w:r>
              <w:rPr>
                <w:rFonts w:ascii="Calibri" w:hAnsi="Calibri"/>
              </w:rPr>
              <w:t>$7,143,215</w:t>
            </w:r>
          </w:p>
        </w:tc>
        <w:tc>
          <w:tcPr>
            <w:tcW w:w="1083" w:type="pct"/>
            <w:vAlign w:val="bottom"/>
          </w:tcPr>
          <w:p w:rsidR="0091076E" w:rsidRPr="00AB415B" w:rsidRDefault="0091076E" w:rsidP="00FF7F90">
            <w:pPr>
              <w:pStyle w:val="Tablewriting"/>
              <w:jc w:val="center"/>
            </w:pPr>
            <w:r>
              <w:rPr>
                <w:rFonts w:ascii="Calibri" w:hAnsi="Calibri"/>
              </w:rPr>
              <w:t>$9,768,641</w:t>
            </w:r>
          </w:p>
        </w:tc>
        <w:tc>
          <w:tcPr>
            <w:tcW w:w="1111" w:type="pct"/>
            <w:vAlign w:val="center"/>
          </w:tcPr>
          <w:p w:rsidR="0091076E" w:rsidRPr="00AB415B" w:rsidRDefault="0091076E" w:rsidP="00FF7F90">
            <w:pPr>
              <w:pStyle w:val="Tablewriting"/>
              <w:jc w:val="center"/>
            </w:pPr>
            <w:r>
              <w:t>-</w:t>
            </w:r>
          </w:p>
        </w:tc>
      </w:tr>
      <w:tr w:rsidR="0091076E" w:rsidRPr="00C335B7" w:rsidTr="00071F03">
        <w:trPr>
          <w:trHeight w:val="296"/>
        </w:trPr>
        <w:tc>
          <w:tcPr>
            <w:tcW w:w="586" w:type="pct"/>
          </w:tcPr>
          <w:p w:rsidR="0091076E" w:rsidRDefault="0091076E" w:rsidP="00FF7F90">
            <w:pPr>
              <w:pStyle w:val="Tableheading"/>
              <w:jc w:val="left"/>
              <w:rPr>
                <w:b w:val="0"/>
                <w:szCs w:val="20"/>
              </w:rPr>
            </w:pPr>
            <w:r>
              <w:rPr>
                <w:b w:val="0"/>
                <w:szCs w:val="20"/>
              </w:rPr>
              <w:t>Difference</w:t>
            </w:r>
          </w:p>
        </w:tc>
        <w:tc>
          <w:tcPr>
            <w:tcW w:w="1110" w:type="pct"/>
            <w:vAlign w:val="bottom"/>
          </w:tcPr>
          <w:p w:rsidR="0091076E" w:rsidRPr="0093627C" w:rsidRDefault="0093627C" w:rsidP="00FF7F90">
            <w:pPr>
              <w:pStyle w:val="Tablewriting"/>
              <w:jc w:val="center"/>
              <w:rPr>
                <w:color w:val="7030A0"/>
                <w:highlight w:val="black"/>
              </w:rPr>
            </w:pPr>
            <w:r>
              <w:rPr>
                <w:rFonts w:ascii="Calibri" w:hAnsi="Calibri"/>
                <w:noProof/>
                <w:highlight w:val="black"/>
              </w:rPr>
              <w:t>''''''''</w:t>
            </w:r>
          </w:p>
        </w:tc>
        <w:tc>
          <w:tcPr>
            <w:tcW w:w="1110" w:type="pct"/>
            <w:vAlign w:val="bottom"/>
          </w:tcPr>
          <w:p w:rsidR="0091076E" w:rsidRPr="0093627C" w:rsidRDefault="0093627C" w:rsidP="00FF7F90">
            <w:pPr>
              <w:pStyle w:val="Tablewriting"/>
              <w:jc w:val="center"/>
              <w:rPr>
                <w:color w:val="7030A0"/>
                <w:highlight w:val="black"/>
              </w:rPr>
            </w:pPr>
            <w:r>
              <w:rPr>
                <w:rFonts w:ascii="Calibri" w:hAnsi="Calibri"/>
                <w:noProof/>
                <w:highlight w:val="black"/>
              </w:rPr>
              <w:t>''''''''</w:t>
            </w:r>
          </w:p>
        </w:tc>
        <w:tc>
          <w:tcPr>
            <w:tcW w:w="1083" w:type="pct"/>
            <w:vAlign w:val="bottom"/>
          </w:tcPr>
          <w:p w:rsidR="0091076E" w:rsidRPr="0093627C" w:rsidRDefault="0093627C" w:rsidP="00FF7F90">
            <w:pPr>
              <w:pStyle w:val="Tablewriting"/>
              <w:jc w:val="center"/>
              <w:rPr>
                <w:color w:val="7030A0"/>
                <w:highlight w:val="black"/>
              </w:rPr>
            </w:pPr>
            <w:r>
              <w:rPr>
                <w:rFonts w:ascii="Calibri" w:hAnsi="Calibri"/>
                <w:noProof/>
                <w:highlight w:val="black"/>
              </w:rPr>
              <w:t>''''''''</w:t>
            </w:r>
          </w:p>
        </w:tc>
        <w:tc>
          <w:tcPr>
            <w:tcW w:w="1111" w:type="pct"/>
            <w:vAlign w:val="center"/>
          </w:tcPr>
          <w:p w:rsidR="0091076E" w:rsidRPr="00C335B7" w:rsidRDefault="0091076E" w:rsidP="00FF7F90">
            <w:pPr>
              <w:pStyle w:val="Tablewriting"/>
              <w:jc w:val="center"/>
              <w:rPr>
                <w:color w:val="7030A0"/>
              </w:rPr>
            </w:pPr>
            <w:r w:rsidRPr="00C335B7">
              <w:rPr>
                <w:color w:val="7030A0"/>
              </w:rPr>
              <w:t>-</w:t>
            </w:r>
          </w:p>
        </w:tc>
      </w:tr>
    </w:tbl>
    <w:p w:rsidR="0091076E" w:rsidRDefault="0091076E" w:rsidP="0091076E">
      <w:pPr>
        <w:pStyle w:val="Figurecaption"/>
      </w:pPr>
      <w:r>
        <w:t xml:space="preserve">Source: Infliximab fistulising Crohn’s disease estimates, March 2010 submission to PBAC (predicted); DUSC HSD database, extracted November 2014; DHS Authority approval database, extracted November 2014. </w:t>
      </w:r>
    </w:p>
    <w:p w:rsidR="0002334C" w:rsidRPr="00F229B3" w:rsidRDefault="0002334C" w:rsidP="0002334C">
      <w:r w:rsidRPr="00F229B3">
        <w:t xml:space="preserve">Infliximab expenditure and vials supplied for fistulising Crohn’s disease has consistently been higher than predicted. Infliximab patient numbers are consistently higher than predicted by a higher margin than vials and expenditure. This may be due to the estimates not being corrected for patients starting treatment later in the year. </w:t>
      </w:r>
    </w:p>
    <w:p w:rsidR="004D27FA" w:rsidRDefault="0002334C" w:rsidP="0002334C">
      <w:r w:rsidRPr="00081995">
        <w:t>Table</w:t>
      </w:r>
      <w:r w:rsidR="00125C12">
        <w:t>s</w:t>
      </w:r>
      <w:r w:rsidRPr="00081995">
        <w:t xml:space="preserve"> </w:t>
      </w:r>
      <w:r w:rsidR="00125C12">
        <w:t>23 - 25</w:t>
      </w:r>
      <w:r>
        <w:t xml:space="preserve"> </w:t>
      </w:r>
      <w:r w:rsidRPr="00081995">
        <w:t xml:space="preserve">present the predicted and actual utilisation of </w:t>
      </w:r>
      <w:r>
        <w:t>infliximab</w:t>
      </w:r>
      <w:r w:rsidRPr="00081995">
        <w:t xml:space="preserve"> for </w:t>
      </w:r>
      <w:r>
        <w:t>paediatric</w:t>
      </w:r>
      <w:r w:rsidRPr="00081995">
        <w:t xml:space="preserve"> </w:t>
      </w:r>
      <w:r>
        <w:t>C</w:t>
      </w:r>
      <w:r w:rsidRPr="00081995">
        <w:t>rohn’s disease.</w:t>
      </w:r>
    </w:p>
    <w:p w:rsidR="004D27FA" w:rsidRDefault="004D27FA">
      <w:pPr>
        <w:spacing w:line="276" w:lineRule="auto"/>
      </w:pPr>
      <w:r>
        <w:br w:type="page"/>
      </w:r>
    </w:p>
    <w:p w:rsidR="0002334C" w:rsidRDefault="00125C12" w:rsidP="0002334C">
      <w:pPr>
        <w:pStyle w:val="Tabletitle"/>
      </w:pPr>
      <w:r>
        <w:lastRenderedPageBreak/>
        <w:t>Table 23</w:t>
      </w:r>
      <w:r w:rsidR="0002334C">
        <w:t xml:space="preserve">: Predicted versus actual analysis of </w:t>
      </w:r>
      <w:r w:rsidR="00202328">
        <w:t xml:space="preserve">patient numbers of </w:t>
      </w:r>
      <w:r w:rsidR="0002334C">
        <w:t>infliximab for paediatric Crohn’s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 1 throught to 6"/>
      </w:tblPr>
      <w:tblGrid>
        <w:gridCol w:w="1101"/>
        <w:gridCol w:w="1328"/>
        <w:gridCol w:w="1328"/>
        <w:gridCol w:w="1328"/>
        <w:gridCol w:w="1328"/>
        <w:gridCol w:w="1327"/>
        <w:gridCol w:w="1325"/>
      </w:tblGrid>
      <w:tr w:rsidR="0002334C" w:rsidRPr="001D0858" w:rsidTr="00071F03">
        <w:trPr>
          <w:trHeight w:val="249"/>
          <w:tblHeader/>
        </w:trPr>
        <w:tc>
          <w:tcPr>
            <w:tcW w:w="607" w:type="pct"/>
            <w:shd w:val="clear" w:color="auto" w:fill="BFBFBF" w:themeFill="background1" w:themeFillShade="BF"/>
          </w:tcPr>
          <w:p w:rsidR="0002334C" w:rsidRPr="001D0858" w:rsidRDefault="0002334C" w:rsidP="005C4223">
            <w:pPr>
              <w:pStyle w:val="Tableheading"/>
              <w:rPr>
                <w:szCs w:val="20"/>
              </w:rPr>
            </w:pPr>
          </w:p>
        </w:tc>
        <w:tc>
          <w:tcPr>
            <w:tcW w:w="732" w:type="pct"/>
            <w:shd w:val="clear" w:color="auto" w:fill="BFBFBF" w:themeFill="background1" w:themeFillShade="BF"/>
          </w:tcPr>
          <w:p w:rsidR="0002334C" w:rsidRDefault="0002334C" w:rsidP="005C4223">
            <w:pPr>
              <w:pStyle w:val="Tableheading"/>
              <w:rPr>
                <w:szCs w:val="20"/>
              </w:rPr>
            </w:pPr>
            <w:r>
              <w:rPr>
                <w:szCs w:val="20"/>
              </w:rPr>
              <w:t>Year1</w:t>
            </w:r>
          </w:p>
          <w:p w:rsidR="0002334C" w:rsidRPr="001D0858" w:rsidRDefault="0002334C" w:rsidP="005C4223">
            <w:pPr>
              <w:pStyle w:val="Tableheading"/>
              <w:rPr>
                <w:szCs w:val="20"/>
              </w:rPr>
            </w:pPr>
            <w:r>
              <w:rPr>
                <w:szCs w:val="20"/>
              </w:rPr>
              <w:t>(Oct07-Sep08)</w:t>
            </w:r>
          </w:p>
        </w:tc>
        <w:tc>
          <w:tcPr>
            <w:tcW w:w="732" w:type="pct"/>
            <w:shd w:val="clear" w:color="auto" w:fill="BFBFBF" w:themeFill="background1" w:themeFillShade="BF"/>
          </w:tcPr>
          <w:p w:rsidR="0002334C" w:rsidRDefault="0002334C" w:rsidP="005C4223">
            <w:pPr>
              <w:pStyle w:val="Tableheading"/>
              <w:rPr>
                <w:szCs w:val="20"/>
              </w:rPr>
            </w:pPr>
            <w:r>
              <w:rPr>
                <w:szCs w:val="20"/>
              </w:rPr>
              <w:t>Year 2</w:t>
            </w:r>
          </w:p>
          <w:p w:rsidR="0002334C" w:rsidRPr="001D0858" w:rsidRDefault="0002334C" w:rsidP="005C4223">
            <w:pPr>
              <w:pStyle w:val="Tableheading"/>
              <w:rPr>
                <w:szCs w:val="20"/>
              </w:rPr>
            </w:pPr>
            <w:r>
              <w:rPr>
                <w:szCs w:val="20"/>
              </w:rPr>
              <w:t>(Oct08-Sep09)</w:t>
            </w:r>
          </w:p>
        </w:tc>
        <w:tc>
          <w:tcPr>
            <w:tcW w:w="732" w:type="pct"/>
            <w:shd w:val="clear" w:color="auto" w:fill="BFBFBF" w:themeFill="background1" w:themeFillShade="BF"/>
          </w:tcPr>
          <w:p w:rsidR="0002334C" w:rsidRDefault="0002334C" w:rsidP="005C4223">
            <w:pPr>
              <w:pStyle w:val="Tableheading"/>
              <w:rPr>
                <w:szCs w:val="20"/>
              </w:rPr>
            </w:pPr>
            <w:r>
              <w:rPr>
                <w:szCs w:val="20"/>
              </w:rPr>
              <w:t>Year 3</w:t>
            </w:r>
          </w:p>
          <w:p w:rsidR="0002334C" w:rsidRPr="001D0858" w:rsidRDefault="0002334C" w:rsidP="005C4223">
            <w:pPr>
              <w:pStyle w:val="Tableheading"/>
              <w:rPr>
                <w:szCs w:val="20"/>
              </w:rPr>
            </w:pPr>
            <w:r>
              <w:rPr>
                <w:szCs w:val="20"/>
              </w:rPr>
              <w:t>(Oct09-Sep10)</w:t>
            </w:r>
          </w:p>
        </w:tc>
        <w:tc>
          <w:tcPr>
            <w:tcW w:w="732" w:type="pct"/>
            <w:shd w:val="clear" w:color="auto" w:fill="BFBFBF" w:themeFill="background1" w:themeFillShade="BF"/>
          </w:tcPr>
          <w:p w:rsidR="0002334C" w:rsidRDefault="0002334C" w:rsidP="005C4223">
            <w:pPr>
              <w:pStyle w:val="Tableheading"/>
              <w:rPr>
                <w:szCs w:val="20"/>
              </w:rPr>
            </w:pPr>
            <w:r>
              <w:rPr>
                <w:szCs w:val="20"/>
              </w:rPr>
              <w:t>Year 4</w:t>
            </w:r>
          </w:p>
          <w:p w:rsidR="0002334C" w:rsidRPr="001D0858" w:rsidRDefault="0002334C" w:rsidP="005C4223">
            <w:pPr>
              <w:pStyle w:val="Tableheading"/>
              <w:rPr>
                <w:szCs w:val="20"/>
              </w:rPr>
            </w:pPr>
            <w:r>
              <w:rPr>
                <w:szCs w:val="20"/>
              </w:rPr>
              <w:t>(Oct10-Sep11)</w:t>
            </w:r>
          </w:p>
        </w:tc>
        <w:tc>
          <w:tcPr>
            <w:tcW w:w="732" w:type="pct"/>
            <w:shd w:val="clear" w:color="auto" w:fill="BFBFBF" w:themeFill="background1" w:themeFillShade="BF"/>
          </w:tcPr>
          <w:p w:rsidR="0002334C" w:rsidRDefault="0002334C" w:rsidP="005C4223">
            <w:pPr>
              <w:pStyle w:val="Tableheading"/>
              <w:rPr>
                <w:szCs w:val="20"/>
              </w:rPr>
            </w:pPr>
            <w:r>
              <w:rPr>
                <w:szCs w:val="20"/>
              </w:rPr>
              <w:t>Year 5</w:t>
            </w:r>
          </w:p>
          <w:p w:rsidR="0002334C" w:rsidRPr="001D0858" w:rsidRDefault="0002334C" w:rsidP="005C4223">
            <w:pPr>
              <w:pStyle w:val="Tableheading"/>
              <w:rPr>
                <w:szCs w:val="20"/>
              </w:rPr>
            </w:pPr>
            <w:r>
              <w:rPr>
                <w:szCs w:val="20"/>
              </w:rPr>
              <w:t>(Oct11-Sep12)</w:t>
            </w:r>
          </w:p>
        </w:tc>
        <w:tc>
          <w:tcPr>
            <w:tcW w:w="731" w:type="pct"/>
            <w:shd w:val="clear" w:color="auto" w:fill="BFBFBF" w:themeFill="background1" w:themeFillShade="BF"/>
          </w:tcPr>
          <w:p w:rsidR="0002334C" w:rsidRDefault="0002334C" w:rsidP="005C4223">
            <w:pPr>
              <w:pStyle w:val="Tableheading"/>
              <w:rPr>
                <w:szCs w:val="20"/>
              </w:rPr>
            </w:pPr>
            <w:r>
              <w:rPr>
                <w:szCs w:val="20"/>
              </w:rPr>
              <w:t>Year 6</w:t>
            </w:r>
          </w:p>
          <w:p w:rsidR="0002334C" w:rsidRPr="001D0858" w:rsidRDefault="0002334C" w:rsidP="005C4223">
            <w:pPr>
              <w:pStyle w:val="Tableheading"/>
              <w:rPr>
                <w:szCs w:val="20"/>
              </w:rPr>
            </w:pPr>
            <w:r>
              <w:rPr>
                <w:szCs w:val="20"/>
              </w:rPr>
              <w:t>(Oct12-Sep13)</w:t>
            </w:r>
          </w:p>
        </w:tc>
      </w:tr>
      <w:tr w:rsidR="0002334C" w:rsidRPr="001D0858" w:rsidTr="00071F03">
        <w:trPr>
          <w:trHeight w:val="296"/>
        </w:trPr>
        <w:tc>
          <w:tcPr>
            <w:tcW w:w="607" w:type="pct"/>
          </w:tcPr>
          <w:p w:rsidR="0002334C" w:rsidRPr="001D0858" w:rsidRDefault="0002334C" w:rsidP="005C4223">
            <w:pPr>
              <w:pStyle w:val="Tableheading"/>
              <w:jc w:val="left"/>
              <w:rPr>
                <w:b w:val="0"/>
                <w:szCs w:val="20"/>
              </w:rPr>
            </w:pPr>
            <w:r>
              <w:rPr>
                <w:b w:val="0"/>
                <w:szCs w:val="20"/>
              </w:rPr>
              <w:t>Predicted</w:t>
            </w:r>
          </w:p>
        </w:tc>
        <w:tc>
          <w:tcPr>
            <w:tcW w:w="732" w:type="pct"/>
            <w:vAlign w:val="bottom"/>
          </w:tcPr>
          <w:p w:rsidR="0002334C" w:rsidRPr="0093627C" w:rsidRDefault="0093627C" w:rsidP="005C4223">
            <w:pPr>
              <w:pStyle w:val="Tablewriting"/>
              <w:jc w:val="center"/>
              <w:rPr>
                <w:b/>
                <w:color w:val="7030A0"/>
                <w:highlight w:val="black"/>
              </w:rPr>
            </w:pPr>
            <w:r>
              <w:rPr>
                <w:noProof/>
                <w:highlight w:val="black"/>
              </w:rPr>
              <w:t>''''''</w:t>
            </w:r>
          </w:p>
        </w:tc>
        <w:tc>
          <w:tcPr>
            <w:tcW w:w="732" w:type="pct"/>
            <w:vAlign w:val="bottom"/>
          </w:tcPr>
          <w:p w:rsidR="0002334C" w:rsidRPr="0093627C" w:rsidRDefault="0093627C" w:rsidP="005C4223">
            <w:pPr>
              <w:pStyle w:val="Tablewriting"/>
              <w:jc w:val="center"/>
              <w:rPr>
                <w:b/>
                <w:color w:val="7030A0"/>
                <w:highlight w:val="black"/>
              </w:rPr>
            </w:pPr>
            <w:r>
              <w:rPr>
                <w:noProof/>
                <w:highlight w:val="black"/>
              </w:rPr>
              <w:t>''''''</w:t>
            </w:r>
          </w:p>
        </w:tc>
        <w:tc>
          <w:tcPr>
            <w:tcW w:w="732" w:type="pct"/>
            <w:vAlign w:val="bottom"/>
          </w:tcPr>
          <w:p w:rsidR="0002334C" w:rsidRPr="0093627C" w:rsidRDefault="0093627C" w:rsidP="005C4223">
            <w:pPr>
              <w:pStyle w:val="Tablewriting"/>
              <w:jc w:val="center"/>
              <w:rPr>
                <w:b/>
                <w:color w:val="7030A0"/>
                <w:highlight w:val="black"/>
              </w:rPr>
            </w:pPr>
            <w:r>
              <w:rPr>
                <w:noProof/>
                <w:highlight w:val="black"/>
              </w:rPr>
              <w:t>'''''''</w:t>
            </w:r>
          </w:p>
        </w:tc>
        <w:tc>
          <w:tcPr>
            <w:tcW w:w="732" w:type="pct"/>
            <w:vAlign w:val="bottom"/>
          </w:tcPr>
          <w:p w:rsidR="0002334C" w:rsidRPr="0093627C" w:rsidRDefault="0093627C" w:rsidP="005C4223">
            <w:pPr>
              <w:pStyle w:val="Tablewriting"/>
              <w:jc w:val="center"/>
              <w:rPr>
                <w:b/>
                <w:color w:val="7030A0"/>
                <w:highlight w:val="black"/>
              </w:rPr>
            </w:pPr>
            <w:r>
              <w:rPr>
                <w:noProof/>
                <w:highlight w:val="black"/>
              </w:rPr>
              <w:t>'''''''</w:t>
            </w:r>
          </w:p>
        </w:tc>
        <w:tc>
          <w:tcPr>
            <w:tcW w:w="732" w:type="pct"/>
            <w:vAlign w:val="bottom"/>
          </w:tcPr>
          <w:p w:rsidR="0002334C" w:rsidRPr="0093627C" w:rsidRDefault="0093627C" w:rsidP="005C4223">
            <w:pPr>
              <w:pStyle w:val="Tablewriting"/>
              <w:jc w:val="center"/>
              <w:rPr>
                <w:b/>
                <w:color w:val="7030A0"/>
                <w:highlight w:val="black"/>
              </w:rPr>
            </w:pPr>
            <w:r>
              <w:rPr>
                <w:noProof/>
                <w:highlight w:val="black"/>
              </w:rPr>
              <w:t>''''''''</w:t>
            </w:r>
          </w:p>
        </w:tc>
        <w:tc>
          <w:tcPr>
            <w:tcW w:w="731" w:type="pct"/>
            <w:vAlign w:val="bottom"/>
          </w:tcPr>
          <w:p w:rsidR="0002334C" w:rsidRPr="0093627C" w:rsidRDefault="0093627C" w:rsidP="005C4223">
            <w:pPr>
              <w:pStyle w:val="Tablewriting"/>
              <w:jc w:val="center"/>
              <w:rPr>
                <w:b/>
                <w:color w:val="7030A0"/>
                <w:highlight w:val="black"/>
              </w:rPr>
            </w:pPr>
            <w:r>
              <w:rPr>
                <w:noProof/>
                <w:highlight w:val="black"/>
              </w:rPr>
              <w:t>'''''''</w:t>
            </w:r>
          </w:p>
        </w:tc>
      </w:tr>
      <w:tr w:rsidR="0002334C" w:rsidRPr="001D0858" w:rsidTr="00071F03">
        <w:trPr>
          <w:trHeight w:val="296"/>
        </w:trPr>
        <w:tc>
          <w:tcPr>
            <w:tcW w:w="607" w:type="pct"/>
          </w:tcPr>
          <w:p w:rsidR="0002334C" w:rsidRDefault="0002334C" w:rsidP="005C4223">
            <w:pPr>
              <w:pStyle w:val="Tableheading"/>
              <w:jc w:val="left"/>
              <w:rPr>
                <w:b w:val="0"/>
                <w:szCs w:val="20"/>
              </w:rPr>
            </w:pPr>
            <w:r>
              <w:rPr>
                <w:b w:val="0"/>
                <w:szCs w:val="20"/>
              </w:rPr>
              <w:t>Actual</w:t>
            </w:r>
          </w:p>
        </w:tc>
        <w:tc>
          <w:tcPr>
            <w:tcW w:w="732" w:type="pct"/>
            <w:vAlign w:val="bottom"/>
          </w:tcPr>
          <w:p w:rsidR="0002334C" w:rsidRDefault="0002334C" w:rsidP="005C4223">
            <w:pPr>
              <w:pStyle w:val="Tablewriting"/>
              <w:jc w:val="center"/>
            </w:pPr>
            <w:r>
              <w:rPr>
                <w:rFonts w:ascii="Calibri" w:hAnsi="Calibri"/>
              </w:rPr>
              <w:t>102</w:t>
            </w:r>
          </w:p>
        </w:tc>
        <w:tc>
          <w:tcPr>
            <w:tcW w:w="732" w:type="pct"/>
            <w:vAlign w:val="bottom"/>
          </w:tcPr>
          <w:p w:rsidR="0002334C" w:rsidRPr="001D0858" w:rsidRDefault="0002334C" w:rsidP="005C4223">
            <w:pPr>
              <w:pStyle w:val="Tablewriting"/>
              <w:jc w:val="center"/>
            </w:pPr>
            <w:r>
              <w:rPr>
                <w:rFonts w:ascii="Calibri" w:hAnsi="Calibri"/>
              </w:rPr>
              <w:t>137</w:t>
            </w:r>
          </w:p>
        </w:tc>
        <w:tc>
          <w:tcPr>
            <w:tcW w:w="732" w:type="pct"/>
            <w:vAlign w:val="bottom"/>
          </w:tcPr>
          <w:p w:rsidR="0002334C" w:rsidRPr="001D0858" w:rsidRDefault="0002334C" w:rsidP="005C4223">
            <w:pPr>
              <w:pStyle w:val="Tablewriting"/>
              <w:jc w:val="center"/>
            </w:pPr>
            <w:r>
              <w:rPr>
                <w:rFonts w:ascii="Calibri" w:hAnsi="Calibri"/>
              </w:rPr>
              <w:t>180</w:t>
            </w:r>
          </w:p>
        </w:tc>
        <w:tc>
          <w:tcPr>
            <w:tcW w:w="732" w:type="pct"/>
            <w:vAlign w:val="bottom"/>
          </w:tcPr>
          <w:p w:rsidR="0002334C" w:rsidRPr="001D0858" w:rsidRDefault="0002334C" w:rsidP="005C4223">
            <w:pPr>
              <w:pStyle w:val="Tablewriting"/>
              <w:jc w:val="center"/>
            </w:pPr>
            <w:r>
              <w:rPr>
                <w:rFonts w:ascii="Calibri" w:hAnsi="Calibri"/>
              </w:rPr>
              <w:t>204</w:t>
            </w:r>
          </w:p>
        </w:tc>
        <w:tc>
          <w:tcPr>
            <w:tcW w:w="732" w:type="pct"/>
            <w:vAlign w:val="bottom"/>
          </w:tcPr>
          <w:p w:rsidR="0002334C" w:rsidRPr="001D0858" w:rsidRDefault="0002334C" w:rsidP="005C4223">
            <w:pPr>
              <w:pStyle w:val="Tablewriting"/>
              <w:jc w:val="center"/>
            </w:pPr>
            <w:r>
              <w:rPr>
                <w:rFonts w:ascii="Calibri" w:hAnsi="Calibri"/>
              </w:rPr>
              <w:t>243</w:t>
            </w:r>
          </w:p>
        </w:tc>
        <w:tc>
          <w:tcPr>
            <w:tcW w:w="731" w:type="pct"/>
            <w:vAlign w:val="bottom"/>
          </w:tcPr>
          <w:p w:rsidR="0002334C" w:rsidRPr="001D0858" w:rsidRDefault="0002334C" w:rsidP="005C4223">
            <w:pPr>
              <w:pStyle w:val="Tablewriting"/>
              <w:jc w:val="center"/>
            </w:pPr>
            <w:r>
              <w:rPr>
                <w:rFonts w:ascii="Calibri" w:hAnsi="Calibri"/>
              </w:rPr>
              <w:t>323</w:t>
            </w:r>
          </w:p>
        </w:tc>
      </w:tr>
      <w:tr w:rsidR="0002334C" w:rsidRPr="001D0858" w:rsidTr="00071F03">
        <w:trPr>
          <w:trHeight w:val="296"/>
        </w:trPr>
        <w:tc>
          <w:tcPr>
            <w:tcW w:w="607" w:type="pct"/>
          </w:tcPr>
          <w:p w:rsidR="0002334C" w:rsidRDefault="0002334C" w:rsidP="005C4223">
            <w:pPr>
              <w:pStyle w:val="Tableheading"/>
              <w:jc w:val="left"/>
              <w:rPr>
                <w:b w:val="0"/>
                <w:szCs w:val="20"/>
              </w:rPr>
            </w:pPr>
            <w:r>
              <w:rPr>
                <w:b w:val="0"/>
                <w:szCs w:val="20"/>
              </w:rPr>
              <w:t>Difference</w:t>
            </w:r>
          </w:p>
        </w:tc>
        <w:tc>
          <w:tcPr>
            <w:tcW w:w="732"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732"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732"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732"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732"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c>
          <w:tcPr>
            <w:tcW w:w="731" w:type="pct"/>
            <w:vAlign w:val="bottom"/>
          </w:tcPr>
          <w:p w:rsidR="0002334C" w:rsidRPr="0093627C" w:rsidRDefault="0093627C" w:rsidP="005C4223">
            <w:pPr>
              <w:pStyle w:val="Tablewriting"/>
              <w:jc w:val="center"/>
              <w:rPr>
                <w:color w:val="7030A0"/>
                <w:highlight w:val="black"/>
              </w:rPr>
            </w:pPr>
            <w:r>
              <w:rPr>
                <w:rFonts w:ascii="Calibri" w:hAnsi="Calibri"/>
                <w:noProof/>
                <w:highlight w:val="black"/>
              </w:rPr>
              <w:t>''''''''''</w:t>
            </w:r>
          </w:p>
        </w:tc>
      </w:tr>
    </w:tbl>
    <w:p w:rsidR="0002334C" w:rsidRDefault="0002334C" w:rsidP="0002334C">
      <w:pPr>
        <w:pStyle w:val="Notes"/>
      </w:pPr>
      <w:r>
        <w:t xml:space="preserve">Source: Infliximab Severe Crohn’s disease final estimates, July 2007. </w:t>
      </w:r>
      <w:proofErr w:type="gramStart"/>
      <w:r w:rsidRPr="00C51B09">
        <w:t>DUSC HSD database, extracted November 2014; DHS Authority approval database, extracted November 2014.</w:t>
      </w:r>
      <w:proofErr w:type="gramEnd"/>
    </w:p>
    <w:p w:rsidR="00202328" w:rsidRDefault="00202328" w:rsidP="00202328">
      <w:pPr>
        <w:pStyle w:val="Tabletitle"/>
      </w:pPr>
      <w:r>
        <w:t>Table 24: Predicted versus actual analysis of vial numbers of infliximab for paediatric Crohn’s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 1 throught to 6"/>
      </w:tblPr>
      <w:tblGrid>
        <w:gridCol w:w="1101"/>
        <w:gridCol w:w="1328"/>
        <w:gridCol w:w="1328"/>
        <w:gridCol w:w="1328"/>
        <w:gridCol w:w="1328"/>
        <w:gridCol w:w="1327"/>
        <w:gridCol w:w="1325"/>
      </w:tblGrid>
      <w:tr w:rsidR="00202328" w:rsidRPr="001D0858" w:rsidTr="00071F03">
        <w:trPr>
          <w:trHeight w:val="249"/>
          <w:tblHeader/>
        </w:trPr>
        <w:tc>
          <w:tcPr>
            <w:tcW w:w="607" w:type="pct"/>
            <w:shd w:val="clear" w:color="auto" w:fill="BFBFBF" w:themeFill="background1" w:themeFillShade="BF"/>
          </w:tcPr>
          <w:p w:rsidR="00202328" w:rsidRPr="001D0858" w:rsidRDefault="00202328" w:rsidP="00FF7F90">
            <w:pPr>
              <w:pStyle w:val="Tableheading"/>
              <w:rPr>
                <w:szCs w:val="20"/>
              </w:rPr>
            </w:pPr>
          </w:p>
        </w:tc>
        <w:tc>
          <w:tcPr>
            <w:tcW w:w="732" w:type="pct"/>
            <w:shd w:val="clear" w:color="auto" w:fill="BFBFBF" w:themeFill="background1" w:themeFillShade="BF"/>
          </w:tcPr>
          <w:p w:rsidR="00202328" w:rsidRDefault="00202328" w:rsidP="00FF7F90">
            <w:pPr>
              <w:pStyle w:val="Tableheading"/>
              <w:rPr>
                <w:szCs w:val="20"/>
              </w:rPr>
            </w:pPr>
            <w:r>
              <w:rPr>
                <w:szCs w:val="20"/>
              </w:rPr>
              <w:t>Year1</w:t>
            </w:r>
          </w:p>
          <w:p w:rsidR="00202328" w:rsidRPr="001D0858" w:rsidRDefault="00202328" w:rsidP="00FF7F90">
            <w:pPr>
              <w:pStyle w:val="Tableheading"/>
              <w:rPr>
                <w:szCs w:val="20"/>
              </w:rPr>
            </w:pPr>
            <w:r>
              <w:rPr>
                <w:szCs w:val="20"/>
              </w:rPr>
              <w:t>(Oct07-Sep08)</w:t>
            </w:r>
          </w:p>
        </w:tc>
        <w:tc>
          <w:tcPr>
            <w:tcW w:w="732" w:type="pct"/>
            <w:shd w:val="clear" w:color="auto" w:fill="BFBFBF" w:themeFill="background1" w:themeFillShade="BF"/>
          </w:tcPr>
          <w:p w:rsidR="00202328" w:rsidRDefault="00202328" w:rsidP="00FF7F90">
            <w:pPr>
              <w:pStyle w:val="Tableheading"/>
              <w:rPr>
                <w:szCs w:val="20"/>
              </w:rPr>
            </w:pPr>
            <w:r>
              <w:rPr>
                <w:szCs w:val="20"/>
              </w:rPr>
              <w:t>Year 2</w:t>
            </w:r>
          </w:p>
          <w:p w:rsidR="00202328" w:rsidRPr="001D0858" w:rsidRDefault="00202328" w:rsidP="00FF7F90">
            <w:pPr>
              <w:pStyle w:val="Tableheading"/>
              <w:rPr>
                <w:szCs w:val="20"/>
              </w:rPr>
            </w:pPr>
            <w:r>
              <w:rPr>
                <w:szCs w:val="20"/>
              </w:rPr>
              <w:t>(Oct08-Sep09)</w:t>
            </w:r>
          </w:p>
        </w:tc>
        <w:tc>
          <w:tcPr>
            <w:tcW w:w="732" w:type="pct"/>
            <w:shd w:val="clear" w:color="auto" w:fill="BFBFBF" w:themeFill="background1" w:themeFillShade="BF"/>
          </w:tcPr>
          <w:p w:rsidR="00202328" w:rsidRDefault="00202328" w:rsidP="00FF7F90">
            <w:pPr>
              <w:pStyle w:val="Tableheading"/>
              <w:rPr>
                <w:szCs w:val="20"/>
              </w:rPr>
            </w:pPr>
            <w:r>
              <w:rPr>
                <w:szCs w:val="20"/>
              </w:rPr>
              <w:t>Year 3</w:t>
            </w:r>
          </w:p>
          <w:p w:rsidR="00202328" w:rsidRPr="001D0858" w:rsidRDefault="00202328" w:rsidP="00FF7F90">
            <w:pPr>
              <w:pStyle w:val="Tableheading"/>
              <w:rPr>
                <w:szCs w:val="20"/>
              </w:rPr>
            </w:pPr>
            <w:r>
              <w:rPr>
                <w:szCs w:val="20"/>
              </w:rPr>
              <w:t>(Oct09-Sep10)</w:t>
            </w:r>
          </w:p>
        </w:tc>
        <w:tc>
          <w:tcPr>
            <w:tcW w:w="732" w:type="pct"/>
            <w:shd w:val="clear" w:color="auto" w:fill="BFBFBF" w:themeFill="background1" w:themeFillShade="BF"/>
          </w:tcPr>
          <w:p w:rsidR="00202328" w:rsidRDefault="00202328" w:rsidP="00FF7F90">
            <w:pPr>
              <w:pStyle w:val="Tableheading"/>
              <w:rPr>
                <w:szCs w:val="20"/>
              </w:rPr>
            </w:pPr>
            <w:r>
              <w:rPr>
                <w:szCs w:val="20"/>
              </w:rPr>
              <w:t>Year 4</w:t>
            </w:r>
          </w:p>
          <w:p w:rsidR="00202328" w:rsidRPr="001D0858" w:rsidRDefault="00202328" w:rsidP="00FF7F90">
            <w:pPr>
              <w:pStyle w:val="Tableheading"/>
              <w:rPr>
                <w:szCs w:val="20"/>
              </w:rPr>
            </w:pPr>
            <w:r>
              <w:rPr>
                <w:szCs w:val="20"/>
              </w:rPr>
              <w:t>(Oct10-Sep11)</w:t>
            </w:r>
          </w:p>
        </w:tc>
        <w:tc>
          <w:tcPr>
            <w:tcW w:w="732" w:type="pct"/>
            <w:shd w:val="clear" w:color="auto" w:fill="BFBFBF" w:themeFill="background1" w:themeFillShade="BF"/>
          </w:tcPr>
          <w:p w:rsidR="00202328" w:rsidRDefault="00202328" w:rsidP="00FF7F90">
            <w:pPr>
              <w:pStyle w:val="Tableheading"/>
              <w:rPr>
                <w:szCs w:val="20"/>
              </w:rPr>
            </w:pPr>
            <w:r>
              <w:rPr>
                <w:szCs w:val="20"/>
              </w:rPr>
              <w:t>Year 5</w:t>
            </w:r>
          </w:p>
          <w:p w:rsidR="00202328" w:rsidRPr="001D0858" w:rsidRDefault="00202328" w:rsidP="00FF7F90">
            <w:pPr>
              <w:pStyle w:val="Tableheading"/>
              <w:rPr>
                <w:szCs w:val="20"/>
              </w:rPr>
            </w:pPr>
            <w:r>
              <w:rPr>
                <w:szCs w:val="20"/>
              </w:rPr>
              <w:t>(Oct11-Sep12)</w:t>
            </w:r>
          </w:p>
        </w:tc>
        <w:tc>
          <w:tcPr>
            <w:tcW w:w="731" w:type="pct"/>
            <w:shd w:val="clear" w:color="auto" w:fill="BFBFBF" w:themeFill="background1" w:themeFillShade="BF"/>
          </w:tcPr>
          <w:p w:rsidR="00202328" w:rsidRDefault="00202328" w:rsidP="00FF7F90">
            <w:pPr>
              <w:pStyle w:val="Tableheading"/>
              <w:rPr>
                <w:szCs w:val="20"/>
              </w:rPr>
            </w:pPr>
            <w:r>
              <w:rPr>
                <w:szCs w:val="20"/>
              </w:rPr>
              <w:t>Year 6</w:t>
            </w:r>
          </w:p>
          <w:p w:rsidR="00202328" w:rsidRPr="001D0858" w:rsidRDefault="00202328" w:rsidP="00FF7F90">
            <w:pPr>
              <w:pStyle w:val="Tableheading"/>
              <w:rPr>
                <w:szCs w:val="20"/>
              </w:rPr>
            </w:pPr>
            <w:r>
              <w:rPr>
                <w:szCs w:val="20"/>
              </w:rPr>
              <w:t>(Oct12-Sep13)</w:t>
            </w:r>
          </w:p>
        </w:tc>
      </w:tr>
      <w:tr w:rsidR="00202328" w:rsidRPr="00C51B09" w:rsidTr="00071F03">
        <w:trPr>
          <w:trHeight w:val="296"/>
        </w:trPr>
        <w:tc>
          <w:tcPr>
            <w:tcW w:w="607" w:type="pct"/>
          </w:tcPr>
          <w:p w:rsidR="00202328" w:rsidRDefault="00202328" w:rsidP="00FF7F90">
            <w:pPr>
              <w:pStyle w:val="Tableheading"/>
              <w:jc w:val="left"/>
              <w:rPr>
                <w:b w:val="0"/>
                <w:szCs w:val="20"/>
              </w:rPr>
            </w:pPr>
            <w:r>
              <w:rPr>
                <w:b w:val="0"/>
                <w:szCs w:val="20"/>
              </w:rPr>
              <w:t>Predicted</w:t>
            </w:r>
          </w:p>
        </w:tc>
        <w:tc>
          <w:tcPr>
            <w:tcW w:w="732" w:type="pct"/>
            <w:vAlign w:val="bottom"/>
          </w:tcPr>
          <w:p w:rsidR="00202328" w:rsidRPr="0093627C" w:rsidRDefault="0093627C" w:rsidP="00FF7F90">
            <w:pPr>
              <w:pStyle w:val="Tablewriting"/>
              <w:jc w:val="center"/>
              <w:rPr>
                <w:b/>
                <w:color w:val="7030A0"/>
                <w:highlight w:val="black"/>
              </w:rPr>
            </w:pPr>
            <w:r>
              <w:rPr>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noProof/>
                <w:highlight w:val="black"/>
              </w:rPr>
              <w:t>''''''''''</w:t>
            </w:r>
          </w:p>
        </w:tc>
        <w:tc>
          <w:tcPr>
            <w:tcW w:w="731" w:type="pct"/>
            <w:vAlign w:val="bottom"/>
          </w:tcPr>
          <w:p w:rsidR="00202328" w:rsidRPr="0093627C" w:rsidRDefault="0093627C" w:rsidP="00FF7F90">
            <w:pPr>
              <w:pStyle w:val="Tablewriting"/>
              <w:jc w:val="center"/>
              <w:rPr>
                <w:b/>
                <w:color w:val="7030A0"/>
                <w:highlight w:val="black"/>
              </w:rPr>
            </w:pPr>
            <w:r>
              <w:rPr>
                <w:noProof/>
                <w:highlight w:val="black"/>
              </w:rPr>
              <w:t>''''''''''</w:t>
            </w:r>
          </w:p>
        </w:tc>
      </w:tr>
      <w:tr w:rsidR="00202328" w:rsidRPr="0014227B" w:rsidTr="00071F03">
        <w:trPr>
          <w:trHeight w:val="296"/>
        </w:trPr>
        <w:tc>
          <w:tcPr>
            <w:tcW w:w="607" w:type="pct"/>
          </w:tcPr>
          <w:p w:rsidR="00202328" w:rsidRDefault="00202328" w:rsidP="00FF7F90">
            <w:pPr>
              <w:pStyle w:val="Tableheading"/>
              <w:jc w:val="left"/>
              <w:rPr>
                <w:b w:val="0"/>
                <w:szCs w:val="20"/>
              </w:rPr>
            </w:pPr>
            <w:r>
              <w:rPr>
                <w:b w:val="0"/>
                <w:szCs w:val="20"/>
              </w:rPr>
              <w:t>Actual</w:t>
            </w:r>
          </w:p>
        </w:tc>
        <w:tc>
          <w:tcPr>
            <w:tcW w:w="732" w:type="pct"/>
            <w:vAlign w:val="bottom"/>
          </w:tcPr>
          <w:p w:rsidR="00202328" w:rsidRPr="0014227B" w:rsidRDefault="00202328" w:rsidP="00FF7F90">
            <w:pPr>
              <w:pStyle w:val="Tablewriting"/>
              <w:jc w:val="center"/>
            </w:pPr>
            <w:r>
              <w:rPr>
                <w:rFonts w:ascii="Calibri" w:hAnsi="Calibri"/>
              </w:rPr>
              <w:t>720</w:t>
            </w:r>
          </w:p>
        </w:tc>
        <w:tc>
          <w:tcPr>
            <w:tcW w:w="732" w:type="pct"/>
            <w:vAlign w:val="bottom"/>
          </w:tcPr>
          <w:p w:rsidR="00202328" w:rsidRPr="0014227B" w:rsidRDefault="00202328" w:rsidP="00FF7F90">
            <w:pPr>
              <w:pStyle w:val="Tablewriting"/>
              <w:jc w:val="center"/>
            </w:pPr>
            <w:r>
              <w:rPr>
                <w:rFonts w:ascii="Calibri" w:hAnsi="Calibri"/>
              </w:rPr>
              <w:t>1,391</w:t>
            </w:r>
          </w:p>
        </w:tc>
        <w:tc>
          <w:tcPr>
            <w:tcW w:w="732" w:type="pct"/>
            <w:vAlign w:val="bottom"/>
          </w:tcPr>
          <w:p w:rsidR="00202328" w:rsidRPr="0014227B" w:rsidRDefault="00202328" w:rsidP="00FF7F90">
            <w:pPr>
              <w:pStyle w:val="Tablewriting"/>
              <w:jc w:val="center"/>
            </w:pPr>
            <w:r>
              <w:rPr>
                <w:rFonts w:ascii="Calibri" w:hAnsi="Calibri"/>
              </w:rPr>
              <w:t>2,828</w:t>
            </w:r>
          </w:p>
        </w:tc>
        <w:tc>
          <w:tcPr>
            <w:tcW w:w="732" w:type="pct"/>
            <w:vAlign w:val="bottom"/>
          </w:tcPr>
          <w:p w:rsidR="00202328" w:rsidRPr="0014227B" w:rsidRDefault="00202328" w:rsidP="00FF7F90">
            <w:pPr>
              <w:pStyle w:val="Tablewriting"/>
              <w:jc w:val="center"/>
            </w:pPr>
            <w:r>
              <w:rPr>
                <w:rFonts w:ascii="Calibri" w:hAnsi="Calibri"/>
              </w:rPr>
              <w:t>3,246</w:t>
            </w:r>
          </w:p>
        </w:tc>
        <w:tc>
          <w:tcPr>
            <w:tcW w:w="732" w:type="pct"/>
            <w:vAlign w:val="bottom"/>
          </w:tcPr>
          <w:p w:rsidR="00202328" w:rsidRPr="0014227B" w:rsidRDefault="00202328" w:rsidP="00FF7F90">
            <w:pPr>
              <w:pStyle w:val="Tablewriting"/>
              <w:jc w:val="center"/>
            </w:pPr>
            <w:r>
              <w:rPr>
                <w:rFonts w:ascii="Calibri" w:hAnsi="Calibri"/>
              </w:rPr>
              <w:t>3,866</w:t>
            </w:r>
          </w:p>
        </w:tc>
        <w:tc>
          <w:tcPr>
            <w:tcW w:w="731" w:type="pct"/>
            <w:vAlign w:val="bottom"/>
          </w:tcPr>
          <w:p w:rsidR="00202328" w:rsidRPr="0014227B" w:rsidRDefault="00202328" w:rsidP="00FF7F90">
            <w:pPr>
              <w:pStyle w:val="Tablewriting"/>
              <w:jc w:val="center"/>
            </w:pPr>
            <w:r>
              <w:rPr>
                <w:rFonts w:ascii="Calibri" w:hAnsi="Calibri"/>
              </w:rPr>
              <w:t>5,243</w:t>
            </w:r>
          </w:p>
        </w:tc>
      </w:tr>
      <w:tr w:rsidR="00202328" w:rsidRPr="00C51B09" w:rsidTr="00071F03">
        <w:trPr>
          <w:trHeight w:val="296"/>
        </w:trPr>
        <w:tc>
          <w:tcPr>
            <w:tcW w:w="607" w:type="pct"/>
          </w:tcPr>
          <w:p w:rsidR="00202328" w:rsidRDefault="00202328" w:rsidP="00FF7F90">
            <w:pPr>
              <w:pStyle w:val="Tableheading"/>
              <w:jc w:val="left"/>
              <w:rPr>
                <w:b w:val="0"/>
                <w:szCs w:val="20"/>
              </w:rPr>
            </w:pPr>
            <w:r>
              <w:rPr>
                <w:b w:val="0"/>
                <w:szCs w:val="20"/>
              </w:rPr>
              <w:t>Difference</w:t>
            </w:r>
          </w:p>
        </w:tc>
        <w:tc>
          <w:tcPr>
            <w:tcW w:w="732" w:type="pct"/>
            <w:vAlign w:val="bottom"/>
          </w:tcPr>
          <w:p w:rsidR="00202328" w:rsidRPr="0093627C" w:rsidRDefault="0093627C" w:rsidP="00FF7F90">
            <w:pPr>
              <w:pStyle w:val="Tablewriting"/>
              <w:jc w:val="center"/>
              <w:rPr>
                <w:b/>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b/>
                <w:color w:val="7030A0"/>
                <w:highlight w:val="black"/>
              </w:rPr>
            </w:pPr>
            <w:r>
              <w:rPr>
                <w:rFonts w:ascii="Calibri" w:hAnsi="Calibri"/>
                <w:noProof/>
                <w:highlight w:val="black"/>
              </w:rPr>
              <w:t>'''''''''</w:t>
            </w:r>
          </w:p>
        </w:tc>
        <w:tc>
          <w:tcPr>
            <w:tcW w:w="731" w:type="pct"/>
            <w:vAlign w:val="bottom"/>
          </w:tcPr>
          <w:p w:rsidR="00202328" w:rsidRPr="0093627C" w:rsidRDefault="0093627C" w:rsidP="00FF7F90">
            <w:pPr>
              <w:pStyle w:val="Tablewriting"/>
              <w:jc w:val="center"/>
              <w:rPr>
                <w:b/>
                <w:color w:val="7030A0"/>
                <w:highlight w:val="black"/>
              </w:rPr>
            </w:pPr>
            <w:r>
              <w:rPr>
                <w:rFonts w:ascii="Calibri" w:hAnsi="Calibri"/>
                <w:noProof/>
                <w:highlight w:val="black"/>
              </w:rPr>
              <w:t>''''''''''</w:t>
            </w:r>
          </w:p>
        </w:tc>
      </w:tr>
    </w:tbl>
    <w:p w:rsidR="00202328" w:rsidRPr="001555AB" w:rsidRDefault="00202328" w:rsidP="001555AB">
      <w:pPr>
        <w:pStyle w:val="Notes"/>
      </w:pPr>
      <w:r>
        <w:t xml:space="preserve">Source: Infliximab Severe Crohn’s disease final estimates, July 2007. </w:t>
      </w:r>
      <w:proofErr w:type="gramStart"/>
      <w:r w:rsidRPr="00C51B09">
        <w:t>DUSC HSD database, extracted November 2014; DHS Authority approval database, extracted November 2014.</w:t>
      </w:r>
      <w:proofErr w:type="gramEnd"/>
    </w:p>
    <w:p w:rsidR="00202328" w:rsidRDefault="00202328" w:rsidP="00202328">
      <w:pPr>
        <w:pStyle w:val="Tabletitle"/>
      </w:pPr>
      <w:r>
        <w:t>Table 25: Predicted versus actual analysis of R/PBS expenditure of infliximab for paediatric Crohn’s disease</w:t>
      </w:r>
    </w:p>
    <w:tbl>
      <w:tblPr>
        <w:tblStyle w:val="TableGrid"/>
        <w:tblW w:w="4941" w:type="pct"/>
        <w:tblInd w:w="108" w:type="dxa"/>
        <w:tblLook w:val="04A0" w:firstRow="1" w:lastRow="0" w:firstColumn="1" w:lastColumn="0" w:noHBand="0" w:noVBand="1"/>
        <w:tblCaption w:val="the years are listed in the top row, the first row is the predicted value, the second the actual value and the third is the % difference, read across the row for the values for year 1 throught to 6"/>
      </w:tblPr>
      <w:tblGrid>
        <w:gridCol w:w="1101"/>
        <w:gridCol w:w="1328"/>
        <w:gridCol w:w="1328"/>
        <w:gridCol w:w="1328"/>
        <w:gridCol w:w="1328"/>
        <w:gridCol w:w="1327"/>
        <w:gridCol w:w="1325"/>
      </w:tblGrid>
      <w:tr w:rsidR="00202328" w:rsidRPr="001D0858" w:rsidTr="00071F03">
        <w:trPr>
          <w:trHeight w:val="249"/>
          <w:tblHeader/>
        </w:trPr>
        <w:tc>
          <w:tcPr>
            <w:tcW w:w="607" w:type="pct"/>
            <w:shd w:val="clear" w:color="auto" w:fill="BFBFBF" w:themeFill="background1" w:themeFillShade="BF"/>
          </w:tcPr>
          <w:p w:rsidR="00202328" w:rsidRPr="001D0858" w:rsidRDefault="00202328" w:rsidP="00FF7F90">
            <w:pPr>
              <w:pStyle w:val="Tableheading"/>
              <w:rPr>
                <w:szCs w:val="20"/>
              </w:rPr>
            </w:pPr>
          </w:p>
        </w:tc>
        <w:tc>
          <w:tcPr>
            <w:tcW w:w="732" w:type="pct"/>
            <w:shd w:val="clear" w:color="auto" w:fill="BFBFBF" w:themeFill="background1" w:themeFillShade="BF"/>
          </w:tcPr>
          <w:p w:rsidR="00202328" w:rsidRDefault="00202328" w:rsidP="00FF7F90">
            <w:pPr>
              <w:pStyle w:val="Tableheading"/>
              <w:rPr>
                <w:szCs w:val="20"/>
              </w:rPr>
            </w:pPr>
            <w:r>
              <w:rPr>
                <w:szCs w:val="20"/>
              </w:rPr>
              <w:t>Year1</w:t>
            </w:r>
          </w:p>
          <w:p w:rsidR="00202328" w:rsidRPr="001D0858" w:rsidRDefault="00202328" w:rsidP="00FF7F90">
            <w:pPr>
              <w:pStyle w:val="Tableheading"/>
              <w:rPr>
                <w:szCs w:val="20"/>
              </w:rPr>
            </w:pPr>
            <w:r>
              <w:rPr>
                <w:szCs w:val="20"/>
              </w:rPr>
              <w:t>(Oct07-Sep08)</w:t>
            </w:r>
          </w:p>
        </w:tc>
        <w:tc>
          <w:tcPr>
            <w:tcW w:w="732" w:type="pct"/>
            <w:shd w:val="clear" w:color="auto" w:fill="BFBFBF" w:themeFill="background1" w:themeFillShade="BF"/>
          </w:tcPr>
          <w:p w:rsidR="00202328" w:rsidRDefault="00202328" w:rsidP="00FF7F90">
            <w:pPr>
              <w:pStyle w:val="Tableheading"/>
              <w:rPr>
                <w:szCs w:val="20"/>
              </w:rPr>
            </w:pPr>
            <w:r>
              <w:rPr>
                <w:szCs w:val="20"/>
              </w:rPr>
              <w:t>Year 2</w:t>
            </w:r>
          </w:p>
          <w:p w:rsidR="00202328" w:rsidRPr="001D0858" w:rsidRDefault="00202328" w:rsidP="00FF7F90">
            <w:pPr>
              <w:pStyle w:val="Tableheading"/>
              <w:rPr>
                <w:szCs w:val="20"/>
              </w:rPr>
            </w:pPr>
            <w:r>
              <w:rPr>
                <w:szCs w:val="20"/>
              </w:rPr>
              <w:t>(Oct08-Sep09)</w:t>
            </w:r>
          </w:p>
        </w:tc>
        <w:tc>
          <w:tcPr>
            <w:tcW w:w="732" w:type="pct"/>
            <w:shd w:val="clear" w:color="auto" w:fill="BFBFBF" w:themeFill="background1" w:themeFillShade="BF"/>
          </w:tcPr>
          <w:p w:rsidR="00202328" w:rsidRDefault="00202328" w:rsidP="00FF7F90">
            <w:pPr>
              <w:pStyle w:val="Tableheading"/>
              <w:rPr>
                <w:szCs w:val="20"/>
              </w:rPr>
            </w:pPr>
            <w:r>
              <w:rPr>
                <w:szCs w:val="20"/>
              </w:rPr>
              <w:t>Year 3</w:t>
            </w:r>
          </w:p>
          <w:p w:rsidR="00202328" w:rsidRPr="001D0858" w:rsidRDefault="00202328" w:rsidP="00FF7F90">
            <w:pPr>
              <w:pStyle w:val="Tableheading"/>
              <w:rPr>
                <w:szCs w:val="20"/>
              </w:rPr>
            </w:pPr>
            <w:r>
              <w:rPr>
                <w:szCs w:val="20"/>
              </w:rPr>
              <w:t>(Oct09-Sep10)</w:t>
            </w:r>
          </w:p>
        </w:tc>
        <w:tc>
          <w:tcPr>
            <w:tcW w:w="732" w:type="pct"/>
            <w:shd w:val="clear" w:color="auto" w:fill="BFBFBF" w:themeFill="background1" w:themeFillShade="BF"/>
          </w:tcPr>
          <w:p w:rsidR="00202328" w:rsidRDefault="00202328" w:rsidP="00FF7F90">
            <w:pPr>
              <w:pStyle w:val="Tableheading"/>
              <w:rPr>
                <w:szCs w:val="20"/>
              </w:rPr>
            </w:pPr>
            <w:r>
              <w:rPr>
                <w:szCs w:val="20"/>
              </w:rPr>
              <w:t>Year 4</w:t>
            </w:r>
          </w:p>
          <w:p w:rsidR="00202328" w:rsidRPr="001D0858" w:rsidRDefault="00202328" w:rsidP="00FF7F90">
            <w:pPr>
              <w:pStyle w:val="Tableheading"/>
              <w:rPr>
                <w:szCs w:val="20"/>
              </w:rPr>
            </w:pPr>
            <w:r>
              <w:rPr>
                <w:szCs w:val="20"/>
              </w:rPr>
              <w:t>(Oct10-Sep11)</w:t>
            </w:r>
          </w:p>
        </w:tc>
        <w:tc>
          <w:tcPr>
            <w:tcW w:w="732" w:type="pct"/>
            <w:shd w:val="clear" w:color="auto" w:fill="BFBFBF" w:themeFill="background1" w:themeFillShade="BF"/>
          </w:tcPr>
          <w:p w:rsidR="00202328" w:rsidRDefault="00202328" w:rsidP="00FF7F90">
            <w:pPr>
              <w:pStyle w:val="Tableheading"/>
              <w:rPr>
                <w:szCs w:val="20"/>
              </w:rPr>
            </w:pPr>
            <w:r>
              <w:rPr>
                <w:szCs w:val="20"/>
              </w:rPr>
              <w:t>Year 5</w:t>
            </w:r>
          </w:p>
          <w:p w:rsidR="00202328" w:rsidRPr="001D0858" w:rsidRDefault="00202328" w:rsidP="00FF7F90">
            <w:pPr>
              <w:pStyle w:val="Tableheading"/>
              <w:rPr>
                <w:szCs w:val="20"/>
              </w:rPr>
            </w:pPr>
            <w:r>
              <w:rPr>
                <w:szCs w:val="20"/>
              </w:rPr>
              <w:t>(Oct11-Sep12)</w:t>
            </w:r>
          </w:p>
        </w:tc>
        <w:tc>
          <w:tcPr>
            <w:tcW w:w="731" w:type="pct"/>
            <w:shd w:val="clear" w:color="auto" w:fill="BFBFBF" w:themeFill="background1" w:themeFillShade="BF"/>
          </w:tcPr>
          <w:p w:rsidR="00202328" w:rsidRDefault="00202328" w:rsidP="00FF7F90">
            <w:pPr>
              <w:pStyle w:val="Tableheading"/>
              <w:rPr>
                <w:szCs w:val="20"/>
              </w:rPr>
            </w:pPr>
            <w:r>
              <w:rPr>
                <w:szCs w:val="20"/>
              </w:rPr>
              <w:t>Year 6</w:t>
            </w:r>
          </w:p>
          <w:p w:rsidR="00202328" w:rsidRPr="001D0858" w:rsidRDefault="00202328" w:rsidP="00FF7F90">
            <w:pPr>
              <w:pStyle w:val="Tableheading"/>
              <w:rPr>
                <w:szCs w:val="20"/>
              </w:rPr>
            </w:pPr>
            <w:r>
              <w:rPr>
                <w:szCs w:val="20"/>
              </w:rPr>
              <w:t>(Oct12-Sep13)</w:t>
            </w:r>
          </w:p>
        </w:tc>
      </w:tr>
      <w:tr w:rsidR="00202328" w:rsidRPr="00C51B09" w:rsidTr="00071F03">
        <w:trPr>
          <w:trHeight w:val="296"/>
        </w:trPr>
        <w:tc>
          <w:tcPr>
            <w:tcW w:w="607" w:type="pct"/>
          </w:tcPr>
          <w:p w:rsidR="00202328" w:rsidRDefault="00202328" w:rsidP="00FF7F90">
            <w:pPr>
              <w:pStyle w:val="Tableheading"/>
              <w:jc w:val="left"/>
              <w:rPr>
                <w:b w:val="0"/>
                <w:szCs w:val="20"/>
              </w:rPr>
            </w:pPr>
            <w:r>
              <w:rPr>
                <w:b w:val="0"/>
                <w:szCs w:val="20"/>
              </w:rPr>
              <w:t>Predicted</w:t>
            </w:r>
          </w:p>
        </w:tc>
        <w:tc>
          <w:tcPr>
            <w:tcW w:w="732" w:type="pct"/>
            <w:vAlign w:val="bottom"/>
          </w:tcPr>
          <w:p w:rsidR="00202328" w:rsidRPr="0093627C" w:rsidRDefault="0093627C" w:rsidP="00FF7F90">
            <w:pPr>
              <w:pStyle w:val="Tablewriting"/>
              <w:jc w:val="center"/>
              <w:rPr>
                <w:color w:val="7030A0"/>
                <w:highlight w:val="black"/>
              </w:rPr>
            </w:pPr>
            <w:r>
              <w:rPr>
                <w:noProof/>
                <w:highlight w:val="black"/>
              </w:rPr>
              <w:t xml:space="preserve"> ''''''''''''''''''''</w:t>
            </w:r>
            <w:r w:rsidR="00202328" w:rsidRPr="0093627C">
              <w:rPr>
                <w:color w:val="7030A0"/>
                <w:highlight w:val="black"/>
              </w:rPr>
              <w:t xml:space="preserve"> </w:t>
            </w:r>
          </w:p>
        </w:tc>
        <w:tc>
          <w:tcPr>
            <w:tcW w:w="732" w:type="pct"/>
            <w:vAlign w:val="bottom"/>
          </w:tcPr>
          <w:p w:rsidR="00202328" w:rsidRPr="0093627C" w:rsidRDefault="0093627C" w:rsidP="00FF7F90">
            <w:pPr>
              <w:pStyle w:val="Tablewriting"/>
              <w:jc w:val="center"/>
              <w:rPr>
                <w:color w:val="7030A0"/>
                <w:highlight w:val="black"/>
              </w:rPr>
            </w:pPr>
            <w:r>
              <w:rPr>
                <w:noProof/>
                <w:highlight w:val="black"/>
              </w:rPr>
              <w:t xml:space="preserve"> ''''''''''''''''''' </w:t>
            </w:r>
          </w:p>
        </w:tc>
        <w:tc>
          <w:tcPr>
            <w:tcW w:w="732" w:type="pct"/>
            <w:vAlign w:val="bottom"/>
          </w:tcPr>
          <w:p w:rsidR="00202328" w:rsidRPr="0093627C" w:rsidRDefault="0093627C" w:rsidP="00FF7F90">
            <w:pPr>
              <w:pStyle w:val="Tablewriting"/>
              <w:jc w:val="center"/>
              <w:rPr>
                <w:color w:val="7030A0"/>
                <w:highlight w:val="black"/>
              </w:rPr>
            </w:pPr>
            <w:r>
              <w:rPr>
                <w:noProof/>
                <w:highlight w:val="black"/>
              </w:rPr>
              <w:t xml:space="preserve"> ''''''''''''''''''' </w:t>
            </w:r>
          </w:p>
        </w:tc>
        <w:tc>
          <w:tcPr>
            <w:tcW w:w="732" w:type="pct"/>
            <w:vAlign w:val="bottom"/>
          </w:tcPr>
          <w:p w:rsidR="00202328" w:rsidRPr="0093627C" w:rsidRDefault="0093627C" w:rsidP="00FF7F90">
            <w:pPr>
              <w:pStyle w:val="Tablewriting"/>
              <w:jc w:val="center"/>
              <w:rPr>
                <w:color w:val="7030A0"/>
                <w:highlight w:val="black"/>
              </w:rPr>
            </w:pPr>
            <w:r>
              <w:rPr>
                <w:noProof/>
                <w:highlight w:val="black"/>
              </w:rPr>
              <w:t xml:space="preserve"> '''''''''''''''''''' </w:t>
            </w:r>
          </w:p>
        </w:tc>
        <w:tc>
          <w:tcPr>
            <w:tcW w:w="732" w:type="pct"/>
            <w:vAlign w:val="bottom"/>
          </w:tcPr>
          <w:p w:rsidR="00202328" w:rsidRPr="0093627C" w:rsidRDefault="0093627C" w:rsidP="00FF7F90">
            <w:pPr>
              <w:pStyle w:val="Tablewriting"/>
              <w:jc w:val="center"/>
              <w:rPr>
                <w:color w:val="7030A0"/>
                <w:highlight w:val="black"/>
              </w:rPr>
            </w:pPr>
            <w:r>
              <w:rPr>
                <w:noProof/>
                <w:highlight w:val="black"/>
              </w:rPr>
              <w:t xml:space="preserve"> '''''''''''''''''''''' </w:t>
            </w:r>
          </w:p>
        </w:tc>
        <w:tc>
          <w:tcPr>
            <w:tcW w:w="731" w:type="pct"/>
            <w:vAlign w:val="bottom"/>
          </w:tcPr>
          <w:p w:rsidR="00202328" w:rsidRPr="0093627C" w:rsidRDefault="0093627C" w:rsidP="00FF7F90">
            <w:pPr>
              <w:pStyle w:val="Tablewriting"/>
              <w:jc w:val="center"/>
              <w:rPr>
                <w:color w:val="7030A0"/>
                <w:highlight w:val="black"/>
              </w:rPr>
            </w:pPr>
            <w:r>
              <w:rPr>
                <w:noProof/>
                <w:highlight w:val="black"/>
              </w:rPr>
              <w:t xml:space="preserve"> ''''''''''''''''''' </w:t>
            </w:r>
          </w:p>
        </w:tc>
      </w:tr>
      <w:tr w:rsidR="00202328" w:rsidRPr="001D0858" w:rsidTr="00071F03">
        <w:trPr>
          <w:trHeight w:val="296"/>
        </w:trPr>
        <w:tc>
          <w:tcPr>
            <w:tcW w:w="607" w:type="pct"/>
          </w:tcPr>
          <w:p w:rsidR="00202328" w:rsidRDefault="00202328" w:rsidP="00FF7F90">
            <w:pPr>
              <w:pStyle w:val="Tableheading"/>
              <w:jc w:val="left"/>
              <w:rPr>
                <w:b w:val="0"/>
                <w:szCs w:val="20"/>
              </w:rPr>
            </w:pPr>
            <w:r>
              <w:rPr>
                <w:b w:val="0"/>
                <w:szCs w:val="20"/>
              </w:rPr>
              <w:t>Actual</w:t>
            </w:r>
          </w:p>
        </w:tc>
        <w:tc>
          <w:tcPr>
            <w:tcW w:w="732" w:type="pct"/>
            <w:vAlign w:val="bottom"/>
          </w:tcPr>
          <w:p w:rsidR="00202328" w:rsidRDefault="00202328" w:rsidP="00FF7F90">
            <w:pPr>
              <w:pStyle w:val="Tablewriting"/>
              <w:jc w:val="center"/>
            </w:pPr>
            <w:r>
              <w:rPr>
                <w:rFonts w:ascii="Calibri" w:hAnsi="Calibri"/>
              </w:rPr>
              <w:t>$541,273</w:t>
            </w:r>
          </w:p>
        </w:tc>
        <w:tc>
          <w:tcPr>
            <w:tcW w:w="732" w:type="pct"/>
            <w:vAlign w:val="bottom"/>
          </w:tcPr>
          <w:p w:rsidR="00202328" w:rsidRPr="001D0858" w:rsidRDefault="00202328" w:rsidP="00FF7F90">
            <w:pPr>
              <w:pStyle w:val="Tablewriting"/>
              <w:jc w:val="center"/>
            </w:pPr>
            <w:r>
              <w:rPr>
                <w:rFonts w:ascii="Calibri" w:hAnsi="Calibri"/>
              </w:rPr>
              <w:t>$1,048,120</w:t>
            </w:r>
          </w:p>
        </w:tc>
        <w:tc>
          <w:tcPr>
            <w:tcW w:w="732" w:type="pct"/>
            <w:vAlign w:val="bottom"/>
          </w:tcPr>
          <w:p w:rsidR="00202328" w:rsidRPr="001D0858" w:rsidRDefault="00202328" w:rsidP="00FF7F90">
            <w:pPr>
              <w:pStyle w:val="Tablewriting"/>
              <w:jc w:val="center"/>
            </w:pPr>
            <w:r>
              <w:rPr>
                <w:rFonts w:ascii="Calibri" w:hAnsi="Calibri"/>
              </w:rPr>
              <w:t>$2,125,626</w:t>
            </w:r>
          </w:p>
        </w:tc>
        <w:tc>
          <w:tcPr>
            <w:tcW w:w="732" w:type="pct"/>
            <w:vAlign w:val="bottom"/>
          </w:tcPr>
          <w:p w:rsidR="00202328" w:rsidRPr="001D0858" w:rsidRDefault="00202328" w:rsidP="00FF7F90">
            <w:pPr>
              <w:pStyle w:val="Tablewriting"/>
              <w:jc w:val="center"/>
            </w:pPr>
            <w:r>
              <w:rPr>
                <w:rFonts w:ascii="Calibri" w:hAnsi="Calibri"/>
              </w:rPr>
              <w:t>$2,437,791</w:t>
            </w:r>
          </w:p>
        </w:tc>
        <w:tc>
          <w:tcPr>
            <w:tcW w:w="732" w:type="pct"/>
            <w:vAlign w:val="bottom"/>
          </w:tcPr>
          <w:p w:rsidR="00202328" w:rsidRPr="001D0858" w:rsidRDefault="00202328" w:rsidP="00FF7F90">
            <w:pPr>
              <w:pStyle w:val="Tablewriting"/>
              <w:jc w:val="center"/>
            </w:pPr>
            <w:r>
              <w:rPr>
                <w:rFonts w:ascii="Calibri" w:hAnsi="Calibri"/>
              </w:rPr>
              <w:t>$2,907,873</w:t>
            </w:r>
          </w:p>
        </w:tc>
        <w:tc>
          <w:tcPr>
            <w:tcW w:w="731" w:type="pct"/>
            <w:vAlign w:val="bottom"/>
          </w:tcPr>
          <w:p w:rsidR="00202328" w:rsidRPr="001D0858" w:rsidRDefault="00202328" w:rsidP="00FF7F90">
            <w:pPr>
              <w:pStyle w:val="Tablewriting"/>
              <w:jc w:val="center"/>
            </w:pPr>
            <w:r>
              <w:rPr>
                <w:rFonts w:ascii="Calibri" w:hAnsi="Calibri"/>
              </w:rPr>
              <w:t>$3,946,408</w:t>
            </w:r>
          </w:p>
        </w:tc>
      </w:tr>
      <w:tr w:rsidR="00202328" w:rsidRPr="00C51B09" w:rsidTr="00071F03">
        <w:trPr>
          <w:trHeight w:val="296"/>
        </w:trPr>
        <w:tc>
          <w:tcPr>
            <w:tcW w:w="607" w:type="pct"/>
          </w:tcPr>
          <w:p w:rsidR="00202328" w:rsidRDefault="00202328" w:rsidP="00FF7F90">
            <w:pPr>
              <w:pStyle w:val="Tableheading"/>
              <w:jc w:val="left"/>
              <w:rPr>
                <w:b w:val="0"/>
                <w:szCs w:val="20"/>
              </w:rPr>
            </w:pPr>
            <w:r>
              <w:rPr>
                <w:b w:val="0"/>
                <w:szCs w:val="20"/>
              </w:rPr>
              <w:t>Difference</w:t>
            </w:r>
          </w:p>
        </w:tc>
        <w:tc>
          <w:tcPr>
            <w:tcW w:w="732" w:type="pct"/>
            <w:vAlign w:val="bottom"/>
          </w:tcPr>
          <w:p w:rsidR="00202328" w:rsidRPr="0093627C" w:rsidRDefault="0093627C" w:rsidP="00FF7F90">
            <w:pPr>
              <w:pStyle w:val="Tablewriting"/>
              <w:jc w:val="center"/>
              <w:rPr>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color w:val="7030A0"/>
                <w:highlight w:val="black"/>
              </w:rPr>
            </w:pPr>
            <w:r>
              <w:rPr>
                <w:rFonts w:ascii="Calibri" w:hAnsi="Calibri"/>
                <w:noProof/>
                <w:highlight w:val="black"/>
              </w:rPr>
              <w:t>''''''''</w:t>
            </w:r>
          </w:p>
        </w:tc>
        <w:tc>
          <w:tcPr>
            <w:tcW w:w="732" w:type="pct"/>
            <w:vAlign w:val="bottom"/>
          </w:tcPr>
          <w:p w:rsidR="00202328" w:rsidRPr="0093627C" w:rsidRDefault="0093627C" w:rsidP="00FF7F90">
            <w:pPr>
              <w:pStyle w:val="Tablewriting"/>
              <w:jc w:val="center"/>
              <w:rPr>
                <w:color w:val="7030A0"/>
                <w:highlight w:val="black"/>
              </w:rPr>
            </w:pPr>
            <w:r>
              <w:rPr>
                <w:rFonts w:ascii="Calibri" w:hAnsi="Calibri"/>
                <w:noProof/>
                <w:highlight w:val="black"/>
              </w:rPr>
              <w:t>'''''''''</w:t>
            </w:r>
          </w:p>
        </w:tc>
        <w:tc>
          <w:tcPr>
            <w:tcW w:w="731" w:type="pct"/>
            <w:vAlign w:val="bottom"/>
          </w:tcPr>
          <w:p w:rsidR="00202328" w:rsidRPr="0093627C" w:rsidRDefault="0093627C" w:rsidP="00FF7F90">
            <w:pPr>
              <w:pStyle w:val="Tablewriting"/>
              <w:jc w:val="center"/>
              <w:rPr>
                <w:color w:val="7030A0"/>
                <w:highlight w:val="black"/>
              </w:rPr>
            </w:pPr>
            <w:r>
              <w:rPr>
                <w:rFonts w:ascii="Calibri" w:hAnsi="Calibri"/>
                <w:noProof/>
                <w:highlight w:val="black"/>
              </w:rPr>
              <w:t>''''''''''''</w:t>
            </w:r>
          </w:p>
        </w:tc>
      </w:tr>
    </w:tbl>
    <w:p w:rsidR="00202328" w:rsidRDefault="00202328" w:rsidP="00202328">
      <w:pPr>
        <w:pStyle w:val="Notes"/>
      </w:pPr>
      <w:r>
        <w:t xml:space="preserve">Source: Infliximab Severe Crohn’s disease final estimates, July 2007. </w:t>
      </w:r>
      <w:proofErr w:type="gramStart"/>
      <w:r w:rsidRPr="00C51B09">
        <w:t>DUSC HSD database, extracted November 2014; DHS Authority approval database, extracted November 2014.</w:t>
      </w:r>
      <w:proofErr w:type="gramEnd"/>
      <w:r>
        <w:br/>
        <w:t>Note: Patient co-payments were not removed for infliximab costs</w:t>
      </w:r>
    </w:p>
    <w:p w:rsidR="0002334C" w:rsidRPr="00F229B3" w:rsidRDefault="0002334C" w:rsidP="0002334C">
      <w:r w:rsidRPr="00F229B3">
        <w:t xml:space="preserve">The number of paediatric patients treated with infliximab has consistently been higher than predicted. Vials supplied and expenditure was lower than predicted in the first two years of listing and higher than expected in subsequent years. </w:t>
      </w:r>
    </w:p>
    <w:p w:rsidR="00591512" w:rsidRDefault="00AB3733" w:rsidP="00FD13CD">
      <w:pPr>
        <w:pStyle w:val="Heading3"/>
      </w:pPr>
      <w:r>
        <w:t>D</w:t>
      </w:r>
      <w:r w:rsidR="007346C7" w:rsidRPr="005E22C2">
        <w:t>iscussion</w:t>
      </w:r>
    </w:p>
    <w:p w:rsidR="0002334C" w:rsidRDefault="0002334C" w:rsidP="0002334C">
      <w:pPr>
        <w:rPr>
          <w:rFonts w:ascii="Calibri" w:eastAsia="MS Mincho" w:hAnsi="Calibri" w:cs="Times New Roman"/>
        </w:rPr>
      </w:pPr>
      <w:r w:rsidRPr="005E76FB">
        <w:rPr>
          <w:rFonts w:ascii="Calibri" w:eastAsia="MS Mincho" w:hAnsi="Calibri" w:cs="Times New Roman"/>
        </w:rPr>
        <w:t xml:space="preserve">The use of </w:t>
      </w:r>
      <w:proofErr w:type="spellStart"/>
      <w:r w:rsidRPr="005E76FB">
        <w:rPr>
          <w:rFonts w:ascii="Calibri" w:eastAsia="MS Mincho" w:hAnsi="Calibri" w:cs="Times New Roman"/>
        </w:rPr>
        <w:t>adalimumab</w:t>
      </w:r>
      <w:proofErr w:type="spellEnd"/>
      <w:r w:rsidRPr="005E76FB">
        <w:rPr>
          <w:rFonts w:ascii="Calibri" w:eastAsia="MS Mincho" w:hAnsi="Calibri" w:cs="Times New Roman"/>
        </w:rPr>
        <w:t xml:space="preserve"> and infliximab for Crohn’s disease has been increasing with a relatively consistent number of new patients starting treatment each year and high rates of patients continuing treatment. </w:t>
      </w:r>
    </w:p>
    <w:p w:rsidR="006F4A33" w:rsidRDefault="006F4A33" w:rsidP="0002334C">
      <w:pPr>
        <w:rPr>
          <w:rFonts w:ascii="Calibri" w:eastAsia="MS Mincho" w:hAnsi="Calibri" w:cs="Times New Roman"/>
        </w:rPr>
      </w:pPr>
      <w:r w:rsidRPr="006F4A33">
        <w:rPr>
          <w:rFonts w:ascii="Calibri" w:eastAsia="MS Mincho" w:hAnsi="Calibri" w:cs="Times New Roman"/>
        </w:rPr>
        <w:lastRenderedPageBreak/>
        <w:t xml:space="preserve">A much higher proportion of patients continue with </w:t>
      </w:r>
      <w:proofErr w:type="spellStart"/>
      <w:r w:rsidRPr="006F4A33">
        <w:rPr>
          <w:rFonts w:ascii="Calibri" w:eastAsia="MS Mincho" w:hAnsi="Calibri" w:cs="Times New Roman"/>
        </w:rPr>
        <w:t>bDMARD</w:t>
      </w:r>
      <w:proofErr w:type="spellEnd"/>
      <w:r w:rsidRPr="006F4A33">
        <w:rPr>
          <w:rFonts w:ascii="Calibri" w:eastAsia="MS Mincho" w:hAnsi="Calibri" w:cs="Times New Roman"/>
        </w:rPr>
        <w:t xml:space="preserve"> treatment than originally expected.  </w:t>
      </w:r>
      <w:r w:rsidR="0046151A">
        <w:rPr>
          <w:rFonts w:ascii="Calibri" w:eastAsia="MS Mincho" w:hAnsi="Calibri" w:cs="Times New Roman"/>
        </w:rPr>
        <w:t>In the PBAC submissions, i</w:t>
      </w:r>
      <w:r w:rsidRPr="006F4A33">
        <w:rPr>
          <w:rFonts w:ascii="Calibri" w:eastAsia="MS Mincho" w:hAnsi="Calibri" w:cs="Times New Roman"/>
        </w:rPr>
        <w:t xml:space="preserve">t was estimated that only 30-40% of patients starting treatment would receive ongoing treatment beyond the initial treatment period of 16 weeks for </w:t>
      </w:r>
      <w:proofErr w:type="spellStart"/>
      <w:r w:rsidRPr="006F4A33">
        <w:rPr>
          <w:rFonts w:ascii="Calibri" w:eastAsia="MS Mincho" w:hAnsi="Calibri" w:cs="Times New Roman"/>
        </w:rPr>
        <w:t>adalimumab</w:t>
      </w:r>
      <w:proofErr w:type="spellEnd"/>
      <w:r w:rsidRPr="006F4A33">
        <w:rPr>
          <w:rFonts w:ascii="Calibri" w:eastAsia="MS Mincho" w:hAnsi="Calibri" w:cs="Times New Roman"/>
        </w:rPr>
        <w:t xml:space="preserve"> and 14 weeks for infliximab. The rates of continuation in the PBS population are higher than rates in the key clinical trials, although the PBS continuation criteria require patients achieve remission to be eligible for continuing therapy. The DUSC noted that 91.7 %, 93.9 % and 91.5 % of patients receive a second authority approval for </w:t>
      </w:r>
      <w:proofErr w:type="spellStart"/>
      <w:r w:rsidRPr="006F4A33">
        <w:rPr>
          <w:rFonts w:ascii="Calibri" w:eastAsia="MS Mincho" w:hAnsi="Calibri" w:cs="Times New Roman"/>
        </w:rPr>
        <w:t>adalimumab</w:t>
      </w:r>
      <w:proofErr w:type="spellEnd"/>
      <w:r w:rsidRPr="006F4A33">
        <w:rPr>
          <w:rFonts w:ascii="Calibri" w:eastAsia="MS Mincho" w:hAnsi="Calibri" w:cs="Times New Roman"/>
        </w:rPr>
        <w:t xml:space="preserve"> or infliximab for severe Crohn’s disease, fistulising Crohn’s disease and paediatric Crohn’s disease respectively.  The DUSC further noted that across the three indication groups, over 70 % of patients remain on </w:t>
      </w:r>
      <w:proofErr w:type="spellStart"/>
      <w:r w:rsidRPr="006F4A33">
        <w:rPr>
          <w:rFonts w:ascii="Calibri" w:eastAsia="MS Mincho" w:hAnsi="Calibri" w:cs="Times New Roman"/>
        </w:rPr>
        <w:t>bDMARD</w:t>
      </w:r>
      <w:proofErr w:type="spellEnd"/>
      <w:r w:rsidRPr="006F4A33">
        <w:rPr>
          <w:rFonts w:ascii="Calibri" w:eastAsia="MS Mincho" w:hAnsi="Calibri" w:cs="Times New Roman"/>
        </w:rPr>
        <w:t xml:space="preserve"> treatment two years after initiation (sixth authority approval) and over 50 % are continuing on their original medicine.  </w:t>
      </w:r>
      <w:r w:rsidRPr="005E76FB">
        <w:rPr>
          <w:rFonts w:ascii="Calibri" w:eastAsia="MS Mincho" w:hAnsi="Calibri" w:cs="Times New Roman"/>
        </w:rPr>
        <w:t xml:space="preserve">This pattern of use is similar to that of </w:t>
      </w:r>
      <w:proofErr w:type="spellStart"/>
      <w:r w:rsidRPr="005E76FB">
        <w:rPr>
          <w:rFonts w:ascii="Calibri" w:eastAsia="MS Mincho" w:hAnsi="Calibri" w:cs="Times New Roman"/>
        </w:rPr>
        <w:t>bDMARDs</w:t>
      </w:r>
      <w:proofErr w:type="spellEnd"/>
      <w:r w:rsidRPr="005E76FB">
        <w:rPr>
          <w:rFonts w:ascii="Calibri" w:eastAsia="MS Mincho" w:hAnsi="Calibri" w:cs="Times New Roman"/>
        </w:rPr>
        <w:t xml:space="preserve"> for other indications. Both the 2009 PBAC review of </w:t>
      </w:r>
      <w:proofErr w:type="spellStart"/>
      <w:r w:rsidRPr="005E76FB">
        <w:rPr>
          <w:rFonts w:ascii="Calibri" w:eastAsia="MS Mincho" w:hAnsi="Calibri" w:cs="Times New Roman"/>
        </w:rPr>
        <w:t>bDMARDs</w:t>
      </w:r>
      <w:proofErr w:type="spellEnd"/>
      <w:r w:rsidRPr="005E76FB">
        <w:rPr>
          <w:rFonts w:ascii="Calibri" w:eastAsia="MS Mincho" w:hAnsi="Calibri" w:cs="Times New Roman"/>
        </w:rPr>
        <w:t xml:space="preserve"> for rheumatoid arthritis</w:t>
      </w:r>
      <w:r w:rsidRPr="005E76FB">
        <w:rPr>
          <w:rFonts w:ascii="Calibri" w:eastAsia="MS Mincho" w:hAnsi="Calibri" w:cs="Times New Roman"/>
          <w:vertAlign w:val="superscript"/>
        </w:rPr>
        <w:footnoteReference w:id="5"/>
      </w:r>
      <w:r w:rsidRPr="005E76FB">
        <w:rPr>
          <w:rFonts w:ascii="Calibri" w:eastAsia="MS Mincho" w:hAnsi="Calibri" w:cs="Times New Roman"/>
        </w:rPr>
        <w:t xml:space="preserve"> and the June 2014 DUSC analysis of </w:t>
      </w:r>
      <w:proofErr w:type="spellStart"/>
      <w:r w:rsidRPr="005E76FB">
        <w:rPr>
          <w:rFonts w:ascii="Calibri" w:eastAsia="MS Mincho" w:hAnsi="Calibri" w:cs="Times New Roman"/>
        </w:rPr>
        <w:t>bDMARDs</w:t>
      </w:r>
      <w:proofErr w:type="spellEnd"/>
      <w:r w:rsidRPr="005E76FB">
        <w:rPr>
          <w:rFonts w:ascii="Calibri" w:eastAsia="MS Mincho" w:hAnsi="Calibri" w:cs="Times New Roman"/>
        </w:rPr>
        <w:t xml:space="preserve"> for plaque psoriasis</w:t>
      </w:r>
      <w:r w:rsidRPr="005E76FB">
        <w:rPr>
          <w:rFonts w:ascii="Calibri" w:eastAsia="MS Mincho" w:hAnsi="Calibri" w:cs="Times New Roman"/>
          <w:vertAlign w:val="superscript"/>
        </w:rPr>
        <w:footnoteReference w:id="6"/>
      </w:r>
      <w:r w:rsidRPr="005E76FB">
        <w:rPr>
          <w:rFonts w:ascii="Calibri" w:eastAsia="MS Mincho" w:hAnsi="Calibri" w:cs="Times New Roman"/>
        </w:rPr>
        <w:t xml:space="preserve"> have shown high continuation rates and steadily increasing uptake with no plateauing of total treated patients. </w:t>
      </w:r>
    </w:p>
    <w:p w:rsidR="0002334C" w:rsidRPr="00F229B3" w:rsidRDefault="0002334C" w:rsidP="0002334C">
      <w:pPr>
        <w:rPr>
          <w:rFonts w:ascii="Calibri" w:eastAsia="MS Mincho" w:hAnsi="Calibri" w:cs="Times New Roman"/>
        </w:rPr>
      </w:pPr>
      <w:r w:rsidRPr="00085C67">
        <w:rPr>
          <w:rFonts w:ascii="Calibri" w:eastAsia="MS Mincho" w:hAnsi="Calibri" w:cs="Times New Roman"/>
        </w:rPr>
        <w:t xml:space="preserve">The number of patients </w:t>
      </w:r>
      <w:r w:rsidRPr="00F229B3">
        <w:rPr>
          <w:rFonts w:ascii="Calibri" w:eastAsia="MS Mincho" w:hAnsi="Calibri" w:cs="Times New Roman"/>
        </w:rPr>
        <w:t>currently treated for severe refractory Crohn’s disease exceeds the originally estimated eligible population in both submissions. The estimates for infliximab estimated high initial uptake in the prevalent population, high rates of discontinuation based on the trial remission rates and few patients re-commencing infliximab treatment.</w:t>
      </w:r>
      <w:r w:rsidR="00331A62" w:rsidRPr="00F229B3">
        <w:rPr>
          <w:rFonts w:ascii="Calibri" w:eastAsia="MS Mincho" w:hAnsi="Calibri" w:cs="Times New Roman"/>
        </w:rPr>
        <w:t xml:space="preserve"> </w:t>
      </w:r>
      <w:r w:rsidRPr="00F229B3">
        <w:rPr>
          <w:rFonts w:ascii="Calibri" w:eastAsia="MS Mincho" w:hAnsi="Calibri" w:cs="Times New Roman"/>
        </w:rPr>
        <w:t xml:space="preserve">The </w:t>
      </w:r>
      <w:proofErr w:type="spellStart"/>
      <w:r w:rsidRPr="00F229B3">
        <w:rPr>
          <w:rFonts w:ascii="Calibri" w:eastAsia="MS Mincho" w:hAnsi="Calibri" w:cs="Times New Roman"/>
        </w:rPr>
        <w:t>adalimumab</w:t>
      </w:r>
      <w:proofErr w:type="spellEnd"/>
      <w:r w:rsidRPr="00F229B3">
        <w:rPr>
          <w:rFonts w:ascii="Calibri" w:eastAsia="MS Mincho" w:hAnsi="Calibri" w:cs="Times New Roman"/>
        </w:rPr>
        <w:t xml:space="preserve"> estimates assumed gradually increasing uptake from the prevalent population, however, due to double counting of patients, the number of patients expected to be treated from the second year onwards was larger than the estimated number of eligible patients. </w:t>
      </w:r>
      <w:proofErr w:type="spellStart"/>
      <w:r w:rsidRPr="00F229B3">
        <w:rPr>
          <w:rFonts w:ascii="Calibri" w:eastAsia="MS Mincho" w:hAnsi="Calibri" w:cs="Times New Roman"/>
        </w:rPr>
        <w:t>Adalimumab</w:t>
      </w:r>
      <w:proofErr w:type="spellEnd"/>
      <w:r w:rsidRPr="00F229B3">
        <w:rPr>
          <w:rFonts w:ascii="Calibri" w:eastAsia="MS Mincho" w:hAnsi="Calibri" w:cs="Times New Roman"/>
        </w:rPr>
        <w:t xml:space="preserve"> was expected to grow the market as its use would not be limited by the capacity of hospital clinics to administer infusions and because patients can use </w:t>
      </w:r>
      <w:proofErr w:type="spellStart"/>
      <w:r w:rsidRPr="00F229B3">
        <w:rPr>
          <w:rFonts w:ascii="Calibri" w:eastAsia="MS Mincho" w:hAnsi="Calibri" w:cs="Times New Roman"/>
        </w:rPr>
        <w:t>adalimumab</w:t>
      </w:r>
      <w:proofErr w:type="spellEnd"/>
      <w:r w:rsidRPr="00F229B3">
        <w:rPr>
          <w:rFonts w:ascii="Calibri" w:eastAsia="MS Mincho" w:hAnsi="Calibri" w:cs="Times New Roman"/>
        </w:rPr>
        <w:t xml:space="preserve"> and infliximab sequentially. However, the severe Crohn’s disease market continues to grow with no indication of stabilising. </w:t>
      </w:r>
    </w:p>
    <w:p w:rsidR="001555AB" w:rsidRPr="00F229B3" w:rsidRDefault="001555AB" w:rsidP="001555AB">
      <w:pPr>
        <w:rPr>
          <w:lang w:eastAsia="en-US"/>
        </w:rPr>
      </w:pPr>
      <w:r w:rsidRPr="00F229B3">
        <w:rPr>
          <w:lang w:eastAsia="en-US"/>
        </w:rPr>
        <w:t xml:space="preserve">The DUSC noted that the sponsor of infliximab acknowledged in its pre-DUSC response the DUSC’s findings that the use of infliximab and </w:t>
      </w:r>
      <w:proofErr w:type="spellStart"/>
      <w:r w:rsidRPr="00F229B3">
        <w:rPr>
          <w:lang w:eastAsia="en-US"/>
        </w:rPr>
        <w:t>adalimumab</w:t>
      </w:r>
      <w:proofErr w:type="spellEnd"/>
      <w:r w:rsidRPr="00F229B3">
        <w:rPr>
          <w:lang w:eastAsia="en-US"/>
        </w:rPr>
        <w:t xml:space="preserve"> has been increasing consistently each year.  The DUSC further noted that the sponsor considered that the original submission for infliximab underestimated the incidence and prevalence of severe Crohn’s disease, the expected number of patients that were eligible for treatment with </w:t>
      </w:r>
      <w:proofErr w:type="spellStart"/>
      <w:r w:rsidRPr="00F229B3">
        <w:rPr>
          <w:lang w:eastAsia="en-US"/>
        </w:rPr>
        <w:t>bDMARDs</w:t>
      </w:r>
      <w:proofErr w:type="spellEnd"/>
      <w:r w:rsidRPr="00F229B3">
        <w:rPr>
          <w:lang w:eastAsia="en-US"/>
        </w:rPr>
        <w:t xml:space="preserve">, and the expected rates of continuation of long term </w:t>
      </w:r>
      <w:proofErr w:type="spellStart"/>
      <w:r w:rsidRPr="00F229B3">
        <w:rPr>
          <w:lang w:eastAsia="en-US"/>
        </w:rPr>
        <w:t>bDMARD</w:t>
      </w:r>
      <w:proofErr w:type="spellEnd"/>
      <w:r w:rsidRPr="00F229B3">
        <w:rPr>
          <w:lang w:eastAsia="en-US"/>
        </w:rPr>
        <w:t xml:space="preserve"> therapy.  The sponsor noted that the submission was based on the evidence available at the time and considered that additional clinical evidence is available since the time of the submission which would support higher utilisation estimates.  The DUSC noted that the new clinical evidence requires evaluation and PBAC consideration. </w:t>
      </w:r>
    </w:p>
    <w:p w:rsidR="001555AB" w:rsidRPr="00F229B3" w:rsidRDefault="001555AB" w:rsidP="0002334C">
      <w:pPr>
        <w:rPr>
          <w:lang w:eastAsia="en-US"/>
        </w:rPr>
      </w:pPr>
      <w:r w:rsidRPr="00F229B3">
        <w:rPr>
          <w:lang w:eastAsia="en-US"/>
        </w:rPr>
        <w:t>The DUSC noted the sponsor of infliximab’s reference to the SONIC</w:t>
      </w:r>
      <w:r w:rsidRPr="00F229B3">
        <w:rPr>
          <w:vertAlign w:val="superscript"/>
          <w:lang w:eastAsia="en-US"/>
        </w:rPr>
        <w:footnoteReference w:id="7"/>
      </w:r>
      <w:r w:rsidRPr="00F229B3">
        <w:rPr>
          <w:lang w:eastAsia="en-US"/>
        </w:rPr>
        <w:t xml:space="preserve"> trial with regards to the longer than estimated continuation rates.  The DUSC however noted that the </w:t>
      </w:r>
      <w:r w:rsidRPr="00F229B3">
        <w:rPr>
          <w:lang w:eastAsia="en-US"/>
        </w:rPr>
        <w:lastRenderedPageBreak/>
        <w:t xml:space="preserve">continuation of treatment with PBS subsidised </w:t>
      </w:r>
      <w:proofErr w:type="spellStart"/>
      <w:r w:rsidRPr="00F229B3">
        <w:rPr>
          <w:lang w:eastAsia="en-US"/>
        </w:rPr>
        <w:t>bDMARDs</w:t>
      </w:r>
      <w:proofErr w:type="spellEnd"/>
      <w:r w:rsidRPr="00F229B3">
        <w:rPr>
          <w:lang w:eastAsia="en-US"/>
        </w:rPr>
        <w:t xml:space="preserve"> for severe Crohn’s disease are much longer than the remission rates in SONIC (noting that the estimations of continuation rates in the submission were based on the remission rates in the trials presented in the submission).</w:t>
      </w:r>
    </w:p>
    <w:p w:rsidR="0002334C" w:rsidRPr="00346BD9" w:rsidRDefault="0002334C" w:rsidP="0002334C">
      <w:r>
        <w:t>There is no published data on the prevalence of Crohn’s disease in Australia.</w:t>
      </w:r>
      <w:r w:rsidR="00D4062E">
        <w:rPr>
          <w:rStyle w:val="FootnoteReference"/>
        </w:rPr>
        <w:footnoteReference w:id="8"/>
      </w:r>
      <w:r>
        <w:t xml:space="preserve"> A study from New Zealand estimated a prevalence of 0.16% in 2004. It was estimated that there were approximately 28,000 people with Crohn’s disease in Australia in 2005 and was forecast to increase to over 38,000 people in 2015. Australia is considered to have high incidence of Crohn’s disease with a study undertaken in Geelong finding an incidence rate of 17.4 per 100,000. This rate is higher than incidence rates reported in other high incidence countries such as New Zealand, United Kingdom, Canada and Denmark. The incidence of Crohn’s disease is believed to be increasing and may contribute to increasing utilisation in the future. In addition to the lack of Australian prevalence data, there is also a lack of data on severity and the proportion of patients who achieve with good outcomes from older treatments. </w:t>
      </w:r>
    </w:p>
    <w:p w:rsidR="0002334C" w:rsidRDefault="0002334C" w:rsidP="0002334C">
      <w:r>
        <w:t xml:space="preserve">The number of paediatric patients treated with infliximab has consistently been higher than predicted. </w:t>
      </w:r>
      <w:r w:rsidRPr="00867072">
        <w:t>Total infliximab vials and expenditure has grown faster than patient numbers for paediatric patients.</w:t>
      </w:r>
      <w:r>
        <w:t xml:space="preserve"> </w:t>
      </w:r>
      <w:r w:rsidRPr="00867072">
        <w:t xml:space="preserve">The analysis of infliximab dose for paediatric </w:t>
      </w:r>
      <w:r w:rsidRPr="00F229B3">
        <w:t xml:space="preserve">patients in 2013-14 financial year showed the average number of vials per prescription was 3.27, substantially higher than predicted. There was an increase in the number of patients starting treatment in 2012 and 2013. This may have been due to changes in the steroid dosing requirements </w:t>
      </w:r>
      <w:r w:rsidR="003A397A" w:rsidRPr="00F229B3">
        <w:t xml:space="preserve">in the PBS restrictions </w:t>
      </w:r>
      <w:r w:rsidRPr="00F229B3">
        <w:t xml:space="preserve">from 40 mg prednisolone equivalent to 1 mg/kg prednisolone </w:t>
      </w:r>
      <w:r w:rsidRPr="00867072">
        <w:t>or equivalent</w:t>
      </w:r>
      <w:r w:rsidR="00434C02" w:rsidRPr="00867072">
        <w:t xml:space="preserve"> e</w:t>
      </w:r>
      <w:r w:rsidR="00991F4B" w:rsidRPr="00867072">
        <w:t>ffective 1 January 2011.</w:t>
      </w:r>
    </w:p>
    <w:p w:rsidR="00F10A52" w:rsidRDefault="0002334C" w:rsidP="00F10A52">
      <w:r w:rsidRPr="00867072">
        <w:t xml:space="preserve">A copy of the report </w:t>
      </w:r>
      <w:r w:rsidR="00E23751" w:rsidRPr="00867072">
        <w:t>was</w:t>
      </w:r>
      <w:r w:rsidR="00F10A52">
        <w:t xml:space="preserve"> sen</w:t>
      </w:r>
      <w:r w:rsidR="00DA079E">
        <w:t>t</w:t>
      </w:r>
      <w:r w:rsidR="00F10A52">
        <w:t xml:space="preserve"> to the </w:t>
      </w:r>
      <w:proofErr w:type="spellStart"/>
      <w:r w:rsidR="00F10A52">
        <w:t>Gastroentrological</w:t>
      </w:r>
      <w:proofErr w:type="spellEnd"/>
      <w:r w:rsidR="00F10A52">
        <w:t xml:space="preserve"> Society of </w:t>
      </w:r>
      <w:proofErr w:type="gramStart"/>
      <w:r w:rsidR="00F10A52">
        <w:t>Australia</w:t>
      </w:r>
      <w:r w:rsidR="00B7027D" w:rsidRPr="00867072">
        <w:t>,</w:t>
      </w:r>
      <w:proofErr w:type="gramEnd"/>
      <w:r w:rsidR="00B7027D">
        <w:t xml:space="preserve"> however a response was not received</w:t>
      </w:r>
      <w:r w:rsidR="002B6850">
        <w:t xml:space="preserve"> at the time of the DUSC meeting</w:t>
      </w:r>
      <w:r w:rsidR="00B7027D">
        <w:t>.</w:t>
      </w:r>
    </w:p>
    <w:p w:rsidR="007346C7" w:rsidRDefault="00957837" w:rsidP="00FD13CD">
      <w:pPr>
        <w:pStyle w:val="Heading3"/>
      </w:pPr>
      <w:r>
        <w:t>DUSC actions</w:t>
      </w:r>
    </w:p>
    <w:p w:rsidR="0002334C" w:rsidRPr="00B12D4E" w:rsidRDefault="0002334C" w:rsidP="00876F49">
      <w:pPr>
        <w:pStyle w:val="ListParagraph"/>
        <w:numPr>
          <w:ilvl w:val="0"/>
          <w:numId w:val="13"/>
        </w:numPr>
      </w:pPr>
      <w:r w:rsidRPr="00B12D4E">
        <w:t xml:space="preserve">The DUSC requested that a copy of the report be provided to the Post-Market Review Section noting the much higher proportion of patients continuing with </w:t>
      </w:r>
      <w:proofErr w:type="spellStart"/>
      <w:r w:rsidRPr="00B12D4E">
        <w:t>bDMARD</w:t>
      </w:r>
      <w:proofErr w:type="spellEnd"/>
      <w:r w:rsidRPr="00B12D4E">
        <w:t xml:space="preserve"> treatment for Crohn’s disease than originally expected.</w:t>
      </w:r>
    </w:p>
    <w:p w:rsidR="0002334C" w:rsidRPr="00B12D4E" w:rsidRDefault="0002334C" w:rsidP="00876F49">
      <w:pPr>
        <w:pStyle w:val="ListParagraph"/>
        <w:numPr>
          <w:ilvl w:val="0"/>
          <w:numId w:val="13"/>
        </w:numPr>
      </w:pPr>
      <w:r w:rsidRPr="00B12D4E">
        <w:t>The DUSC requested that the report and the Sponsor responses be provided to the PBAC, noting that the rates of treatment continuation are much higher than expected across all Crohn’s disease indications.</w:t>
      </w:r>
    </w:p>
    <w:p w:rsidR="0002334C" w:rsidRDefault="0002334C">
      <w:pPr>
        <w:spacing w:line="276" w:lineRule="auto"/>
        <w:rPr>
          <w:rFonts w:eastAsiaTheme="majorEastAsia" w:cstheme="majorBidi"/>
          <w:b/>
          <w:bCs/>
          <w:sz w:val="32"/>
          <w:szCs w:val="32"/>
        </w:rPr>
      </w:pPr>
      <w:r>
        <w:br w:type="page"/>
      </w:r>
    </w:p>
    <w:p w:rsidR="001B50CA" w:rsidRPr="0092516A" w:rsidRDefault="001B50CA" w:rsidP="00FD13CD">
      <w:pPr>
        <w:pStyle w:val="Heading3"/>
      </w:pPr>
      <w:r w:rsidRPr="0092516A">
        <w:lastRenderedPageBreak/>
        <w:t>Context for analysis</w:t>
      </w:r>
    </w:p>
    <w:p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rsidR="003529E0" w:rsidRDefault="003529E0" w:rsidP="00FD13CD">
      <w:pPr>
        <w:pStyle w:val="Heading3"/>
      </w:pPr>
      <w:r>
        <w:t>Sponsor</w:t>
      </w:r>
      <w:r w:rsidRPr="0092516A">
        <w:t>s</w:t>
      </w:r>
      <w:r>
        <w:t>’</w:t>
      </w:r>
      <w:r w:rsidRPr="0092516A">
        <w:t xml:space="preserve"> comments</w:t>
      </w:r>
    </w:p>
    <w:p w:rsidR="00EE7257" w:rsidRDefault="00EE7257" w:rsidP="00EE7257">
      <w:proofErr w:type="spellStart"/>
      <w:r>
        <w:t>AbbVie</w:t>
      </w:r>
      <w:proofErr w:type="spellEnd"/>
      <w:r>
        <w:t xml:space="preserve"> Pty Ltd: </w:t>
      </w:r>
      <w:proofErr w:type="spellStart"/>
      <w:r w:rsidRPr="00EE7257">
        <w:t>AbbVie</w:t>
      </w:r>
      <w:proofErr w:type="spellEnd"/>
      <w:r w:rsidRPr="00EE7257">
        <w:t xml:space="preserve"> supports the ongoing access to </w:t>
      </w:r>
      <w:proofErr w:type="spellStart"/>
      <w:r w:rsidRPr="00EE7257">
        <w:t>adalimumab</w:t>
      </w:r>
      <w:proofErr w:type="spellEnd"/>
      <w:r w:rsidRPr="00EE7257">
        <w:t xml:space="preserve"> according to PBS listing criteria in this area of high clinical need.</w:t>
      </w:r>
    </w:p>
    <w:p w:rsidR="000429D8" w:rsidRPr="00EE7257" w:rsidRDefault="000429D8" w:rsidP="00EE7257">
      <w:r w:rsidRPr="000429D8">
        <w:t>Janssen-</w:t>
      </w:r>
      <w:proofErr w:type="spellStart"/>
      <w:r w:rsidRPr="000429D8">
        <w:t>Cilag</w:t>
      </w:r>
      <w:proofErr w:type="spellEnd"/>
      <w:r w:rsidRPr="000429D8">
        <w:t xml:space="preserve"> Pty Ltd</w:t>
      </w:r>
      <w:r>
        <w:t xml:space="preserve">: The sponsor has no comment. </w:t>
      </w:r>
    </w:p>
    <w:p w:rsidR="00FE645A" w:rsidRDefault="00A4020E" w:rsidP="001B4788">
      <w:pPr>
        <w:pStyle w:val="Heading3"/>
      </w:pPr>
      <w:r w:rsidRPr="00A4020E">
        <w:t>Disclaimer</w:t>
      </w:r>
    </w:p>
    <w:p w:rsidR="000B268E" w:rsidRPr="000B268E" w:rsidRDefault="000B268E" w:rsidP="00125FC2">
      <w:r w:rsidRPr="000B268E">
        <w:t>The information provided in this report does not constitute medical advice and is not intended to take the place of profe</w:t>
      </w:r>
      <w:r w:rsidR="00F11CFC">
        <w:t>ssional medical advice or care.</w:t>
      </w:r>
      <w:r w:rsidR="00331A62">
        <w:t xml:space="preserve"> </w:t>
      </w:r>
      <w:r w:rsidRPr="000B268E">
        <w:t>It is not intended to define what constitutes reasonable, appropriate or best care for any individual for any given health issue.</w:t>
      </w:r>
      <w:r w:rsidR="00331A62">
        <w:t xml:space="preserve"> </w:t>
      </w:r>
      <w:r w:rsidRPr="000B268E">
        <w:t>The information should not be used as a substitute for the judgement and skill of a medical practitioner.</w:t>
      </w:r>
    </w:p>
    <w:p w:rsidR="000B268E" w:rsidRPr="000B268E" w:rsidRDefault="000B268E" w:rsidP="00125FC2">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rsidR="00F11CFC">
        <w:t>al Benefits Advisory Committee.</w:t>
      </w:r>
      <w:r w:rsidR="00331A62">
        <w:t xml:space="preserve"> </w:t>
      </w:r>
      <w:r w:rsidRPr="000B268E">
        <w:t>The context for that information may have changed since publication.</w:t>
      </w:r>
    </w:p>
    <w:p w:rsidR="000B268E" w:rsidRPr="000B268E" w:rsidRDefault="000B268E" w:rsidP="00125FC2">
      <w:r w:rsidRPr="000B268E">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rsidR="005C4023" w:rsidRPr="000B268E" w:rsidRDefault="000B268E" w:rsidP="00125FC2">
      <w:r w:rsidRPr="000B268E">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w:t>
      </w:r>
      <w:r w:rsidRPr="000B268E">
        <w:lastRenderedPageBreak/>
        <w:t>information available from this report or contained on any third party website referred to in this report.</w:t>
      </w:r>
    </w:p>
    <w:sectPr w:rsidR="005C4023" w:rsidRPr="000B268E" w:rsidSect="00297DC2">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6D" w:rsidRDefault="00D4386D" w:rsidP="00A35800">
      <w:r>
        <w:separator/>
      </w:r>
    </w:p>
  </w:endnote>
  <w:endnote w:type="continuationSeparator" w:id="0">
    <w:p w:rsidR="00D4386D" w:rsidRDefault="00D4386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6D" w:rsidRDefault="00D4386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4386D" w:rsidRDefault="00D4386D"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rsidR="00D4386D" w:rsidRPr="00CB6ABE" w:rsidRDefault="00D4386D" w:rsidP="00CB6ABE">
            <w:pPr>
              <w:pStyle w:val="Footer"/>
              <w:jc w:val="center"/>
              <w:rPr>
                <w:i/>
                <w:sz w:val="20"/>
                <w:szCs w:val="20"/>
              </w:rPr>
            </w:pPr>
            <w:r>
              <w:rPr>
                <w:i/>
                <w:sz w:val="20"/>
                <w:szCs w:val="20"/>
              </w:rPr>
              <w:t>Public Release Document, February 2015 DUSC Meeting</w:t>
            </w:r>
          </w:p>
          <w:p w:rsidR="00D4386D" w:rsidRDefault="00D4386D"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98409F">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98409F">
              <w:rPr>
                <w:bCs/>
                <w:i/>
                <w:noProof/>
                <w:sz w:val="20"/>
                <w:szCs w:val="20"/>
              </w:rPr>
              <w:t>35</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6D" w:rsidRDefault="00D4386D">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6D" w:rsidRDefault="00D4386D" w:rsidP="00A35800">
      <w:r>
        <w:separator/>
      </w:r>
    </w:p>
  </w:footnote>
  <w:footnote w:type="continuationSeparator" w:id="0">
    <w:p w:rsidR="00D4386D" w:rsidRDefault="00D4386D" w:rsidP="00A35800">
      <w:r>
        <w:continuationSeparator/>
      </w:r>
    </w:p>
  </w:footnote>
  <w:footnote w:id="1">
    <w:p w:rsidR="00D4386D" w:rsidRDefault="00D4386D" w:rsidP="00EB21C9">
      <w:pPr>
        <w:pStyle w:val="FootnoteText"/>
      </w:pPr>
      <w:r>
        <w:rPr>
          <w:rStyle w:val="FootnoteReference"/>
        </w:rPr>
        <w:footnoteRef/>
      </w:r>
      <w:r>
        <w:t xml:space="preserve"> </w:t>
      </w:r>
      <w:proofErr w:type="spellStart"/>
      <w:r>
        <w:t>Remicade</w:t>
      </w:r>
      <w:proofErr w:type="spellEnd"/>
      <w:r>
        <w:t xml:space="preserve"> (infliximab</w:t>
      </w:r>
      <w:proofErr w:type="gramStart"/>
      <w:r>
        <w:t>)Australian</w:t>
      </w:r>
      <w:proofErr w:type="gramEnd"/>
      <w:r>
        <w:t xml:space="preserve"> Approved Product Information. Sydney: Janssen </w:t>
      </w:r>
      <w:proofErr w:type="spellStart"/>
      <w:r>
        <w:t>Cliag</w:t>
      </w:r>
      <w:proofErr w:type="spellEnd"/>
      <w:r>
        <w:t xml:space="preserve"> Pty Ltd. Approved 2 August 2000, Amended 11 February 2015. </w:t>
      </w:r>
      <w:proofErr w:type="gramStart"/>
      <w:r>
        <w:t>Available from &lt;</w:t>
      </w:r>
      <w:hyperlink r:id="rId1" w:history="1">
        <w:r w:rsidRPr="00417DCB">
          <w:rPr>
            <w:rStyle w:val="Hyperlink"/>
          </w:rPr>
          <w:t>TGA website</w:t>
        </w:r>
      </w:hyperlink>
      <w:r>
        <w:rPr>
          <w:rStyle w:val="Hyperlink"/>
        </w:rPr>
        <w:t>&gt;</w:t>
      </w:r>
      <w:r>
        <w:t>.</w:t>
      </w:r>
      <w:proofErr w:type="gramEnd"/>
      <w:r>
        <w:t xml:space="preserve"> </w:t>
      </w:r>
      <w:proofErr w:type="gramStart"/>
      <w:r>
        <w:t>Accessed 15 Dec 2014.</w:t>
      </w:r>
      <w:proofErr w:type="gramEnd"/>
    </w:p>
  </w:footnote>
  <w:footnote w:id="2">
    <w:p w:rsidR="00D4386D" w:rsidRDefault="00D4386D" w:rsidP="00EB21C9">
      <w:pPr>
        <w:pStyle w:val="FootnoteText"/>
      </w:pPr>
      <w:r>
        <w:rPr>
          <w:rStyle w:val="FootnoteReference"/>
        </w:rPr>
        <w:footnoteRef/>
      </w:r>
      <w:r>
        <w:t xml:space="preserve"> </w:t>
      </w:r>
      <w:proofErr w:type="spellStart"/>
      <w:proofErr w:type="gramStart"/>
      <w:r>
        <w:t>Humira</w:t>
      </w:r>
      <w:proofErr w:type="spellEnd"/>
      <w:r>
        <w:t xml:space="preserve"> (</w:t>
      </w:r>
      <w:proofErr w:type="spellStart"/>
      <w:r>
        <w:t>adalimumab</w:t>
      </w:r>
      <w:proofErr w:type="spellEnd"/>
      <w:r>
        <w:t xml:space="preserve">) Australian Approved </w:t>
      </w:r>
      <w:r w:rsidRPr="00F06285">
        <w:t>Product Information.</w:t>
      </w:r>
      <w:proofErr w:type="gramEnd"/>
      <w:r w:rsidRPr="00F06285">
        <w:t xml:space="preserve"> </w:t>
      </w:r>
      <w:r>
        <w:t xml:space="preserve">Sydney: </w:t>
      </w:r>
      <w:proofErr w:type="spellStart"/>
      <w:r>
        <w:t>AbbVie</w:t>
      </w:r>
      <w:proofErr w:type="spellEnd"/>
      <w:r>
        <w:t xml:space="preserve"> Pty Ltd. Approved 10 December 2003. </w:t>
      </w:r>
      <w:proofErr w:type="gramStart"/>
      <w:r w:rsidRPr="00F06285">
        <w:t xml:space="preserve">Available from </w:t>
      </w:r>
      <w:r>
        <w:t>the &lt;</w:t>
      </w:r>
      <w:hyperlink r:id="rId2" w:history="1">
        <w:r w:rsidRPr="00417DCB">
          <w:rPr>
            <w:rStyle w:val="Hyperlink"/>
          </w:rPr>
          <w:t>TGA website</w:t>
        </w:r>
      </w:hyperlink>
      <w:r>
        <w:rPr>
          <w:rStyle w:val="Hyperlink"/>
        </w:rPr>
        <w:t>&gt;</w:t>
      </w:r>
      <w:r w:rsidRPr="00F06285">
        <w:t>.</w:t>
      </w:r>
      <w:proofErr w:type="gramEnd"/>
      <w:r w:rsidRPr="00F06285">
        <w:t xml:space="preserve"> </w:t>
      </w:r>
      <w:proofErr w:type="gramStart"/>
      <w:r w:rsidRPr="00F06285">
        <w:t>Accessed 15 Dec 2014</w:t>
      </w:r>
      <w:r>
        <w:t>.</w:t>
      </w:r>
      <w:proofErr w:type="gramEnd"/>
    </w:p>
  </w:footnote>
  <w:footnote w:id="3">
    <w:p w:rsidR="00D4386D" w:rsidRDefault="00D4386D" w:rsidP="00EB21C9">
      <w:pPr>
        <w:pStyle w:val="FootnoteText"/>
      </w:pPr>
      <w:r>
        <w:rPr>
          <w:rStyle w:val="FootnoteReference"/>
        </w:rPr>
        <w:footnoteRef/>
      </w:r>
      <w:r>
        <w:t xml:space="preserve"> </w:t>
      </w:r>
      <w:proofErr w:type="gramStart"/>
      <w:r>
        <w:t xml:space="preserve">Digestive Health Foundation and </w:t>
      </w:r>
      <w:proofErr w:type="spellStart"/>
      <w:r>
        <w:t>Gastoenterology</w:t>
      </w:r>
      <w:proofErr w:type="spellEnd"/>
      <w:r>
        <w:t xml:space="preserve"> Society of Australia.</w:t>
      </w:r>
      <w:proofErr w:type="gramEnd"/>
      <w:r>
        <w:t xml:space="preserve"> </w:t>
      </w:r>
      <w:proofErr w:type="gramStart"/>
      <w:r>
        <w:t>Inflammatory Bowel Disease.</w:t>
      </w:r>
      <w:proofErr w:type="gramEnd"/>
      <w:r>
        <w:t xml:space="preserve"> </w:t>
      </w:r>
      <w:proofErr w:type="gramStart"/>
      <w:r>
        <w:t>3</w:t>
      </w:r>
      <w:r w:rsidRPr="001109E9">
        <w:rPr>
          <w:vertAlign w:val="superscript"/>
        </w:rPr>
        <w:t>rd</w:t>
      </w:r>
      <w:r>
        <w:t xml:space="preserve"> Edition.</w:t>
      </w:r>
      <w:proofErr w:type="gramEnd"/>
      <w:r>
        <w:t xml:space="preserve"> 2013. Mulgrave: Digestive Health Foundation; 2013. </w:t>
      </w:r>
      <w:proofErr w:type="gramStart"/>
      <w:r>
        <w:t>Available from &lt;</w:t>
      </w:r>
      <w:hyperlink r:id="rId3" w:history="1">
        <w:r w:rsidRPr="001C3260">
          <w:rPr>
            <w:rStyle w:val="Hyperlink"/>
          </w:rPr>
          <w:t>http://www.gesa.org.au/files/editor_upload/File/Professional/33859_b-2.pdf</w:t>
        </w:r>
      </w:hyperlink>
      <w:r>
        <w:rPr>
          <w:rStyle w:val="Hyperlink"/>
        </w:rPr>
        <w:t>&gt;</w:t>
      </w:r>
      <w:r>
        <w:t>.</w:t>
      </w:r>
      <w:proofErr w:type="gramEnd"/>
      <w:r>
        <w:t xml:space="preserve"> Accessed 1 Dec 2014</w:t>
      </w:r>
    </w:p>
  </w:footnote>
  <w:footnote w:id="4">
    <w:p w:rsidR="00D4386D" w:rsidRDefault="00D4386D" w:rsidP="00EB21C9">
      <w:pPr>
        <w:pStyle w:val="FootnoteText"/>
      </w:pPr>
      <w:r>
        <w:rPr>
          <w:rStyle w:val="FootnoteReference"/>
        </w:rPr>
        <w:footnoteRef/>
      </w:r>
      <w:r>
        <w:t xml:space="preserve"> </w:t>
      </w:r>
      <w:proofErr w:type="gramStart"/>
      <w:r>
        <w:t>Crohn’s and Colitis UK.</w:t>
      </w:r>
      <w:proofErr w:type="gramEnd"/>
      <w:r>
        <w:t xml:space="preserve"> </w:t>
      </w:r>
      <w:proofErr w:type="gramStart"/>
      <w:r>
        <w:t>Living with a fistula.</w:t>
      </w:r>
      <w:proofErr w:type="gramEnd"/>
      <w:r>
        <w:t xml:space="preserve"> St Albans, U.K: Crohn’s and Colitis UK; 2013. </w:t>
      </w:r>
      <w:proofErr w:type="gramStart"/>
      <w:r>
        <w:t>Available from &lt;</w:t>
      </w:r>
      <w:hyperlink r:id="rId4" w:history="1">
        <w:r w:rsidRPr="001C3260">
          <w:rPr>
            <w:rStyle w:val="Hyperlink"/>
          </w:rPr>
          <w:t>http://www.crohnsandcolitis.org.uk/Resources/CrohnsAndColitisUK/Documents/Publications/Info-Sheets/Living%20with%20a%20Fistula.pdf</w:t>
        </w:r>
      </w:hyperlink>
      <w:r>
        <w:rPr>
          <w:rStyle w:val="Hyperlink"/>
        </w:rPr>
        <w:t>&gt;</w:t>
      </w:r>
      <w:r>
        <w:t>.</w:t>
      </w:r>
      <w:proofErr w:type="gramEnd"/>
      <w:r>
        <w:t xml:space="preserve"> </w:t>
      </w:r>
      <w:proofErr w:type="gramStart"/>
      <w:r>
        <w:t>Accessed 1 Dec 2014.</w:t>
      </w:r>
      <w:proofErr w:type="gramEnd"/>
      <w:r>
        <w:t xml:space="preserve"> </w:t>
      </w:r>
    </w:p>
  </w:footnote>
  <w:footnote w:id="5">
    <w:p w:rsidR="00D4386D" w:rsidRDefault="00D4386D" w:rsidP="006F4A33">
      <w:pPr>
        <w:pStyle w:val="FootnoteText"/>
      </w:pPr>
      <w:r>
        <w:rPr>
          <w:rStyle w:val="FootnoteReference"/>
        </w:rPr>
        <w:footnoteRef/>
      </w:r>
      <w:r>
        <w:t xml:space="preserve"> </w:t>
      </w:r>
      <w:r w:rsidRPr="00127776">
        <w:t>http://www.pbs.gov.au/info/industry/listing/elements/pbac-meetings/psd/2009-12/pbac-psd-bdmards-dec09</w:t>
      </w:r>
    </w:p>
  </w:footnote>
  <w:footnote w:id="6">
    <w:p w:rsidR="00D4386D" w:rsidRDefault="00D4386D" w:rsidP="006F4A33">
      <w:pPr>
        <w:pStyle w:val="FootnoteText"/>
      </w:pPr>
      <w:r>
        <w:rPr>
          <w:rStyle w:val="FootnoteReference"/>
        </w:rPr>
        <w:footnoteRef/>
      </w:r>
      <w:r>
        <w:t xml:space="preserve"> </w:t>
      </w:r>
      <w:r w:rsidRPr="00127776">
        <w:t>http://www.pbs.gov.au/info/industry/listing/participants/public-release-docs/bDMARDs-chronic-plaque-psoriasis</w:t>
      </w:r>
    </w:p>
  </w:footnote>
  <w:footnote w:id="7">
    <w:p w:rsidR="00D4386D" w:rsidRPr="00683ECA" w:rsidRDefault="00D4386D" w:rsidP="001555AB">
      <w:pPr>
        <w:pStyle w:val="FootnoteText"/>
      </w:pPr>
      <w:r w:rsidRPr="00683ECA">
        <w:rPr>
          <w:rStyle w:val="FootnoteReference"/>
        </w:rPr>
        <w:footnoteRef/>
      </w:r>
      <w:r w:rsidRPr="00683ECA">
        <w:t xml:space="preserve"> </w:t>
      </w:r>
      <w:proofErr w:type="spellStart"/>
      <w:r w:rsidRPr="00683ECA">
        <w:t>Frédéric</w:t>
      </w:r>
      <w:proofErr w:type="spellEnd"/>
      <w:r w:rsidRPr="00683ECA">
        <w:t xml:space="preserve"> </w:t>
      </w:r>
      <w:proofErr w:type="spellStart"/>
      <w:r w:rsidRPr="00683ECA">
        <w:t>Colombel</w:t>
      </w:r>
      <w:proofErr w:type="spellEnd"/>
      <w:r w:rsidRPr="00683ECA">
        <w:t xml:space="preserve"> J, </w:t>
      </w:r>
      <w:proofErr w:type="spellStart"/>
      <w:r w:rsidRPr="00683ECA">
        <w:t>Sandborn</w:t>
      </w:r>
      <w:proofErr w:type="spellEnd"/>
      <w:r w:rsidRPr="00683ECA">
        <w:t xml:space="preserve"> WJ, </w:t>
      </w:r>
      <w:proofErr w:type="spellStart"/>
      <w:r w:rsidRPr="00683ECA">
        <w:t>Reinisch</w:t>
      </w:r>
      <w:proofErr w:type="spellEnd"/>
      <w:r w:rsidRPr="00683ECA">
        <w:t xml:space="preserve"> W, </w:t>
      </w:r>
      <w:proofErr w:type="spellStart"/>
      <w:r w:rsidRPr="00683ECA">
        <w:t>Mantzaris</w:t>
      </w:r>
      <w:proofErr w:type="spellEnd"/>
      <w:r w:rsidRPr="00683ECA">
        <w:t xml:space="preserve"> GJ, </w:t>
      </w:r>
      <w:proofErr w:type="spellStart"/>
      <w:r w:rsidRPr="00683ECA">
        <w:t>Kornbluth</w:t>
      </w:r>
      <w:proofErr w:type="spellEnd"/>
      <w:r w:rsidRPr="00683ECA">
        <w:t xml:space="preserve"> A, </w:t>
      </w:r>
      <w:proofErr w:type="spellStart"/>
      <w:r w:rsidRPr="00683ECA">
        <w:t>Rachmilewitz</w:t>
      </w:r>
      <w:proofErr w:type="spellEnd"/>
      <w:r w:rsidRPr="00683ECA">
        <w:t xml:space="preserve"> D et. </w:t>
      </w:r>
      <w:proofErr w:type="gramStart"/>
      <w:r w:rsidRPr="00683ECA">
        <w:t>al</w:t>
      </w:r>
      <w:proofErr w:type="gramEnd"/>
      <w:r w:rsidRPr="00683ECA">
        <w:t xml:space="preserve">. for the SONIC Study Group. </w:t>
      </w:r>
      <w:proofErr w:type="gramStart"/>
      <w:r w:rsidRPr="00683ECA">
        <w:t xml:space="preserve">Infliximab, Azathioprine, or Combination Therapy for </w:t>
      </w:r>
      <w:proofErr w:type="spellStart"/>
      <w:r w:rsidRPr="00683ECA">
        <w:t>Crohn’s's</w:t>
      </w:r>
      <w:proofErr w:type="spellEnd"/>
      <w:r w:rsidRPr="00683ECA">
        <w:t xml:space="preserve"> Disease.</w:t>
      </w:r>
      <w:proofErr w:type="gramEnd"/>
      <w:r w:rsidRPr="00683ECA">
        <w:t xml:space="preserve"> N </w:t>
      </w:r>
      <w:proofErr w:type="spellStart"/>
      <w:r w:rsidRPr="00683ECA">
        <w:t>Engl</w:t>
      </w:r>
      <w:proofErr w:type="spellEnd"/>
      <w:r w:rsidRPr="00683ECA">
        <w:t xml:space="preserve"> J Med 2010; 362:1383-1395, DOI: 10.1056/NEJMoa0904492.</w:t>
      </w:r>
    </w:p>
  </w:footnote>
  <w:footnote w:id="8">
    <w:p w:rsidR="00D4062E" w:rsidRDefault="00D4062E" w:rsidP="00D4062E">
      <w:pPr>
        <w:pStyle w:val="FootnoteText"/>
      </w:pPr>
      <w:r>
        <w:rPr>
          <w:rStyle w:val="FootnoteReference"/>
        </w:rPr>
        <w:footnoteRef/>
      </w:r>
      <w:r>
        <w:t xml:space="preserve"> </w:t>
      </w:r>
      <w:proofErr w:type="gramStart"/>
      <w:r w:rsidRPr="00D4062E">
        <w:t>C</w:t>
      </w:r>
      <w:r>
        <w:t>rohn’s and Colitis Association.</w:t>
      </w:r>
      <w:proofErr w:type="gramEnd"/>
      <w:r>
        <w:t xml:space="preserve">  </w:t>
      </w:r>
      <w:proofErr w:type="gramStart"/>
      <w:r>
        <w:t xml:space="preserve">The Economic Costs of </w:t>
      </w:r>
      <w:proofErr w:type="spellStart"/>
      <w:r>
        <w:t>Crohn'sDisease</w:t>
      </w:r>
      <w:proofErr w:type="spellEnd"/>
      <w:r>
        <w:t xml:space="preserve"> and Ulcerative Colitis.</w:t>
      </w:r>
      <w:proofErr w:type="gramEnd"/>
      <w:r>
        <w:t xml:space="preserve"> Camberwell: </w:t>
      </w:r>
      <w:r w:rsidRPr="00D4062E">
        <w:t>Crohn’s and Colitis Association</w:t>
      </w:r>
      <w:r>
        <w:t>; 2007. Available from: &lt;</w:t>
      </w:r>
      <w:r w:rsidRPr="00D4062E">
        <w:t xml:space="preserve"> https://www.crohnsandcolitis.com.au/site/wp-content/uploads/Deloitte-Access-Economics-Report.pdf</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6D" w:rsidRDefault="00D43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6D" w:rsidRDefault="00D438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6D" w:rsidRDefault="00D43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F94"/>
    <w:multiLevelType w:val="hybridMultilevel"/>
    <w:tmpl w:val="DED41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3A4A2A"/>
    <w:multiLevelType w:val="hybridMultilevel"/>
    <w:tmpl w:val="E71C9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4E3AD7"/>
    <w:multiLevelType w:val="hybridMultilevel"/>
    <w:tmpl w:val="0BB8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0D0490"/>
    <w:multiLevelType w:val="hybridMultilevel"/>
    <w:tmpl w:val="8C94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196087"/>
    <w:multiLevelType w:val="hybridMultilevel"/>
    <w:tmpl w:val="E944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2D0743"/>
    <w:multiLevelType w:val="hybridMultilevel"/>
    <w:tmpl w:val="9F9CB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11C5B13"/>
    <w:multiLevelType w:val="hybridMultilevel"/>
    <w:tmpl w:val="E2F46E2C"/>
    <w:lvl w:ilvl="0" w:tplc="0C090001">
      <w:start w:val="1"/>
      <w:numFmt w:val="bullet"/>
      <w:lvlText w:val=""/>
      <w:lvlJc w:val="left"/>
      <w:pPr>
        <w:ind w:left="720" w:hanging="360"/>
      </w:pPr>
      <w:rPr>
        <w:rFonts w:ascii="Symbol" w:hAnsi="Symbol" w:hint="default"/>
      </w:rPr>
    </w:lvl>
    <w:lvl w:ilvl="1" w:tplc="02AA903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8FC09F6"/>
    <w:multiLevelType w:val="hybridMultilevel"/>
    <w:tmpl w:val="9854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6A62BF"/>
    <w:multiLevelType w:val="hybridMultilevel"/>
    <w:tmpl w:val="202C8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3990B7F"/>
    <w:multiLevelType w:val="hybridMultilevel"/>
    <w:tmpl w:val="6D942DDE"/>
    <w:lvl w:ilvl="0" w:tplc="0C090001">
      <w:start w:val="1"/>
      <w:numFmt w:val="bullet"/>
      <w:lvlText w:val=""/>
      <w:lvlJc w:val="left"/>
      <w:pPr>
        <w:ind w:left="720" w:hanging="360"/>
      </w:pPr>
      <w:rPr>
        <w:rFonts w:ascii="Symbol" w:hAnsi="Symbol" w:hint="default"/>
      </w:rPr>
    </w:lvl>
    <w:lvl w:ilvl="1" w:tplc="02AA903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4FE08B9"/>
    <w:multiLevelType w:val="hybridMultilevel"/>
    <w:tmpl w:val="BE66C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7763F80"/>
    <w:multiLevelType w:val="hybridMultilevel"/>
    <w:tmpl w:val="208841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7"/>
  </w:num>
  <w:num w:numId="7">
    <w:abstractNumId w:val="1"/>
  </w:num>
  <w:num w:numId="8">
    <w:abstractNumId w:val="4"/>
  </w:num>
  <w:num w:numId="9">
    <w:abstractNumId w:val="3"/>
  </w:num>
  <w:num w:numId="10">
    <w:abstractNumId w:val="11"/>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62FB"/>
    <w:rsid w:val="0001288E"/>
    <w:rsid w:val="00022617"/>
    <w:rsid w:val="0002334C"/>
    <w:rsid w:val="00041ED0"/>
    <w:rsid w:val="000429D8"/>
    <w:rsid w:val="0004506D"/>
    <w:rsid w:val="00046D7D"/>
    <w:rsid w:val="0005619F"/>
    <w:rsid w:val="00056B02"/>
    <w:rsid w:val="00071EA0"/>
    <w:rsid w:val="00071F03"/>
    <w:rsid w:val="000760F2"/>
    <w:rsid w:val="00082E7D"/>
    <w:rsid w:val="000910BB"/>
    <w:rsid w:val="00091CA5"/>
    <w:rsid w:val="000933D3"/>
    <w:rsid w:val="00094DCF"/>
    <w:rsid w:val="00095D51"/>
    <w:rsid w:val="000B268E"/>
    <w:rsid w:val="000B6A43"/>
    <w:rsid w:val="000B796C"/>
    <w:rsid w:val="000C6E5D"/>
    <w:rsid w:val="000C7D8B"/>
    <w:rsid w:val="000D4EEF"/>
    <w:rsid w:val="000D63E2"/>
    <w:rsid w:val="000E295D"/>
    <w:rsid w:val="000E404C"/>
    <w:rsid w:val="000E485D"/>
    <w:rsid w:val="000E5482"/>
    <w:rsid w:val="000E69C2"/>
    <w:rsid w:val="000F22BC"/>
    <w:rsid w:val="000F2F51"/>
    <w:rsid w:val="000F344E"/>
    <w:rsid w:val="000F760B"/>
    <w:rsid w:val="00112FB2"/>
    <w:rsid w:val="00113D74"/>
    <w:rsid w:val="00117C5C"/>
    <w:rsid w:val="00125C12"/>
    <w:rsid w:val="00125FC2"/>
    <w:rsid w:val="00130892"/>
    <w:rsid w:val="00131976"/>
    <w:rsid w:val="001321E1"/>
    <w:rsid w:val="001327FB"/>
    <w:rsid w:val="001354DE"/>
    <w:rsid w:val="001420B3"/>
    <w:rsid w:val="0014260F"/>
    <w:rsid w:val="00151E5A"/>
    <w:rsid w:val="00152479"/>
    <w:rsid w:val="001555AB"/>
    <w:rsid w:val="00156164"/>
    <w:rsid w:val="0015691C"/>
    <w:rsid w:val="001577A1"/>
    <w:rsid w:val="00164524"/>
    <w:rsid w:val="001714FD"/>
    <w:rsid w:val="00174183"/>
    <w:rsid w:val="00174341"/>
    <w:rsid w:val="001759EC"/>
    <w:rsid w:val="0018490B"/>
    <w:rsid w:val="001870DF"/>
    <w:rsid w:val="00190B7A"/>
    <w:rsid w:val="001A2BCB"/>
    <w:rsid w:val="001B4299"/>
    <w:rsid w:val="001B4788"/>
    <w:rsid w:val="001B50CA"/>
    <w:rsid w:val="001B5D37"/>
    <w:rsid w:val="001C14E8"/>
    <w:rsid w:val="001C2785"/>
    <w:rsid w:val="001C3DB9"/>
    <w:rsid w:val="001C4016"/>
    <w:rsid w:val="001C6D70"/>
    <w:rsid w:val="001D2DCB"/>
    <w:rsid w:val="001D390D"/>
    <w:rsid w:val="001E1734"/>
    <w:rsid w:val="001E31A6"/>
    <w:rsid w:val="001F2C97"/>
    <w:rsid w:val="001F2F3E"/>
    <w:rsid w:val="00202328"/>
    <w:rsid w:val="002104AA"/>
    <w:rsid w:val="00214013"/>
    <w:rsid w:val="00215730"/>
    <w:rsid w:val="0024294B"/>
    <w:rsid w:val="002509D5"/>
    <w:rsid w:val="00252D19"/>
    <w:rsid w:val="00261C98"/>
    <w:rsid w:val="00273E11"/>
    <w:rsid w:val="00275D5A"/>
    <w:rsid w:val="002801FD"/>
    <w:rsid w:val="0028594C"/>
    <w:rsid w:val="00297DC2"/>
    <w:rsid w:val="002B6850"/>
    <w:rsid w:val="002C4942"/>
    <w:rsid w:val="002C6E0C"/>
    <w:rsid w:val="002D472A"/>
    <w:rsid w:val="002E3337"/>
    <w:rsid w:val="002E7236"/>
    <w:rsid w:val="002F49A8"/>
    <w:rsid w:val="002F61CA"/>
    <w:rsid w:val="002F63ED"/>
    <w:rsid w:val="003006AB"/>
    <w:rsid w:val="0030749C"/>
    <w:rsid w:val="00313B8D"/>
    <w:rsid w:val="00331A62"/>
    <w:rsid w:val="003370D0"/>
    <w:rsid w:val="00340F95"/>
    <w:rsid w:val="00343204"/>
    <w:rsid w:val="00347CBC"/>
    <w:rsid w:val="003529E0"/>
    <w:rsid w:val="003531ED"/>
    <w:rsid w:val="0038097B"/>
    <w:rsid w:val="003811C7"/>
    <w:rsid w:val="00382BF2"/>
    <w:rsid w:val="0039017F"/>
    <w:rsid w:val="00394B9F"/>
    <w:rsid w:val="00397A6D"/>
    <w:rsid w:val="003A397A"/>
    <w:rsid w:val="003B0DF0"/>
    <w:rsid w:val="003D6756"/>
    <w:rsid w:val="003F084E"/>
    <w:rsid w:val="003F2C10"/>
    <w:rsid w:val="003F4C85"/>
    <w:rsid w:val="003F6E0E"/>
    <w:rsid w:val="004042AF"/>
    <w:rsid w:val="00406953"/>
    <w:rsid w:val="00407863"/>
    <w:rsid w:val="0041213C"/>
    <w:rsid w:val="00417DCB"/>
    <w:rsid w:val="0042486B"/>
    <w:rsid w:val="00427465"/>
    <w:rsid w:val="00434C02"/>
    <w:rsid w:val="004422BC"/>
    <w:rsid w:val="0046151A"/>
    <w:rsid w:val="0046294A"/>
    <w:rsid w:val="00462FF4"/>
    <w:rsid w:val="00473E83"/>
    <w:rsid w:val="004756B3"/>
    <w:rsid w:val="00481108"/>
    <w:rsid w:val="0049042B"/>
    <w:rsid w:val="00493B1B"/>
    <w:rsid w:val="004A458E"/>
    <w:rsid w:val="004B0196"/>
    <w:rsid w:val="004B23E7"/>
    <w:rsid w:val="004B306F"/>
    <w:rsid w:val="004B552B"/>
    <w:rsid w:val="004C3186"/>
    <w:rsid w:val="004C5042"/>
    <w:rsid w:val="004D14BD"/>
    <w:rsid w:val="004D27FA"/>
    <w:rsid w:val="004D678E"/>
    <w:rsid w:val="004E27C5"/>
    <w:rsid w:val="004E4FE2"/>
    <w:rsid w:val="004F1E15"/>
    <w:rsid w:val="004F5600"/>
    <w:rsid w:val="00502F24"/>
    <w:rsid w:val="00503998"/>
    <w:rsid w:val="0050623B"/>
    <w:rsid w:val="00513949"/>
    <w:rsid w:val="0051470E"/>
    <w:rsid w:val="00522938"/>
    <w:rsid w:val="005339F6"/>
    <w:rsid w:val="005468E7"/>
    <w:rsid w:val="00553B97"/>
    <w:rsid w:val="00560642"/>
    <w:rsid w:val="00561CB4"/>
    <w:rsid w:val="0057273A"/>
    <w:rsid w:val="00577B46"/>
    <w:rsid w:val="00585DF4"/>
    <w:rsid w:val="00591512"/>
    <w:rsid w:val="00591C31"/>
    <w:rsid w:val="005C25A2"/>
    <w:rsid w:val="005C2AE7"/>
    <w:rsid w:val="005C4023"/>
    <w:rsid w:val="005C4223"/>
    <w:rsid w:val="005C55C6"/>
    <w:rsid w:val="005C597F"/>
    <w:rsid w:val="005C6CDA"/>
    <w:rsid w:val="005D0B6A"/>
    <w:rsid w:val="005D436A"/>
    <w:rsid w:val="005E147D"/>
    <w:rsid w:val="005E22C2"/>
    <w:rsid w:val="005F300B"/>
    <w:rsid w:val="005F5D4C"/>
    <w:rsid w:val="00606906"/>
    <w:rsid w:val="0063021F"/>
    <w:rsid w:val="00630CA0"/>
    <w:rsid w:val="00635817"/>
    <w:rsid w:val="0063631C"/>
    <w:rsid w:val="00645D51"/>
    <w:rsid w:val="006537D9"/>
    <w:rsid w:val="00656AB5"/>
    <w:rsid w:val="00665DEF"/>
    <w:rsid w:val="00675BB1"/>
    <w:rsid w:val="0069451E"/>
    <w:rsid w:val="006A44F5"/>
    <w:rsid w:val="006B4537"/>
    <w:rsid w:val="006B709B"/>
    <w:rsid w:val="006C4620"/>
    <w:rsid w:val="006C4F16"/>
    <w:rsid w:val="006D6E6D"/>
    <w:rsid w:val="006E0181"/>
    <w:rsid w:val="006F4851"/>
    <w:rsid w:val="006F4A33"/>
    <w:rsid w:val="006F711E"/>
    <w:rsid w:val="00705309"/>
    <w:rsid w:val="00705DAD"/>
    <w:rsid w:val="00712E7F"/>
    <w:rsid w:val="007247B9"/>
    <w:rsid w:val="00726125"/>
    <w:rsid w:val="00727D85"/>
    <w:rsid w:val="007346C7"/>
    <w:rsid w:val="00736041"/>
    <w:rsid w:val="007408C7"/>
    <w:rsid w:val="0075110A"/>
    <w:rsid w:val="00752C7F"/>
    <w:rsid w:val="00752EE4"/>
    <w:rsid w:val="00762C1F"/>
    <w:rsid w:val="0076459F"/>
    <w:rsid w:val="00771448"/>
    <w:rsid w:val="00776598"/>
    <w:rsid w:val="00796B2F"/>
    <w:rsid w:val="00796E84"/>
    <w:rsid w:val="007B3C3F"/>
    <w:rsid w:val="007B55A6"/>
    <w:rsid w:val="007D2B3D"/>
    <w:rsid w:val="007D3CBA"/>
    <w:rsid w:val="007E5CE8"/>
    <w:rsid w:val="00800C2D"/>
    <w:rsid w:val="00803397"/>
    <w:rsid w:val="00804E55"/>
    <w:rsid w:val="008142B4"/>
    <w:rsid w:val="00832324"/>
    <w:rsid w:val="00840E19"/>
    <w:rsid w:val="0085256D"/>
    <w:rsid w:val="00852A4C"/>
    <w:rsid w:val="0085385C"/>
    <w:rsid w:val="0085402A"/>
    <w:rsid w:val="00856BB4"/>
    <w:rsid w:val="0086300B"/>
    <w:rsid w:val="00867072"/>
    <w:rsid w:val="0087624C"/>
    <w:rsid w:val="00876633"/>
    <w:rsid w:val="00876F49"/>
    <w:rsid w:val="00887EFB"/>
    <w:rsid w:val="00896025"/>
    <w:rsid w:val="00896403"/>
    <w:rsid w:val="00897097"/>
    <w:rsid w:val="008A25EE"/>
    <w:rsid w:val="008A4D16"/>
    <w:rsid w:val="008A574F"/>
    <w:rsid w:val="008B02B5"/>
    <w:rsid w:val="008B6796"/>
    <w:rsid w:val="008E2BBE"/>
    <w:rsid w:val="008E6344"/>
    <w:rsid w:val="008F27D5"/>
    <w:rsid w:val="00902FD0"/>
    <w:rsid w:val="009053D3"/>
    <w:rsid w:val="00905AB4"/>
    <w:rsid w:val="009067BA"/>
    <w:rsid w:val="0091076E"/>
    <w:rsid w:val="00917613"/>
    <w:rsid w:val="009273B9"/>
    <w:rsid w:val="0093111F"/>
    <w:rsid w:val="00935155"/>
    <w:rsid w:val="00935689"/>
    <w:rsid w:val="0093627C"/>
    <w:rsid w:val="009379BA"/>
    <w:rsid w:val="00943591"/>
    <w:rsid w:val="0094366B"/>
    <w:rsid w:val="0094382E"/>
    <w:rsid w:val="00945324"/>
    <w:rsid w:val="00954CFF"/>
    <w:rsid w:val="00957837"/>
    <w:rsid w:val="0096189A"/>
    <w:rsid w:val="009663B6"/>
    <w:rsid w:val="009668F6"/>
    <w:rsid w:val="00973321"/>
    <w:rsid w:val="00980286"/>
    <w:rsid w:val="00980972"/>
    <w:rsid w:val="0098409F"/>
    <w:rsid w:val="00991F4B"/>
    <w:rsid w:val="0099675B"/>
    <w:rsid w:val="00997557"/>
    <w:rsid w:val="009A4CD6"/>
    <w:rsid w:val="009A52BD"/>
    <w:rsid w:val="009A673D"/>
    <w:rsid w:val="009C0886"/>
    <w:rsid w:val="009C35F2"/>
    <w:rsid w:val="009C7C43"/>
    <w:rsid w:val="009D2BB9"/>
    <w:rsid w:val="009D41C8"/>
    <w:rsid w:val="009E1177"/>
    <w:rsid w:val="009E2173"/>
    <w:rsid w:val="009E21A7"/>
    <w:rsid w:val="009E3ED0"/>
    <w:rsid w:val="009F21C2"/>
    <w:rsid w:val="009F2B30"/>
    <w:rsid w:val="009F7118"/>
    <w:rsid w:val="00A037C7"/>
    <w:rsid w:val="00A103ED"/>
    <w:rsid w:val="00A108F9"/>
    <w:rsid w:val="00A10CDB"/>
    <w:rsid w:val="00A13C60"/>
    <w:rsid w:val="00A35800"/>
    <w:rsid w:val="00A36FA8"/>
    <w:rsid w:val="00A3777D"/>
    <w:rsid w:val="00A4020E"/>
    <w:rsid w:val="00A54DDE"/>
    <w:rsid w:val="00A55579"/>
    <w:rsid w:val="00A5643F"/>
    <w:rsid w:val="00A76E87"/>
    <w:rsid w:val="00A773B6"/>
    <w:rsid w:val="00A84CAD"/>
    <w:rsid w:val="00A9244B"/>
    <w:rsid w:val="00A93176"/>
    <w:rsid w:val="00A95DC2"/>
    <w:rsid w:val="00AB3733"/>
    <w:rsid w:val="00AB3993"/>
    <w:rsid w:val="00AC13D5"/>
    <w:rsid w:val="00AC1CAD"/>
    <w:rsid w:val="00AE441F"/>
    <w:rsid w:val="00AE4EAB"/>
    <w:rsid w:val="00AF6BB9"/>
    <w:rsid w:val="00AF6DE8"/>
    <w:rsid w:val="00B02AB9"/>
    <w:rsid w:val="00B05310"/>
    <w:rsid w:val="00B12D4E"/>
    <w:rsid w:val="00B16DB7"/>
    <w:rsid w:val="00B22AE8"/>
    <w:rsid w:val="00B37452"/>
    <w:rsid w:val="00B4081C"/>
    <w:rsid w:val="00B7027D"/>
    <w:rsid w:val="00B9120F"/>
    <w:rsid w:val="00B924A4"/>
    <w:rsid w:val="00B95FB9"/>
    <w:rsid w:val="00BB0D1A"/>
    <w:rsid w:val="00BB1D3B"/>
    <w:rsid w:val="00BC35ED"/>
    <w:rsid w:val="00BC55C3"/>
    <w:rsid w:val="00BD02DB"/>
    <w:rsid w:val="00BD3774"/>
    <w:rsid w:val="00BE5A25"/>
    <w:rsid w:val="00BE5D65"/>
    <w:rsid w:val="00BF238E"/>
    <w:rsid w:val="00BF6D5C"/>
    <w:rsid w:val="00C0076F"/>
    <w:rsid w:val="00C06AC3"/>
    <w:rsid w:val="00C23273"/>
    <w:rsid w:val="00C26824"/>
    <w:rsid w:val="00C41246"/>
    <w:rsid w:val="00C44A5B"/>
    <w:rsid w:val="00C45E5F"/>
    <w:rsid w:val="00C47C95"/>
    <w:rsid w:val="00C550A9"/>
    <w:rsid w:val="00C60DA4"/>
    <w:rsid w:val="00C616C3"/>
    <w:rsid w:val="00C6672B"/>
    <w:rsid w:val="00C672F4"/>
    <w:rsid w:val="00C675DB"/>
    <w:rsid w:val="00C714D0"/>
    <w:rsid w:val="00C75822"/>
    <w:rsid w:val="00C81F99"/>
    <w:rsid w:val="00C92713"/>
    <w:rsid w:val="00C97AFA"/>
    <w:rsid w:val="00CB16A9"/>
    <w:rsid w:val="00CB4FDE"/>
    <w:rsid w:val="00CB6ABE"/>
    <w:rsid w:val="00CC3BBF"/>
    <w:rsid w:val="00CD0CEF"/>
    <w:rsid w:val="00CD188F"/>
    <w:rsid w:val="00CE001C"/>
    <w:rsid w:val="00CE04A4"/>
    <w:rsid w:val="00CE2CDF"/>
    <w:rsid w:val="00CE417B"/>
    <w:rsid w:val="00CF4E29"/>
    <w:rsid w:val="00CF6FB3"/>
    <w:rsid w:val="00D1085E"/>
    <w:rsid w:val="00D13C41"/>
    <w:rsid w:val="00D151EB"/>
    <w:rsid w:val="00D30378"/>
    <w:rsid w:val="00D344EC"/>
    <w:rsid w:val="00D34FE6"/>
    <w:rsid w:val="00D4062E"/>
    <w:rsid w:val="00D425FC"/>
    <w:rsid w:val="00D4386D"/>
    <w:rsid w:val="00D50717"/>
    <w:rsid w:val="00D56BB9"/>
    <w:rsid w:val="00D6439E"/>
    <w:rsid w:val="00D64CAC"/>
    <w:rsid w:val="00D650CE"/>
    <w:rsid w:val="00D7254C"/>
    <w:rsid w:val="00D770B6"/>
    <w:rsid w:val="00D8758B"/>
    <w:rsid w:val="00D963BE"/>
    <w:rsid w:val="00DA079E"/>
    <w:rsid w:val="00DA3FD3"/>
    <w:rsid w:val="00DA7D09"/>
    <w:rsid w:val="00DB054C"/>
    <w:rsid w:val="00DC20D8"/>
    <w:rsid w:val="00DC229A"/>
    <w:rsid w:val="00DC49E9"/>
    <w:rsid w:val="00DC6E67"/>
    <w:rsid w:val="00DD0D68"/>
    <w:rsid w:val="00DD70ED"/>
    <w:rsid w:val="00DE0B96"/>
    <w:rsid w:val="00DE260E"/>
    <w:rsid w:val="00DE43CE"/>
    <w:rsid w:val="00DF0B13"/>
    <w:rsid w:val="00DF4A94"/>
    <w:rsid w:val="00DF6D33"/>
    <w:rsid w:val="00E066C3"/>
    <w:rsid w:val="00E06753"/>
    <w:rsid w:val="00E11A6D"/>
    <w:rsid w:val="00E1353A"/>
    <w:rsid w:val="00E14D65"/>
    <w:rsid w:val="00E153FC"/>
    <w:rsid w:val="00E1564B"/>
    <w:rsid w:val="00E208A0"/>
    <w:rsid w:val="00E23751"/>
    <w:rsid w:val="00E376AA"/>
    <w:rsid w:val="00E41C8B"/>
    <w:rsid w:val="00E4568D"/>
    <w:rsid w:val="00E54016"/>
    <w:rsid w:val="00E540B5"/>
    <w:rsid w:val="00E55D60"/>
    <w:rsid w:val="00E569FC"/>
    <w:rsid w:val="00E57C00"/>
    <w:rsid w:val="00E628EA"/>
    <w:rsid w:val="00E677DD"/>
    <w:rsid w:val="00E85C2B"/>
    <w:rsid w:val="00EB21C9"/>
    <w:rsid w:val="00EB6C07"/>
    <w:rsid w:val="00EC028D"/>
    <w:rsid w:val="00ED06CD"/>
    <w:rsid w:val="00ED633B"/>
    <w:rsid w:val="00EE03F2"/>
    <w:rsid w:val="00EE478C"/>
    <w:rsid w:val="00EE7257"/>
    <w:rsid w:val="00EF2C1D"/>
    <w:rsid w:val="00EF60DC"/>
    <w:rsid w:val="00F01CCE"/>
    <w:rsid w:val="00F10A52"/>
    <w:rsid w:val="00F11CFC"/>
    <w:rsid w:val="00F11DA1"/>
    <w:rsid w:val="00F20BDF"/>
    <w:rsid w:val="00F229B3"/>
    <w:rsid w:val="00F43923"/>
    <w:rsid w:val="00F61326"/>
    <w:rsid w:val="00F62E26"/>
    <w:rsid w:val="00F66BF2"/>
    <w:rsid w:val="00F71E6D"/>
    <w:rsid w:val="00F722CE"/>
    <w:rsid w:val="00F750CF"/>
    <w:rsid w:val="00F821CC"/>
    <w:rsid w:val="00F82EDD"/>
    <w:rsid w:val="00FA284B"/>
    <w:rsid w:val="00FC4A73"/>
    <w:rsid w:val="00FD13CD"/>
    <w:rsid w:val="00FD7FD3"/>
    <w:rsid w:val="00FE1810"/>
    <w:rsid w:val="00FE645A"/>
    <w:rsid w:val="00FF2C4C"/>
    <w:rsid w:val="00FF7F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577B46"/>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577B46"/>
    <w:rPr>
      <w:rFonts w:eastAsiaTheme="majorEastAsia" w:cstheme="majorBidi"/>
      <w:b/>
      <w:bCs/>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EB21C9"/>
    <w:pPr>
      <w:autoSpaceDE w:val="0"/>
      <w:autoSpaceDN w:val="0"/>
      <w:adjustRightInd w:val="0"/>
      <w:spacing w:before="60" w:after="60"/>
      <w:jc w:val="center"/>
    </w:pPr>
    <w:rPr>
      <w:rFonts w:cs="Calibri"/>
      <w:b/>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EB21C9"/>
    <w:pPr>
      <w:ind w:left="720"/>
      <w:contextualSpacing/>
    </w:pPr>
  </w:style>
  <w:style w:type="table" w:customStyle="1" w:styleId="TableGrid1">
    <w:name w:val="Table Grid1"/>
    <w:basedOn w:val="TableNormal"/>
    <w:next w:val="TableGrid"/>
    <w:uiPriority w:val="59"/>
    <w:rsid w:val="004042A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7DC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4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577B46"/>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577B46"/>
    <w:rPr>
      <w:rFonts w:eastAsiaTheme="majorEastAsia" w:cstheme="majorBidi"/>
      <w:b/>
      <w:bCs/>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EB21C9"/>
    <w:pPr>
      <w:autoSpaceDE w:val="0"/>
      <w:autoSpaceDN w:val="0"/>
      <w:adjustRightInd w:val="0"/>
      <w:spacing w:before="60" w:after="60"/>
      <w:jc w:val="center"/>
    </w:pPr>
    <w:rPr>
      <w:rFonts w:cs="Calibri"/>
      <w:b/>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EB21C9"/>
    <w:pPr>
      <w:ind w:left="720"/>
      <w:contextualSpacing/>
    </w:pPr>
  </w:style>
  <w:style w:type="table" w:customStyle="1" w:styleId="TableGrid1">
    <w:name w:val="Table Grid1"/>
    <w:basedOn w:val="TableNormal"/>
    <w:next w:val="TableGrid"/>
    <w:uiPriority w:val="59"/>
    <w:rsid w:val="004042A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7DC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4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7.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s>
</file>

<file path=word/_rels/footnotes.xml.rels><?xml version="1.0" encoding="UTF-8" standalone="yes"?>
<Relationships xmlns="http://schemas.openxmlformats.org/package/2006/relationships"><Relationship Id="rId3" Type="http://schemas.openxmlformats.org/officeDocument/2006/relationships/hyperlink" Target="http://www.gesa.org.au/files/editor_upload/File/Professional/33859_b-2.pdf"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 Id="rId4" Type="http://schemas.openxmlformats.org/officeDocument/2006/relationships/hyperlink" Target="http://www.crohnsandcolitis.org.uk/Resources/CrohnsAndColitisUK/Documents/Publications/Info-Sheets/Living%20with%20a%20Fistul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Feb\Crohn's%20disease%20-%20infliximab%20and%20adalimumab\Data\Patient%20number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5%20Feb\Crohn's%20disease%20-%20infliximab%20and%20adalimumab\Data\Patient%20number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entral.health\DFSGroupData\Sites\CO1\CO\PBD\PEB\EVAL\DUSC\DUSC%20Documents\Predicted%20vs%20actual%20usage\PvA%20-%202015%20Feb\Crohn's%20disease%20-%20infliximab%20and%20adalimumab\Data\Patient%20numbers.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Feb\Crohn's%20disease%20-%20infliximab%20and%20adalimumab\Data\continuation%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Feb\Crohn's%20disease%20-%20infliximab%20and%20adalimumab\Data\age%20%20vial%20distribution%20for%20paediatric%20patien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Feb\Crohn's%20disease%20-%20infliximab%20and%20adalimumab\Data\age%20%20vial%20distribution%20for%20paediatric%20patie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Feb\Crohn's%20disease%20-%20infliximab%20and%20adalimumab\Data\Expendi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lineChart>
        <c:grouping val="standard"/>
        <c:varyColors val="0"/>
        <c:ser>
          <c:idx val="5"/>
          <c:order val="0"/>
          <c:tx>
            <c:strRef>
              <c:f>'Prevalent and initiators'!$F$17</c:f>
              <c:strCache>
                <c:ptCount val="1"/>
                <c:pt idx="0">
                  <c:v>Severe refractory Crohn's disease - total patients</c:v>
                </c:pt>
              </c:strCache>
            </c:strRef>
          </c:tx>
          <c:spPr>
            <a:ln>
              <a:solidFill>
                <a:schemeClr val="accent4">
                  <a:lumMod val="75000"/>
                </a:schemeClr>
              </a:solidFill>
            </a:ln>
          </c:spPr>
          <c:marker>
            <c:spPr>
              <a:solidFill>
                <a:schemeClr val="accent4">
                  <a:lumMod val="75000"/>
                </a:schemeClr>
              </a:solidFill>
            </c:spPr>
          </c:marker>
          <c:cat>
            <c:numRef>
              <c:f>'Prevalent and initiators'!$A$18:$A$25</c:f>
              <c:numCache>
                <c:formatCode>General</c:formatCode>
                <c:ptCount val="8"/>
                <c:pt idx="0">
                  <c:v>2007</c:v>
                </c:pt>
                <c:pt idx="1">
                  <c:v>2008</c:v>
                </c:pt>
                <c:pt idx="2">
                  <c:v>2009</c:v>
                </c:pt>
                <c:pt idx="3">
                  <c:v>2010</c:v>
                </c:pt>
                <c:pt idx="4">
                  <c:v>2011</c:v>
                </c:pt>
                <c:pt idx="5">
                  <c:v>2012</c:v>
                </c:pt>
                <c:pt idx="6">
                  <c:v>2013</c:v>
                </c:pt>
                <c:pt idx="7">
                  <c:v>2014</c:v>
                </c:pt>
              </c:numCache>
            </c:numRef>
          </c:cat>
          <c:val>
            <c:numRef>
              <c:f>'Prevalent and initiators'!$F$18:$F$25</c:f>
              <c:numCache>
                <c:formatCode>General</c:formatCode>
                <c:ptCount val="8"/>
                <c:pt idx="0">
                  <c:v>314</c:v>
                </c:pt>
                <c:pt idx="1">
                  <c:v>1520</c:v>
                </c:pt>
                <c:pt idx="2">
                  <c:v>2209</c:v>
                </c:pt>
                <c:pt idx="3">
                  <c:v>2750</c:v>
                </c:pt>
                <c:pt idx="4">
                  <c:v>3317</c:v>
                </c:pt>
                <c:pt idx="5">
                  <c:v>3851</c:v>
                </c:pt>
                <c:pt idx="6">
                  <c:v>4538</c:v>
                </c:pt>
                <c:pt idx="7">
                  <c:v>5109</c:v>
                </c:pt>
              </c:numCache>
            </c:numRef>
          </c:val>
          <c:smooth val="0"/>
        </c:ser>
        <c:ser>
          <c:idx val="6"/>
          <c:order val="1"/>
          <c:tx>
            <c:strRef>
              <c:f>'Prevalent and initiators'!$G$17</c:f>
              <c:strCache>
                <c:ptCount val="1"/>
                <c:pt idx="0">
                  <c:v>Severe refractory Crohn's disease - new patients</c:v>
                </c:pt>
              </c:strCache>
            </c:strRef>
          </c:tx>
          <c:spPr>
            <a:ln>
              <a:solidFill>
                <a:schemeClr val="accent4">
                  <a:lumMod val="60000"/>
                  <a:lumOff val="40000"/>
                </a:schemeClr>
              </a:solidFill>
              <a:prstDash val="dash"/>
            </a:ln>
          </c:spPr>
          <c:marker>
            <c:symbol val="square"/>
            <c:size val="5"/>
            <c:spPr>
              <a:solidFill>
                <a:schemeClr val="accent4">
                  <a:lumMod val="60000"/>
                  <a:lumOff val="40000"/>
                </a:schemeClr>
              </a:solidFill>
              <a:ln>
                <a:solidFill>
                  <a:schemeClr val="accent4">
                    <a:lumMod val="60000"/>
                    <a:lumOff val="40000"/>
                  </a:schemeClr>
                </a:solidFill>
              </a:ln>
            </c:spPr>
          </c:marker>
          <c:cat>
            <c:numRef>
              <c:f>'Prevalent and initiators'!$A$18:$A$25</c:f>
              <c:numCache>
                <c:formatCode>General</c:formatCode>
                <c:ptCount val="8"/>
                <c:pt idx="0">
                  <c:v>2007</c:v>
                </c:pt>
                <c:pt idx="1">
                  <c:v>2008</c:v>
                </c:pt>
                <c:pt idx="2">
                  <c:v>2009</c:v>
                </c:pt>
                <c:pt idx="3">
                  <c:v>2010</c:v>
                </c:pt>
                <c:pt idx="4">
                  <c:v>2011</c:v>
                </c:pt>
                <c:pt idx="5">
                  <c:v>2012</c:v>
                </c:pt>
                <c:pt idx="6">
                  <c:v>2013</c:v>
                </c:pt>
                <c:pt idx="7">
                  <c:v>2014</c:v>
                </c:pt>
              </c:numCache>
            </c:numRef>
          </c:cat>
          <c:val>
            <c:numRef>
              <c:f>'Prevalent and initiators'!$G$18:$G$25</c:f>
              <c:numCache>
                <c:formatCode>General</c:formatCode>
                <c:ptCount val="8"/>
                <c:pt idx="0">
                  <c:v>314</c:v>
                </c:pt>
                <c:pt idx="1">
                  <c:v>1245</c:v>
                </c:pt>
                <c:pt idx="2">
                  <c:v>912</c:v>
                </c:pt>
                <c:pt idx="3">
                  <c:v>856</c:v>
                </c:pt>
                <c:pt idx="4">
                  <c:v>894</c:v>
                </c:pt>
                <c:pt idx="5">
                  <c:v>906</c:v>
                </c:pt>
                <c:pt idx="6">
                  <c:v>1050</c:v>
                </c:pt>
                <c:pt idx="7">
                  <c:v>935</c:v>
                </c:pt>
              </c:numCache>
            </c:numRef>
          </c:val>
          <c:smooth val="0"/>
        </c:ser>
        <c:dLbls>
          <c:showLegendKey val="0"/>
          <c:showVal val="0"/>
          <c:showCatName val="0"/>
          <c:showSerName val="0"/>
          <c:showPercent val="0"/>
          <c:showBubbleSize val="0"/>
        </c:dLbls>
        <c:marker val="1"/>
        <c:smooth val="0"/>
        <c:axId val="88822144"/>
        <c:axId val="88824448"/>
      </c:lineChart>
      <c:catAx>
        <c:axId val="88822144"/>
        <c:scaling>
          <c:orientation val="minMax"/>
        </c:scaling>
        <c:delete val="0"/>
        <c:axPos val="b"/>
        <c:title>
          <c:tx>
            <c:rich>
              <a:bodyPr/>
              <a:lstStyle/>
              <a:p>
                <a:pPr>
                  <a:defRPr/>
                </a:pPr>
                <a:r>
                  <a:rPr lang="en-AU" b="0"/>
                  <a:t>Year</a:t>
                </a:r>
              </a:p>
            </c:rich>
          </c:tx>
          <c:layout/>
          <c:overlay val="0"/>
        </c:title>
        <c:numFmt formatCode="General" sourceLinked="1"/>
        <c:majorTickMark val="out"/>
        <c:minorTickMark val="none"/>
        <c:tickLblPos val="nextTo"/>
        <c:crossAx val="88824448"/>
        <c:crosses val="autoZero"/>
        <c:auto val="1"/>
        <c:lblAlgn val="ctr"/>
        <c:lblOffset val="100"/>
        <c:noMultiLvlLbl val="0"/>
      </c:catAx>
      <c:valAx>
        <c:axId val="88824448"/>
        <c:scaling>
          <c:orientation val="minMax"/>
        </c:scaling>
        <c:delete val="0"/>
        <c:axPos val="l"/>
        <c:majorGridlines/>
        <c:title>
          <c:tx>
            <c:rich>
              <a:bodyPr rot="-5400000" vert="horz"/>
              <a:lstStyle/>
              <a:p>
                <a:pPr>
                  <a:defRPr/>
                </a:pPr>
                <a:r>
                  <a:rPr lang="en-AU" b="0"/>
                  <a:t>Patients</a:t>
                </a:r>
              </a:p>
            </c:rich>
          </c:tx>
          <c:layout/>
          <c:overlay val="0"/>
        </c:title>
        <c:numFmt formatCode="#,##0" sourceLinked="0"/>
        <c:majorTickMark val="out"/>
        <c:minorTickMark val="none"/>
        <c:tickLblPos val="nextTo"/>
        <c:spPr>
          <a:ln>
            <a:solidFill>
              <a:schemeClr val="tx1"/>
            </a:solidFill>
          </a:ln>
        </c:spPr>
        <c:crossAx val="88822144"/>
        <c:crosses val="autoZero"/>
        <c:crossBetween val="midCat"/>
      </c:valAx>
    </c:plotArea>
    <c:legend>
      <c:legendPos val="t"/>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'Prevalent and initiators'!$B$17</c:f>
              <c:strCache>
                <c:ptCount val="1"/>
                <c:pt idx="0">
                  <c:v>Fistulising crohn's disease - total patients</c:v>
                </c:pt>
              </c:strCache>
            </c:strRef>
          </c:tx>
          <c:spPr>
            <a:ln>
              <a:solidFill>
                <a:srgbClr val="92D050"/>
              </a:solidFill>
            </a:ln>
          </c:spPr>
          <c:marker>
            <c:spPr>
              <a:solidFill>
                <a:srgbClr val="92D050"/>
              </a:solidFill>
              <a:ln>
                <a:solidFill>
                  <a:srgbClr val="92D050"/>
                </a:solidFill>
              </a:ln>
            </c:spPr>
          </c:marker>
          <c:cat>
            <c:numRef>
              <c:f>'Prevalent and initiators'!$A$21:$A$25</c:f>
              <c:numCache>
                <c:formatCode>General</c:formatCode>
                <c:ptCount val="5"/>
                <c:pt idx="0">
                  <c:v>2010</c:v>
                </c:pt>
                <c:pt idx="1">
                  <c:v>2011</c:v>
                </c:pt>
                <c:pt idx="2">
                  <c:v>2012</c:v>
                </c:pt>
                <c:pt idx="3">
                  <c:v>2013</c:v>
                </c:pt>
                <c:pt idx="4">
                  <c:v>2014</c:v>
                </c:pt>
              </c:numCache>
            </c:numRef>
          </c:cat>
          <c:val>
            <c:numRef>
              <c:f>'Prevalent and initiators'!$B$21:$B$25</c:f>
              <c:numCache>
                <c:formatCode>General</c:formatCode>
                <c:ptCount val="5"/>
                <c:pt idx="0">
                  <c:v>173</c:v>
                </c:pt>
                <c:pt idx="1">
                  <c:v>532</c:v>
                </c:pt>
                <c:pt idx="2">
                  <c:v>853</c:v>
                </c:pt>
                <c:pt idx="3">
                  <c:v>1119</c:v>
                </c:pt>
                <c:pt idx="4">
                  <c:v>1345</c:v>
                </c:pt>
              </c:numCache>
            </c:numRef>
          </c:val>
          <c:smooth val="0"/>
        </c:ser>
        <c:ser>
          <c:idx val="1"/>
          <c:order val="1"/>
          <c:tx>
            <c:strRef>
              <c:f>'Prevalent and initiators'!$C$17</c:f>
              <c:strCache>
                <c:ptCount val="1"/>
                <c:pt idx="0">
                  <c:v>Fistulising crohn's disease - new patients</c:v>
                </c:pt>
              </c:strCache>
            </c:strRef>
          </c:tx>
          <c:spPr>
            <a:ln>
              <a:solidFill>
                <a:srgbClr val="00B050"/>
              </a:solidFill>
              <a:prstDash val="sysDash"/>
            </a:ln>
          </c:spPr>
          <c:marker>
            <c:spPr>
              <a:solidFill>
                <a:srgbClr val="00B050"/>
              </a:solidFill>
              <a:ln>
                <a:solidFill>
                  <a:srgbClr val="00B050"/>
                </a:solidFill>
              </a:ln>
            </c:spPr>
          </c:marker>
          <c:cat>
            <c:numRef>
              <c:f>'Prevalent and initiators'!$A$21:$A$25</c:f>
              <c:numCache>
                <c:formatCode>General</c:formatCode>
                <c:ptCount val="5"/>
                <c:pt idx="0">
                  <c:v>2010</c:v>
                </c:pt>
                <c:pt idx="1">
                  <c:v>2011</c:v>
                </c:pt>
                <c:pt idx="2">
                  <c:v>2012</c:v>
                </c:pt>
                <c:pt idx="3">
                  <c:v>2013</c:v>
                </c:pt>
                <c:pt idx="4">
                  <c:v>2014</c:v>
                </c:pt>
              </c:numCache>
            </c:numRef>
          </c:cat>
          <c:val>
            <c:numRef>
              <c:f>'Prevalent and initiators'!$C$21:$C$25</c:f>
              <c:numCache>
                <c:formatCode>General</c:formatCode>
                <c:ptCount val="5"/>
                <c:pt idx="0">
                  <c:v>173</c:v>
                </c:pt>
                <c:pt idx="1">
                  <c:v>376</c:v>
                </c:pt>
                <c:pt idx="2">
                  <c:v>386</c:v>
                </c:pt>
                <c:pt idx="3">
                  <c:v>362</c:v>
                </c:pt>
                <c:pt idx="4">
                  <c:v>330</c:v>
                </c:pt>
              </c:numCache>
            </c:numRef>
          </c:val>
          <c:smooth val="0"/>
        </c:ser>
        <c:dLbls>
          <c:showLegendKey val="0"/>
          <c:showVal val="0"/>
          <c:showCatName val="0"/>
          <c:showSerName val="0"/>
          <c:showPercent val="0"/>
          <c:showBubbleSize val="0"/>
        </c:dLbls>
        <c:marker val="1"/>
        <c:smooth val="0"/>
        <c:axId val="88844928"/>
        <c:axId val="90973312"/>
      </c:lineChart>
      <c:catAx>
        <c:axId val="88844928"/>
        <c:scaling>
          <c:orientation val="minMax"/>
        </c:scaling>
        <c:delete val="0"/>
        <c:axPos val="b"/>
        <c:title>
          <c:tx>
            <c:rich>
              <a:bodyPr/>
              <a:lstStyle/>
              <a:p>
                <a:pPr>
                  <a:defRPr/>
                </a:pPr>
                <a:r>
                  <a:rPr lang="en-AU" b="0"/>
                  <a:t>Year</a:t>
                </a:r>
              </a:p>
            </c:rich>
          </c:tx>
          <c:layout/>
          <c:overlay val="0"/>
        </c:title>
        <c:numFmt formatCode="General" sourceLinked="1"/>
        <c:majorTickMark val="out"/>
        <c:minorTickMark val="none"/>
        <c:tickLblPos val="nextTo"/>
        <c:crossAx val="90973312"/>
        <c:crosses val="autoZero"/>
        <c:auto val="1"/>
        <c:lblAlgn val="ctr"/>
        <c:lblOffset val="100"/>
        <c:noMultiLvlLbl val="0"/>
      </c:catAx>
      <c:valAx>
        <c:axId val="90973312"/>
        <c:scaling>
          <c:orientation val="minMax"/>
        </c:scaling>
        <c:delete val="0"/>
        <c:axPos val="l"/>
        <c:majorGridlines/>
        <c:title>
          <c:tx>
            <c:rich>
              <a:bodyPr rot="-5400000" vert="horz"/>
              <a:lstStyle/>
              <a:p>
                <a:pPr>
                  <a:defRPr/>
                </a:pPr>
                <a:r>
                  <a:rPr lang="en-AU" b="0"/>
                  <a:t>Patients</a:t>
                </a:r>
              </a:p>
            </c:rich>
          </c:tx>
          <c:layout/>
          <c:overlay val="0"/>
        </c:title>
        <c:numFmt formatCode="#,##0" sourceLinked="0"/>
        <c:majorTickMark val="out"/>
        <c:minorTickMark val="none"/>
        <c:tickLblPos val="nextTo"/>
        <c:crossAx val="88844928"/>
        <c:crosses val="autoZero"/>
        <c:crossBetween val="midCat"/>
      </c:valAx>
    </c:plotArea>
    <c:legend>
      <c:legendPos val="t"/>
      <c:layout/>
      <c:overlay val="0"/>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'Prevalent and initiators'!$D$17</c:f>
              <c:strCache>
                <c:ptCount val="1"/>
                <c:pt idx="0">
                  <c:v>Paediatric Crohn's disease - total patients</c:v>
                </c:pt>
              </c:strCache>
            </c:strRef>
          </c:tx>
          <c:spPr>
            <a:ln>
              <a:solidFill>
                <a:srgbClr val="4BACC6">
                  <a:lumMod val="75000"/>
                </a:srgbClr>
              </a:solidFill>
            </a:ln>
          </c:spPr>
          <c:marker>
            <c:spPr>
              <a:solidFill>
                <a:srgbClr val="4BACC6">
                  <a:lumMod val="75000"/>
                </a:srgbClr>
              </a:solidFill>
              <a:ln>
                <a:solidFill>
                  <a:srgbClr val="4BACC6">
                    <a:lumMod val="75000"/>
                  </a:srgbClr>
                </a:solidFill>
              </a:ln>
            </c:spPr>
          </c:marker>
          <c:cat>
            <c:numRef>
              <c:f>'Prevalent and initiators'!$A$18:$A$25</c:f>
              <c:numCache>
                <c:formatCode>General</c:formatCode>
                <c:ptCount val="8"/>
                <c:pt idx="0">
                  <c:v>2007</c:v>
                </c:pt>
                <c:pt idx="1">
                  <c:v>2008</c:v>
                </c:pt>
                <c:pt idx="2">
                  <c:v>2009</c:v>
                </c:pt>
                <c:pt idx="3">
                  <c:v>2010</c:v>
                </c:pt>
                <c:pt idx="4">
                  <c:v>2011</c:v>
                </c:pt>
                <c:pt idx="5">
                  <c:v>2012</c:v>
                </c:pt>
                <c:pt idx="6">
                  <c:v>2013</c:v>
                </c:pt>
                <c:pt idx="7">
                  <c:v>2014</c:v>
                </c:pt>
              </c:numCache>
            </c:numRef>
          </c:cat>
          <c:val>
            <c:numRef>
              <c:f>'Prevalent and initiators'!$D$18:$D$25</c:f>
              <c:numCache>
                <c:formatCode>General</c:formatCode>
                <c:ptCount val="8"/>
                <c:pt idx="0">
                  <c:v>36</c:v>
                </c:pt>
                <c:pt idx="1">
                  <c:v>108</c:v>
                </c:pt>
                <c:pt idx="2">
                  <c:v>144</c:v>
                </c:pt>
                <c:pt idx="3">
                  <c:v>185</c:v>
                </c:pt>
                <c:pt idx="4">
                  <c:v>209</c:v>
                </c:pt>
                <c:pt idx="5">
                  <c:v>266</c:v>
                </c:pt>
                <c:pt idx="6">
                  <c:v>348</c:v>
                </c:pt>
                <c:pt idx="7">
                  <c:v>394</c:v>
                </c:pt>
              </c:numCache>
            </c:numRef>
          </c:val>
          <c:smooth val="0"/>
        </c:ser>
        <c:ser>
          <c:idx val="1"/>
          <c:order val="1"/>
          <c:tx>
            <c:strRef>
              <c:f>'Prevalent and initiators'!$E$17</c:f>
              <c:strCache>
                <c:ptCount val="1"/>
                <c:pt idx="0">
                  <c:v>Paediatric Crohn's disease - new patients</c:v>
                </c:pt>
              </c:strCache>
            </c:strRef>
          </c:tx>
          <c:spPr>
            <a:ln>
              <a:solidFill>
                <a:srgbClr val="006699"/>
              </a:solidFill>
              <a:prstDash val="sysDash"/>
            </a:ln>
          </c:spPr>
          <c:marker>
            <c:spPr>
              <a:solidFill>
                <a:srgbClr val="006699"/>
              </a:solidFill>
              <a:ln>
                <a:solidFill>
                  <a:srgbClr val="006699"/>
                </a:solidFill>
              </a:ln>
            </c:spPr>
          </c:marker>
          <c:cat>
            <c:numRef>
              <c:f>'Prevalent and initiators'!$A$18:$A$25</c:f>
              <c:numCache>
                <c:formatCode>General</c:formatCode>
                <c:ptCount val="8"/>
                <c:pt idx="0">
                  <c:v>2007</c:v>
                </c:pt>
                <c:pt idx="1">
                  <c:v>2008</c:v>
                </c:pt>
                <c:pt idx="2">
                  <c:v>2009</c:v>
                </c:pt>
                <c:pt idx="3">
                  <c:v>2010</c:v>
                </c:pt>
                <c:pt idx="4">
                  <c:v>2011</c:v>
                </c:pt>
                <c:pt idx="5">
                  <c:v>2012</c:v>
                </c:pt>
                <c:pt idx="6">
                  <c:v>2013</c:v>
                </c:pt>
                <c:pt idx="7">
                  <c:v>2014</c:v>
                </c:pt>
              </c:numCache>
            </c:numRef>
          </c:cat>
          <c:val>
            <c:numRef>
              <c:f>'Prevalent and initiators'!$E$18:$E$25</c:f>
              <c:numCache>
                <c:formatCode>General</c:formatCode>
                <c:ptCount val="8"/>
                <c:pt idx="0">
                  <c:v>36</c:v>
                </c:pt>
                <c:pt idx="1">
                  <c:v>80</c:v>
                </c:pt>
                <c:pt idx="2">
                  <c:v>68</c:v>
                </c:pt>
                <c:pt idx="3">
                  <c:v>75</c:v>
                </c:pt>
                <c:pt idx="4">
                  <c:v>68</c:v>
                </c:pt>
                <c:pt idx="5">
                  <c:v>97</c:v>
                </c:pt>
                <c:pt idx="6">
                  <c:v>125</c:v>
                </c:pt>
                <c:pt idx="7">
                  <c:v>102</c:v>
                </c:pt>
              </c:numCache>
            </c:numRef>
          </c:val>
          <c:smooth val="0"/>
        </c:ser>
        <c:dLbls>
          <c:showLegendKey val="0"/>
          <c:showVal val="0"/>
          <c:showCatName val="0"/>
          <c:showSerName val="0"/>
          <c:showPercent val="0"/>
          <c:showBubbleSize val="0"/>
        </c:dLbls>
        <c:marker val="1"/>
        <c:smooth val="0"/>
        <c:axId val="90996096"/>
        <c:axId val="91019136"/>
      </c:lineChart>
      <c:catAx>
        <c:axId val="90996096"/>
        <c:scaling>
          <c:orientation val="minMax"/>
        </c:scaling>
        <c:delete val="0"/>
        <c:axPos val="b"/>
        <c:title>
          <c:tx>
            <c:rich>
              <a:bodyPr/>
              <a:lstStyle/>
              <a:p>
                <a:pPr>
                  <a:defRPr/>
                </a:pPr>
                <a:r>
                  <a:rPr lang="en-AU" b="0"/>
                  <a:t>Year</a:t>
                </a:r>
              </a:p>
            </c:rich>
          </c:tx>
          <c:layout/>
          <c:overlay val="0"/>
        </c:title>
        <c:numFmt formatCode="General" sourceLinked="1"/>
        <c:majorTickMark val="out"/>
        <c:minorTickMark val="none"/>
        <c:tickLblPos val="nextTo"/>
        <c:crossAx val="91019136"/>
        <c:crosses val="autoZero"/>
        <c:auto val="1"/>
        <c:lblAlgn val="ctr"/>
        <c:lblOffset val="100"/>
        <c:noMultiLvlLbl val="0"/>
      </c:catAx>
      <c:valAx>
        <c:axId val="91019136"/>
        <c:scaling>
          <c:orientation val="minMax"/>
          <c:max val="400"/>
        </c:scaling>
        <c:delete val="0"/>
        <c:axPos val="l"/>
        <c:majorGridlines/>
        <c:title>
          <c:tx>
            <c:rich>
              <a:bodyPr rot="-5400000" vert="horz"/>
              <a:lstStyle/>
              <a:p>
                <a:pPr>
                  <a:defRPr/>
                </a:pPr>
                <a:r>
                  <a:rPr lang="en-AU" b="0"/>
                  <a:t>Patients</a:t>
                </a:r>
              </a:p>
            </c:rich>
          </c:tx>
          <c:layout/>
          <c:overlay val="0"/>
        </c:title>
        <c:numFmt formatCode="#,##0" sourceLinked="0"/>
        <c:majorTickMark val="out"/>
        <c:minorTickMark val="none"/>
        <c:tickLblPos val="nextTo"/>
        <c:crossAx val="90996096"/>
        <c:crosses val="autoZero"/>
        <c:crossBetween val="midCat"/>
      </c:valAx>
      <c:spPr>
        <a:ln>
          <a:solidFill>
            <a:sysClr val="windowText" lastClr="000000"/>
          </a:solidFill>
        </a:ln>
      </c:spPr>
    </c:plotArea>
    <c:legend>
      <c:legendPos val="t"/>
      <c:layout/>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'long term cont - paediatric'!$G$5</c:f>
              <c:strCache>
                <c:ptCount val="1"/>
                <c:pt idx="0">
                  <c:v>Infliximab (paediatric)</c:v>
                </c:pt>
              </c:strCache>
            </c:strRef>
          </c:tx>
          <c:spPr>
            <a:ln>
              <a:solidFill>
                <a:srgbClr val="0070C0"/>
              </a:solidFill>
            </a:ln>
          </c:spPr>
          <c:marker>
            <c:spPr>
              <a:solidFill>
                <a:srgbClr val="0070C0"/>
              </a:solidFill>
              <a:ln>
                <a:solidFill>
                  <a:srgbClr val="0070C0"/>
                </a:solidFill>
              </a:ln>
            </c:spPr>
          </c:marker>
          <c:cat>
            <c:numRef>
              <c:f>'long term cont - paediatric'!$E$14:$E$20</c:f>
              <c:numCache>
                <c:formatCode>General</c:formatCode>
                <c:ptCount val="7"/>
                <c:pt idx="0">
                  <c:v>1</c:v>
                </c:pt>
                <c:pt idx="1">
                  <c:v>2</c:v>
                </c:pt>
                <c:pt idx="2">
                  <c:v>3</c:v>
                </c:pt>
                <c:pt idx="3">
                  <c:v>4</c:v>
                </c:pt>
                <c:pt idx="4">
                  <c:v>5</c:v>
                </c:pt>
                <c:pt idx="5">
                  <c:v>6</c:v>
                </c:pt>
                <c:pt idx="6">
                  <c:v>7</c:v>
                </c:pt>
              </c:numCache>
            </c:numRef>
          </c:cat>
          <c:val>
            <c:numRef>
              <c:f>'long term cont - paediatric'!$G$14:$G$20</c:f>
              <c:numCache>
                <c:formatCode>0%</c:formatCode>
                <c:ptCount val="7"/>
                <c:pt idx="0">
                  <c:v>1</c:v>
                </c:pt>
                <c:pt idx="1">
                  <c:v>0.88059701492537312</c:v>
                </c:pt>
                <c:pt idx="2">
                  <c:v>0.86567164179104472</c:v>
                </c:pt>
                <c:pt idx="3">
                  <c:v>0.85074626865671643</c:v>
                </c:pt>
                <c:pt idx="4">
                  <c:v>0.77611940298507465</c:v>
                </c:pt>
                <c:pt idx="5">
                  <c:v>0.70149253731343286</c:v>
                </c:pt>
                <c:pt idx="6">
                  <c:v>0.68656716417910446</c:v>
                </c:pt>
              </c:numCache>
            </c:numRef>
          </c:val>
          <c:smooth val="0"/>
        </c:ser>
        <c:dLbls>
          <c:showLegendKey val="0"/>
          <c:showVal val="0"/>
          <c:showCatName val="0"/>
          <c:showSerName val="0"/>
          <c:showPercent val="0"/>
          <c:showBubbleSize val="0"/>
        </c:dLbls>
        <c:marker val="1"/>
        <c:smooth val="0"/>
        <c:axId val="91335296"/>
        <c:axId val="91337856"/>
      </c:lineChart>
      <c:catAx>
        <c:axId val="91335296"/>
        <c:scaling>
          <c:orientation val="minMax"/>
        </c:scaling>
        <c:delete val="0"/>
        <c:axPos val="b"/>
        <c:title>
          <c:tx>
            <c:rich>
              <a:bodyPr/>
              <a:lstStyle/>
              <a:p>
                <a:pPr>
                  <a:defRPr/>
                </a:pPr>
                <a:r>
                  <a:rPr lang="en-AU" b="0"/>
                  <a:t>Authority</a:t>
                </a:r>
                <a:r>
                  <a:rPr lang="en-AU" b="0" baseline="0"/>
                  <a:t> approval number</a:t>
                </a:r>
                <a:endParaRPr lang="en-AU" b="0"/>
              </a:p>
            </c:rich>
          </c:tx>
          <c:layout/>
          <c:overlay val="0"/>
        </c:title>
        <c:numFmt formatCode="General" sourceLinked="1"/>
        <c:majorTickMark val="out"/>
        <c:minorTickMark val="none"/>
        <c:tickLblPos val="nextTo"/>
        <c:crossAx val="91337856"/>
        <c:crossesAt val="0"/>
        <c:auto val="1"/>
        <c:lblAlgn val="ctr"/>
        <c:lblOffset val="100"/>
        <c:noMultiLvlLbl val="0"/>
      </c:catAx>
      <c:valAx>
        <c:axId val="91337856"/>
        <c:scaling>
          <c:orientation val="minMax"/>
          <c:max val="1"/>
          <c:min val="0"/>
        </c:scaling>
        <c:delete val="0"/>
        <c:axPos val="l"/>
        <c:majorGridlines/>
        <c:title>
          <c:tx>
            <c:rich>
              <a:bodyPr rot="-5400000" vert="horz"/>
              <a:lstStyle/>
              <a:p>
                <a:pPr>
                  <a:defRPr/>
                </a:pPr>
                <a:r>
                  <a:rPr lang="en-AU" b="0"/>
                  <a:t>%</a:t>
                </a:r>
                <a:r>
                  <a:rPr lang="en-AU" b="0" baseline="0"/>
                  <a:t> of patients</a:t>
                </a:r>
                <a:endParaRPr lang="en-AU" b="0"/>
              </a:p>
            </c:rich>
          </c:tx>
          <c:layout/>
          <c:overlay val="0"/>
        </c:title>
        <c:numFmt formatCode="0%" sourceLinked="1"/>
        <c:majorTickMark val="out"/>
        <c:minorTickMark val="none"/>
        <c:tickLblPos val="nextTo"/>
        <c:crossAx val="91335296"/>
        <c:crossesAt val="1"/>
        <c:crossBetween val="midCat"/>
        <c:majorUnit val="0.2"/>
        <c:minorUnit val="5.000000000000001E-2"/>
      </c:valAx>
    </c:plotArea>
    <c:legend>
      <c:legendPos val="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lineChart>
        <c:grouping val="standard"/>
        <c:varyColors val="0"/>
        <c:ser>
          <c:idx val="0"/>
          <c:order val="0"/>
          <c:tx>
            <c:strRef>
              <c:f>'Sheet2 (2)'!$B$17</c:f>
              <c:strCache>
                <c:ptCount val="1"/>
                <c:pt idx="0">
                  <c:v>2011</c:v>
                </c:pt>
              </c:strCache>
            </c:strRef>
          </c:tx>
          <c:cat>
            <c:numRef>
              <c:f>'Sheet2 (2)'!$A$18:$A$23</c:f>
              <c:numCache>
                <c:formatCode>General</c:formatCode>
                <c:ptCount val="6"/>
                <c:pt idx="0">
                  <c:v>2</c:v>
                </c:pt>
                <c:pt idx="1">
                  <c:v>3</c:v>
                </c:pt>
                <c:pt idx="2">
                  <c:v>4</c:v>
                </c:pt>
                <c:pt idx="3">
                  <c:v>5</c:v>
                </c:pt>
                <c:pt idx="4">
                  <c:v>6</c:v>
                </c:pt>
                <c:pt idx="5">
                  <c:v>7</c:v>
                </c:pt>
              </c:numCache>
            </c:numRef>
          </c:cat>
          <c:val>
            <c:numRef>
              <c:f>'Sheet2 (2)'!$B$18:$B$23</c:f>
              <c:numCache>
                <c:formatCode>0%</c:formatCode>
                <c:ptCount val="6"/>
                <c:pt idx="0">
                  <c:v>5.0125313283208017E-2</c:v>
                </c:pt>
                <c:pt idx="1">
                  <c:v>0.3032581453634085</c:v>
                </c:pt>
                <c:pt idx="2">
                  <c:v>0.41854636591478694</c:v>
                </c:pt>
                <c:pt idx="3">
                  <c:v>0.18045112781954886</c:v>
                </c:pt>
                <c:pt idx="4">
                  <c:v>2.7568922305764409E-2</c:v>
                </c:pt>
                <c:pt idx="5">
                  <c:v>1.2531328320802004E-2</c:v>
                </c:pt>
              </c:numCache>
            </c:numRef>
          </c:val>
          <c:smooth val="0"/>
        </c:ser>
        <c:ser>
          <c:idx val="1"/>
          <c:order val="1"/>
          <c:tx>
            <c:strRef>
              <c:f>'Sheet2 (2)'!$C$17</c:f>
              <c:strCache>
                <c:ptCount val="1"/>
                <c:pt idx="0">
                  <c:v>2012</c:v>
                </c:pt>
              </c:strCache>
            </c:strRef>
          </c:tx>
          <c:cat>
            <c:numRef>
              <c:f>'Sheet2 (2)'!$A$18:$A$23</c:f>
              <c:numCache>
                <c:formatCode>General</c:formatCode>
                <c:ptCount val="6"/>
                <c:pt idx="0">
                  <c:v>2</c:v>
                </c:pt>
                <c:pt idx="1">
                  <c:v>3</c:v>
                </c:pt>
                <c:pt idx="2">
                  <c:v>4</c:v>
                </c:pt>
                <c:pt idx="3">
                  <c:v>5</c:v>
                </c:pt>
                <c:pt idx="4">
                  <c:v>6</c:v>
                </c:pt>
                <c:pt idx="5">
                  <c:v>7</c:v>
                </c:pt>
              </c:numCache>
            </c:numRef>
          </c:cat>
          <c:val>
            <c:numRef>
              <c:f>'Sheet2 (2)'!$C$18:$C$23</c:f>
              <c:numCache>
                <c:formatCode>0%</c:formatCode>
                <c:ptCount val="6"/>
                <c:pt idx="0">
                  <c:v>3.007518796992481E-2</c:v>
                </c:pt>
                <c:pt idx="1">
                  <c:v>0.25814536340852129</c:v>
                </c:pt>
                <c:pt idx="2">
                  <c:v>0.42857142857142855</c:v>
                </c:pt>
                <c:pt idx="3">
                  <c:v>0.21804511278195488</c:v>
                </c:pt>
                <c:pt idx="4">
                  <c:v>4.7619047619047616E-2</c:v>
                </c:pt>
                <c:pt idx="5">
                  <c:v>7.5187969924812026E-3</c:v>
                </c:pt>
              </c:numCache>
            </c:numRef>
          </c:val>
          <c:smooth val="0"/>
        </c:ser>
        <c:ser>
          <c:idx val="2"/>
          <c:order val="2"/>
          <c:tx>
            <c:strRef>
              <c:f>'Sheet2 (2)'!$D$17</c:f>
              <c:strCache>
                <c:ptCount val="1"/>
                <c:pt idx="0">
                  <c:v>2013</c:v>
                </c:pt>
              </c:strCache>
            </c:strRef>
          </c:tx>
          <c:cat>
            <c:numRef>
              <c:f>'Sheet2 (2)'!$A$18:$A$23</c:f>
              <c:numCache>
                <c:formatCode>General</c:formatCode>
                <c:ptCount val="6"/>
                <c:pt idx="0">
                  <c:v>2</c:v>
                </c:pt>
                <c:pt idx="1">
                  <c:v>3</c:v>
                </c:pt>
                <c:pt idx="2">
                  <c:v>4</c:v>
                </c:pt>
                <c:pt idx="3">
                  <c:v>5</c:v>
                </c:pt>
                <c:pt idx="4">
                  <c:v>6</c:v>
                </c:pt>
                <c:pt idx="5">
                  <c:v>7</c:v>
                </c:pt>
              </c:numCache>
            </c:numRef>
          </c:cat>
          <c:val>
            <c:numRef>
              <c:f>'Sheet2 (2)'!$D$18:$D$23</c:f>
              <c:numCache>
                <c:formatCode>0%</c:formatCode>
                <c:ptCount val="6"/>
                <c:pt idx="0">
                  <c:v>1.2531328320802004E-2</c:v>
                </c:pt>
                <c:pt idx="1">
                  <c:v>0.24060150375939848</c:v>
                </c:pt>
                <c:pt idx="2">
                  <c:v>0.43107769423558895</c:v>
                </c:pt>
                <c:pt idx="3">
                  <c:v>0.24561403508771928</c:v>
                </c:pt>
                <c:pt idx="4">
                  <c:v>4.7619047619047616E-2</c:v>
                </c:pt>
                <c:pt idx="5">
                  <c:v>1.5037593984962405E-2</c:v>
                </c:pt>
              </c:numCache>
            </c:numRef>
          </c:val>
          <c:smooth val="0"/>
        </c:ser>
        <c:ser>
          <c:idx val="3"/>
          <c:order val="3"/>
          <c:tx>
            <c:strRef>
              <c:f>'Sheet2 (2)'!$E$17</c:f>
              <c:strCache>
                <c:ptCount val="1"/>
                <c:pt idx="0">
                  <c:v>2014</c:v>
                </c:pt>
              </c:strCache>
            </c:strRef>
          </c:tx>
          <c:cat>
            <c:numRef>
              <c:f>'Sheet2 (2)'!$A$18:$A$23</c:f>
              <c:numCache>
                <c:formatCode>General</c:formatCode>
                <c:ptCount val="6"/>
                <c:pt idx="0">
                  <c:v>2</c:v>
                </c:pt>
                <c:pt idx="1">
                  <c:v>3</c:v>
                </c:pt>
                <c:pt idx="2">
                  <c:v>4</c:v>
                </c:pt>
                <c:pt idx="3">
                  <c:v>5</c:v>
                </c:pt>
                <c:pt idx="4">
                  <c:v>6</c:v>
                </c:pt>
                <c:pt idx="5">
                  <c:v>7</c:v>
                </c:pt>
              </c:numCache>
            </c:numRef>
          </c:cat>
          <c:val>
            <c:numRef>
              <c:f>'Sheet2 (2)'!$E$18:$E$23</c:f>
              <c:numCache>
                <c:formatCode>0%</c:formatCode>
                <c:ptCount val="6"/>
                <c:pt idx="0">
                  <c:v>1.0025062656641603E-2</c:v>
                </c:pt>
                <c:pt idx="1">
                  <c:v>0.21303258145363407</c:v>
                </c:pt>
                <c:pt idx="2">
                  <c:v>0.42606516290726815</c:v>
                </c:pt>
                <c:pt idx="3">
                  <c:v>0.2807017543859649</c:v>
                </c:pt>
                <c:pt idx="4">
                  <c:v>4.7619047619047616E-2</c:v>
                </c:pt>
                <c:pt idx="5">
                  <c:v>1.2531328320802004E-2</c:v>
                </c:pt>
              </c:numCache>
            </c:numRef>
          </c:val>
          <c:smooth val="0"/>
        </c:ser>
        <c:dLbls>
          <c:showLegendKey val="0"/>
          <c:showVal val="0"/>
          <c:showCatName val="0"/>
          <c:showSerName val="0"/>
          <c:showPercent val="0"/>
          <c:showBubbleSize val="0"/>
        </c:dLbls>
        <c:marker val="1"/>
        <c:smooth val="0"/>
        <c:axId val="91377664"/>
        <c:axId val="91379584"/>
      </c:lineChart>
      <c:catAx>
        <c:axId val="91377664"/>
        <c:scaling>
          <c:orientation val="minMax"/>
        </c:scaling>
        <c:delete val="0"/>
        <c:axPos val="b"/>
        <c:title>
          <c:tx>
            <c:rich>
              <a:bodyPr/>
              <a:lstStyle/>
              <a:p>
                <a:pPr>
                  <a:defRPr/>
                </a:pPr>
                <a:r>
                  <a:rPr lang="en-AU" b="0"/>
                  <a:t>Vials per approval</a:t>
                </a:r>
              </a:p>
            </c:rich>
          </c:tx>
          <c:layout/>
          <c:overlay val="0"/>
        </c:title>
        <c:numFmt formatCode="General" sourceLinked="1"/>
        <c:majorTickMark val="out"/>
        <c:minorTickMark val="none"/>
        <c:tickLblPos val="nextTo"/>
        <c:crossAx val="91379584"/>
        <c:crosses val="autoZero"/>
        <c:auto val="1"/>
        <c:lblAlgn val="ctr"/>
        <c:lblOffset val="100"/>
        <c:noMultiLvlLbl val="0"/>
      </c:catAx>
      <c:valAx>
        <c:axId val="91379584"/>
        <c:scaling>
          <c:orientation val="minMax"/>
          <c:max val="0.5"/>
        </c:scaling>
        <c:delete val="0"/>
        <c:axPos val="l"/>
        <c:majorGridlines/>
        <c:title>
          <c:tx>
            <c:rich>
              <a:bodyPr rot="-5400000" vert="horz"/>
              <a:lstStyle/>
              <a:p>
                <a:pPr>
                  <a:defRPr/>
                </a:pPr>
                <a:r>
                  <a:rPr lang="en-AU" b="0"/>
                  <a:t>% of approvals</a:t>
                </a:r>
              </a:p>
            </c:rich>
          </c:tx>
          <c:layout/>
          <c:overlay val="0"/>
        </c:title>
        <c:numFmt formatCode="0%" sourceLinked="1"/>
        <c:majorTickMark val="out"/>
        <c:minorTickMark val="none"/>
        <c:tickLblPos val="nextTo"/>
        <c:crossAx val="91377664"/>
        <c:crosses val="autoZero"/>
        <c:crossBetween val="midCat"/>
        <c:majorUnit val="0.1"/>
      </c:valAx>
    </c:plotArea>
    <c:legend>
      <c:legendPos val="t"/>
      <c:layout/>
      <c:overlay val="0"/>
    </c:legend>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Sheet1!$E$9</c:f>
              <c:strCache>
                <c:ptCount val="1"/>
                <c:pt idx="0">
                  <c:v>Patients (n=388)</c:v>
                </c:pt>
              </c:strCache>
            </c:strRef>
          </c:tx>
          <c:spPr>
            <a:ln>
              <a:solidFill>
                <a:srgbClr val="0070C0"/>
              </a:solidFill>
            </a:ln>
          </c:spPr>
          <c:marker>
            <c:symbol val="none"/>
          </c:marker>
          <c:cat>
            <c:strRef>
              <c:f>Sheet1!$D$10:$D$22</c:f>
              <c:strCache>
                <c:ptCount val="10"/>
                <c:pt idx="0">
                  <c:v>&lt;10</c:v>
                </c:pt>
                <c:pt idx="1">
                  <c:v>10</c:v>
                </c:pt>
                <c:pt idx="2">
                  <c:v>11</c:v>
                </c:pt>
                <c:pt idx="3">
                  <c:v>12</c:v>
                </c:pt>
                <c:pt idx="4">
                  <c:v>13</c:v>
                </c:pt>
                <c:pt idx="5">
                  <c:v>14</c:v>
                </c:pt>
                <c:pt idx="6">
                  <c:v>15</c:v>
                </c:pt>
                <c:pt idx="7">
                  <c:v>16</c:v>
                </c:pt>
                <c:pt idx="8">
                  <c:v>17</c:v>
                </c:pt>
                <c:pt idx="9">
                  <c:v>18</c:v>
                </c:pt>
              </c:strCache>
            </c:strRef>
          </c:cat>
          <c:val>
            <c:numRef>
              <c:f>Sheet1!$F$10:$F$19</c:f>
              <c:numCache>
                <c:formatCode>0%</c:formatCode>
                <c:ptCount val="10"/>
                <c:pt idx="0">
                  <c:v>3.3505154639175257E-2</c:v>
                </c:pt>
                <c:pt idx="1">
                  <c:v>2.8350515463917526E-2</c:v>
                </c:pt>
                <c:pt idx="2">
                  <c:v>4.1237113402061855E-2</c:v>
                </c:pt>
                <c:pt idx="3">
                  <c:v>4.3814432989690719E-2</c:v>
                </c:pt>
                <c:pt idx="4">
                  <c:v>6.4432989690721643E-2</c:v>
                </c:pt>
                <c:pt idx="5">
                  <c:v>0.1211340206185567</c:v>
                </c:pt>
                <c:pt idx="6">
                  <c:v>0.15206185567010308</c:v>
                </c:pt>
                <c:pt idx="7">
                  <c:v>0.12371134020618557</c:v>
                </c:pt>
                <c:pt idx="8">
                  <c:v>0.17010309278350516</c:v>
                </c:pt>
                <c:pt idx="9">
                  <c:v>0.10051546391752578</c:v>
                </c:pt>
              </c:numCache>
            </c:numRef>
          </c:val>
          <c:smooth val="0"/>
        </c:ser>
        <c:dLbls>
          <c:showLegendKey val="0"/>
          <c:showVal val="0"/>
          <c:showCatName val="0"/>
          <c:showSerName val="0"/>
          <c:showPercent val="0"/>
          <c:showBubbleSize val="0"/>
        </c:dLbls>
        <c:marker val="1"/>
        <c:smooth val="0"/>
        <c:axId val="91805952"/>
        <c:axId val="91427200"/>
      </c:lineChart>
      <c:catAx>
        <c:axId val="91805952"/>
        <c:scaling>
          <c:orientation val="minMax"/>
        </c:scaling>
        <c:delete val="0"/>
        <c:axPos val="b"/>
        <c:title>
          <c:tx>
            <c:rich>
              <a:bodyPr/>
              <a:lstStyle/>
              <a:p>
                <a:pPr>
                  <a:defRPr/>
                </a:pPr>
                <a:r>
                  <a:rPr lang="en-AU" b="0"/>
                  <a:t>Patient</a:t>
                </a:r>
                <a:r>
                  <a:rPr lang="en-AU" b="0" baseline="0"/>
                  <a:t> age</a:t>
                </a:r>
                <a:endParaRPr lang="en-AU" b="0"/>
              </a:p>
            </c:rich>
          </c:tx>
          <c:layout/>
          <c:overlay val="0"/>
        </c:title>
        <c:majorTickMark val="out"/>
        <c:minorTickMark val="none"/>
        <c:tickLblPos val="nextTo"/>
        <c:crossAx val="91427200"/>
        <c:crosses val="autoZero"/>
        <c:auto val="1"/>
        <c:lblAlgn val="ctr"/>
        <c:lblOffset val="100"/>
        <c:noMultiLvlLbl val="0"/>
      </c:catAx>
      <c:valAx>
        <c:axId val="91427200"/>
        <c:scaling>
          <c:orientation val="minMax"/>
          <c:max val="0.2"/>
        </c:scaling>
        <c:delete val="0"/>
        <c:axPos val="l"/>
        <c:majorGridlines/>
        <c:title>
          <c:tx>
            <c:rich>
              <a:bodyPr rot="-5400000" vert="horz"/>
              <a:lstStyle/>
              <a:p>
                <a:pPr>
                  <a:defRPr/>
                </a:pPr>
                <a:r>
                  <a:rPr lang="en-AU" b="0"/>
                  <a:t>%</a:t>
                </a:r>
                <a:r>
                  <a:rPr lang="en-AU" b="0" baseline="0"/>
                  <a:t> of patients  </a:t>
                </a:r>
                <a:endParaRPr lang="en-AU" b="0"/>
              </a:p>
            </c:rich>
          </c:tx>
          <c:layout/>
          <c:overlay val="0"/>
        </c:title>
        <c:numFmt formatCode="0%" sourceLinked="1"/>
        <c:majorTickMark val="out"/>
        <c:minorTickMark val="none"/>
        <c:tickLblPos val="nextTo"/>
        <c:crossAx val="91805952"/>
        <c:crosses val="autoZero"/>
        <c:crossBetween val="midCat"/>
        <c:majorUnit val="5.000000000000001E-2"/>
      </c:valAx>
    </c:plotArea>
    <c:legend>
      <c:legendPos val="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Sheet4!$D$4</c:f>
              <c:strCache>
                <c:ptCount val="1"/>
                <c:pt idx="0">
                  <c:v>Vials</c:v>
                </c:pt>
              </c:strCache>
            </c:strRef>
          </c:tx>
          <c:spPr>
            <a:ln>
              <a:solidFill>
                <a:schemeClr val="accent5">
                  <a:lumMod val="75000"/>
                </a:schemeClr>
              </a:solidFill>
            </a:ln>
          </c:spPr>
          <c:cat>
            <c:numRef>
              <c:f>Sheet4!$D$5:$D$11</c:f>
              <c:numCache>
                <c:formatCode>General</c:formatCode>
                <c:ptCount val="7"/>
                <c:pt idx="0">
                  <c:v>1</c:v>
                </c:pt>
                <c:pt idx="1">
                  <c:v>2</c:v>
                </c:pt>
                <c:pt idx="2">
                  <c:v>3</c:v>
                </c:pt>
                <c:pt idx="3">
                  <c:v>4</c:v>
                </c:pt>
                <c:pt idx="4">
                  <c:v>5</c:v>
                </c:pt>
                <c:pt idx="5">
                  <c:v>6</c:v>
                </c:pt>
                <c:pt idx="6">
                  <c:v>7</c:v>
                </c:pt>
              </c:numCache>
            </c:numRef>
          </c:cat>
          <c:val>
            <c:numRef>
              <c:f>Sheet4!$F$5:$F$11</c:f>
              <c:numCache>
                <c:formatCode>0%</c:formatCode>
                <c:ptCount val="7"/>
                <c:pt idx="0">
                  <c:v>7.6142131979695434E-3</c:v>
                </c:pt>
                <c:pt idx="1">
                  <c:v>0.15583756345177666</c:v>
                </c:pt>
                <c:pt idx="2">
                  <c:v>0.49340101522842639</c:v>
                </c:pt>
                <c:pt idx="3">
                  <c:v>0.25939086294416241</c:v>
                </c:pt>
                <c:pt idx="4">
                  <c:v>6.6497461928934007E-2</c:v>
                </c:pt>
                <c:pt idx="5">
                  <c:v>1.5736040609137057E-2</c:v>
                </c:pt>
                <c:pt idx="6">
                  <c:v>1.5228426395939086E-3</c:v>
                </c:pt>
              </c:numCache>
            </c:numRef>
          </c:val>
          <c:smooth val="0"/>
        </c:ser>
        <c:dLbls>
          <c:showLegendKey val="0"/>
          <c:showVal val="0"/>
          <c:showCatName val="0"/>
          <c:showSerName val="0"/>
          <c:showPercent val="0"/>
          <c:showBubbleSize val="0"/>
        </c:dLbls>
        <c:marker val="1"/>
        <c:smooth val="0"/>
        <c:axId val="91471872"/>
        <c:axId val="91473792"/>
      </c:lineChart>
      <c:catAx>
        <c:axId val="91471872"/>
        <c:scaling>
          <c:orientation val="minMax"/>
        </c:scaling>
        <c:delete val="0"/>
        <c:axPos val="b"/>
        <c:title>
          <c:tx>
            <c:rich>
              <a:bodyPr/>
              <a:lstStyle/>
              <a:p>
                <a:pPr>
                  <a:defRPr/>
                </a:pPr>
                <a:r>
                  <a:rPr lang="en-AU" b="0"/>
                  <a:t>Vials</a:t>
                </a:r>
                <a:r>
                  <a:rPr lang="en-AU" b="0" baseline="0"/>
                  <a:t> per prescription</a:t>
                </a:r>
                <a:endParaRPr lang="en-AU" b="0"/>
              </a:p>
            </c:rich>
          </c:tx>
          <c:layout/>
          <c:overlay val="0"/>
        </c:title>
        <c:numFmt formatCode="General" sourceLinked="1"/>
        <c:majorTickMark val="out"/>
        <c:minorTickMark val="none"/>
        <c:tickLblPos val="nextTo"/>
        <c:crossAx val="91473792"/>
        <c:crosses val="autoZero"/>
        <c:auto val="1"/>
        <c:lblAlgn val="ctr"/>
        <c:lblOffset val="100"/>
        <c:noMultiLvlLbl val="0"/>
      </c:catAx>
      <c:valAx>
        <c:axId val="91473792"/>
        <c:scaling>
          <c:orientation val="minMax"/>
          <c:max val="0.5"/>
        </c:scaling>
        <c:delete val="0"/>
        <c:axPos val="l"/>
        <c:majorGridlines/>
        <c:title>
          <c:tx>
            <c:rich>
              <a:bodyPr rot="-5400000" vert="horz"/>
              <a:lstStyle/>
              <a:p>
                <a:pPr>
                  <a:defRPr/>
                </a:pPr>
                <a:r>
                  <a:rPr lang="en-AU" b="0"/>
                  <a:t>%</a:t>
                </a:r>
                <a:r>
                  <a:rPr lang="en-AU" b="0" baseline="0"/>
                  <a:t> of  prescriptions</a:t>
                </a:r>
                <a:endParaRPr lang="en-AU" b="0"/>
              </a:p>
            </c:rich>
          </c:tx>
          <c:layout/>
          <c:overlay val="0"/>
        </c:title>
        <c:numFmt formatCode="0%" sourceLinked="1"/>
        <c:majorTickMark val="out"/>
        <c:minorTickMark val="none"/>
        <c:tickLblPos val="nextTo"/>
        <c:crossAx val="91471872"/>
        <c:crosses val="autoZero"/>
        <c:crossBetween val="midCat"/>
        <c:majorUnit val="0.1"/>
      </c:valAx>
      <c:spPr>
        <a:ln>
          <a:solidFill>
            <a:schemeClr val="tx1"/>
          </a:solidFill>
        </a:ln>
      </c:spPr>
    </c:plotArea>
    <c:legend>
      <c:legendPos val="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4"/>
          <c:order val="0"/>
          <c:tx>
            <c:strRef>
              <c:f>'Combined expenditure'!$B$22</c:f>
              <c:strCache>
                <c:ptCount val="1"/>
                <c:pt idx="0">
                  <c:v>ADA severe</c:v>
                </c:pt>
              </c:strCache>
            </c:strRef>
          </c:tx>
          <c:spPr>
            <a:solidFill>
              <a:srgbClr val="7030A0"/>
            </a:solidFill>
            <a:ln w="25400">
              <a:noFill/>
            </a:ln>
          </c:spPr>
          <c:cat>
            <c:strRef>
              <c:f>'Combined expenditure'!$C$15:$I$15</c:f>
              <c:strCache>
                <c:ptCount val="7"/>
                <c:pt idx="0">
                  <c:v>2007</c:v>
                </c:pt>
                <c:pt idx="1">
                  <c:v>2008</c:v>
                </c:pt>
                <c:pt idx="2">
                  <c:v>2009</c:v>
                </c:pt>
                <c:pt idx="3">
                  <c:v>2010</c:v>
                </c:pt>
                <c:pt idx="4">
                  <c:v>2011</c:v>
                </c:pt>
                <c:pt idx="5">
                  <c:v>2012</c:v>
                </c:pt>
                <c:pt idx="6">
                  <c:v>2013</c:v>
                </c:pt>
              </c:strCache>
            </c:strRef>
          </c:cat>
          <c:val>
            <c:numRef>
              <c:f>'Combined expenditure'!$C$22:$I$22</c:f>
              <c:numCache>
                <c:formatCode>General</c:formatCode>
                <c:ptCount val="7"/>
                <c:pt idx="1">
                  <c:v>4186919.7600000002</c:v>
                </c:pt>
                <c:pt idx="2">
                  <c:v>19822718.820000011</c:v>
                </c:pt>
                <c:pt idx="3">
                  <c:v>27272281.140000124</c:v>
                </c:pt>
                <c:pt idx="4">
                  <c:v>34234196.969999894</c:v>
                </c:pt>
                <c:pt idx="5">
                  <c:v>40998386.030000128</c:v>
                </c:pt>
                <c:pt idx="6">
                  <c:v>47790938.520000227</c:v>
                </c:pt>
              </c:numCache>
            </c:numRef>
          </c:val>
        </c:ser>
        <c:ser>
          <c:idx val="2"/>
          <c:order val="1"/>
          <c:tx>
            <c:strRef>
              <c:f>'Combined expenditure'!$B$18</c:f>
              <c:strCache>
                <c:ptCount val="1"/>
                <c:pt idx="0">
                  <c:v>INF severe</c:v>
                </c:pt>
              </c:strCache>
            </c:strRef>
          </c:tx>
          <c:spPr>
            <a:solidFill>
              <a:schemeClr val="accent4">
                <a:lumMod val="60000"/>
                <a:lumOff val="40000"/>
              </a:schemeClr>
            </a:solidFill>
            <a:ln w="25400">
              <a:noFill/>
            </a:ln>
          </c:spPr>
          <c:cat>
            <c:strRef>
              <c:f>'Combined expenditure'!$C$15:$I$15</c:f>
              <c:strCache>
                <c:ptCount val="7"/>
                <c:pt idx="0">
                  <c:v>2007</c:v>
                </c:pt>
                <c:pt idx="1">
                  <c:v>2008</c:v>
                </c:pt>
                <c:pt idx="2">
                  <c:v>2009</c:v>
                </c:pt>
                <c:pt idx="3">
                  <c:v>2010</c:v>
                </c:pt>
                <c:pt idx="4">
                  <c:v>2011</c:v>
                </c:pt>
                <c:pt idx="5">
                  <c:v>2012</c:v>
                </c:pt>
                <c:pt idx="6">
                  <c:v>2013</c:v>
                </c:pt>
              </c:strCache>
            </c:strRef>
          </c:cat>
          <c:val>
            <c:numRef>
              <c:f>'Combined expenditure'!$C$18:$I$18</c:f>
              <c:numCache>
                <c:formatCode>General</c:formatCode>
                <c:ptCount val="7"/>
                <c:pt idx="0">
                  <c:v>1205370</c:v>
                </c:pt>
                <c:pt idx="1">
                  <c:v>9987591</c:v>
                </c:pt>
                <c:pt idx="2">
                  <c:v>13855304</c:v>
                </c:pt>
                <c:pt idx="3">
                  <c:v>18093409</c:v>
                </c:pt>
                <c:pt idx="4">
                  <c:v>22461247</c:v>
                </c:pt>
                <c:pt idx="5">
                  <c:v>26792579</c:v>
                </c:pt>
                <c:pt idx="6">
                  <c:v>32433898</c:v>
                </c:pt>
              </c:numCache>
            </c:numRef>
          </c:val>
        </c:ser>
        <c:ser>
          <c:idx val="0"/>
          <c:order val="2"/>
          <c:tx>
            <c:strRef>
              <c:f>'Combined expenditure'!$B$16</c:f>
              <c:strCache>
                <c:ptCount val="1"/>
                <c:pt idx="0">
                  <c:v>INF fistulising</c:v>
                </c:pt>
              </c:strCache>
            </c:strRef>
          </c:tx>
          <c:spPr>
            <a:solidFill>
              <a:srgbClr val="92D050"/>
            </a:solidFill>
          </c:spPr>
          <c:cat>
            <c:strRef>
              <c:f>'Combined expenditure'!$C$15:$I$15</c:f>
              <c:strCache>
                <c:ptCount val="7"/>
                <c:pt idx="0">
                  <c:v>2007</c:v>
                </c:pt>
                <c:pt idx="1">
                  <c:v>2008</c:v>
                </c:pt>
                <c:pt idx="2">
                  <c:v>2009</c:v>
                </c:pt>
                <c:pt idx="3">
                  <c:v>2010</c:v>
                </c:pt>
                <c:pt idx="4">
                  <c:v>2011</c:v>
                </c:pt>
                <c:pt idx="5">
                  <c:v>2012</c:v>
                </c:pt>
                <c:pt idx="6">
                  <c:v>2013</c:v>
                </c:pt>
              </c:strCache>
            </c:strRef>
          </c:cat>
          <c:val>
            <c:numRef>
              <c:f>'Combined expenditure'!$C$16:$I$16</c:f>
              <c:numCache>
                <c:formatCode>General</c:formatCode>
                <c:ptCount val="7"/>
                <c:pt idx="3">
                  <c:v>1225010</c:v>
                </c:pt>
                <c:pt idx="4">
                  <c:v>5624015</c:v>
                </c:pt>
                <c:pt idx="5">
                  <c:v>7664945</c:v>
                </c:pt>
                <c:pt idx="6">
                  <c:v>10490349</c:v>
                </c:pt>
              </c:numCache>
            </c:numRef>
          </c:val>
        </c:ser>
        <c:ser>
          <c:idx val="3"/>
          <c:order val="3"/>
          <c:tx>
            <c:strRef>
              <c:f>'Combined expenditure'!$B$21</c:f>
              <c:strCache>
                <c:ptCount val="1"/>
                <c:pt idx="0">
                  <c:v>ADA fistulising</c:v>
                </c:pt>
              </c:strCache>
            </c:strRef>
          </c:tx>
          <c:spPr>
            <a:solidFill>
              <a:srgbClr val="008000"/>
            </a:solidFill>
            <a:ln w="25400">
              <a:noFill/>
            </a:ln>
          </c:spPr>
          <c:cat>
            <c:strRef>
              <c:f>'Combined expenditure'!$C$15:$I$15</c:f>
              <c:strCache>
                <c:ptCount val="7"/>
                <c:pt idx="0">
                  <c:v>2007</c:v>
                </c:pt>
                <c:pt idx="1">
                  <c:v>2008</c:v>
                </c:pt>
                <c:pt idx="2">
                  <c:v>2009</c:v>
                </c:pt>
                <c:pt idx="3">
                  <c:v>2010</c:v>
                </c:pt>
                <c:pt idx="4">
                  <c:v>2011</c:v>
                </c:pt>
                <c:pt idx="5">
                  <c:v>2012</c:v>
                </c:pt>
                <c:pt idx="6">
                  <c:v>2013</c:v>
                </c:pt>
              </c:strCache>
            </c:strRef>
          </c:cat>
          <c:val>
            <c:numRef>
              <c:f>'Combined expenditure'!$C$21:$I$21</c:f>
              <c:numCache>
                <c:formatCode>General</c:formatCode>
                <c:ptCount val="7"/>
                <c:pt idx="4">
                  <c:v>1920107.7700000007</c:v>
                </c:pt>
                <c:pt idx="5">
                  <c:v>6392210.4100000011</c:v>
                </c:pt>
                <c:pt idx="6">
                  <c:v>8894331.7099999748</c:v>
                </c:pt>
              </c:numCache>
            </c:numRef>
          </c:val>
        </c:ser>
        <c:ser>
          <c:idx val="1"/>
          <c:order val="4"/>
          <c:tx>
            <c:strRef>
              <c:f>'Combined expenditure'!$B$17</c:f>
              <c:strCache>
                <c:ptCount val="1"/>
                <c:pt idx="0">
                  <c:v>INF paediatric</c:v>
                </c:pt>
              </c:strCache>
            </c:strRef>
          </c:tx>
          <c:spPr>
            <a:solidFill>
              <a:srgbClr val="0066FF"/>
            </a:solidFill>
            <a:ln w="25400">
              <a:noFill/>
            </a:ln>
          </c:spPr>
          <c:cat>
            <c:strRef>
              <c:f>'Combined expenditure'!$C$15:$I$15</c:f>
              <c:strCache>
                <c:ptCount val="7"/>
                <c:pt idx="0">
                  <c:v>2007</c:v>
                </c:pt>
                <c:pt idx="1">
                  <c:v>2008</c:v>
                </c:pt>
                <c:pt idx="2">
                  <c:v>2009</c:v>
                </c:pt>
                <c:pt idx="3">
                  <c:v>2010</c:v>
                </c:pt>
                <c:pt idx="4">
                  <c:v>2011</c:v>
                </c:pt>
                <c:pt idx="5">
                  <c:v>2012</c:v>
                </c:pt>
                <c:pt idx="6">
                  <c:v>2013</c:v>
                </c:pt>
              </c:strCache>
            </c:strRef>
          </c:cat>
          <c:val>
            <c:numRef>
              <c:f>'Combined expenditure'!$C$17:$I$17</c:f>
              <c:numCache>
                <c:formatCode>General</c:formatCode>
                <c:ptCount val="7"/>
                <c:pt idx="0">
                  <c:v>95608</c:v>
                </c:pt>
                <c:pt idx="1">
                  <c:v>655264</c:v>
                </c:pt>
                <c:pt idx="2">
                  <c:v>1278383</c:v>
                </c:pt>
                <c:pt idx="3">
                  <c:v>2277511</c:v>
                </c:pt>
                <c:pt idx="4">
                  <c:v>2521470</c:v>
                </c:pt>
                <c:pt idx="5">
                  <c:v>3080502</c:v>
                </c:pt>
                <c:pt idx="6">
                  <c:v>4230808</c:v>
                </c:pt>
              </c:numCache>
            </c:numRef>
          </c:val>
        </c:ser>
        <c:dLbls>
          <c:showLegendKey val="0"/>
          <c:showVal val="0"/>
          <c:showCatName val="0"/>
          <c:showSerName val="0"/>
          <c:showPercent val="0"/>
          <c:showBubbleSize val="0"/>
        </c:dLbls>
        <c:axId val="37110528"/>
        <c:axId val="37112448"/>
      </c:areaChart>
      <c:catAx>
        <c:axId val="37110528"/>
        <c:scaling>
          <c:orientation val="minMax"/>
        </c:scaling>
        <c:delete val="0"/>
        <c:axPos val="b"/>
        <c:title>
          <c:tx>
            <c:rich>
              <a:bodyPr/>
              <a:lstStyle/>
              <a:p>
                <a:pPr>
                  <a:defRPr/>
                </a:pPr>
                <a:r>
                  <a:rPr lang="en-AU" b="0"/>
                  <a:t>Year</a:t>
                </a:r>
              </a:p>
            </c:rich>
          </c:tx>
          <c:layout/>
          <c:overlay val="0"/>
        </c:title>
        <c:majorTickMark val="out"/>
        <c:minorTickMark val="none"/>
        <c:tickLblPos val="nextTo"/>
        <c:crossAx val="37112448"/>
        <c:crosses val="autoZero"/>
        <c:auto val="1"/>
        <c:lblAlgn val="ctr"/>
        <c:lblOffset val="100"/>
        <c:noMultiLvlLbl val="0"/>
      </c:catAx>
      <c:valAx>
        <c:axId val="37112448"/>
        <c:scaling>
          <c:orientation val="minMax"/>
        </c:scaling>
        <c:delete val="0"/>
        <c:axPos val="l"/>
        <c:majorGridlines/>
        <c:title>
          <c:tx>
            <c:rich>
              <a:bodyPr rot="-5400000" vert="horz"/>
              <a:lstStyle/>
              <a:p>
                <a:pPr>
                  <a:defRPr/>
                </a:pPr>
                <a:r>
                  <a:rPr lang="en-AU" b="0"/>
                  <a:t>Expenditure</a:t>
                </a:r>
              </a:p>
            </c:rich>
          </c:tx>
          <c:layout/>
          <c:overlay val="0"/>
        </c:title>
        <c:numFmt formatCode="&quot;$&quot;#,##0" sourceLinked="0"/>
        <c:majorTickMark val="out"/>
        <c:minorTickMark val="none"/>
        <c:tickLblPos val="nextTo"/>
        <c:crossAx val="37110528"/>
        <c:crosses val="autoZero"/>
        <c:crossBetween val="midCat"/>
      </c:valAx>
    </c:plotArea>
    <c:legend>
      <c:legendPos val="t"/>
      <c:layout/>
      <c:overlay val="0"/>
    </c:legend>
    <c:plotVisOnly val="1"/>
    <c:dispBlanksAs val="zero"/>
    <c:showDLblsOverMax val="0"/>
  </c:chart>
  <c:spPr>
    <a:ln>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0.59408</cdr:x>
      <cdr:y>0.31868</cdr:y>
    </cdr:from>
    <cdr:to>
      <cdr:x>0.59408</cdr:x>
      <cdr:y>0.79321</cdr:y>
    </cdr:to>
    <cdr:cxnSp macro="">
      <cdr:nvCxnSpPr>
        <cdr:cNvPr id="4" name="Straight Connector 3" title="this line identifies the point in time (2011) when the change in steroid dosing requirements took efefct"/>
        <cdr:cNvCxnSpPr/>
      </cdr:nvCxnSpPr>
      <cdr:spPr>
        <a:xfrm xmlns:a="http://schemas.openxmlformats.org/drawingml/2006/main" flipV="1">
          <a:off x="3372910" y="904557"/>
          <a:ext cx="0" cy="134693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3519-3C0A-4152-87DD-8B482E2C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9739</Words>
  <Characters>55513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2015-06-23T01:32:00Z</dcterms:created>
  <dcterms:modified xsi:type="dcterms:W3CDTF">2015-06-25T00:02:00Z</dcterms:modified>
</cp:coreProperties>
</file>