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7D354669" w:rsidR="00832324" w:rsidRDefault="003949F2" w:rsidP="00F73113">
      <w:pPr>
        <w:pStyle w:val="Title"/>
      </w:pPr>
      <w:r>
        <w:t xml:space="preserve">Daratumumab for </w:t>
      </w:r>
      <w:r w:rsidR="00312389">
        <w:t>newly diagnosed systemic light chain amyloidosis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24545EAF" w:rsidR="009053D3" w:rsidRPr="00F73113" w:rsidRDefault="00731FE2" w:rsidP="00F73113">
      <w:pPr>
        <w:pStyle w:val="Meetingdate"/>
      </w:pPr>
      <w:r>
        <w:t>October 2025</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4A050CB5" w:rsidR="005C6661" w:rsidRDefault="00731FE2" w:rsidP="00731FE2">
      <w:pPr>
        <w:pStyle w:val="NoSpacing"/>
      </w:pPr>
      <w:r>
        <w:t>To review the utilisation of daratumumab for newly diagnosed systemic light</w:t>
      </w:r>
      <w:r w:rsidR="00AE33BD">
        <w:t>-</w:t>
      </w:r>
      <w:r>
        <w:t xml:space="preserve">chain </w:t>
      </w:r>
      <w:r w:rsidR="00AE33BD">
        <w:t xml:space="preserve">AL </w:t>
      </w:r>
      <w:r>
        <w:t xml:space="preserve">amyloidosis as requested by DUSC at its June 2025 meeting.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7B64806C" w:rsidR="002D144A" w:rsidRPr="002D144A" w:rsidRDefault="00731FE2" w:rsidP="002D144A">
      <w:r>
        <w:t xml:space="preserve">Daratumumab was listed for the treatment of newly diagnosed systemic light chain </w:t>
      </w:r>
      <w:r w:rsidRPr="00620B4A">
        <w:t>amyloidosis on</w:t>
      </w:r>
      <w:r w:rsidR="00620B4A" w:rsidRPr="00620B4A">
        <w:t xml:space="preserve"> 1 January 2023</w:t>
      </w:r>
      <w:r w:rsidRPr="00620B4A">
        <w:t>.</w:t>
      </w:r>
      <w:r>
        <w:t xml:space="preserve"> </w:t>
      </w:r>
    </w:p>
    <w:p w14:paraId="526743BB" w14:textId="77777777" w:rsidR="005C6661" w:rsidRDefault="005C6661" w:rsidP="00CF5E22">
      <w:pPr>
        <w:pStyle w:val="Heading3"/>
      </w:pPr>
      <w:r>
        <w:t>Data Source / methodology</w:t>
      </w:r>
    </w:p>
    <w:p w14:paraId="3C74AB36" w14:textId="4C626BF3" w:rsidR="006804E0" w:rsidRDefault="006804E0" w:rsidP="005C6661">
      <w:pPr>
        <w:pStyle w:val="NoSpacing"/>
      </w:pPr>
      <w:r w:rsidRPr="006804E0">
        <w:t xml:space="preserve">Data extracted from the PBS </w:t>
      </w:r>
      <w:r w:rsidR="00756316">
        <w:t xml:space="preserve">and </w:t>
      </w:r>
      <w:r w:rsidR="00756316" w:rsidRPr="00756316">
        <w:t xml:space="preserve">Date of Death database </w:t>
      </w:r>
      <w:r w:rsidRPr="006804E0">
        <w:t>maintained by Department of Health</w:t>
      </w:r>
      <w:r w:rsidR="00312389">
        <w:t>, Disability and Ageing</w:t>
      </w:r>
      <w:r w:rsidRPr="006804E0">
        <w:t>, processed by Services Australia were used for the analyses.</w:t>
      </w:r>
    </w:p>
    <w:p w14:paraId="7599E7C1" w14:textId="77777777" w:rsidR="005C6661" w:rsidRDefault="005C6661" w:rsidP="00CF5E22">
      <w:pPr>
        <w:pStyle w:val="Heading3"/>
      </w:pPr>
      <w:r>
        <w:t>Key Findings</w:t>
      </w:r>
    </w:p>
    <w:p w14:paraId="22FAC9B9" w14:textId="705488AB" w:rsidR="00E96284" w:rsidRPr="00155AF9" w:rsidRDefault="00E96284" w:rsidP="005C6661">
      <w:pPr>
        <w:pStyle w:val="NoSpacing"/>
        <w:numPr>
          <w:ilvl w:val="0"/>
          <w:numId w:val="1"/>
        </w:numPr>
      </w:pPr>
      <w:r w:rsidRPr="00155AF9">
        <w:t xml:space="preserve">In 2023, </w:t>
      </w:r>
      <w:r w:rsidR="00DC1F5B">
        <w:t>294</w:t>
      </w:r>
      <w:r w:rsidRPr="00155AF9">
        <w:t xml:space="preserve"> patients </w:t>
      </w:r>
      <w:r w:rsidR="00155AF9" w:rsidRPr="00155AF9">
        <w:t xml:space="preserve">were supplied </w:t>
      </w:r>
      <w:r w:rsidR="00DC1F5B">
        <w:t>3,270</w:t>
      </w:r>
      <w:r w:rsidR="00155AF9" w:rsidRPr="00155AF9">
        <w:t xml:space="preserve"> prescriptions for the treatment of </w:t>
      </w:r>
      <w:r w:rsidR="00DC1F5B">
        <w:t xml:space="preserve">AL </w:t>
      </w:r>
      <w:r w:rsidR="00FF7E1B" w:rsidRPr="00155AF9">
        <w:t>amyloidosis</w:t>
      </w:r>
      <w:r w:rsidR="00155AF9" w:rsidRPr="00155AF9">
        <w:t xml:space="preserve">. </w:t>
      </w:r>
    </w:p>
    <w:p w14:paraId="52F8159D" w14:textId="2EAA23DB" w:rsidR="00155AF9" w:rsidRDefault="00155AF9" w:rsidP="00155AF9">
      <w:pPr>
        <w:pStyle w:val="NoSpacing"/>
        <w:numPr>
          <w:ilvl w:val="0"/>
          <w:numId w:val="1"/>
        </w:numPr>
      </w:pPr>
      <w:r w:rsidRPr="00155AF9">
        <w:t xml:space="preserve">In 2024, </w:t>
      </w:r>
      <w:r w:rsidR="00DC1F5B">
        <w:t>443</w:t>
      </w:r>
      <w:r w:rsidRPr="00155AF9">
        <w:t xml:space="preserve"> patients were supplied </w:t>
      </w:r>
      <w:r w:rsidR="00DC1F5B">
        <w:t>4,881</w:t>
      </w:r>
      <w:r w:rsidRPr="00155AF9">
        <w:t xml:space="preserve"> prescriptions for the treatment of </w:t>
      </w:r>
      <w:r w:rsidR="00DC1F5B">
        <w:t xml:space="preserve">AL </w:t>
      </w:r>
      <w:r w:rsidR="00FF7E1B" w:rsidRPr="00155AF9">
        <w:t>amyloidosis</w:t>
      </w:r>
      <w:r w:rsidR="0073272F">
        <w:t>.</w:t>
      </w:r>
      <w:r w:rsidRPr="00155AF9">
        <w:t xml:space="preserve"> </w:t>
      </w:r>
    </w:p>
    <w:p w14:paraId="645E367C" w14:textId="1FAED6BF" w:rsidR="00DC1F5B" w:rsidRDefault="00DA7BA3" w:rsidP="00F84047">
      <w:pPr>
        <w:pStyle w:val="NoSpacing"/>
        <w:numPr>
          <w:ilvl w:val="0"/>
          <w:numId w:val="1"/>
        </w:numPr>
      </w:pPr>
      <w:r>
        <w:t xml:space="preserve">The median age of patients </w:t>
      </w:r>
      <w:r w:rsidR="00DC1F5B">
        <w:t>initiating</w:t>
      </w:r>
      <w:r>
        <w:t xml:space="preserve"> </w:t>
      </w:r>
      <w:r w:rsidR="00DC1F5B">
        <w:t>treatment</w:t>
      </w:r>
      <w:r>
        <w:t xml:space="preserve"> with daratumumab </w:t>
      </w:r>
      <w:r w:rsidR="00DC1F5B">
        <w:t xml:space="preserve">for the treatment of AL amyloidosis was 70 years. </w:t>
      </w:r>
    </w:p>
    <w:p w14:paraId="3D320FF8" w14:textId="76A5EB9A" w:rsidR="005E2743" w:rsidRPr="00155AF9" w:rsidRDefault="005E2743" w:rsidP="00155AF9">
      <w:pPr>
        <w:pStyle w:val="NoSpacing"/>
        <w:numPr>
          <w:ilvl w:val="0"/>
          <w:numId w:val="1"/>
        </w:numPr>
      </w:pPr>
      <w:r>
        <w:t xml:space="preserve">Utilisation was different from estimated with a greater number of patients initiating than estimated, </w:t>
      </w:r>
      <w:r w:rsidR="008325AB">
        <w:t xml:space="preserve">and a lower number of prescriptions supplied than estimated. </w:t>
      </w:r>
    </w:p>
    <w:p w14:paraId="5DDFFA28" w14:textId="77777777" w:rsidR="00155AF9" w:rsidRPr="00BB0D1A" w:rsidRDefault="00155AF9" w:rsidP="00155AF9">
      <w:pPr>
        <w:pStyle w:val="NoSpacing"/>
        <w:ind w:left="360"/>
        <w:rPr>
          <w:highlight w:val="yellow"/>
        </w:rPr>
      </w:pP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30EF6E91" w14:textId="77777777" w:rsidR="00312389" w:rsidRDefault="00312389" w:rsidP="00312389">
      <w:pPr>
        <w:pStyle w:val="NoSpacing"/>
      </w:pPr>
      <w:r>
        <w:t xml:space="preserve">To review the utilisation of daratumumab for newly diagnosed systemic light chain amyloidosis as requested by DUSC at its June 2025 meeting. </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1064A485" w14:textId="744301A8" w:rsidR="00FB4E0F" w:rsidRDefault="00AE33BD" w:rsidP="0063767B">
      <w:pPr>
        <w:pStyle w:val="3-BodyText"/>
        <w:numPr>
          <w:ilvl w:val="0"/>
          <w:numId w:val="0"/>
        </w:numPr>
      </w:pPr>
      <w:r>
        <w:t xml:space="preserve">Systemic light-chain AL amyloidosis </w:t>
      </w:r>
      <w:r w:rsidR="006576FF">
        <w:t>AL</w:t>
      </w:r>
      <w:r w:rsidR="00E02B95">
        <w:t xml:space="preserve"> (herein referred to AL amyloidosis)</w:t>
      </w:r>
      <w:r w:rsidR="006576FF">
        <w:t xml:space="preserve"> is a</w:t>
      </w:r>
      <w:r w:rsidR="00601266">
        <w:t xml:space="preserve"> </w:t>
      </w:r>
      <w:r w:rsidR="006576FF">
        <w:t xml:space="preserve">type of blood disorder where abnormal blood cells make excessive amounts of abnormal proteins that </w:t>
      </w:r>
      <w:r w:rsidR="00F06416">
        <w:t>deposit in various organs</w:t>
      </w:r>
      <w:r w:rsidR="00716FE9">
        <w:t xml:space="preserve">. </w:t>
      </w:r>
      <w:r w:rsidR="00716FE9" w:rsidRPr="00622E6C">
        <w:t xml:space="preserve">Organs involved usually include the kidneys, heart, gastrointestinal tract, liver and nervous system. Up to 70% of newly diagnosed patients </w:t>
      </w:r>
      <w:r w:rsidR="00716FE9" w:rsidRPr="00622E6C">
        <w:rPr>
          <w:rFonts w:eastAsia="Calibri"/>
          <w:szCs w:val="22"/>
          <w:lang w:eastAsia="en-US"/>
        </w:rPr>
        <w:t>present with cardiac involvement at diagnosis. Cardiac complications account for most deaths in this population.</w:t>
      </w:r>
      <w:r w:rsidR="00716FE9">
        <w:rPr>
          <w:rFonts w:eastAsia="Calibri"/>
          <w:szCs w:val="22"/>
          <w:lang w:eastAsia="en-US"/>
        </w:rPr>
        <w:t xml:space="preserve"> </w:t>
      </w:r>
      <w:r w:rsidR="00B1438F" w:rsidRPr="00622E6C">
        <w:t xml:space="preserve">AL amyloidosis is among the more common and more severe forms of </w:t>
      </w:r>
      <w:r w:rsidR="00FB4E0F" w:rsidRPr="00622E6C">
        <w:t>amyloidosis. It has been estimated that 49% of patients with amyloidosis have the AL amyloid sub-type.</w:t>
      </w:r>
      <w:r w:rsidR="0063767B">
        <w:rPr>
          <w:rStyle w:val="FootnoteReference"/>
        </w:rPr>
        <w:footnoteReference w:id="1"/>
      </w:r>
      <w:r w:rsidR="00FB4E0F" w:rsidRPr="00622E6C">
        <w:t xml:space="preserve"> </w:t>
      </w:r>
    </w:p>
    <w:p w14:paraId="7C3EDBA3" w14:textId="2E9C48AE" w:rsidR="0063767B" w:rsidRPr="0063767B" w:rsidRDefault="0063767B" w:rsidP="0063767B">
      <w:pPr>
        <w:pStyle w:val="3-BodyText"/>
        <w:numPr>
          <w:ilvl w:val="0"/>
          <w:numId w:val="0"/>
        </w:numPr>
      </w:pPr>
      <w:r>
        <w:t xml:space="preserve">Daratumumab is currently the only PBS-listed medicine for the treatment of </w:t>
      </w:r>
      <w:r w:rsidR="00E02B95">
        <w:t>AL amyloidosis.</w:t>
      </w:r>
    </w:p>
    <w:p w14:paraId="0183A567" w14:textId="413DF87B" w:rsidR="007247B9" w:rsidRDefault="007247B9" w:rsidP="00CF5E22">
      <w:pPr>
        <w:pStyle w:val="Heading2"/>
      </w:pPr>
      <w:r>
        <w:t>Pharmacology</w:t>
      </w:r>
    </w:p>
    <w:p w14:paraId="094D15A0" w14:textId="754E3FC6" w:rsidR="003C4426" w:rsidRDefault="003C4426" w:rsidP="00AE4BAC">
      <w:r w:rsidRPr="003C4426">
        <w:t>Daratumumab is an IgG1κ human monoclonal antibody (mAb) that binds to the CD38 protein expressed on the surface of cells in a variety of haematological malignancies, including clonal plasma cells in multiple myeloma and AL amyloidosis, as well as other cell types and tissues</w:t>
      </w:r>
      <w:r w:rsidRPr="003D241B">
        <w:t>.</w:t>
      </w:r>
      <w:r w:rsidR="003D241B" w:rsidRPr="003D241B">
        <w:rPr>
          <w:rStyle w:val="FootnoteReference"/>
        </w:rPr>
        <w:t xml:space="preserve"> </w:t>
      </w:r>
      <w:r w:rsidR="003D241B" w:rsidRPr="003D241B">
        <w:rPr>
          <w:rStyle w:val="FootnoteReference"/>
        </w:rPr>
        <w:footnoteReference w:id="2"/>
      </w:r>
    </w:p>
    <w:p w14:paraId="074E2111" w14:textId="63D79179" w:rsidR="00DC34B7" w:rsidRDefault="00A52918" w:rsidP="005928DF">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26B9B90A" w14:textId="47A8E193" w:rsidR="00DC34B7" w:rsidRDefault="005928DF" w:rsidP="00A35800">
      <w:r>
        <w:t>Daratumumab</w:t>
      </w:r>
      <w:r w:rsidR="00DC34B7" w:rsidRPr="00DC34B7">
        <w:t xml:space="preserve"> is indicated for the treatment of patients: </w:t>
      </w:r>
    </w:p>
    <w:p w14:paraId="2216657C" w14:textId="77777777" w:rsidR="00FE178F" w:rsidRDefault="00DC34B7" w:rsidP="00FE178F">
      <w:pPr>
        <w:pStyle w:val="ListParagraph"/>
        <w:numPr>
          <w:ilvl w:val="0"/>
          <w:numId w:val="1"/>
        </w:numPr>
      </w:pPr>
      <w:r w:rsidRPr="00DC34B7">
        <w:t xml:space="preserve">with newly diagnosed multiple myeloma: </w:t>
      </w:r>
    </w:p>
    <w:p w14:paraId="56F96377" w14:textId="1947F1E2" w:rsidR="000E5036" w:rsidRDefault="00DC34B7" w:rsidP="00FE178F">
      <w:pPr>
        <w:pStyle w:val="ListParagraph"/>
        <w:numPr>
          <w:ilvl w:val="0"/>
          <w:numId w:val="14"/>
        </w:numPr>
      </w:pPr>
      <w:r w:rsidRPr="00DC34B7">
        <w:t>who are eligible for autologous stem cell transplant. For use in combination with</w:t>
      </w:r>
      <w:r w:rsidR="000E5036">
        <w:t xml:space="preserve"> </w:t>
      </w:r>
      <w:r w:rsidRPr="00DC34B7">
        <w:t xml:space="preserve">bortezomib, thalidomide, and dexamethasone. </w:t>
      </w:r>
    </w:p>
    <w:p w14:paraId="72724835" w14:textId="77777777" w:rsidR="000E5036" w:rsidRDefault="00DC34B7" w:rsidP="00A35800">
      <w:pPr>
        <w:pStyle w:val="ListParagraph"/>
        <w:numPr>
          <w:ilvl w:val="0"/>
          <w:numId w:val="14"/>
        </w:numPr>
      </w:pPr>
      <w:r w:rsidRPr="00DC34B7">
        <w:t>who are ineligible for autologous stem cell transplant. For use in combination with:</w:t>
      </w:r>
    </w:p>
    <w:p w14:paraId="4937A3DF" w14:textId="77777777" w:rsidR="000E5036" w:rsidRDefault="00DC34B7" w:rsidP="000E5036">
      <w:pPr>
        <w:pStyle w:val="ListParagraph"/>
        <w:numPr>
          <w:ilvl w:val="0"/>
          <w:numId w:val="15"/>
        </w:numPr>
      </w:pPr>
      <w:r w:rsidRPr="00DC34B7">
        <w:t xml:space="preserve">bortezomib, melphalan and prednisone, or </w:t>
      </w:r>
    </w:p>
    <w:p w14:paraId="4FD78058" w14:textId="77777777" w:rsidR="00590C07" w:rsidRDefault="00DC34B7" w:rsidP="000E5036">
      <w:pPr>
        <w:pStyle w:val="ListParagraph"/>
        <w:numPr>
          <w:ilvl w:val="0"/>
          <w:numId w:val="15"/>
        </w:numPr>
      </w:pPr>
      <w:r w:rsidRPr="00DC34B7">
        <w:t xml:space="preserve">lenalidomide and dexamethasone. </w:t>
      </w:r>
    </w:p>
    <w:p w14:paraId="34AD3BD1" w14:textId="77777777" w:rsidR="00590C07" w:rsidRDefault="00DC34B7" w:rsidP="00590C07">
      <w:pPr>
        <w:pStyle w:val="ListParagraph"/>
        <w:numPr>
          <w:ilvl w:val="0"/>
          <w:numId w:val="1"/>
        </w:numPr>
      </w:pPr>
      <w:r w:rsidRPr="00DC34B7">
        <w:t xml:space="preserve">with relapsed or refractory multiple myeloma who have received: </w:t>
      </w:r>
    </w:p>
    <w:p w14:paraId="24783313" w14:textId="77777777" w:rsidR="00FE178F" w:rsidRDefault="00DC34B7" w:rsidP="00FE178F">
      <w:pPr>
        <w:pStyle w:val="ListParagraph"/>
        <w:numPr>
          <w:ilvl w:val="0"/>
          <w:numId w:val="14"/>
        </w:numPr>
      </w:pPr>
      <w:r w:rsidRPr="00DC34B7">
        <w:t xml:space="preserve">at least one prior therapy. For use in combination with: </w:t>
      </w:r>
    </w:p>
    <w:p w14:paraId="59B09606" w14:textId="77777777" w:rsidR="00FE178F" w:rsidRDefault="00DC34B7" w:rsidP="00FE178F">
      <w:pPr>
        <w:pStyle w:val="ListParagraph"/>
        <w:numPr>
          <w:ilvl w:val="0"/>
          <w:numId w:val="16"/>
        </w:numPr>
      </w:pPr>
      <w:r w:rsidRPr="00DC34B7">
        <w:t xml:space="preserve">bortezomib and dexamethasone, or </w:t>
      </w:r>
    </w:p>
    <w:p w14:paraId="33DD148A" w14:textId="4AD7573E" w:rsidR="00FE178F" w:rsidRDefault="00DC34B7" w:rsidP="00FE178F">
      <w:pPr>
        <w:pStyle w:val="ListParagraph"/>
        <w:numPr>
          <w:ilvl w:val="0"/>
          <w:numId w:val="16"/>
        </w:numPr>
      </w:pPr>
      <w:r w:rsidRPr="00DC34B7">
        <w:t xml:space="preserve">lenalidomide and dexamethasone, or </w:t>
      </w:r>
    </w:p>
    <w:p w14:paraId="41973E22" w14:textId="77777777" w:rsidR="00FE178F" w:rsidRDefault="00DC34B7" w:rsidP="00FE178F">
      <w:pPr>
        <w:pStyle w:val="ListParagraph"/>
        <w:numPr>
          <w:ilvl w:val="0"/>
          <w:numId w:val="16"/>
        </w:numPr>
      </w:pPr>
      <w:r w:rsidRPr="00DC34B7">
        <w:lastRenderedPageBreak/>
        <w:t>carfilzomib and dexamethasone, or</w:t>
      </w:r>
      <w:r w:rsidR="00FE178F">
        <w:t xml:space="preserve"> </w:t>
      </w:r>
    </w:p>
    <w:p w14:paraId="098CD6D4" w14:textId="77777777" w:rsidR="00FE178F" w:rsidRDefault="00DC34B7" w:rsidP="00FE178F">
      <w:pPr>
        <w:pStyle w:val="ListParagraph"/>
        <w:numPr>
          <w:ilvl w:val="0"/>
          <w:numId w:val="16"/>
        </w:numPr>
      </w:pPr>
      <w:r w:rsidRPr="00DC34B7">
        <w:t xml:space="preserve">pomalidomide and dexamethasone (after at least one prior therapy including lenalidomide and a proteasome inhibitor (PI)). </w:t>
      </w:r>
    </w:p>
    <w:p w14:paraId="31BBFE4A" w14:textId="77777777" w:rsidR="005928DF" w:rsidRDefault="00DC34B7" w:rsidP="005928DF">
      <w:pPr>
        <w:pStyle w:val="ListParagraph"/>
        <w:numPr>
          <w:ilvl w:val="0"/>
          <w:numId w:val="14"/>
        </w:numPr>
      </w:pPr>
      <w:r w:rsidRPr="00DC34B7">
        <w:t xml:space="preserve">at least three prior lines of therapy including a PI and an immunomodulatory agent or who are refractory to both a PI and an immunomodulatory agent. For use as monotherapy. </w:t>
      </w:r>
    </w:p>
    <w:p w14:paraId="3A618F90" w14:textId="780BA2F9" w:rsidR="00DC34B7" w:rsidRDefault="008D4425" w:rsidP="005928DF">
      <w:pPr>
        <w:pStyle w:val="ListParagraph"/>
        <w:numPr>
          <w:ilvl w:val="0"/>
          <w:numId w:val="1"/>
        </w:numPr>
      </w:pPr>
      <w:r>
        <w:t>w</w:t>
      </w:r>
      <w:r w:rsidR="003C50F9">
        <w:t>ith AL amyloidosis</w:t>
      </w:r>
      <w:r>
        <w:t xml:space="preserve"> for use in combination with </w:t>
      </w:r>
      <w:r w:rsidR="00DC34B7" w:rsidRPr="00DC34B7">
        <w:t>bortezomib, cyclophosphamide and dexamethasone</w:t>
      </w:r>
      <w:r>
        <w:t>.</w:t>
      </w:r>
    </w:p>
    <w:p w14:paraId="39506C9E" w14:textId="23940777" w:rsidR="00A1287F" w:rsidRPr="000764CB" w:rsidRDefault="006B709B" w:rsidP="000764CB">
      <w:pPr>
        <w:pStyle w:val="Heading2"/>
      </w:pPr>
      <w:r>
        <w:t>Dosage and administration</w:t>
      </w:r>
    </w:p>
    <w:p w14:paraId="3D6225F7" w14:textId="00EF23F8" w:rsidR="00660961" w:rsidRDefault="00660961" w:rsidP="00A35800">
      <w:r w:rsidRPr="00660961">
        <w:t>The recommended dose is 1800 mg administered subcutaneously</w:t>
      </w:r>
      <w:r w:rsidR="000764CB">
        <w:t xml:space="preserve"> in the abdomen</w:t>
      </w:r>
      <w:r w:rsidRPr="00660961">
        <w:t xml:space="preserve">, over approximately 3-5 minutes, according to the following dosing schedule: </w:t>
      </w:r>
    </w:p>
    <w:p w14:paraId="729C69BE" w14:textId="52FD91A0" w:rsidR="00BF6139" w:rsidRPr="00341DFC" w:rsidRDefault="00BF6139" w:rsidP="00BF6139">
      <w:pPr>
        <w:pStyle w:val="Tabletitle"/>
        <w:rPr>
          <w:vertAlign w:val="superscript"/>
        </w:rPr>
      </w:pPr>
      <w:r w:rsidRPr="001420B3" w:rsidDel="00EE2BBB">
        <w:t xml:space="preserve">Table </w:t>
      </w:r>
      <w:r w:rsidR="006B65C3">
        <w:t>1</w:t>
      </w:r>
      <w:r w:rsidRPr="001420B3" w:rsidDel="00EE2BBB">
        <w:t xml:space="preserve">: </w:t>
      </w:r>
      <w:r w:rsidR="0013543C">
        <w:t>Daratumumab</w:t>
      </w:r>
      <w:r w:rsidRPr="00660961">
        <w:t xml:space="preserve"> dosing schedule for AL amyloidosis </w:t>
      </w:r>
    </w:p>
    <w:tbl>
      <w:tblPr>
        <w:tblStyle w:val="TableGrid"/>
        <w:tblW w:w="0" w:type="auto"/>
        <w:tblLook w:val="04A0" w:firstRow="1" w:lastRow="0" w:firstColumn="1" w:lastColumn="0" w:noHBand="0" w:noVBand="1"/>
      </w:tblPr>
      <w:tblGrid>
        <w:gridCol w:w="4473"/>
        <w:gridCol w:w="4474"/>
      </w:tblGrid>
      <w:tr w:rsidR="00660961" w:rsidRPr="00BF6139" w14:paraId="52A0A586" w14:textId="77777777" w:rsidTr="00BF6139">
        <w:tc>
          <w:tcPr>
            <w:tcW w:w="4473" w:type="dxa"/>
            <w:shd w:val="clear" w:color="auto" w:fill="BFBFBF" w:themeFill="background1" w:themeFillShade="BF"/>
          </w:tcPr>
          <w:p w14:paraId="19A7A1C7" w14:textId="01F92388" w:rsidR="00660961" w:rsidRPr="00BF6139" w:rsidRDefault="00660961" w:rsidP="0013543C">
            <w:pPr>
              <w:spacing w:before="60" w:after="60"/>
              <w:rPr>
                <w:b/>
                <w:bCs/>
                <w:sz w:val="20"/>
                <w:szCs w:val="20"/>
              </w:rPr>
            </w:pPr>
            <w:r w:rsidRPr="00BF6139">
              <w:rPr>
                <w:b/>
                <w:bCs/>
                <w:sz w:val="20"/>
                <w:szCs w:val="20"/>
              </w:rPr>
              <w:t>Weeks</w:t>
            </w:r>
          </w:p>
        </w:tc>
        <w:tc>
          <w:tcPr>
            <w:tcW w:w="4474" w:type="dxa"/>
            <w:shd w:val="clear" w:color="auto" w:fill="BFBFBF" w:themeFill="background1" w:themeFillShade="BF"/>
          </w:tcPr>
          <w:p w14:paraId="4EF61C18" w14:textId="7F34C448" w:rsidR="00660961" w:rsidRPr="00BF6139" w:rsidRDefault="00660961" w:rsidP="0013543C">
            <w:pPr>
              <w:spacing w:before="60" w:after="60"/>
              <w:rPr>
                <w:b/>
                <w:bCs/>
                <w:sz w:val="20"/>
                <w:szCs w:val="20"/>
              </w:rPr>
            </w:pPr>
            <w:r w:rsidRPr="00BF6139">
              <w:rPr>
                <w:b/>
                <w:bCs/>
                <w:sz w:val="20"/>
                <w:szCs w:val="20"/>
              </w:rPr>
              <w:t>Schedule</w:t>
            </w:r>
          </w:p>
        </w:tc>
      </w:tr>
      <w:tr w:rsidR="00660961" w:rsidRPr="00BF6139" w14:paraId="05C62F67" w14:textId="77777777" w:rsidTr="00660961">
        <w:tc>
          <w:tcPr>
            <w:tcW w:w="4473" w:type="dxa"/>
          </w:tcPr>
          <w:p w14:paraId="77FAF997" w14:textId="09E2B317" w:rsidR="00660961" w:rsidRPr="00BF6139" w:rsidRDefault="00660961" w:rsidP="0013543C">
            <w:pPr>
              <w:spacing w:before="60" w:after="60"/>
              <w:rPr>
                <w:sz w:val="20"/>
                <w:szCs w:val="20"/>
              </w:rPr>
            </w:pPr>
            <w:r w:rsidRPr="00BF6139">
              <w:rPr>
                <w:sz w:val="20"/>
                <w:szCs w:val="20"/>
              </w:rPr>
              <w:t xml:space="preserve">Weeks 1 to 8 </w:t>
            </w:r>
          </w:p>
        </w:tc>
        <w:tc>
          <w:tcPr>
            <w:tcW w:w="4474" w:type="dxa"/>
          </w:tcPr>
          <w:p w14:paraId="724615FB" w14:textId="26403613" w:rsidR="00660961" w:rsidRPr="00BF6139" w:rsidRDefault="00660961" w:rsidP="0013543C">
            <w:pPr>
              <w:spacing w:before="60" w:after="60"/>
              <w:rPr>
                <w:sz w:val="20"/>
                <w:szCs w:val="20"/>
              </w:rPr>
            </w:pPr>
            <w:r w:rsidRPr="00BF6139">
              <w:rPr>
                <w:sz w:val="20"/>
                <w:szCs w:val="20"/>
              </w:rPr>
              <w:t>Weekly (total of 8 doses)</w:t>
            </w:r>
          </w:p>
        </w:tc>
      </w:tr>
      <w:tr w:rsidR="00660961" w:rsidRPr="00BF6139" w14:paraId="3E0A8CDF" w14:textId="77777777" w:rsidTr="00660961">
        <w:tc>
          <w:tcPr>
            <w:tcW w:w="4473" w:type="dxa"/>
          </w:tcPr>
          <w:p w14:paraId="1F154794" w14:textId="02A18193" w:rsidR="00660961" w:rsidRPr="00405C70" w:rsidRDefault="00660961" w:rsidP="0013543C">
            <w:pPr>
              <w:spacing w:before="60" w:after="60"/>
              <w:rPr>
                <w:sz w:val="20"/>
                <w:szCs w:val="20"/>
              </w:rPr>
            </w:pPr>
            <w:r w:rsidRPr="00BF6139">
              <w:rPr>
                <w:sz w:val="20"/>
                <w:szCs w:val="20"/>
              </w:rPr>
              <w:t>Weeks 9 to 24</w:t>
            </w:r>
            <w:r w:rsidR="00405C70">
              <w:rPr>
                <w:sz w:val="20"/>
                <w:szCs w:val="20"/>
                <w:vertAlign w:val="superscript"/>
              </w:rPr>
              <w:t>a</w:t>
            </w:r>
          </w:p>
        </w:tc>
        <w:tc>
          <w:tcPr>
            <w:tcW w:w="4474" w:type="dxa"/>
          </w:tcPr>
          <w:p w14:paraId="0E67C558" w14:textId="2D9ACC8D" w:rsidR="00660961" w:rsidRPr="00BF6139" w:rsidRDefault="00660961" w:rsidP="0013543C">
            <w:pPr>
              <w:spacing w:before="60" w:after="60"/>
              <w:rPr>
                <w:sz w:val="20"/>
                <w:szCs w:val="20"/>
              </w:rPr>
            </w:pPr>
            <w:r w:rsidRPr="00BF6139">
              <w:rPr>
                <w:sz w:val="20"/>
                <w:szCs w:val="20"/>
              </w:rPr>
              <w:t>Every two weeks (total of 8 doses)</w:t>
            </w:r>
          </w:p>
        </w:tc>
      </w:tr>
      <w:tr w:rsidR="00660961" w:rsidRPr="00BF6139" w14:paraId="3C7EB3EE" w14:textId="77777777" w:rsidTr="00660961">
        <w:tc>
          <w:tcPr>
            <w:tcW w:w="4473" w:type="dxa"/>
          </w:tcPr>
          <w:p w14:paraId="35CB20ED" w14:textId="1CC3AB94" w:rsidR="00660961" w:rsidRPr="00BF6139" w:rsidRDefault="00660961" w:rsidP="0013543C">
            <w:pPr>
              <w:spacing w:before="60" w:after="60"/>
              <w:rPr>
                <w:sz w:val="20"/>
                <w:szCs w:val="20"/>
              </w:rPr>
            </w:pPr>
            <w:r w:rsidRPr="00BF6139">
              <w:rPr>
                <w:sz w:val="20"/>
                <w:szCs w:val="20"/>
              </w:rPr>
              <w:t>Weeks 25 onwards until disease progression</w:t>
            </w:r>
            <w:r w:rsidR="00405C70">
              <w:rPr>
                <w:sz w:val="20"/>
                <w:szCs w:val="20"/>
                <w:vertAlign w:val="superscript"/>
              </w:rPr>
              <w:t>b</w:t>
            </w:r>
            <w:r w:rsidRPr="00BF6139">
              <w:rPr>
                <w:sz w:val="20"/>
                <w:szCs w:val="20"/>
              </w:rPr>
              <w:t xml:space="preserve"> </w:t>
            </w:r>
          </w:p>
        </w:tc>
        <w:tc>
          <w:tcPr>
            <w:tcW w:w="4474" w:type="dxa"/>
          </w:tcPr>
          <w:p w14:paraId="4CBAFCBD" w14:textId="1DEE9DC1" w:rsidR="00660961" w:rsidRPr="00BF6139" w:rsidRDefault="00660961" w:rsidP="0013543C">
            <w:pPr>
              <w:spacing w:before="60" w:after="60"/>
              <w:rPr>
                <w:sz w:val="20"/>
                <w:szCs w:val="20"/>
              </w:rPr>
            </w:pPr>
            <w:r w:rsidRPr="00BF6139">
              <w:rPr>
                <w:sz w:val="20"/>
                <w:szCs w:val="20"/>
              </w:rPr>
              <w:t>Every 4 weeks</w:t>
            </w:r>
          </w:p>
        </w:tc>
      </w:tr>
    </w:tbl>
    <w:p w14:paraId="67B57745" w14:textId="2EA396A5" w:rsidR="00C66CF7" w:rsidRDefault="00405C70" w:rsidP="00C66CF7">
      <w:pPr>
        <w:spacing w:after="0"/>
        <w:rPr>
          <w:sz w:val="20"/>
          <w:szCs w:val="20"/>
        </w:rPr>
      </w:pPr>
      <w:r>
        <w:rPr>
          <w:sz w:val="20"/>
          <w:szCs w:val="20"/>
          <w:vertAlign w:val="superscript"/>
        </w:rPr>
        <w:t>a</w:t>
      </w:r>
      <w:r w:rsidR="00C66CF7">
        <w:rPr>
          <w:sz w:val="20"/>
          <w:szCs w:val="20"/>
          <w:vertAlign w:val="superscript"/>
        </w:rPr>
        <w:t xml:space="preserve"> </w:t>
      </w:r>
      <w:r w:rsidR="00660961" w:rsidRPr="00C66CF7">
        <w:rPr>
          <w:sz w:val="20"/>
          <w:szCs w:val="20"/>
        </w:rPr>
        <w:t>First dose of the every-2-week dosing schedule is given at Week 9</w:t>
      </w:r>
      <w:r w:rsidR="007073B0">
        <w:rPr>
          <w:sz w:val="20"/>
          <w:szCs w:val="20"/>
        </w:rPr>
        <w:t>.</w:t>
      </w:r>
      <w:r w:rsidR="00660961" w:rsidRPr="00C66CF7">
        <w:rPr>
          <w:sz w:val="20"/>
          <w:szCs w:val="20"/>
        </w:rPr>
        <w:t xml:space="preserve"> </w:t>
      </w:r>
    </w:p>
    <w:p w14:paraId="302E7119" w14:textId="54D6F562" w:rsidR="00660961" w:rsidRDefault="00405C70" w:rsidP="00C66CF7">
      <w:pPr>
        <w:spacing w:after="0"/>
        <w:rPr>
          <w:sz w:val="20"/>
          <w:szCs w:val="20"/>
        </w:rPr>
      </w:pPr>
      <w:r>
        <w:rPr>
          <w:sz w:val="20"/>
          <w:szCs w:val="20"/>
          <w:vertAlign w:val="superscript"/>
        </w:rPr>
        <w:t>b</w:t>
      </w:r>
      <w:r w:rsidR="00660961" w:rsidRPr="00C66CF7">
        <w:rPr>
          <w:sz w:val="20"/>
          <w:szCs w:val="20"/>
        </w:rPr>
        <w:t>First dose of the every-4-week dosing schedule is given at Week 25</w:t>
      </w:r>
      <w:r w:rsidR="007073B0">
        <w:rPr>
          <w:sz w:val="20"/>
          <w:szCs w:val="20"/>
        </w:rPr>
        <w:t>.</w:t>
      </w:r>
    </w:p>
    <w:p w14:paraId="00FDA1EB" w14:textId="77777777" w:rsidR="00C66CF7" w:rsidRPr="00C66CF7" w:rsidRDefault="00C66CF7" w:rsidP="00C66CF7">
      <w:pPr>
        <w:spacing w:after="0"/>
        <w:rPr>
          <w:sz w:val="20"/>
          <w:szCs w:val="20"/>
        </w:rPr>
      </w:pPr>
    </w:p>
    <w:p w14:paraId="6682A05C" w14:textId="77777777" w:rsidR="00F17D4B" w:rsidRPr="002F61CA"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6E2BB42" w14:textId="58FCF056" w:rsidR="00DF0B13" w:rsidRDefault="00DF0B13" w:rsidP="000F6086">
      <w:pPr>
        <w:pStyle w:val="Heading2"/>
        <w:tabs>
          <w:tab w:val="left" w:pos="3831"/>
        </w:tabs>
      </w:pPr>
      <w:r w:rsidRPr="007247B9" w:rsidDel="00EE2BBB">
        <w:t>PBS listing details</w:t>
      </w:r>
      <w:r w:rsidR="00D151EB" w:rsidDel="00EE2BBB">
        <w:t xml:space="preserve"> (as </w:t>
      </w:r>
      <w:proofErr w:type="gramStart"/>
      <w:r w:rsidR="00D151EB" w:rsidDel="00EE2BBB">
        <w:t>at</w:t>
      </w:r>
      <w:proofErr w:type="gramEnd"/>
      <w:r w:rsidR="00D151EB" w:rsidDel="00EE2BBB">
        <w:t xml:space="preserve"> </w:t>
      </w:r>
      <w:r w:rsidR="00BC5FE1">
        <w:t>August 2025)</w:t>
      </w:r>
      <w:r w:rsidR="000F6086">
        <w:tab/>
      </w:r>
    </w:p>
    <w:p w14:paraId="6A408297" w14:textId="6BFA5194" w:rsidR="000F6086" w:rsidRPr="000F6086" w:rsidDel="00EE2BBB" w:rsidRDefault="00394CB6" w:rsidP="000F6086">
      <w:r>
        <w:t>Daratumumab</w:t>
      </w:r>
      <w:r w:rsidR="000F6086">
        <w:t xml:space="preserve"> for newly diagnosed </w:t>
      </w:r>
      <w:r>
        <w:t>systemic</w:t>
      </w:r>
      <w:r w:rsidR="000F6086">
        <w:t xml:space="preserve"> light chain </w:t>
      </w:r>
      <w:r>
        <w:t>amyloidosis</w:t>
      </w:r>
      <w:r w:rsidR="000F6086">
        <w:t xml:space="preserve"> is listed under the General Schedule and Section 100 </w:t>
      </w:r>
      <w:r w:rsidR="0009306C">
        <w:t xml:space="preserve">– Efficient Funding of Chemotherapy </w:t>
      </w:r>
      <w:r w:rsidR="000F6086">
        <w:t>(CT)</w:t>
      </w:r>
      <w:r w:rsidR="003467C7">
        <w:t xml:space="preserve">. </w:t>
      </w:r>
    </w:p>
    <w:p w14:paraId="1D47784A" w14:textId="5D4AFDE6" w:rsidR="001420B3" w:rsidRPr="001420B3" w:rsidDel="00EE2BBB" w:rsidRDefault="001420B3" w:rsidP="00CF5E22">
      <w:pPr>
        <w:pStyle w:val="Tabletitle"/>
      </w:pPr>
      <w:r w:rsidRPr="001420B3" w:rsidDel="00EE2BBB">
        <w:t xml:space="preserve">Table </w:t>
      </w:r>
      <w:r w:rsidR="006B65C3">
        <w:t>2</w:t>
      </w:r>
      <w:r w:rsidRPr="001420B3" w:rsidDel="00EE2BBB">
        <w:t xml:space="preserve">: </w:t>
      </w:r>
      <w:r w:rsidR="009663B6" w:rsidDel="00EE2BBB">
        <w:t>PB</w:t>
      </w:r>
      <w:r w:rsidR="00D151EB" w:rsidDel="00EE2BBB">
        <w:t>S listing of</w:t>
      </w:r>
      <w:r w:rsidR="00BC5FE1">
        <w:t xml:space="preserve"> daratumumab for AL </w:t>
      </w:r>
      <w:r w:rsidR="007C417F">
        <w:t>amyloidosis</w:t>
      </w:r>
    </w:p>
    <w:tbl>
      <w:tblPr>
        <w:tblStyle w:val="TableGrid"/>
        <w:tblW w:w="9064" w:type="dxa"/>
        <w:tblLayout w:type="fixed"/>
        <w:tblLook w:val="04A0" w:firstRow="1" w:lastRow="0" w:firstColumn="1" w:lastColumn="0" w:noHBand="0" w:noVBand="1"/>
      </w:tblPr>
      <w:tblGrid>
        <w:gridCol w:w="969"/>
        <w:gridCol w:w="3562"/>
        <w:gridCol w:w="709"/>
        <w:gridCol w:w="709"/>
        <w:gridCol w:w="1134"/>
        <w:gridCol w:w="1981"/>
      </w:tblGrid>
      <w:tr w:rsidR="0093111F" w:rsidRPr="00A35800" w:rsidDel="00EE2BBB" w14:paraId="6AA19A37" w14:textId="77B518AD" w:rsidTr="00DE10DF">
        <w:trPr>
          <w:trHeight w:val="694"/>
          <w:tblHeader/>
        </w:trPr>
        <w:tc>
          <w:tcPr>
            <w:tcW w:w="969" w:type="dxa"/>
            <w:shd w:val="clear" w:color="auto" w:fill="BFBFBF" w:themeFill="background1" w:themeFillShade="BF"/>
          </w:tcPr>
          <w:p w14:paraId="56A3DEA0" w14:textId="10AB7569" w:rsidR="0093111F" w:rsidRPr="00A35800" w:rsidDel="00EE2BBB" w:rsidRDefault="0093111F" w:rsidP="00A35800">
            <w:pPr>
              <w:pStyle w:val="Tableheading"/>
              <w:rPr>
                <w:sz w:val="20"/>
                <w:szCs w:val="20"/>
              </w:rPr>
            </w:pPr>
            <w:r w:rsidRPr="00A35800" w:rsidDel="00EE2BBB">
              <w:rPr>
                <w:sz w:val="20"/>
                <w:szCs w:val="20"/>
              </w:rPr>
              <w:t>Item</w:t>
            </w:r>
            <w:r w:rsidR="007C417F">
              <w:rPr>
                <w:sz w:val="20"/>
                <w:szCs w:val="20"/>
              </w:rPr>
              <w:t xml:space="preserve"> code </w:t>
            </w:r>
          </w:p>
        </w:tc>
        <w:tc>
          <w:tcPr>
            <w:tcW w:w="3562"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709" w:type="dxa"/>
            <w:shd w:val="clear" w:color="auto" w:fill="BFBFBF" w:themeFill="background1" w:themeFillShade="BF"/>
          </w:tcPr>
          <w:p w14:paraId="114E9799" w14:textId="7AA873CF"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0098071F">
              <w:rPr>
                <w:sz w:val="20"/>
                <w:szCs w:val="20"/>
              </w:rPr>
              <w:t>qty</w:t>
            </w:r>
            <w:r w:rsidRPr="00A35800" w:rsidDel="00EE2BBB">
              <w:rPr>
                <w:sz w:val="20"/>
                <w:szCs w:val="20"/>
              </w:rPr>
              <w:t xml:space="preserve">. </w:t>
            </w:r>
          </w:p>
        </w:tc>
        <w:tc>
          <w:tcPr>
            <w:tcW w:w="709"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r w:rsidRPr="00A35800" w:rsidDel="00EE2BBB">
              <w:rPr>
                <w:sz w:val="20"/>
                <w:szCs w:val="20"/>
              </w:rPr>
              <w:t xml:space="preserve">Rpts </w:t>
            </w:r>
          </w:p>
        </w:tc>
        <w:tc>
          <w:tcPr>
            <w:tcW w:w="1134"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1981"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311DAB" w:rsidRPr="00A35800" w:rsidDel="00EE2BBB" w14:paraId="59C1DD3D" w14:textId="77777777" w:rsidTr="00DE10DF">
        <w:trPr>
          <w:trHeight w:val="552"/>
          <w:tblHeader/>
        </w:trPr>
        <w:tc>
          <w:tcPr>
            <w:tcW w:w="969" w:type="dxa"/>
          </w:tcPr>
          <w:p w14:paraId="435E394C" w14:textId="56487739" w:rsidR="00311DAB" w:rsidRDefault="007E1DAD" w:rsidP="00A35800">
            <w:pPr>
              <w:pStyle w:val="Tablewriting"/>
            </w:pPr>
            <w:r>
              <w:t>13199Q</w:t>
            </w:r>
          </w:p>
        </w:tc>
        <w:tc>
          <w:tcPr>
            <w:tcW w:w="3562" w:type="dxa"/>
          </w:tcPr>
          <w:p w14:paraId="10C8F90C" w14:textId="3BBFD304" w:rsidR="00311DAB" w:rsidRPr="00AF2383" w:rsidRDefault="007E1DAD" w:rsidP="00A35800">
            <w:pPr>
              <w:pStyle w:val="Tablewriting"/>
            </w:pPr>
            <w:r w:rsidRPr="00AF2383">
              <w:t>daratumumab 1.8 g/15 mL injection, 15 mL vial </w:t>
            </w:r>
          </w:p>
        </w:tc>
        <w:tc>
          <w:tcPr>
            <w:tcW w:w="709" w:type="dxa"/>
          </w:tcPr>
          <w:p w14:paraId="0906EC12" w14:textId="490F25E8" w:rsidR="00311DAB" w:rsidRDefault="007E1DAD" w:rsidP="0098071F">
            <w:pPr>
              <w:pStyle w:val="Tablewriting"/>
              <w:jc w:val="center"/>
            </w:pPr>
            <w:r>
              <w:t>1</w:t>
            </w:r>
          </w:p>
        </w:tc>
        <w:tc>
          <w:tcPr>
            <w:tcW w:w="709" w:type="dxa"/>
          </w:tcPr>
          <w:p w14:paraId="699B368B" w14:textId="652E0CDF" w:rsidR="00311DAB" w:rsidRDefault="007E1DAD" w:rsidP="0098071F">
            <w:pPr>
              <w:pStyle w:val="Tablewriting"/>
              <w:jc w:val="center"/>
            </w:pPr>
            <w:r>
              <w:t>5</w:t>
            </w:r>
          </w:p>
        </w:tc>
        <w:tc>
          <w:tcPr>
            <w:tcW w:w="1134" w:type="dxa"/>
          </w:tcPr>
          <w:p w14:paraId="028861B2" w14:textId="722D303F" w:rsidR="00311DAB" w:rsidRDefault="007E1DAD" w:rsidP="00A35800">
            <w:pPr>
              <w:pStyle w:val="Tablewriting"/>
            </w:pPr>
            <w:r>
              <w:t>$7</w:t>
            </w:r>
            <w:r w:rsidR="00DE10DF">
              <w:t>,</w:t>
            </w:r>
            <w:r>
              <w:t>173.21</w:t>
            </w:r>
          </w:p>
        </w:tc>
        <w:tc>
          <w:tcPr>
            <w:tcW w:w="1981" w:type="dxa"/>
          </w:tcPr>
          <w:p w14:paraId="745A279E" w14:textId="77777777" w:rsidR="0098071F" w:rsidRPr="0098071F" w:rsidRDefault="0098071F" w:rsidP="0098071F">
            <w:pPr>
              <w:pStyle w:val="Tablewriting"/>
            </w:pPr>
            <w:r w:rsidRPr="0098071F">
              <w:t>Darzalex SC®</w:t>
            </w:r>
          </w:p>
          <w:p w14:paraId="45188C0E" w14:textId="41AECC76" w:rsidR="00311DAB" w:rsidRPr="0098071F" w:rsidDel="00EE2BBB" w:rsidRDefault="0098071F" w:rsidP="0098071F">
            <w:pPr>
              <w:pStyle w:val="Tablewriting"/>
            </w:pPr>
            <w:r w:rsidRPr="0098071F">
              <w:t>Janssen-Cilag Pty Ltd </w:t>
            </w:r>
          </w:p>
        </w:tc>
      </w:tr>
      <w:tr w:rsidR="0093111F" w:rsidRPr="00A35800" w:rsidDel="00EE2BBB" w14:paraId="2AF9D84B" w14:textId="0D323411" w:rsidTr="00DE10DF">
        <w:trPr>
          <w:trHeight w:val="552"/>
          <w:tblHeader/>
        </w:trPr>
        <w:tc>
          <w:tcPr>
            <w:tcW w:w="969" w:type="dxa"/>
          </w:tcPr>
          <w:p w14:paraId="0A3E3442" w14:textId="06A933F2" w:rsidR="0093111F" w:rsidRPr="00A35800" w:rsidDel="00EE2BBB" w:rsidRDefault="00311DAB" w:rsidP="00A35800">
            <w:pPr>
              <w:pStyle w:val="Tablewriting"/>
            </w:pPr>
            <w:r>
              <w:t>13202W</w:t>
            </w:r>
          </w:p>
        </w:tc>
        <w:tc>
          <w:tcPr>
            <w:tcW w:w="3562" w:type="dxa"/>
          </w:tcPr>
          <w:p w14:paraId="0F676F51" w14:textId="4BAB6EE2" w:rsidR="0093111F" w:rsidRPr="00A35800" w:rsidDel="00EE2BBB" w:rsidRDefault="00311DAB" w:rsidP="00A35800">
            <w:pPr>
              <w:pStyle w:val="Tablewriting"/>
            </w:pPr>
            <w:r w:rsidRPr="00AF2383">
              <w:t>daratumumab 1.8 g/15 mL injection, 15 mL vial </w:t>
            </w:r>
          </w:p>
        </w:tc>
        <w:tc>
          <w:tcPr>
            <w:tcW w:w="709" w:type="dxa"/>
          </w:tcPr>
          <w:p w14:paraId="0E2637C4" w14:textId="0AC9B330" w:rsidR="0093111F" w:rsidRPr="00A35800" w:rsidDel="00EE2BBB" w:rsidRDefault="00311DAB" w:rsidP="0098071F">
            <w:pPr>
              <w:pStyle w:val="Tablewriting"/>
              <w:jc w:val="center"/>
            </w:pPr>
            <w:r>
              <w:t>1</w:t>
            </w:r>
          </w:p>
        </w:tc>
        <w:tc>
          <w:tcPr>
            <w:tcW w:w="709" w:type="dxa"/>
          </w:tcPr>
          <w:p w14:paraId="6B361CAA" w14:textId="56A90071" w:rsidR="0093111F" w:rsidRPr="00A35800" w:rsidDel="00EE2BBB" w:rsidRDefault="00311DAB" w:rsidP="0098071F">
            <w:pPr>
              <w:pStyle w:val="Tablewriting"/>
              <w:jc w:val="center"/>
            </w:pPr>
            <w:r>
              <w:t>15</w:t>
            </w:r>
          </w:p>
        </w:tc>
        <w:tc>
          <w:tcPr>
            <w:tcW w:w="1134" w:type="dxa"/>
          </w:tcPr>
          <w:p w14:paraId="15F68405" w14:textId="4AA0D121" w:rsidR="0093111F" w:rsidRPr="00A35800" w:rsidDel="00EE2BBB" w:rsidRDefault="00311DAB" w:rsidP="00A35800">
            <w:pPr>
              <w:pStyle w:val="Tablewriting"/>
            </w:pPr>
            <w:r>
              <w:t>$7</w:t>
            </w:r>
            <w:r w:rsidR="00DE10DF">
              <w:t>,</w:t>
            </w:r>
            <w:r>
              <w:t>173.21</w:t>
            </w:r>
          </w:p>
        </w:tc>
        <w:tc>
          <w:tcPr>
            <w:tcW w:w="1981" w:type="dxa"/>
          </w:tcPr>
          <w:p w14:paraId="33C66AE0" w14:textId="77777777" w:rsidR="0098071F" w:rsidRPr="0098071F" w:rsidRDefault="0098071F" w:rsidP="0098071F">
            <w:pPr>
              <w:pStyle w:val="Tablewriting"/>
            </w:pPr>
            <w:r w:rsidRPr="0098071F">
              <w:t>Darzalex SC®</w:t>
            </w:r>
          </w:p>
          <w:p w14:paraId="2D337AC6" w14:textId="5DFEF3BB" w:rsidR="0093111F" w:rsidRPr="0098071F" w:rsidDel="00EE2BBB" w:rsidRDefault="0098071F" w:rsidP="0098071F">
            <w:pPr>
              <w:pStyle w:val="Tablewriting"/>
            </w:pPr>
            <w:r w:rsidRPr="0098071F">
              <w:t>Janssen-Cilag Pty Ltd </w:t>
            </w:r>
          </w:p>
        </w:tc>
      </w:tr>
      <w:tr w:rsidR="0098071F" w:rsidRPr="00A35800" w:rsidDel="00EE2BBB" w14:paraId="0D2F4ACF" w14:textId="77777777" w:rsidTr="00DE10DF">
        <w:trPr>
          <w:trHeight w:val="546"/>
          <w:tblHeader/>
        </w:trPr>
        <w:tc>
          <w:tcPr>
            <w:tcW w:w="969" w:type="dxa"/>
          </w:tcPr>
          <w:p w14:paraId="45BB5444" w14:textId="6CFD96E4" w:rsidR="0098071F" w:rsidRDefault="0098071F" w:rsidP="00A35800">
            <w:pPr>
              <w:pStyle w:val="Tablewriting"/>
            </w:pPr>
            <w:r>
              <w:t>13201T</w:t>
            </w:r>
          </w:p>
        </w:tc>
        <w:tc>
          <w:tcPr>
            <w:tcW w:w="3562" w:type="dxa"/>
          </w:tcPr>
          <w:p w14:paraId="3E9C998F" w14:textId="691AF7D9" w:rsidR="0098071F" w:rsidRPr="00AF2383" w:rsidRDefault="0098071F" w:rsidP="00A35800">
            <w:pPr>
              <w:pStyle w:val="Tablewriting"/>
            </w:pPr>
            <w:r w:rsidRPr="00AF2383">
              <w:t>daratumumab 1.8 g/15 mL injection, 15 mL vial </w:t>
            </w:r>
          </w:p>
        </w:tc>
        <w:tc>
          <w:tcPr>
            <w:tcW w:w="709" w:type="dxa"/>
          </w:tcPr>
          <w:p w14:paraId="18BBC929" w14:textId="4AA3291B" w:rsidR="0098071F" w:rsidRDefault="0098071F" w:rsidP="0098071F">
            <w:pPr>
              <w:pStyle w:val="Tablewriting"/>
              <w:jc w:val="center"/>
            </w:pPr>
            <w:r>
              <w:t>1</w:t>
            </w:r>
          </w:p>
        </w:tc>
        <w:tc>
          <w:tcPr>
            <w:tcW w:w="709" w:type="dxa"/>
          </w:tcPr>
          <w:p w14:paraId="7720E4EF" w14:textId="19D4E666" w:rsidR="0098071F" w:rsidRDefault="0098071F" w:rsidP="0098071F">
            <w:pPr>
              <w:pStyle w:val="Tablewriting"/>
              <w:jc w:val="center"/>
            </w:pPr>
            <w:r>
              <w:t>15</w:t>
            </w:r>
          </w:p>
        </w:tc>
        <w:tc>
          <w:tcPr>
            <w:tcW w:w="1134" w:type="dxa"/>
          </w:tcPr>
          <w:p w14:paraId="43FBAA1F" w14:textId="1683C81E" w:rsidR="0098071F" w:rsidRDefault="0098071F" w:rsidP="00A35800">
            <w:pPr>
              <w:pStyle w:val="Tablewriting"/>
            </w:pPr>
            <w:r>
              <w:t>$7</w:t>
            </w:r>
            <w:r w:rsidR="00DE10DF">
              <w:t>,</w:t>
            </w:r>
            <w:r>
              <w:t>010.28</w:t>
            </w:r>
          </w:p>
        </w:tc>
        <w:tc>
          <w:tcPr>
            <w:tcW w:w="1981" w:type="dxa"/>
          </w:tcPr>
          <w:p w14:paraId="0CBF1752" w14:textId="77777777" w:rsidR="0098071F" w:rsidRPr="0098071F" w:rsidRDefault="0098071F" w:rsidP="0098071F">
            <w:pPr>
              <w:pStyle w:val="Tablewriting"/>
            </w:pPr>
            <w:r w:rsidRPr="0098071F">
              <w:t>Darzalex SC®</w:t>
            </w:r>
          </w:p>
          <w:p w14:paraId="28BA467F" w14:textId="19EE4AB5" w:rsidR="0098071F" w:rsidRPr="0098071F" w:rsidRDefault="0098071F" w:rsidP="0098071F">
            <w:pPr>
              <w:pStyle w:val="Tablewriting"/>
            </w:pPr>
            <w:r w:rsidRPr="0098071F">
              <w:t>Janssen-Cilag Pty Ltd </w:t>
            </w:r>
          </w:p>
        </w:tc>
      </w:tr>
      <w:tr w:rsidR="0093111F" w:rsidRPr="00A35800" w:rsidDel="00EE2BBB" w14:paraId="5A26F6DA" w14:textId="5F9D4936" w:rsidTr="00DE10DF">
        <w:trPr>
          <w:trHeight w:val="546"/>
          <w:tblHeader/>
        </w:trPr>
        <w:tc>
          <w:tcPr>
            <w:tcW w:w="969" w:type="dxa"/>
          </w:tcPr>
          <w:p w14:paraId="76F26606" w14:textId="278E12B1" w:rsidR="0093111F" w:rsidRPr="00A35800" w:rsidDel="00EE2BBB" w:rsidRDefault="00AF2383" w:rsidP="00A35800">
            <w:pPr>
              <w:pStyle w:val="Tablewriting"/>
            </w:pPr>
            <w:r>
              <w:t>13203X</w:t>
            </w:r>
          </w:p>
        </w:tc>
        <w:tc>
          <w:tcPr>
            <w:tcW w:w="3562" w:type="dxa"/>
          </w:tcPr>
          <w:p w14:paraId="4C40F7E7" w14:textId="465DA8BF" w:rsidR="0093111F" w:rsidRPr="00A35800" w:rsidDel="00EE2BBB" w:rsidRDefault="00AF2383" w:rsidP="00A35800">
            <w:pPr>
              <w:pStyle w:val="Tablewriting"/>
            </w:pPr>
            <w:r w:rsidRPr="00AF2383">
              <w:t>daratumumab 1.8 g/15 mL injection, 15 mL vial </w:t>
            </w:r>
          </w:p>
        </w:tc>
        <w:tc>
          <w:tcPr>
            <w:tcW w:w="709" w:type="dxa"/>
          </w:tcPr>
          <w:p w14:paraId="73733F58" w14:textId="1CF43B4B" w:rsidR="0093111F" w:rsidRPr="00A35800" w:rsidDel="00EE2BBB" w:rsidRDefault="00AF2383" w:rsidP="0098071F">
            <w:pPr>
              <w:pStyle w:val="Tablewriting"/>
              <w:jc w:val="center"/>
            </w:pPr>
            <w:r>
              <w:t>1</w:t>
            </w:r>
          </w:p>
        </w:tc>
        <w:tc>
          <w:tcPr>
            <w:tcW w:w="709" w:type="dxa"/>
          </w:tcPr>
          <w:p w14:paraId="2751F86C" w14:textId="6CDBB750" w:rsidR="0093111F" w:rsidRPr="00A35800" w:rsidDel="00EE2BBB" w:rsidRDefault="008B2D2E" w:rsidP="0098071F">
            <w:pPr>
              <w:pStyle w:val="Tablewriting"/>
              <w:jc w:val="center"/>
            </w:pPr>
            <w:r>
              <w:t>5</w:t>
            </w:r>
          </w:p>
        </w:tc>
        <w:tc>
          <w:tcPr>
            <w:tcW w:w="1134" w:type="dxa"/>
          </w:tcPr>
          <w:p w14:paraId="0EB41EFB" w14:textId="58A0D44E" w:rsidR="0093111F" w:rsidRPr="00A35800" w:rsidDel="00EE2BBB" w:rsidRDefault="008B2D2E" w:rsidP="00A35800">
            <w:pPr>
              <w:pStyle w:val="Tablewriting"/>
            </w:pPr>
            <w:r>
              <w:t>$7</w:t>
            </w:r>
            <w:r w:rsidR="00DE10DF">
              <w:t>,</w:t>
            </w:r>
            <w:r>
              <w:t>010.28</w:t>
            </w:r>
          </w:p>
        </w:tc>
        <w:tc>
          <w:tcPr>
            <w:tcW w:w="1981" w:type="dxa"/>
          </w:tcPr>
          <w:p w14:paraId="2C22C103" w14:textId="77777777" w:rsidR="0093111F" w:rsidRPr="0098071F" w:rsidRDefault="008B2D2E" w:rsidP="00A35800">
            <w:pPr>
              <w:pStyle w:val="Tablewriting"/>
            </w:pPr>
            <w:r w:rsidRPr="0098071F">
              <w:t>Darzalex SC®</w:t>
            </w:r>
          </w:p>
          <w:p w14:paraId="2F152B32" w14:textId="14A28FD7" w:rsidR="008B2D2E" w:rsidRPr="0098071F" w:rsidDel="00EE2BBB" w:rsidRDefault="008B2D2E" w:rsidP="00A35800">
            <w:pPr>
              <w:pStyle w:val="Tablewriting"/>
            </w:pPr>
            <w:r w:rsidRPr="0098071F">
              <w:t>Janssen-Cilag Pty Ltd </w:t>
            </w:r>
          </w:p>
        </w:tc>
      </w:tr>
    </w:tbl>
    <w:p w14:paraId="67580EFB" w14:textId="5630F6E1" w:rsidR="000C1A3A" w:rsidRPr="006B3990" w:rsidRDefault="000C1A3A" w:rsidP="006B3990">
      <w:pPr>
        <w:pStyle w:val="Notes"/>
      </w:pPr>
      <w:r>
        <w:t>Notes:</w:t>
      </w:r>
    </w:p>
    <w:p w14:paraId="41816747" w14:textId="77777777" w:rsidR="000C1A3A" w:rsidRDefault="006B3990" w:rsidP="006B3990">
      <w:pPr>
        <w:pStyle w:val="Notes"/>
        <w:numPr>
          <w:ilvl w:val="0"/>
          <w:numId w:val="1"/>
        </w:numPr>
      </w:pPr>
      <w:r w:rsidRPr="006B3990">
        <w:lastRenderedPageBreak/>
        <w:t>The intravenously administered presentation of this drug is not PBS listed for this indication at the request of the sponsor.</w:t>
      </w:r>
    </w:p>
    <w:p w14:paraId="0CB92D6F" w14:textId="77777777" w:rsidR="000C1A3A" w:rsidRDefault="006B3990" w:rsidP="006B3990">
      <w:pPr>
        <w:pStyle w:val="Notes"/>
        <w:numPr>
          <w:ilvl w:val="0"/>
          <w:numId w:val="1"/>
        </w:numPr>
      </w:pPr>
      <w:r w:rsidRPr="006B3990">
        <w:t>Applications for authorisation under this restriction may be made in real time using the Online PBS Authorities system (see www.servicesaustralia.gov.au/HPOS) or by telephone by contacting Services Australia on 1800 888 333.</w:t>
      </w:r>
    </w:p>
    <w:p w14:paraId="4ADBC532" w14:textId="77777777" w:rsidR="000C1A3A" w:rsidRDefault="006B3990" w:rsidP="006B3990">
      <w:pPr>
        <w:pStyle w:val="Notes"/>
        <w:numPr>
          <w:ilvl w:val="0"/>
          <w:numId w:val="1"/>
        </w:numPr>
      </w:pPr>
      <w:r w:rsidRPr="006B3990">
        <w:t>No increase in the maximum quantity or number of units may be authorised.</w:t>
      </w:r>
    </w:p>
    <w:p w14:paraId="4E13D88C" w14:textId="77777777" w:rsidR="000C1A3A" w:rsidRDefault="006B3990" w:rsidP="006B3990">
      <w:pPr>
        <w:pStyle w:val="Notes"/>
        <w:numPr>
          <w:ilvl w:val="0"/>
          <w:numId w:val="1"/>
        </w:numPr>
      </w:pPr>
      <w:r w:rsidRPr="006B3990">
        <w:t>No increase in the maximum number of repeats may be authorised.</w:t>
      </w:r>
    </w:p>
    <w:p w14:paraId="6D2F5FA9" w14:textId="77777777" w:rsidR="00913D93" w:rsidRDefault="006B3990" w:rsidP="00913D93">
      <w:pPr>
        <w:pStyle w:val="Notes"/>
        <w:numPr>
          <w:ilvl w:val="0"/>
          <w:numId w:val="1"/>
        </w:numPr>
      </w:pPr>
      <w:r w:rsidRPr="006B3990">
        <w:t>Special Pricing Arrangements apply.</w:t>
      </w:r>
    </w:p>
    <w:p w14:paraId="0A22951A" w14:textId="67CAE13A" w:rsidR="00913D93" w:rsidRDefault="00913D93" w:rsidP="00913D93">
      <w:pPr>
        <w:pStyle w:val="Notes"/>
      </w:pPr>
      <w:r w:rsidRPr="00A35800" w:rsidDel="00EE2BBB">
        <w:t xml:space="preserve">Source: </w:t>
      </w:r>
      <w:r w:rsidDel="00EE2BBB">
        <w:t xml:space="preserve">the </w:t>
      </w:r>
      <w:hyperlink r:id="rId10" w:history="1">
        <w:r w:rsidRPr="001624D7" w:rsidDel="00EE2BBB">
          <w:rPr>
            <w:rStyle w:val="Hyperlink"/>
          </w:rPr>
          <w:t>PBS website</w:t>
        </w:r>
      </w:hyperlink>
      <w:r w:rsidDel="00EE2BBB">
        <w:t xml:space="preserve">.  </w:t>
      </w:r>
    </w:p>
    <w:p w14:paraId="7C3E3EB1" w14:textId="08604DF6" w:rsidR="002C74B9" w:rsidRDefault="004C3186" w:rsidP="002C74B9">
      <w:pPr>
        <w:pStyle w:val="Heading3"/>
      </w:pPr>
      <w:r w:rsidDel="00EE2BBB">
        <w:t>Restriction</w:t>
      </w:r>
    </w:p>
    <w:p w14:paraId="6F62F226" w14:textId="45CB293F" w:rsidR="007D28C8" w:rsidRPr="00D7503D" w:rsidRDefault="00A3736F" w:rsidP="007D28C8">
      <w:pPr>
        <w:rPr>
          <w:u w:val="single"/>
        </w:rPr>
      </w:pPr>
      <w:r w:rsidRPr="00D7503D">
        <w:rPr>
          <w:u w:val="single"/>
        </w:rPr>
        <w:t xml:space="preserve">Treatment phase: </w:t>
      </w:r>
      <w:r w:rsidR="0002736B" w:rsidRPr="00D7503D">
        <w:rPr>
          <w:u w:val="single"/>
        </w:rPr>
        <w:t>Initial</w:t>
      </w:r>
      <w:r w:rsidRPr="00D7503D">
        <w:rPr>
          <w:u w:val="single"/>
        </w:rPr>
        <w:t xml:space="preserve"> treatment from week 0 to week 24 </w:t>
      </w:r>
    </w:p>
    <w:p w14:paraId="3FB258F1" w14:textId="696EBC55" w:rsidR="00A3736F" w:rsidRPr="002B6D56" w:rsidRDefault="00A3736F" w:rsidP="00A3736F">
      <w:pPr>
        <w:pStyle w:val="ListParagraph"/>
        <w:numPr>
          <w:ilvl w:val="0"/>
          <w:numId w:val="21"/>
        </w:numPr>
      </w:pPr>
      <w:r w:rsidRPr="002B6D56">
        <w:t>Clinical criteria:</w:t>
      </w:r>
    </w:p>
    <w:p w14:paraId="40085A26" w14:textId="77777777" w:rsidR="0002736B" w:rsidRPr="002B6D56" w:rsidRDefault="0002736B" w:rsidP="0002736B">
      <w:pPr>
        <w:pStyle w:val="ListParagraph"/>
        <w:numPr>
          <w:ilvl w:val="0"/>
          <w:numId w:val="23"/>
        </w:numPr>
        <w:spacing w:beforeLines="60" w:before="144" w:afterLines="60" w:after="144"/>
        <w:rPr>
          <w:rFonts w:ascii="Calibri" w:eastAsia="Times New Roman" w:hAnsi="Calibri" w:cs="Calibri"/>
          <w:color w:val="222222"/>
        </w:rPr>
      </w:pPr>
      <w:r w:rsidRPr="002B6D56">
        <w:rPr>
          <w:rFonts w:ascii="Calibri" w:eastAsia="Times New Roman" w:hAnsi="Calibri" w:cs="Calibri"/>
          <w:color w:val="222222"/>
        </w:rPr>
        <w:t xml:space="preserve">The condition must have histological evidence consistent with a diagnosis of systemic light-chain amyloidosis, AND </w:t>
      </w:r>
    </w:p>
    <w:p w14:paraId="2A7137BE" w14:textId="4C980498" w:rsidR="0002736B" w:rsidRPr="002B6D56" w:rsidRDefault="0002736B" w:rsidP="0002736B">
      <w:pPr>
        <w:pStyle w:val="ListParagraph"/>
        <w:numPr>
          <w:ilvl w:val="0"/>
          <w:numId w:val="23"/>
        </w:numPr>
        <w:spacing w:beforeLines="60" w:before="144" w:afterLines="60" w:after="144"/>
        <w:rPr>
          <w:rFonts w:ascii="Calibri" w:eastAsia="Times New Roman" w:hAnsi="Calibri" w:cs="Calibri"/>
          <w:color w:val="222222"/>
        </w:rPr>
      </w:pPr>
      <w:r w:rsidRPr="002B6D56">
        <w:rPr>
          <w:rFonts w:ascii="Calibri" w:eastAsia="Times New Roman" w:hAnsi="Calibri" w:cs="Calibri"/>
          <w:color w:val="222222"/>
        </w:rPr>
        <w:t>The condition must be untreated with drug therapy, including this drug, irrespective of whether the diagnosis has been reclassified (i.e. the diagnosis changes between multiple myeloma/amyloidosis)</w:t>
      </w:r>
      <w:r w:rsidR="00BB57B0">
        <w:rPr>
          <w:rFonts w:ascii="Calibri" w:eastAsia="Times New Roman" w:hAnsi="Calibri" w:cs="Calibri"/>
          <w:color w:val="222222"/>
        </w:rPr>
        <w:t>,</w:t>
      </w:r>
      <w:r w:rsidRPr="002B6D56">
        <w:rPr>
          <w:rFonts w:ascii="Calibri" w:eastAsia="Times New Roman" w:hAnsi="Calibri" w:cs="Calibri"/>
          <w:color w:val="222222"/>
        </w:rPr>
        <w:t xml:space="preserve"> AND </w:t>
      </w:r>
    </w:p>
    <w:p w14:paraId="10ED8B0C" w14:textId="5C68C570" w:rsidR="00A3736F" w:rsidRPr="002B6D56" w:rsidRDefault="0002736B" w:rsidP="0002736B">
      <w:pPr>
        <w:pStyle w:val="ListParagraph"/>
        <w:numPr>
          <w:ilvl w:val="0"/>
          <w:numId w:val="23"/>
        </w:numPr>
        <w:spacing w:beforeLines="60" w:before="144" w:afterLines="60" w:after="144"/>
        <w:rPr>
          <w:rFonts w:ascii="Calibri" w:eastAsia="Times New Roman" w:hAnsi="Calibri" w:cs="Calibri"/>
          <w:color w:val="222222"/>
        </w:rPr>
      </w:pPr>
      <w:r w:rsidRPr="002B6D56">
        <w:rPr>
          <w:rFonts w:ascii="Calibri" w:eastAsia="Times New Roman" w:hAnsi="Calibri" w:cs="Calibri"/>
          <w:color w:val="222222"/>
        </w:rPr>
        <w:t>Patient must have a World Health Organi</w:t>
      </w:r>
      <w:r w:rsidR="009D4663">
        <w:rPr>
          <w:rFonts w:ascii="Calibri" w:eastAsia="Times New Roman" w:hAnsi="Calibri" w:cs="Calibri"/>
          <w:color w:val="222222"/>
        </w:rPr>
        <w:t>z</w:t>
      </w:r>
      <w:r w:rsidRPr="002B6D56">
        <w:rPr>
          <w:rFonts w:ascii="Calibri" w:eastAsia="Times New Roman" w:hAnsi="Calibri" w:cs="Calibri"/>
          <w:color w:val="222222"/>
        </w:rPr>
        <w:t>ation (WHO) Eastern Cooperative Oncology Group (ECOG) performance status score of no higher than 2 at treatment initiation.</w:t>
      </w:r>
    </w:p>
    <w:p w14:paraId="2244D176" w14:textId="388598A8" w:rsidR="0002736B" w:rsidRPr="002B6D56" w:rsidRDefault="005D79B7" w:rsidP="0002736B">
      <w:pPr>
        <w:pStyle w:val="ListParagraph"/>
        <w:numPr>
          <w:ilvl w:val="0"/>
          <w:numId w:val="21"/>
        </w:numPr>
        <w:spacing w:beforeLines="60" w:before="144" w:afterLines="60" w:after="144"/>
        <w:rPr>
          <w:rFonts w:ascii="Calibri" w:eastAsia="Times New Roman" w:hAnsi="Calibri" w:cs="Calibri"/>
          <w:color w:val="222222"/>
        </w:rPr>
      </w:pPr>
      <w:r w:rsidRPr="002B6D56">
        <w:rPr>
          <w:rFonts w:ascii="Calibri" w:eastAsia="Times New Roman" w:hAnsi="Calibri" w:cs="Calibri"/>
          <w:color w:val="222222"/>
        </w:rPr>
        <w:t>Treatment criteria:</w:t>
      </w:r>
    </w:p>
    <w:p w14:paraId="0BE5645B" w14:textId="77777777" w:rsidR="005D79B7" w:rsidRPr="002B6D56" w:rsidRDefault="005D79B7" w:rsidP="005D79B7">
      <w:pPr>
        <w:pStyle w:val="ListParagraph"/>
        <w:numPr>
          <w:ilvl w:val="0"/>
          <w:numId w:val="25"/>
        </w:numPr>
        <w:spacing w:beforeLines="60" w:before="144" w:afterLines="60" w:after="144"/>
        <w:rPr>
          <w:rFonts w:ascii="Calibri" w:eastAsia="Times New Roman" w:hAnsi="Calibri" w:cs="Calibri"/>
          <w:color w:val="222222"/>
        </w:rPr>
      </w:pPr>
      <w:r w:rsidRPr="002B6D56">
        <w:rPr>
          <w:rFonts w:ascii="Calibri" w:eastAsia="Times New Roman" w:hAnsi="Calibri" w:cs="Calibri"/>
          <w:color w:val="222222"/>
        </w:rPr>
        <w:t>Must be treated by a haematologist (this does not exclude treatment via a multidisciplinary team, but the PBS authority application must be sought by the treating haematologist), AND</w:t>
      </w:r>
    </w:p>
    <w:p w14:paraId="756A550D" w14:textId="77777777" w:rsidR="00DB3E56" w:rsidRDefault="005D79B7" w:rsidP="005D79B7">
      <w:pPr>
        <w:pStyle w:val="ListParagraph"/>
        <w:numPr>
          <w:ilvl w:val="0"/>
          <w:numId w:val="25"/>
        </w:numPr>
        <w:spacing w:beforeLines="60" w:before="144" w:afterLines="60" w:after="144"/>
        <w:rPr>
          <w:rFonts w:ascii="Calibri" w:eastAsia="Times New Roman" w:hAnsi="Calibri" w:cs="Calibri"/>
          <w:color w:val="222222"/>
        </w:rPr>
      </w:pPr>
      <w:r w:rsidRPr="002B6D56">
        <w:rPr>
          <w:rFonts w:ascii="Calibri" w:eastAsia="Times New Roman" w:hAnsi="Calibri" w:cs="Calibri"/>
          <w:color w:val="222222"/>
        </w:rPr>
        <w:t xml:space="preserve">Patient must be undergoing concomitant treatment limited to each of: </w:t>
      </w:r>
    </w:p>
    <w:p w14:paraId="431E6466" w14:textId="7FFE8367" w:rsidR="00DB3E56" w:rsidRDefault="005D79B7" w:rsidP="00DB3E56">
      <w:pPr>
        <w:pStyle w:val="ListParagraph"/>
        <w:numPr>
          <w:ilvl w:val="0"/>
          <w:numId w:val="29"/>
        </w:numPr>
        <w:spacing w:beforeLines="60" w:before="144" w:afterLines="60" w:after="144"/>
        <w:rPr>
          <w:rFonts w:ascii="Calibri" w:eastAsia="Times New Roman" w:hAnsi="Calibri" w:cs="Calibri"/>
          <w:color w:val="222222"/>
        </w:rPr>
      </w:pPr>
      <w:r w:rsidRPr="002B6D56">
        <w:rPr>
          <w:rFonts w:ascii="Calibri" w:eastAsia="Times New Roman" w:hAnsi="Calibri" w:cs="Calibri"/>
          <w:color w:val="222222"/>
        </w:rPr>
        <w:t xml:space="preserve">bortezomib, </w:t>
      </w:r>
    </w:p>
    <w:p w14:paraId="1DA548BE" w14:textId="77777777" w:rsidR="00DB3E56" w:rsidRDefault="005D79B7" w:rsidP="00DB3E56">
      <w:pPr>
        <w:pStyle w:val="ListParagraph"/>
        <w:numPr>
          <w:ilvl w:val="0"/>
          <w:numId w:val="29"/>
        </w:numPr>
        <w:spacing w:beforeLines="60" w:before="144" w:afterLines="60" w:after="144"/>
        <w:rPr>
          <w:rFonts w:ascii="Calibri" w:eastAsia="Times New Roman" w:hAnsi="Calibri" w:cs="Calibri"/>
          <w:color w:val="222222"/>
        </w:rPr>
      </w:pPr>
      <w:r w:rsidRPr="002B6D56">
        <w:rPr>
          <w:rFonts w:ascii="Calibri" w:eastAsia="Times New Roman" w:hAnsi="Calibri" w:cs="Calibri"/>
          <w:color w:val="222222"/>
        </w:rPr>
        <w:t xml:space="preserve">cyclophosphamide, </w:t>
      </w:r>
    </w:p>
    <w:p w14:paraId="0646CAF7" w14:textId="5AEA2C30" w:rsidR="005D79B7" w:rsidRPr="002B6D56" w:rsidRDefault="005D79B7" w:rsidP="00DB3E56">
      <w:pPr>
        <w:pStyle w:val="ListParagraph"/>
        <w:numPr>
          <w:ilvl w:val="0"/>
          <w:numId w:val="29"/>
        </w:numPr>
        <w:spacing w:beforeLines="60" w:before="144" w:afterLines="60" w:after="144"/>
        <w:rPr>
          <w:rFonts w:ascii="Calibri" w:eastAsia="Times New Roman" w:hAnsi="Calibri" w:cs="Calibri"/>
          <w:color w:val="222222"/>
        </w:rPr>
      </w:pPr>
      <w:r w:rsidRPr="002B6D56">
        <w:rPr>
          <w:rFonts w:ascii="Calibri" w:eastAsia="Times New Roman" w:hAnsi="Calibri" w:cs="Calibri"/>
          <w:color w:val="222222"/>
        </w:rPr>
        <w:t>dexamethasone, at certain weeks of treatment as outlined in the drug's approved Product Information.</w:t>
      </w:r>
    </w:p>
    <w:p w14:paraId="74CFE64F" w14:textId="77777777" w:rsidR="005D79B7" w:rsidRPr="00D7503D" w:rsidRDefault="00A3736F" w:rsidP="005D79B7">
      <w:pPr>
        <w:spacing w:beforeLines="60" w:before="144" w:afterLines="60" w:after="144"/>
        <w:rPr>
          <w:rFonts w:ascii="Calibri" w:hAnsi="Calibri" w:cs="Calibri"/>
          <w:u w:val="single"/>
        </w:rPr>
      </w:pPr>
      <w:r w:rsidRPr="00D7503D">
        <w:rPr>
          <w:u w:val="single"/>
        </w:rPr>
        <w:t xml:space="preserve">Treatment phase: </w:t>
      </w:r>
      <w:r w:rsidR="005D79B7" w:rsidRPr="00D7503D">
        <w:rPr>
          <w:rFonts w:ascii="Calibri" w:hAnsi="Calibri" w:cs="Calibri"/>
          <w:u w:val="single"/>
        </w:rPr>
        <w:t>Continuing treatment from week 25 onwards (administered once every four weeks)</w:t>
      </w:r>
    </w:p>
    <w:p w14:paraId="7AA9C0F3" w14:textId="32193DE0" w:rsidR="00A3736F" w:rsidRPr="002B6D56" w:rsidRDefault="005D79B7" w:rsidP="005D79B7">
      <w:pPr>
        <w:pStyle w:val="ListParagraph"/>
        <w:numPr>
          <w:ilvl w:val="0"/>
          <w:numId w:val="21"/>
        </w:numPr>
      </w:pPr>
      <w:r w:rsidRPr="002B6D56">
        <w:t xml:space="preserve">Clinical criteria: </w:t>
      </w:r>
    </w:p>
    <w:p w14:paraId="209CC50E" w14:textId="1EC0541B" w:rsidR="002B6D56" w:rsidRPr="002B6D56" w:rsidRDefault="002B6D56" w:rsidP="002B6D56">
      <w:pPr>
        <w:pStyle w:val="ListParagraph"/>
        <w:numPr>
          <w:ilvl w:val="0"/>
          <w:numId w:val="27"/>
        </w:numPr>
        <w:spacing w:beforeLines="60" w:before="144" w:afterLines="60" w:after="144"/>
        <w:rPr>
          <w:rFonts w:ascii="Calibri" w:hAnsi="Calibri" w:cs="Calibri"/>
        </w:rPr>
      </w:pPr>
      <w:r w:rsidRPr="002B6D56">
        <w:rPr>
          <w:rFonts w:ascii="Calibri" w:hAnsi="Calibri" w:cs="Calibri"/>
        </w:rPr>
        <w:t>Patient must have previously received PBS-subsidised treatment with this drug for this condition.</w:t>
      </w:r>
    </w:p>
    <w:p w14:paraId="497B4D9E" w14:textId="77777777" w:rsidR="002B6D56" w:rsidRPr="002B6D56" w:rsidRDefault="002B6D56" w:rsidP="002B6D56">
      <w:pPr>
        <w:pStyle w:val="ListParagraph"/>
        <w:numPr>
          <w:ilvl w:val="0"/>
          <w:numId w:val="21"/>
        </w:numPr>
        <w:spacing w:beforeLines="60" w:before="144" w:afterLines="60" w:after="144"/>
        <w:rPr>
          <w:rFonts w:ascii="Calibri" w:eastAsia="Times New Roman" w:hAnsi="Calibri" w:cs="Calibri"/>
          <w:color w:val="222222"/>
        </w:rPr>
      </w:pPr>
      <w:r w:rsidRPr="002B6D56">
        <w:rPr>
          <w:rFonts w:ascii="Calibri" w:eastAsia="Times New Roman" w:hAnsi="Calibri" w:cs="Calibri"/>
          <w:color w:val="222222"/>
        </w:rPr>
        <w:t>Treatment criteria:</w:t>
      </w:r>
    </w:p>
    <w:p w14:paraId="5BCFFC84" w14:textId="77777777" w:rsidR="002B6D56" w:rsidRPr="002B6D56" w:rsidRDefault="002B6D56" w:rsidP="002B6D56">
      <w:pPr>
        <w:pStyle w:val="ListParagraph"/>
        <w:numPr>
          <w:ilvl w:val="0"/>
          <w:numId w:val="27"/>
        </w:numPr>
        <w:spacing w:beforeLines="60" w:before="144" w:afterLines="60" w:after="144"/>
        <w:rPr>
          <w:rFonts w:ascii="Calibri" w:eastAsia="Times New Roman" w:hAnsi="Calibri" w:cs="Calibri"/>
          <w:color w:val="222222"/>
        </w:rPr>
      </w:pPr>
      <w:r w:rsidRPr="002B6D56">
        <w:rPr>
          <w:rFonts w:ascii="Calibri" w:hAnsi="Calibri" w:cs="Calibri"/>
        </w:rPr>
        <w:t>Must be treated by a haematologist (this does not exclude treatment via a multidisciplinary team, but the PBS authority application must be sought by the treating haematologist), AND</w:t>
      </w:r>
    </w:p>
    <w:p w14:paraId="21175C9F" w14:textId="77777777" w:rsidR="00C44E16" w:rsidRPr="00C44E16" w:rsidRDefault="002B6D56" w:rsidP="00A35800">
      <w:pPr>
        <w:pStyle w:val="ListParagraph"/>
        <w:numPr>
          <w:ilvl w:val="0"/>
          <w:numId w:val="27"/>
        </w:numPr>
        <w:spacing w:beforeLines="60" w:before="144" w:afterLines="60" w:after="144"/>
        <w:rPr>
          <w:rFonts w:ascii="Calibri" w:eastAsia="Times New Roman" w:hAnsi="Calibri" w:cs="Calibri"/>
          <w:color w:val="222222"/>
        </w:rPr>
      </w:pPr>
      <w:r w:rsidRPr="002B6D56">
        <w:rPr>
          <w:rFonts w:ascii="Calibri" w:hAnsi="Calibri" w:cs="Calibri"/>
        </w:rPr>
        <w:t xml:space="preserve">Patient must be undergoing continuing treatment that does not extend treatment duration beyond whichever comes first: </w:t>
      </w:r>
    </w:p>
    <w:p w14:paraId="4388473C" w14:textId="5E21A482" w:rsidR="00C44E16" w:rsidRDefault="002B6D56" w:rsidP="00C44E16">
      <w:pPr>
        <w:pStyle w:val="ListParagraph"/>
        <w:numPr>
          <w:ilvl w:val="0"/>
          <w:numId w:val="28"/>
        </w:numPr>
        <w:spacing w:beforeLines="60" w:before="144" w:afterLines="60" w:after="144"/>
        <w:rPr>
          <w:rFonts w:ascii="Calibri" w:hAnsi="Calibri" w:cs="Calibri"/>
        </w:rPr>
      </w:pPr>
      <w:r w:rsidRPr="002B6D56">
        <w:rPr>
          <w:rFonts w:ascii="Calibri" w:hAnsi="Calibri" w:cs="Calibri"/>
        </w:rPr>
        <w:lastRenderedPageBreak/>
        <w:t xml:space="preserve">disease progression,  </w:t>
      </w:r>
    </w:p>
    <w:p w14:paraId="31AB0BF7" w14:textId="2D8AF194" w:rsidR="00411794" w:rsidRPr="002B6D56" w:rsidRDefault="002B6D56" w:rsidP="00C44E16">
      <w:pPr>
        <w:pStyle w:val="ListParagraph"/>
        <w:numPr>
          <w:ilvl w:val="0"/>
          <w:numId w:val="28"/>
        </w:numPr>
        <w:spacing w:beforeLines="60" w:before="144" w:afterLines="60" w:after="144"/>
        <w:rPr>
          <w:rFonts w:ascii="Calibri" w:eastAsia="Times New Roman" w:hAnsi="Calibri" w:cs="Calibri"/>
          <w:color w:val="222222"/>
        </w:rPr>
      </w:pPr>
      <w:r w:rsidRPr="002B6D56">
        <w:rPr>
          <w:rFonts w:ascii="Calibri" w:hAnsi="Calibri" w:cs="Calibri"/>
        </w:rPr>
        <w:t>96 cumulative weeks from the first administered dose, once in a lifetime.</w:t>
      </w:r>
    </w:p>
    <w:p w14:paraId="22433632" w14:textId="0E782188" w:rsidR="006775F1" w:rsidRPr="006775F1" w:rsidDel="00EE2BBB" w:rsidRDefault="006775F1" w:rsidP="00A35800">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61CFF9E4" w14:textId="1BB91C7C" w:rsidR="003620C3" w:rsidRPr="002257EF" w:rsidRDefault="003620C3" w:rsidP="00A35800">
      <w:pPr>
        <w:rPr>
          <w:b/>
          <w:bCs/>
          <w:i/>
          <w:iCs/>
        </w:rPr>
      </w:pPr>
      <w:r w:rsidRPr="002257EF">
        <w:rPr>
          <w:b/>
          <w:bCs/>
          <w:i/>
          <w:iCs/>
        </w:rPr>
        <w:t>November 2021</w:t>
      </w:r>
    </w:p>
    <w:p w14:paraId="6A2812FC" w14:textId="2AF950E3" w:rsidR="0081020B" w:rsidRDefault="00446FA4" w:rsidP="00A35800">
      <w:r w:rsidRPr="00446FA4">
        <w:t xml:space="preserve">The Category 1 submission requested a Section 100 (Highly Specialised Drug), Authority Required listing for daratumumab subcutaneous (SC), in combination with cyclophosphamide, bortezomib and dexamethasone (CyBorD) for newly diagnosed patients with systemic light-chain AL amyloidosis. The requested listing is for combination therapy for the first 24 weeks, followed by daratumumab SC as monotherapy for treatment from week 25 to a maximum of 96 weeks (24 cycles). The submission requested that patients continue to access daratumumab SC until disease progression or the development of treatment-limiting toxicity, or for a maximum of 24 cycles (i.e. a maximum of 34 injections of daratumumab SC). Listing was requested </w:t>
      </w:r>
      <w:proofErr w:type="gramStart"/>
      <w:r w:rsidRPr="00446FA4">
        <w:t>on the basis of</w:t>
      </w:r>
      <w:proofErr w:type="gramEnd"/>
      <w:r w:rsidRPr="00446FA4">
        <w:t xml:space="preserve"> a cost-utility analysis (CUA) of daratumumab SC + CyBorD versus the submission’s main comparator, CyBorD. </w:t>
      </w:r>
    </w:p>
    <w:p w14:paraId="70FF52FF" w14:textId="1242F79C" w:rsidR="003620C3" w:rsidRDefault="002257EF" w:rsidP="00A35800">
      <w:r w:rsidRPr="002257EF">
        <w:t>The PBAC did not recommend daratumumab SC, for use in combination with CyBorD for the treatment of patients with newly diagnosed systemic light-chain AL amyloidosis. The PBAC recognised that there are no treatments on the PBS available specifically for this condition, and it considered that the addition of daratumumab SC plus CyBorD offered high added therapeutic value. However, the PBAC considered that there were uncertainties in the cost-effectiveness analysis and financial estimates, particularly due to the overlap between patients with AL amyloidosis and multiple myeloma (MM). The PBAC considered that these uncertainties could be managed through a respecified economic analysis that included more conservative assumptions, and a risk sharing arrangement (RSA).</w:t>
      </w:r>
    </w:p>
    <w:p w14:paraId="601D140A" w14:textId="2F74A37B" w:rsidR="007E3819" w:rsidRPr="00FC199D" w:rsidRDefault="007E3819" w:rsidP="00A35800">
      <w:pPr>
        <w:rPr>
          <w:b/>
          <w:bCs/>
          <w:i/>
          <w:iCs/>
        </w:rPr>
      </w:pPr>
      <w:r w:rsidRPr="00FC199D">
        <w:rPr>
          <w:b/>
          <w:bCs/>
          <w:i/>
          <w:iCs/>
        </w:rPr>
        <w:t>May 2022</w:t>
      </w:r>
    </w:p>
    <w:p w14:paraId="3AAC27FE" w14:textId="210F3F7F" w:rsidR="00A04564" w:rsidRDefault="00765BE9" w:rsidP="00A35800">
      <w:r w:rsidRPr="00765BE9">
        <w:t>An early resolution resubmission sought to address the PBAC’s concerns from its November 2021 meeting</w:t>
      </w:r>
      <w:r w:rsidR="005269CD">
        <w:t xml:space="preserve">. </w:t>
      </w:r>
      <w:r w:rsidR="00C013B3">
        <w:t xml:space="preserve"> </w:t>
      </w:r>
      <w:r w:rsidR="00A04564" w:rsidRPr="00A04564">
        <w:t xml:space="preserve">The PBAC recommended the listing of daratumumab SC, for use in combination with CyBorD, for the treatment of patients with newly diagnosed systemic light-chain AL amyloidosis. The PBAC recognised that there are no treatments on the PBS available specifically for this condition, and it considered that the addition of daratumumab SC plus CyBorD offered a high added therapeutic value. The PBAC considered that the revised economic analysis, which included more conservative assumptions, and </w:t>
      </w:r>
      <w:proofErr w:type="gramStart"/>
      <w:r w:rsidR="00A04564" w:rsidRPr="00A04564">
        <w:t>a</w:t>
      </w:r>
      <w:proofErr w:type="gramEnd"/>
      <w:r w:rsidR="00A04564" w:rsidRPr="00A04564">
        <w:t xml:space="preserve"> RSA, based on reduced financial estimates which also accounted for the overlap between patients with AL amyloidosis and</w:t>
      </w:r>
      <w:r w:rsidR="00287C11">
        <w:t xml:space="preserve"> </w:t>
      </w:r>
      <w:r w:rsidR="00A04564" w:rsidRPr="00A04564">
        <w:t>MM, were acceptable</w:t>
      </w:r>
      <w:r w:rsidR="00BD5959">
        <w:t xml:space="preserve">. </w:t>
      </w:r>
    </w:p>
    <w:p w14:paraId="70539E18" w14:textId="072577B9" w:rsidR="00D94863" w:rsidRPr="00F65F0D" w:rsidRDefault="00D94863" w:rsidP="00D94863">
      <w:r>
        <w:t xml:space="preserve">For further details refer to </w:t>
      </w:r>
      <w:r w:rsidRPr="00F65F0D">
        <w:t xml:space="preserve">the </w:t>
      </w:r>
      <w:hyperlink r:id="rId12" w:history="1">
        <w:r w:rsidRPr="00E21F2A">
          <w:rPr>
            <w:rStyle w:val="Hyperlink"/>
          </w:rPr>
          <w:t>Public Summary Document</w:t>
        </w:r>
      </w:hyperlink>
      <w:r>
        <w:t xml:space="preserve"> </w:t>
      </w:r>
      <w:r w:rsidRPr="00F65F0D">
        <w:t>from the</w:t>
      </w:r>
      <w:r w:rsidR="00E21F2A">
        <w:t xml:space="preserve"> November 2021 and May 2022 </w:t>
      </w:r>
      <w:r>
        <w:t>PBAC meeting</w:t>
      </w:r>
      <w:r w:rsidR="00E21F2A">
        <w:t>s</w:t>
      </w:r>
      <w:r>
        <w:t>.</w:t>
      </w:r>
    </w:p>
    <w:p w14:paraId="0312FFEC" w14:textId="5C6A9662" w:rsidR="00E677DD" w:rsidRPr="005E22C2" w:rsidRDefault="00E677DD" w:rsidP="00CF5E22">
      <w:pPr>
        <w:pStyle w:val="Heading1"/>
      </w:pPr>
      <w:r w:rsidRPr="005E22C2">
        <w:lastRenderedPageBreak/>
        <w:t>Method</w:t>
      </w:r>
      <w:r w:rsidR="001B5D37" w:rsidRPr="005E22C2">
        <w:t>s</w:t>
      </w:r>
    </w:p>
    <w:p w14:paraId="6D8C9BF9" w14:textId="1FCCE36C" w:rsidR="006804E0" w:rsidRDefault="006804E0" w:rsidP="00524D13">
      <w:r w:rsidRPr="006804E0">
        <w:t xml:space="preserve">Data extracted from the PBS claims database maintained by the Department of Health and Aged Care and processed by Services Australia were used for the analyses. Prescription data were extracted from </w:t>
      </w:r>
      <w:r w:rsidR="00FC199D">
        <w:t>1 January 2023</w:t>
      </w:r>
      <w:r w:rsidRPr="006804E0">
        <w:t xml:space="preserve"> up to and including </w:t>
      </w:r>
      <w:r w:rsidR="00FA343F">
        <w:t>30 June 2025.</w:t>
      </w:r>
      <w:r w:rsidRPr="006804E0">
        <w:t xml:space="preserve"> </w:t>
      </w:r>
    </w:p>
    <w:p w14:paraId="584D827B" w14:textId="36A65425" w:rsidR="006E55EF" w:rsidRDefault="006E55EF" w:rsidP="006E55EF">
      <w:r w:rsidRPr="003B6FF6">
        <w:t xml:space="preserve">This data </w:t>
      </w:r>
      <w:r w:rsidR="00E26310">
        <w:t>w</w:t>
      </w:r>
      <w:r w:rsidR="00286B32">
        <w:t>as</w:t>
      </w:r>
      <w:r w:rsidRPr="003B6FF6">
        <w:t xml:space="preserve"> used to determine the number of incident and prevalent patients, number of prescriptions supplied and to analyse </w:t>
      </w:r>
      <w:r w:rsidR="00636114">
        <w:t xml:space="preserve">prescriber type and </w:t>
      </w:r>
      <w:r w:rsidRPr="003B6FF6">
        <w:t>patient demographics such as age and gender</w:t>
      </w:r>
      <w:r w:rsidR="001A777D">
        <w:t xml:space="preserve"> distribution</w:t>
      </w:r>
      <w:r w:rsidRPr="003B6FF6">
        <w:t>. Initiating and prevalent patients were counted by quarter</w:t>
      </w:r>
      <w:r w:rsidR="00571CE4">
        <w:t xml:space="preserve"> and by calendar year of supply</w:t>
      </w:r>
      <w:r w:rsidRPr="003B6FF6">
        <w:t xml:space="preserve">. An initiating patient was defined based on their first date of supply of </w:t>
      </w:r>
      <w:r w:rsidR="00F77463">
        <w:t>daratumumab</w:t>
      </w:r>
      <w:r w:rsidRPr="003B6FF6">
        <w:t xml:space="preserve">. </w:t>
      </w:r>
    </w:p>
    <w:p w14:paraId="7CC352C2" w14:textId="763A3972" w:rsidR="0045648C" w:rsidRDefault="006E1F5B" w:rsidP="006E55EF">
      <w:r w:rsidRPr="00343AED">
        <w:t xml:space="preserve">Date of death data were linked to the PBS claims data based on the unique de-identified patient identifier. This was used to </w:t>
      </w:r>
      <w:r>
        <w:t>determine</w:t>
      </w:r>
      <w:r w:rsidRPr="00343AED">
        <w:t xml:space="preserve"> the proportion of patients who ceased </w:t>
      </w:r>
      <w:r>
        <w:t>daratumumab</w:t>
      </w:r>
      <w:r w:rsidRPr="00343AED">
        <w:t xml:space="preserve"> treatment due to death.</w:t>
      </w:r>
      <w:r>
        <w:t xml:space="preserve">  At the time of the review,</w:t>
      </w:r>
      <w:r w:rsidR="00543422">
        <w:t xml:space="preserve"> date of death</w:t>
      </w:r>
      <w:r>
        <w:t xml:space="preserve"> </w:t>
      </w:r>
      <w:r w:rsidR="00E26310">
        <w:t>data w</w:t>
      </w:r>
      <w:r w:rsidR="00286B32">
        <w:t>as</w:t>
      </w:r>
      <w:r w:rsidR="00E26310">
        <w:t xml:space="preserve"> available up to 18 February 2025. </w:t>
      </w:r>
      <w:r w:rsidR="00343AED" w:rsidRPr="00343AED">
        <w:t xml:space="preserve">A Kaplan-Meier curve was generated to present treatment duration. A cohort of initiating patients were selected </w:t>
      </w:r>
      <w:r w:rsidR="00E26310" w:rsidRPr="00343AED">
        <w:t xml:space="preserve">from 1 </w:t>
      </w:r>
      <w:r w:rsidR="00E26310">
        <w:t>July</w:t>
      </w:r>
      <w:r w:rsidR="00E26310" w:rsidRPr="00343AED">
        <w:t xml:space="preserve"> 202</w:t>
      </w:r>
      <w:r w:rsidR="00E26310">
        <w:t>3</w:t>
      </w:r>
      <w:r w:rsidR="00343AED" w:rsidRPr="00343AED">
        <w:t xml:space="preserve"> to account for the wash out period of grandfathered patients, up to and including 31 December 202</w:t>
      </w:r>
      <w:r w:rsidR="00343AED">
        <w:t>3</w:t>
      </w:r>
      <w:r w:rsidR="00343AED" w:rsidRPr="00343AED">
        <w:t xml:space="preserve">. These patients were followed until </w:t>
      </w:r>
      <w:r>
        <w:t xml:space="preserve">18 February </w:t>
      </w:r>
      <w:r w:rsidR="00343AED">
        <w:t>2025</w:t>
      </w:r>
      <w:r w:rsidR="00343AED" w:rsidRPr="00343AED">
        <w:t xml:space="preserve">, with patients censored if they </w:t>
      </w:r>
      <w:proofErr w:type="gramStart"/>
      <w:r w:rsidR="00343AED" w:rsidRPr="00343AED">
        <w:t>were</w:t>
      </w:r>
      <w:r w:rsidR="00DF2DAF">
        <w:t xml:space="preserve"> considered to be</w:t>
      </w:r>
      <w:proofErr w:type="gramEnd"/>
      <w:r w:rsidR="00343AED" w:rsidRPr="00343AED">
        <w:t xml:space="preserve"> continuing treatment. </w:t>
      </w:r>
    </w:p>
    <w:p w14:paraId="631DC363" w14:textId="11D56AB3" w:rsidR="00BF3FE0" w:rsidRPr="00925F70" w:rsidRDefault="006804E0" w:rsidP="00925F70">
      <w:r w:rsidRPr="006804E0">
        <w:t>As this analysis uses date of supply prescription data, there may be small differences compared with publicly available Services Australia Medicare date of processing data.</w:t>
      </w:r>
      <w:r w:rsidR="00576B18">
        <w:rPr>
          <w:rStyle w:val="FootnoteReference"/>
        </w:rPr>
        <w:footnoteReference w:id="3"/>
      </w:r>
      <w:r w:rsidR="00576B18">
        <w:t xml:space="preserve"> </w:t>
      </w:r>
      <w:r w:rsidR="0090691F">
        <w:t xml:space="preserve">The </w:t>
      </w:r>
      <w:r w:rsidR="00AC5054">
        <w:t xml:space="preserve">publicly available </w:t>
      </w:r>
      <w:r w:rsidRPr="006804E0">
        <w:t xml:space="preserve">Services Australia </w:t>
      </w:r>
      <w:r w:rsidR="0090691F">
        <w:t xml:space="preserve">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524D13">
        <w:t>.</w:t>
      </w:r>
      <w:r w:rsidR="00DD29A3">
        <w:t xml:space="preserve"> </w:t>
      </w:r>
    </w:p>
    <w:p w14:paraId="7F3625FB" w14:textId="77777777" w:rsidR="00434C02" w:rsidRDefault="00434C02">
      <w:pPr>
        <w:spacing w:line="276" w:lineRule="auto"/>
        <w:rPr>
          <w:rFonts w:eastAsiaTheme="majorEastAsia" w:cstheme="majorBidi"/>
          <w:b/>
          <w:bCs/>
          <w:sz w:val="32"/>
          <w:szCs w:val="32"/>
        </w:rPr>
      </w:pPr>
      <w:r>
        <w:br w:type="page"/>
      </w:r>
    </w:p>
    <w:p w14:paraId="4F91A98A" w14:textId="2D3C592F"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Default="00736041" w:rsidP="00CF5E22">
      <w:pPr>
        <w:pStyle w:val="Heading3"/>
      </w:pPr>
      <w:r w:rsidRPr="005E22C2">
        <w:t>Overall utilisation</w:t>
      </w:r>
    </w:p>
    <w:p w14:paraId="08F7400F" w14:textId="4813A361" w:rsidR="00DE35FA" w:rsidRDefault="00DE35FA" w:rsidP="00DE35FA">
      <w:r>
        <w:t xml:space="preserve">Figures 1 and 2 show the increase </w:t>
      </w:r>
      <w:r w:rsidR="00A917C2">
        <w:t>in the number of patients treated and the number of prescriptions supplied since listing.</w:t>
      </w:r>
      <w:r>
        <w:t xml:space="preserve"> </w:t>
      </w:r>
      <w:r w:rsidR="00A917C2">
        <w:t>Approximately</w:t>
      </w:r>
      <w:r w:rsidR="006D3344">
        <w:t xml:space="preserve"> </w:t>
      </w:r>
      <w:r w:rsidR="005B5E71">
        <w:t>63</w:t>
      </w:r>
      <w:r w:rsidR="006D3344">
        <w:t xml:space="preserve"> </w:t>
      </w:r>
      <w:proofErr w:type="gramStart"/>
      <w:r w:rsidR="006D3344">
        <w:t>patients initiated</w:t>
      </w:r>
      <w:proofErr w:type="gramEnd"/>
      <w:r w:rsidR="006D3344">
        <w:t xml:space="preserve"> </w:t>
      </w:r>
      <w:r w:rsidR="00A917C2">
        <w:t>treatment</w:t>
      </w:r>
      <w:r w:rsidR="00247153">
        <w:t xml:space="preserve"> with daratumumab</w:t>
      </w:r>
      <w:r w:rsidR="00A917C2">
        <w:t xml:space="preserve"> </w:t>
      </w:r>
      <w:r w:rsidR="006D3344">
        <w:t xml:space="preserve">per quarter. </w:t>
      </w:r>
    </w:p>
    <w:p w14:paraId="1683C46C" w14:textId="0C2A1501" w:rsidR="00761E65" w:rsidRDefault="00761E65" w:rsidP="00761E65">
      <w:pPr>
        <w:pStyle w:val="Tabletitle"/>
      </w:pPr>
      <w:r w:rsidRPr="001420B3" w:rsidDel="00EE2BBB">
        <w:t xml:space="preserve">Table </w:t>
      </w:r>
      <w:r>
        <w:t xml:space="preserve">3: Utilisation of daratumumab for AL amyloidosis by calendar year </w:t>
      </w:r>
    </w:p>
    <w:tbl>
      <w:tblPr>
        <w:tblStyle w:val="TableGrid"/>
        <w:tblW w:w="0" w:type="auto"/>
        <w:tblLook w:val="04A0" w:firstRow="1" w:lastRow="0" w:firstColumn="1" w:lastColumn="0" w:noHBand="0" w:noVBand="1"/>
      </w:tblPr>
      <w:tblGrid>
        <w:gridCol w:w="2236"/>
        <w:gridCol w:w="2237"/>
        <w:gridCol w:w="2237"/>
        <w:gridCol w:w="2237"/>
      </w:tblGrid>
      <w:tr w:rsidR="005B56D7" w:rsidRPr="005B56D7" w14:paraId="219F04D2" w14:textId="77777777" w:rsidTr="005B56D7">
        <w:tc>
          <w:tcPr>
            <w:tcW w:w="2236" w:type="dxa"/>
            <w:shd w:val="clear" w:color="auto" w:fill="BFBFBF" w:themeFill="background1" w:themeFillShade="BF"/>
          </w:tcPr>
          <w:p w14:paraId="12675544" w14:textId="77777777" w:rsidR="005B56D7" w:rsidRPr="005B56D7" w:rsidRDefault="005B56D7" w:rsidP="005B56D7">
            <w:pPr>
              <w:spacing w:before="60" w:after="60"/>
              <w:jc w:val="center"/>
              <w:rPr>
                <w:b/>
                <w:bCs/>
                <w:sz w:val="20"/>
                <w:szCs w:val="20"/>
              </w:rPr>
            </w:pPr>
          </w:p>
        </w:tc>
        <w:tc>
          <w:tcPr>
            <w:tcW w:w="2237" w:type="dxa"/>
            <w:shd w:val="clear" w:color="auto" w:fill="BFBFBF" w:themeFill="background1" w:themeFillShade="BF"/>
          </w:tcPr>
          <w:p w14:paraId="213EBEF6" w14:textId="16E2B178" w:rsidR="005B56D7" w:rsidRPr="005B56D7" w:rsidRDefault="005B56D7" w:rsidP="005B56D7">
            <w:pPr>
              <w:spacing w:before="60" w:after="60"/>
              <w:jc w:val="center"/>
              <w:rPr>
                <w:b/>
                <w:bCs/>
                <w:sz w:val="20"/>
                <w:szCs w:val="20"/>
              </w:rPr>
            </w:pPr>
            <w:r w:rsidRPr="005B56D7">
              <w:rPr>
                <w:b/>
                <w:bCs/>
                <w:sz w:val="20"/>
                <w:szCs w:val="20"/>
              </w:rPr>
              <w:t>2023</w:t>
            </w:r>
          </w:p>
        </w:tc>
        <w:tc>
          <w:tcPr>
            <w:tcW w:w="2237" w:type="dxa"/>
            <w:shd w:val="clear" w:color="auto" w:fill="BFBFBF" w:themeFill="background1" w:themeFillShade="BF"/>
          </w:tcPr>
          <w:p w14:paraId="7F30B21D" w14:textId="0C7DB0AD" w:rsidR="005B56D7" w:rsidRPr="005B56D7" w:rsidRDefault="005B56D7" w:rsidP="005B56D7">
            <w:pPr>
              <w:spacing w:before="60" w:after="60"/>
              <w:jc w:val="center"/>
              <w:rPr>
                <w:b/>
                <w:bCs/>
                <w:sz w:val="20"/>
                <w:szCs w:val="20"/>
              </w:rPr>
            </w:pPr>
            <w:r w:rsidRPr="005B56D7">
              <w:rPr>
                <w:b/>
                <w:bCs/>
                <w:sz w:val="20"/>
                <w:szCs w:val="20"/>
              </w:rPr>
              <w:t>2024</w:t>
            </w:r>
          </w:p>
        </w:tc>
        <w:tc>
          <w:tcPr>
            <w:tcW w:w="2237" w:type="dxa"/>
            <w:shd w:val="clear" w:color="auto" w:fill="BFBFBF" w:themeFill="background1" w:themeFillShade="BF"/>
          </w:tcPr>
          <w:p w14:paraId="0A2DFF12" w14:textId="6B66290E" w:rsidR="005B56D7" w:rsidRPr="005B56D7" w:rsidRDefault="005B56D7" w:rsidP="005B56D7">
            <w:pPr>
              <w:spacing w:before="60" w:after="60"/>
              <w:jc w:val="center"/>
              <w:rPr>
                <w:b/>
                <w:bCs/>
                <w:sz w:val="20"/>
                <w:szCs w:val="20"/>
              </w:rPr>
            </w:pPr>
            <w:r w:rsidRPr="005B56D7">
              <w:rPr>
                <w:b/>
                <w:bCs/>
                <w:sz w:val="20"/>
                <w:szCs w:val="20"/>
              </w:rPr>
              <w:t>2025</w:t>
            </w:r>
          </w:p>
        </w:tc>
      </w:tr>
      <w:tr w:rsidR="0001318D" w:rsidRPr="005B56D7" w14:paraId="6D6B5D87" w14:textId="77777777">
        <w:tc>
          <w:tcPr>
            <w:tcW w:w="2236" w:type="dxa"/>
          </w:tcPr>
          <w:p w14:paraId="08A45CF2" w14:textId="3F38E559" w:rsidR="0001318D" w:rsidRDefault="0001318D" w:rsidP="005B56D7">
            <w:pPr>
              <w:spacing w:before="60" w:after="60"/>
              <w:rPr>
                <w:sz w:val="20"/>
                <w:szCs w:val="20"/>
              </w:rPr>
            </w:pPr>
            <w:r>
              <w:rPr>
                <w:sz w:val="20"/>
                <w:szCs w:val="20"/>
              </w:rPr>
              <w:t xml:space="preserve">Initiating patients </w:t>
            </w:r>
          </w:p>
        </w:tc>
        <w:tc>
          <w:tcPr>
            <w:tcW w:w="2237" w:type="dxa"/>
          </w:tcPr>
          <w:p w14:paraId="248E57EE" w14:textId="35C63BFF" w:rsidR="0001318D" w:rsidRDefault="0001318D" w:rsidP="00483BEC">
            <w:pPr>
              <w:spacing w:before="60" w:after="60"/>
              <w:jc w:val="center"/>
              <w:rPr>
                <w:sz w:val="20"/>
                <w:szCs w:val="20"/>
              </w:rPr>
            </w:pPr>
            <w:r>
              <w:rPr>
                <w:sz w:val="20"/>
                <w:szCs w:val="20"/>
              </w:rPr>
              <w:t>294</w:t>
            </w:r>
          </w:p>
        </w:tc>
        <w:tc>
          <w:tcPr>
            <w:tcW w:w="2237" w:type="dxa"/>
          </w:tcPr>
          <w:p w14:paraId="03CFF8CA" w14:textId="0D21E684" w:rsidR="0001318D" w:rsidRDefault="0001318D" w:rsidP="00483BEC">
            <w:pPr>
              <w:spacing w:before="60" w:after="60"/>
              <w:jc w:val="center"/>
              <w:rPr>
                <w:sz w:val="20"/>
                <w:szCs w:val="20"/>
              </w:rPr>
            </w:pPr>
            <w:r>
              <w:rPr>
                <w:sz w:val="20"/>
                <w:szCs w:val="20"/>
              </w:rPr>
              <w:t>225</w:t>
            </w:r>
          </w:p>
        </w:tc>
        <w:tc>
          <w:tcPr>
            <w:tcW w:w="2237" w:type="dxa"/>
          </w:tcPr>
          <w:p w14:paraId="5C88211E" w14:textId="08B23969" w:rsidR="0001318D" w:rsidRDefault="0001318D" w:rsidP="00483BEC">
            <w:pPr>
              <w:spacing w:before="60" w:after="60"/>
              <w:jc w:val="center"/>
              <w:rPr>
                <w:sz w:val="20"/>
                <w:szCs w:val="20"/>
              </w:rPr>
            </w:pPr>
            <w:r>
              <w:rPr>
                <w:sz w:val="20"/>
                <w:szCs w:val="20"/>
              </w:rPr>
              <w:t>110</w:t>
            </w:r>
          </w:p>
        </w:tc>
      </w:tr>
      <w:tr w:rsidR="005B56D7" w:rsidRPr="005B56D7" w14:paraId="04D604D7" w14:textId="77777777">
        <w:tc>
          <w:tcPr>
            <w:tcW w:w="2236" w:type="dxa"/>
          </w:tcPr>
          <w:p w14:paraId="6C88B75D" w14:textId="4D25F7C1" w:rsidR="005B56D7" w:rsidRPr="005B56D7" w:rsidRDefault="0001318D" w:rsidP="005B56D7">
            <w:pPr>
              <w:spacing w:before="60" w:after="60"/>
              <w:rPr>
                <w:sz w:val="20"/>
                <w:szCs w:val="20"/>
              </w:rPr>
            </w:pPr>
            <w:r>
              <w:rPr>
                <w:sz w:val="20"/>
                <w:szCs w:val="20"/>
              </w:rPr>
              <w:t>Prevalent patients</w:t>
            </w:r>
            <w:r w:rsidR="005B56D7" w:rsidRPr="005B56D7">
              <w:rPr>
                <w:sz w:val="20"/>
                <w:szCs w:val="20"/>
              </w:rPr>
              <w:t xml:space="preserve"> </w:t>
            </w:r>
          </w:p>
        </w:tc>
        <w:tc>
          <w:tcPr>
            <w:tcW w:w="2237" w:type="dxa"/>
          </w:tcPr>
          <w:p w14:paraId="53EF6B23" w14:textId="6EDD9A77" w:rsidR="005B56D7" w:rsidRPr="005B56D7" w:rsidRDefault="00FB2AD1" w:rsidP="00483BEC">
            <w:pPr>
              <w:spacing w:before="60" w:after="60"/>
              <w:jc w:val="center"/>
              <w:rPr>
                <w:sz w:val="20"/>
                <w:szCs w:val="20"/>
              </w:rPr>
            </w:pPr>
            <w:r>
              <w:rPr>
                <w:sz w:val="20"/>
                <w:szCs w:val="20"/>
              </w:rPr>
              <w:t>294</w:t>
            </w:r>
          </w:p>
        </w:tc>
        <w:tc>
          <w:tcPr>
            <w:tcW w:w="2237" w:type="dxa"/>
          </w:tcPr>
          <w:p w14:paraId="22EDFD66" w14:textId="0E877209" w:rsidR="005B56D7" w:rsidRPr="005B56D7" w:rsidRDefault="00FB2AD1" w:rsidP="00483BEC">
            <w:pPr>
              <w:spacing w:before="60" w:after="60"/>
              <w:jc w:val="center"/>
              <w:rPr>
                <w:sz w:val="20"/>
                <w:szCs w:val="20"/>
              </w:rPr>
            </w:pPr>
            <w:r>
              <w:rPr>
                <w:sz w:val="20"/>
                <w:szCs w:val="20"/>
              </w:rPr>
              <w:t>443</w:t>
            </w:r>
          </w:p>
        </w:tc>
        <w:tc>
          <w:tcPr>
            <w:tcW w:w="2237" w:type="dxa"/>
          </w:tcPr>
          <w:p w14:paraId="1F1F0A2C" w14:textId="4C9FD2DD" w:rsidR="005B56D7" w:rsidRPr="005B56D7" w:rsidRDefault="00FB2AD1" w:rsidP="00483BEC">
            <w:pPr>
              <w:spacing w:before="60" w:after="60"/>
              <w:jc w:val="center"/>
              <w:rPr>
                <w:sz w:val="20"/>
                <w:szCs w:val="20"/>
              </w:rPr>
            </w:pPr>
            <w:r>
              <w:rPr>
                <w:sz w:val="20"/>
                <w:szCs w:val="20"/>
              </w:rPr>
              <w:t>406</w:t>
            </w:r>
          </w:p>
        </w:tc>
      </w:tr>
      <w:tr w:rsidR="005B56D7" w:rsidRPr="005B56D7" w14:paraId="0AA0FE0F" w14:textId="77777777">
        <w:tc>
          <w:tcPr>
            <w:tcW w:w="2236" w:type="dxa"/>
          </w:tcPr>
          <w:p w14:paraId="21847131" w14:textId="5F7C7B4A" w:rsidR="005B56D7" w:rsidRPr="005B56D7" w:rsidRDefault="005B56D7" w:rsidP="005B56D7">
            <w:pPr>
              <w:spacing w:before="60" w:after="60"/>
              <w:rPr>
                <w:sz w:val="20"/>
                <w:szCs w:val="20"/>
              </w:rPr>
            </w:pPr>
            <w:r w:rsidRPr="005B56D7">
              <w:rPr>
                <w:sz w:val="20"/>
                <w:szCs w:val="20"/>
              </w:rPr>
              <w:t xml:space="preserve">Prescriptions supplied </w:t>
            </w:r>
          </w:p>
        </w:tc>
        <w:tc>
          <w:tcPr>
            <w:tcW w:w="2237" w:type="dxa"/>
          </w:tcPr>
          <w:p w14:paraId="70F72A68" w14:textId="6DDE2AD2" w:rsidR="005B56D7" w:rsidRPr="005B56D7" w:rsidRDefault="00FB2AD1" w:rsidP="00483BEC">
            <w:pPr>
              <w:spacing w:before="60" w:after="60"/>
              <w:jc w:val="center"/>
              <w:rPr>
                <w:sz w:val="20"/>
                <w:szCs w:val="20"/>
              </w:rPr>
            </w:pPr>
            <w:r>
              <w:rPr>
                <w:sz w:val="20"/>
                <w:szCs w:val="20"/>
              </w:rPr>
              <w:t>3,270</w:t>
            </w:r>
          </w:p>
        </w:tc>
        <w:tc>
          <w:tcPr>
            <w:tcW w:w="2237" w:type="dxa"/>
          </w:tcPr>
          <w:p w14:paraId="5522CE2B" w14:textId="3036075D" w:rsidR="005B56D7" w:rsidRPr="005B56D7" w:rsidRDefault="00FB2AD1" w:rsidP="00483BEC">
            <w:pPr>
              <w:spacing w:before="60" w:after="60"/>
              <w:jc w:val="center"/>
              <w:rPr>
                <w:sz w:val="20"/>
                <w:szCs w:val="20"/>
              </w:rPr>
            </w:pPr>
            <w:r>
              <w:rPr>
                <w:sz w:val="20"/>
                <w:szCs w:val="20"/>
              </w:rPr>
              <w:t>4,881</w:t>
            </w:r>
          </w:p>
        </w:tc>
        <w:tc>
          <w:tcPr>
            <w:tcW w:w="2237" w:type="dxa"/>
          </w:tcPr>
          <w:p w14:paraId="334C2129" w14:textId="64A0D8C6" w:rsidR="005B56D7" w:rsidRPr="005B56D7" w:rsidRDefault="00FB2AD1" w:rsidP="00483BEC">
            <w:pPr>
              <w:spacing w:before="60" w:after="60"/>
              <w:jc w:val="center"/>
              <w:rPr>
                <w:sz w:val="20"/>
                <w:szCs w:val="20"/>
              </w:rPr>
            </w:pPr>
            <w:r>
              <w:rPr>
                <w:sz w:val="20"/>
                <w:szCs w:val="20"/>
              </w:rPr>
              <w:t>2,786</w:t>
            </w:r>
          </w:p>
        </w:tc>
      </w:tr>
    </w:tbl>
    <w:p w14:paraId="4B125591" w14:textId="5E0786AB" w:rsidR="00F9475A" w:rsidRDefault="005B56D7" w:rsidP="00DE35FA">
      <w:pPr>
        <w:rPr>
          <w:sz w:val="20"/>
          <w:szCs w:val="20"/>
        </w:rPr>
      </w:pPr>
      <w:r w:rsidRPr="00761E65">
        <w:rPr>
          <w:sz w:val="20"/>
          <w:szCs w:val="20"/>
        </w:rPr>
        <w:t xml:space="preserve">Note: Data for 2025 </w:t>
      </w:r>
      <w:r w:rsidR="00761E65" w:rsidRPr="00761E65">
        <w:rPr>
          <w:sz w:val="20"/>
          <w:szCs w:val="20"/>
        </w:rPr>
        <w:t xml:space="preserve">represents six months of data to 30 June 2025. </w:t>
      </w:r>
    </w:p>
    <w:p w14:paraId="4FD5F499" w14:textId="77777777" w:rsidR="00730901" w:rsidRPr="00761E65" w:rsidRDefault="00730901" w:rsidP="00DE35FA">
      <w:pPr>
        <w:rPr>
          <w:sz w:val="20"/>
          <w:szCs w:val="20"/>
        </w:rPr>
      </w:pPr>
    </w:p>
    <w:p w14:paraId="09C1369F" w14:textId="17D898DB" w:rsidR="00316ED0" w:rsidRDefault="00854619" w:rsidP="004D7793">
      <w:pPr>
        <w:jc w:val="center"/>
      </w:pPr>
      <w:r>
        <w:rPr>
          <w:noProof/>
        </w:rPr>
        <w:drawing>
          <wp:inline distT="0" distB="0" distL="0" distR="0" wp14:anchorId="5FFAD4F5" wp14:editId="129B8D42">
            <wp:extent cx="5316279" cy="3668233"/>
            <wp:effectExtent l="0" t="0" r="17780" b="8890"/>
            <wp:docPr id="1772207984" name="Chart 1">
              <a:extLst xmlns:a="http://schemas.openxmlformats.org/drawingml/2006/main">
                <a:ext uri="{FF2B5EF4-FFF2-40B4-BE49-F238E27FC236}">
                  <a16:creationId xmlns:a16="http://schemas.microsoft.com/office/drawing/2014/main" id="{A6A2763C-2753-CE9A-D1C1-DDAFB45103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11DF0C" w14:textId="525D134B" w:rsidR="00661BB3" w:rsidRPr="001420B3" w:rsidDel="00EE2BBB" w:rsidRDefault="00661BB3" w:rsidP="00661BB3">
      <w:pPr>
        <w:pStyle w:val="Tabletitle"/>
      </w:pPr>
      <w:r>
        <w:t xml:space="preserve">Figure 1: Initiating and prevalent patients treated </w:t>
      </w:r>
      <w:r w:rsidR="00174C27">
        <w:t xml:space="preserve">with daratumumab for AL amyloidosis </w:t>
      </w:r>
      <w:r>
        <w:t>by supply quarter</w:t>
      </w:r>
      <w:r w:rsidDel="00EE2BBB">
        <w:t xml:space="preserve"> </w:t>
      </w:r>
    </w:p>
    <w:p w14:paraId="3A16E2E9" w14:textId="77777777" w:rsidR="00661BB3" w:rsidRDefault="00661BB3" w:rsidP="00A35800"/>
    <w:p w14:paraId="2F57E442" w14:textId="77DD1431" w:rsidR="00661BB3" w:rsidRDefault="004D7793" w:rsidP="006853A0">
      <w:pPr>
        <w:jc w:val="center"/>
      </w:pPr>
      <w:r>
        <w:rPr>
          <w:noProof/>
        </w:rPr>
        <w:lastRenderedPageBreak/>
        <w:drawing>
          <wp:inline distT="0" distB="0" distL="0" distR="0" wp14:anchorId="775CA464" wp14:editId="7A12258C">
            <wp:extent cx="5317200" cy="3668400"/>
            <wp:effectExtent l="0" t="0" r="17145" b="8255"/>
            <wp:docPr id="52971759" name="Chart 1">
              <a:extLst xmlns:a="http://schemas.openxmlformats.org/drawingml/2006/main">
                <a:ext uri="{FF2B5EF4-FFF2-40B4-BE49-F238E27FC236}">
                  <a16:creationId xmlns:a16="http://schemas.microsoft.com/office/drawing/2014/main" id="{38C50369-97FE-2C53-94DD-F88BCA38D6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5AB9C0" w14:textId="3789AAA5" w:rsidR="00BF3FE0" w:rsidRDefault="006853A0" w:rsidP="007C6238">
      <w:pPr>
        <w:pStyle w:val="Tabletitle"/>
      </w:pPr>
      <w:r>
        <w:t xml:space="preserve">Figure 2: </w:t>
      </w:r>
      <w:r w:rsidR="00C52C7A">
        <w:t>Daratumumab p</w:t>
      </w:r>
      <w:r>
        <w:t>rescriptions</w:t>
      </w:r>
      <w:r w:rsidR="00C52C7A">
        <w:t xml:space="preserve"> for AL amyloidosis</w:t>
      </w:r>
      <w:r>
        <w:t xml:space="preserve"> supplied by quarter </w:t>
      </w:r>
    </w:p>
    <w:p w14:paraId="765345ED" w14:textId="77777777" w:rsidR="001A777D" w:rsidRPr="004B3997" w:rsidRDefault="001A777D" w:rsidP="004B3997"/>
    <w:p w14:paraId="08B15E9B" w14:textId="77777777" w:rsidR="001A777D" w:rsidRDefault="001A777D">
      <w:pPr>
        <w:spacing w:line="276" w:lineRule="auto"/>
        <w:rPr>
          <w:b/>
          <w:i/>
          <w:szCs w:val="28"/>
        </w:rPr>
      </w:pPr>
      <w:r>
        <w:br w:type="page"/>
      </w:r>
    </w:p>
    <w:p w14:paraId="40B0F2F1" w14:textId="73AE81AA" w:rsidR="00D45EB5" w:rsidRDefault="00736041" w:rsidP="00814391">
      <w:pPr>
        <w:pStyle w:val="Heading3"/>
      </w:pPr>
      <w:r w:rsidRPr="005E22C2">
        <w:lastRenderedPageBreak/>
        <w:t>Utilisation by relevant sub-populations/regions</w:t>
      </w:r>
      <w:r w:rsidR="001B5D37" w:rsidRPr="005E22C2">
        <w:t xml:space="preserve"> or patient level analysis</w:t>
      </w:r>
    </w:p>
    <w:p w14:paraId="07F176EF" w14:textId="57FB78E7" w:rsidR="001C492F" w:rsidRDefault="001C492F" w:rsidP="00536162">
      <w:pPr>
        <w:jc w:val="center"/>
      </w:pPr>
      <w:r>
        <w:rPr>
          <w:noProof/>
        </w:rPr>
        <w:drawing>
          <wp:inline distT="0" distB="0" distL="0" distR="0" wp14:anchorId="655A1D51" wp14:editId="6EC0C0CD">
            <wp:extent cx="5317200" cy="3668400"/>
            <wp:effectExtent l="0" t="0" r="17145" b="8255"/>
            <wp:docPr id="940683576" name="Chart 1">
              <a:extLst xmlns:a="http://schemas.openxmlformats.org/drawingml/2006/main">
                <a:ext uri="{FF2B5EF4-FFF2-40B4-BE49-F238E27FC236}">
                  <a16:creationId xmlns:a16="http://schemas.microsoft.com/office/drawing/2014/main" id="{8F17F557-2FBB-52FF-D7A5-D1C5699F2D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4A55B9" w14:textId="09A42FD2" w:rsidR="003144D1" w:rsidRPr="001420B3" w:rsidDel="00EE2BBB" w:rsidRDefault="003144D1" w:rsidP="003144D1">
      <w:pPr>
        <w:pStyle w:val="Tabletitle"/>
      </w:pPr>
      <w:r>
        <w:t xml:space="preserve">Figure </w:t>
      </w:r>
      <w:r w:rsidR="0029656E">
        <w:t>3</w:t>
      </w:r>
      <w:r>
        <w:t xml:space="preserve">: Age and gender distribution of initiating patients </w:t>
      </w:r>
    </w:p>
    <w:p w14:paraId="3C4FC931" w14:textId="22C6C43B" w:rsidR="00D45EB5" w:rsidRPr="00055D8D" w:rsidRDefault="00062773" w:rsidP="00A35800">
      <w:pPr>
        <w:rPr>
          <w:sz w:val="20"/>
          <w:szCs w:val="20"/>
        </w:rPr>
      </w:pPr>
      <w:r w:rsidRPr="00055D8D">
        <w:rPr>
          <w:sz w:val="20"/>
          <w:szCs w:val="20"/>
        </w:rPr>
        <w:t xml:space="preserve">Note: </w:t>
      </w:r>
      <w:r w:rsidR="0082772E">
        <w:rPr>
          <w:sz w:val="20"/>
          <w:szCs w:val="20"/>
        </w:rPr>
        <w:t xml:space="preserve">Patients with an unknown age amounted to less than </w:t>
      </w:r>
      <w:r w:rsidRPr="00055D8D">
        <w:rPr>
          <w:sz w:val="20"/>
          <w:szCs w:val="20"/>
        </w:rPr>
        <w:t>one percent</w:t>
      </w:r>
      <w:r w:rsidR="00055D8D" w:rsidRPr="00055D8D">
        <w:rPr>
          <w:sz w:val="20"/>
          <w:szCs w:val="20"/>
        </w:rPr>
        <w:t xml:space="preserve">. </w:t>
      </w:r>
      <w:r w:rsidR="001C492F">
        <w:rPr>
          <w:sz w:val="20"/>
          <w:szCs w:val="20"/>
        </w:rPr>
        <w:t xml:space="preserve">Patient counts of less than five were </w:t>
      </w:r>
      <w:r w:rsidR="00487BE9">
        <w:rPr>
          <w:sz w:val="20"/>
          <w:szCs w:val="20"/>
        </w:rPr>
        <w:t xml:space="preserve">redefined as five to reduce the risk of patient identification. </w:t>
      </w:r>
    </w:p>
    <w:p w14:paraId="3710715D" w14:textId="356BB713" w:rsidR="0029656E" w:rsidRDefault="0029656E" w:rsidP="00A35800">
      <w:r>
        <w:t xml:space="preserve">Figure 3 shows the age and gender distribution of </w:t>
      </w:r>
      <w:r w:rsidR="00F577FB">
        <w:t>initiating</w:t>
      </w:r>
      <w:r>
        <w:t xml:space="preserve"> daratumumab patients. </w:t>
      </w:r>
      <w:r w:rsidR="00EA69F1">
        <w:t xml:space="preserve">Across </w:t>
      </w:r>
      <w:proofErr w:type="gramStart"/>
      <w:r w:rsidR="0053452F">
        <w:t>the majority of</w:t>
      </w:r>
      <w:proofErr w:type="gramEnd"/>
      <w:r w:rsidR="00EA69F1">
        <w:t xml:space="preserve"> age groups, </w:t>
      </w:r>
      <w:r w:rsidR="000D671F">
        <w:t xml:space="preserve">a greater proportion of </w:t>
      </w:r>
      <w:proofErr w:type="gramStart"/>
      <w:r w:rsidR="000D671F">
        <w:t>males initiated</w:t>
      </w:r>
      <w:proofErr w:type="gramEnd"/>
      <w:r w:rsidR="000D671F">
        <w:t xml:space="preserve"> treatment</w:t>
      </w:r>
      <w:r w:rsidR="00A27D33">
        <w:t xml:space="preserve"> </w:t>
      </w:r>
      <w:r w:rsidR="000D671F">
        <w:t>compared</w:t>
      </w:r>
      <w:r w:rsidR="00A27D33">
        <w:t xml:space="preserve"> to females. The most common age group </w:t>
      </w:r>
      <w:r w:rsidR="0035050F">
        <w:t>that initiated treatment</w:t>
      </w:r>
      <w:r w:rsidR="00A27D33">
        <w:t xml:space="preserve"> was between 70-79 years with a median age of</w:t>
      </w:r>
      <w:r w:rsidR="00EC3D9F">
        <w:t xml:space="preserve"> 70 years</w:t>
      </w:r>
      <w:r w:rsidR="0035050F">
        <w:t xml:space="preserve">. For females the median age of initiation was </w:t>
      </w:r>
      <w:r w:rsidR="00A63FA2">
        <w:t xml:space="preserve">71 years </w:t>
      </w:r>
      <w:r w:rsidR="0035050F">
        <w:t>old whereas</w:t>
      </w:r>
      <w:r w:rsidR="00A63FA2">
        <w:t xml:space="preserve"> </w:t>
      </w:r>
      <w:r w:rsidR="0035050F">
        <w:t xml:space="preserve">for </w:t>
      </w:r>
      <w:r w:rsidR="00A63FA2">
        <w:t xml:space="preserve">males </w:t>
      </w:r>
      <w:r w:rsidR="0035050F">
        <w:t>the median age of initiation was</w:t>
      </w:r>
      <w:r w:rsidR="00A63FA2">
        <w:t xml:space="preserve"> 69 years</w:t>
      </w:r>
      <w:r w:rsidR="0035050F">
        <w:t xml:space="preserve"> old</w:t>
      </w:r>
      <w:r w:rsidR="00A27D33">
        <w:t xml:space="preserve">. </w:t>
      </w:r>
    </w:p>
    <w:p w14:paraId="61A93039" w14:textId="13E701F2" w:rsidR="003144D1" w:rsidRDefault="003144D1" w:rsidP="003144D1">
      <w:pPr>
        <w:jc w:val="center"/>
      </w:pPr>
      <w:r>
        <w:rPr>
          <w:noProof/>
        </w:rPr>
        <w:lastRenderedPageBreak/>
        <w:drawing>
          <wp:inline distT="0" distB="0" distL="0" distR="0" wp14:anchorId="7BAF0BED" wp14:editId="2445446F">
            <wp:extent cx="5317200" cy="3668400"/>
            <wp:effectExtent l="0" t="0" r="17145" b="8255"/>
            <wp:docPr id="1597312815" name="Chart 1">
              <a:extLst xmlns:a="http://schemas.openxmlformats.org/drawingml/2006/main">
                <a:ext uri="{FF2B5EF4-FFF2-40B4-BE49-F238E27FC236}">
                  <a16:creationId xmlns:a16="http://schemas.microsoft.com/office/drawing/2014/main" id="{92B3291F-D29F-4087-BA30-C8F96C5132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B50839" w14:textId="07DA361C" w:rsidR="003144D1" w:rsidRDefault="003144D1" w:rsidP="006076A6">
      <w:pPr>
        <w:pStyle w:val="Tabletitle"/>
      </w:pPr>
      <w:r>
        <w:t xml:space="preserve">Figure </w:t>
      </w:r>
      <w:r w:rsidR="00A27D33">
        <w:t>4</w:t>
      </w:r>
      <w:r>
        <w:t xml:space="preserve">: Prescriptions supplied by prescriber type </w:t>
      </w:r>
    </w:p>
    <w:p w14:paraId="42F13AF9" w14:textId="77777777" w:rsidR="0035050F" w:rsidRDefault="0035050F" w:rsidP="00A35800"/>
    <w:p w14:paraId="3767A765" w14:textId="005B2042" w:rsidR="004937ED" w:rsidRDefault="00A27D33" w:rsidP="00A35800">
      <w:r>
        <w:t xml:space="preserve">Figure 4 shows the </w:t>
      </w:r>
      <w:r w:rsidR="000B303A">
        <w:t xml:space="preserve">proportion of </w:t>
      </w:r>
      <w:r w:rsidR="00773850">
        <w:t>prescriptions</w:t>
      </w:r>
      <w:r w:rsidR="000B303A">
        <w:t xml:space="preserve"> supplied by prescriber type. </w:t>
      </w:r>
      <w:r w:rsidR="00773850">
        <w:t>Haematologists</w:t>
      </w:r>
      <w:r w:rsidR="000B303A">
        <w:t xml:space="preserve"> accounted for </w:t>
      </w:r>
      <w:proofErr w:type="gramStart"/>
      <w:r w:rsidR="000B303A">
        <w:t xml:space="preserve">the </w:t>
      </w:r>
      <w:r w:rsidR="00773850">
        <w:t>majority</w:t>
      </w:r>
      <w:r w:rsidR="000B303A">
        <w:t xml:space="preserve"> of</w:t>
      </w:r>
      <w:proofErr w:type="gramEnd"/>
      <w:r w:rsidR="000B303A">
        <w:t xml:space="preserve"> </w:t>
      </w:r>
      <w:r w:rsidR="00773850">
        <w:t xml:space="preserve">prescribing and accounted </w:t>
      </w:r>
      <w:r w:rsidR="000B303A">
        <w:t xml:space="preserve">for 53% of prescriptions supplied. </w:t>
      </w:r>
    </w:p>
    <w:p w14:paraId="3356E4E9" w14:textId="77777777" w:rsidR="004937ED" w:rsidRDefault="004937ED" w:rsidP="00A35800"/>
    <w:p w14:paraId="244C9CA7" w14:textId="77777777" w:rsidR="004937ED" w:rsidRDefault="004937ED" w:rsidP="00A35800"/>
    <w:p w14:paraId="0783F3D3" w14:textId="1E0D5E45" w:rsidR="003144D1" w:rsidRPr="005E22C2" w:rsidRDefault="006B105E" w:rsidP="00655DA2">
      <w:pPr>
        <w:jc w:val="center"/>
      </w:pPr>
      <w:r>
        <w:rPr>
          <w:noProof/>
        </w:rPr>
        <w:lastRenderedPageBreak/>
        <w:drawing>
          <wp:inline distT="0" distB="0" distL="0" distR="0" wp14:anchorId="01E64108" wp14:editId="751671DF">
            <wp:extent cx="5317200" cy="3668400"/>
            <wp:effectExtent l="0" t="0" r="17145" b="8255"/>
            <wp:docPr id="1547830361" name="Chart 1">
              <a:extLst xmlns:a="http://schemas.openxmlformats.org/drawingml/2006/main">
                <a:ext uri="{FF2B5EF4-FFF2-40B4-BE49-F238E27FC236}">
                  <a16:creationId xmlns:a16="http://schemas.microsoft.com/office/drawing/2014/main" id="{66E100DD-B8F7-BB23-6688-35668149D0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E7660D" w14:textId="1F247A63" w:rsidR="006A214D" w:rsidRDefault="00655DA2" w:rsidP="00655DA2">
      <w:pPr>
        <w:pStyle w:val="Tabletitle"/>
      </w:pPr>
      <w:r>
        <w:t xml:space="preserve">Figure </w:t>
      </w:r>
      <w:r w:rsidR="000C00D2">
        <w:t>5</w:t>
      </w:r>
      <w:r>
        <w:t xml:space="preserve">: Time to re-supply prescriptions  </w:t>
      </w:r>
    </w:p>
    <w:p w14:paraId="76F5B87F" w14:textId="77777777" w:rsidR="006A214D" w:rsidRPr="006A214D" w:rsidDel="00EE2BBB" w:rsidRDefault="006A214D" w:rsidP="006A214D"/>
    <w:p w14:paraId="60953A33" w14:textId="25C709C2" w:rsidR="00655DA2" w:rsidRDefault="00F61EF4" w:rsidP="00655DA2">
      <w:r>
        <w:t>Figure 5 shows the time to re supply</w:t>
      </w:r>
      <w:r w:rsidR="00DD412C">
        <w:t xml:space="preserve"> prescriptions, </w:t>
      </w:r>
      <w:r w:rsidR="00751894">
        <w:t xml:space="preserve">with three peaks </w:t>
      </w:r>
      <w:r w:rsidR="00E62310">
        <w:t>at</w:t>
      </w:r>
      <w:r w:rsidR="00751894">
        <w:t xml:space="preserve"> 7, 14 and 28 days which correspond to the dosing schedule. </w:t>
      </w:r>
    </w:p>
    <w:p w14:paraId="6CB9DE6E" w14:textId="77777777" w:rsidR="006A214D" w:rsidRDefault="006A214D" w:rsidP="00655DA2"/>
    <w:p w14:paraId="3B42674B" w14:textId="30775BC8" w:rsidR="007E7BB7" w:rsidRDefault="00DA6D85" w:rsidP="006C2F2B">
      <w:pPr>
        <w:jc w:val="center"/>
      </w:pPr>
      <w:r>
        <w:rPr>
          <w:noProof/>
        </w:rPr>
        <w:lastRenderedPageBreak/>
        <w:drawing>
          <wp:inline distT="0" distB="0" distL="0" distR="0" wp14:anchorId="6E08DECC" wp14:editId="06B5212C">
            <wp:extent cx="5016313" cy="3762375"/>
            <wp:effectExtent l="0" t="0" r="0" b="0"/>
            <wp:docPr id="17771819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81988"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5023780" cy="3767975"/>
                    </a:xfrm>
                    <a:prstGeom prst="rect">
                      <a:avLst/>
                    </a:prstGeom>
                  </pic:spPr>
                </pic:pic>
              </a:graphicData>
            </a:graphic>
          </wp:inline>
        </w:drawing>
      </w:r>
    </w:p>
    <w:p w14:paraId="1426E06A" w14:textId="64B6DC37" w:rsidR="007E7BB7" w:rsidRPr="001420B3" w:rsidDel="00EE2BBB" w:rsidRDefault="007E7BB7" w:rsidP="007E7BB7">
      <w:pPr>
        <w:pStyle w:val="Tabletitle"/>
      </w:pPr>
      <w:r>
        <w:t xml:space="preserve">Figure 6: </w:t>
      </w:r>
      <w:r w:rsidR="00635D47" w:rsidRPr="00635D47">
        <w:t xml:space="preserve">Treatment duration </w:t>
      </w:r>
      <w:r w:rsidR="00635D47">
        <w:t>of patients who initiated</w:t>
      </w:r>
      <w:r w:rsidR="00FE2847">
        <w:t xml:space="preserve"> daratumumab </w:t>
      </w:r>
      <w:r w:rsidR="00926088">
        <w:t xml:space="preserve">between 1 July 2023 and </w:t>
      </w:r>
      <w:r w:rsidR="00D83033">
        <w:t>31 December 2023</w:t>
      </w:r>
    </w:p>
    <w:p w14:paraId="68E78003" w14:textId="77777777" w:rsidR="007E7BB7" w:rsidRPr="00655DA2" w:rsidRDefault="007E7BB7" w:rsidP="00655DA2"/>
    <w:p w14:paraId="06810B5E" w14:textId="4631D085" w:rsidR="007829C5" w:rsidRDefault="001D539B" w:rsidP="00F25242">
      <w:r>
        <w:t>The median treatment duration was not reached in p</w:t>
      </w:r>
      <w:r w:rsidR="00B57288">
        <w:t xml:space="preserve">atients who initiated treatment between 1 July 2023 and </w:t>
      </w:r>
      <w:r w:rsidR="005F5A4F">
        <w:t>31 December 2023</w:t>
      </w:r>
      <w:r w:rsidR="00342F44">
        <w:t xml:space="preserve"> and followed to the analysis end date (18 February 2025)</w:t>
      </w:r>
      <w:r>
        <w:t>. Based on the date of death data up to 18 February 2025,</w:t>
      </w:r>
      <w:r w:rsidR="00F63A43">
        <w:t xml:space="preserve"> 20% of these patients </w:t>
      </w:r>
      <w:r w:rsidR="00F900D3">
        <w:t xml:space="preserve">discontinued treatment due to death. </w:t>
      </w:r>
      <w:r w:rsidR="009D5B8E">
        <w:t xml:space="preserve">Approximately 60% of patients were censored and considered to be continuing treatment at analysis end date. </w:t>
      </w:r>
    </w:p>
    <w:p w14:paraId="3BA2AE97" w14:textId="77777777" w:rsidR="009202D5" w:rsidRDefault="009202D5">
      <w:pPr>
        <w:spacing w:line="276" w:lineRule="auto"/>
        <w:rPr>
          <w:b/>
          <w:sz w:val="28"/>
        </w:rPr>
      </w:pPr>
      <w:r>
        <w:br w:type="page"/>
      </w:r>
    </w:p>
    <w:p w14:paraId="4F8723A6" w14:textId="0F61F28C" w:rsidR="00736041" w:rsidRPr="005E22C2" w:rsidRDefault="001B5D37" w:rsidP="00F73113">
      <w:pPr>
        <w:pStyle w:val="Heading2"/>
      </w:pPr>
      <w:r w:rsidRPr="005E22C2">
        <w:lastRenderedPageBreak/>
        <w:t xml:space="preserve">Analysis </w:t>
      </w:r>
      <w:r w:rsidR="00481108" w:rsidRPr="005E22C2">
        <w:t xml:space="preserve">of </w:t>
      </w:r>
      <w:r w:rsidR="0063631C">
        <w:t>e</w:t>
      </w:r>
      <w:r w:rsidR="00736041" w:rsidRPr="005E22C2">
        <w:t>xpenditure</w:t>
      </w:r>
    </w:p>
    <w:p w14:paraId="0DCE8272" w14:textId="75AD008B" w:rsidR="00CF30EE" w:rsidRDefault="00CF30EE" w:rsidP="00655DA2">
      <w:pPr>
        <w:jc w:val="center"/>
      </w:pPr>
      <w:r>
        <w:rPr>
          <w:noProof/>
        </w:rPr>
        <w:drawing>
          <wp:inline distT="0" distB="0" distL="0" distR="0" wp14:anchorId="08FAD933" wp14:editId="308F99A5">
            <wp:extent cx="5317200" cy="3668400"/>
            <wp:effectExtent l="0" t="0" r="17145" b="8255"/>
            <wp:docPr id="819611683" name="Chart 1">
              <a:extLst xmlns:a="http://schemas.openxmlformats.org/drawingml/2006/main">
                <a:ext uri="{FF2B5EF4-FFF2-40B4-BE49-F238E27FC236}">
                  <a16:creationId xmlns:a16="http://schemas.microsoft.com/office/drawing/2014/main" id="{DFA34C6D-F90F-0577-D327-6F3B32B69D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74B38E" w14:textId="2B9291BA" w:rsidR="00655DA2" w:rsidRPr="001420B3" w:rsidDel="00EE2BBB" w:rsidRDefault="00655DA2" w:rsidP="00655DA2">
      <w:pPr>
        <w:pStyle w:val="Tabletitle"/>
      </w:pPr>
      <w:r>
        <w:t xml:space="preserve">Figure </w:t>
      </w:r>
      <w:r w:rsidR="007E7BB7">
        <w:t>7</w:t>
      </w:r>
      <w:r>
        <w:t xml:space="preserve">: Expenditure based on published prices excluding patient co-payments  </w:t>
      </w:r>
    </w:p>
    <w:p w14:paraId="0E96308B" w14:textId="77777777" w:rsidR="006A214D" w:rsidRDefault="006A214D" w:rsidP="00A35800"/>
    <w:p w14:paraId="054F3AC8" w14:textId="319725E9" w:rsidR="00213F0A" w:rsidRDefault="00213F0A" w:rsidP="00A35800">
      <w:proofErr w:type="gramStart"/>
      <w:r>
        <w:t>Similar to</w:t>
      </w:r>
      <w:proofErr w:type="gramEnd"/>
      <w:r>
        <w:t xml:space="preserve"> trends observed in the number of prescriptions supplied (Figure 2), expenditure based on published prices has increased over time. </w:t>
      </w:r>
    </w:p>
    <w:p w14:paraId="060CD9D3" w14:textId="77777777" w:rsidR="00E0445B" w:rsidRDefault="00E0445B" w:rsidP="00E0445B">
      <w:pPr>
        <w:pStyle w:val="Heading2"/>
      </w:pPr>
      <w:r>
        <w:t>Approach taken to estimate utilisation</w:t>
      </w:r>
    </w:p>
    <w:p w14:paraId="49ADF485" w14:textId="033ABFB6" w:rsidR="008A02E1" w:rsidRDefault="000B70F0" w:rsidP="00E0445B">
      <w:r>
        <w:t>DUSC</w:t>
      </w:r>
      <w:r w:rsidR="00143AB5">
        <w:t xml:space="preserve"> (October 2021)</w:t>
      </w:r>
      <w:r>
        <w:t xml:space="preserve"> considered the November 2021 submission</w:t>
      </w:r>
      <w:r w:rsidR="00C03843">
        <w:t xml:space="preserve">. </w:t>
      </w:r>
      <w:r w:rsidR="00EF76D7" w:rsidRPr="00EF76D7">
        <w:t xml:space="preserve">The submission used an epidemiological approach to estimate </w:t>
      </w:r>
      <w:r w:rsidR="007F20D2">
        <w:t xml:space="preserve">utilisation and </w:t>
      </w:r>
      <w:r w:rsidR="00EF76D7" w:rsidRPr="00EF76D7">
        <w:t>financial implications associated with the proposed listing of daratumumab SC in combination with CyBorD.</w:t>
      </w:r>
    </w:p>
    <w:p w14:paraId="442F8695" w14:textId="7622B1DB" w:rsidR="00651681" w:rsidRDefault="009A45CB" w:rsidP="00E0445B">
      <w:r>
        <w:t xml:space="preserve">The </w:t>
      </w:r>
      <w:r w:rsidR="00BE7B25">
        <w:t xml:space="preserve">utilisation estimates were based on the following: </w:t>
      </w:r>
      <w:r>
        <w:t xml:space="preserve"> </w:t>
      </w:r>
    </w:p>
    <w:p w14:paraId="33D9636C" w14:textId="06A41E1B" w:rsidR="009A45CB" w:rsidRDefault="009A45CB" w:rsidP="009A45CB">
      <w:pPr>
        <w:pStyle w:val="ListParagraph"/>
        <w:numPr>
          <w:ilvl w:val="0"/>
          <w:numId w:val="21"/>
        </w:numPr>
      </w:pPr>
      <w:r>
        <w:t xml:space="preserve">Incidence and prevalence </w:t>
      </w:r>
      <w:r w:rsidRPr="00776775">
        <w:t xml:space="preserve">of systemic AL amyloidosis </w:t>
      </w:r>
      <w:r w:rsidR="00233858">
        <w:t xml:space="preserve">based on </w:t>
      </w:r>
      <w:r w:rsidRPr="00776775">
        <w:t>Wisniowski et al. 2019</w:t>
      </w:r>
      <w:r w:rsidR="00C11ED9">
        <w:t xml:space="preserve"> </w:t>
      </w:r>
      <w:r w:rsidRPr="00776775">
        <w:t>which estimated the incidence and mortality burden of amyloidosis among Queensland</w:t>
      </w:r>
      <w:r w:rsidR="00711E68">
        <w:t xml:space="preserve"> residents</w:t>
      </w:r>
      <w:r w:rsidRPr="00776775">
        <w:t xml:space="preserve"> aged ≥20 years </w:t>
      </w:r>
      <w:r w:rsidR="00837D14">
        <w:t xml:space="preserve">between </w:t>
      </w:r>
      <w:r w:rsidRPr="00776775">
        <w:t>1999–2013 based on case ascertainment from histopathology reports.</w:t>
      </w:r>
    </w:p>
    <w:p w14:paraId="308D8FF5" w14:textId="495BD014" w:rsidR="009A45CB" w:rsidRDefault="006D64EA" w:rsidP="009A45CB">
      <w:pPr>
        <w:pStyle w:val="ListParagraph"/>
        <w:numPr>
          <w:ilvl w:val="0"/>
          <w:numId w:val="21"/>
        </w:numPr>
      </w:pPr>
      <w:r>
        <w:t>The submission assumed t</w:t>
      </w:r>
      <w:r w:rsidR="009A45CB" w:rsidRPr="00776775">
        <w:t xml:space="preserve">he diagnosis rate </w:t>
      </w:r>
      <w:r w:rsidR="005A22F3">
        <w:t>would</w:t>
      </w:r>
      <w:r w:rsidR="009A45CB" w:rsidRPr="00776775">
        <w:t xml:space="preserve"> increase following PBS listing </w:t>
      </w:r>
      <w:r w:rsidR="00E85F23">
        <w:t>as it is the</w:t>
      </w:r>
      <w:r w:rsidR="009A45CB" w:rsidRPr="00776775">
        <w:t xml:space="preserve"> first therapy specifically listed on the PBS for the disease</w:t>
      </w:r>
      <w:r w:rsidR="00E85F23">
        <w:t xml:space="preserve"> and </w:t>
      </w:r>
      <w:r w:rsidR="009A45CB" w:rsidRPr="00776775">
        <w:t>applied a total of 15% increase in the incidence rate over the first two years of listing.</w:t>
      </w:r>
      <w:r w:rsidR="009A45CB" w:rsidRPr="009A45CB">
        <w:t xml:space="preserve"> </w:t>
      </w:r>
      <w:r w:rsidR="009A45CB" w:rsidRPr="00776775">
        <w:t>The assumed increase was based on the advice of expert clinicians experienced in treating systemic AL amyloidosis in Australia</w:t>
      </w:r>
      <w:r>
        <w:t xml:space="preserve">. </w:t>
      </w:r>
    </w:p>
    <w:p w14:paraId="287BE4F5" w14:textId="26E0FD54" w:rsidR="009A45CB" w:rsidRDefault="009A45CB" w:rsidP="009A45CB">
      <w:pPr>
        <w:pStyle w:val="ListParagraph"/>
        <w:numPr>
          <w:ilvl w:val="0"/>
          <w:numId w:val="21"/>
        </w:numPr>
      </w:pPr>
      <w:r w:rsidRPr="00776775">
        <w:lastRenderedPageBreak/>
        <w:t xml:space="preserve">Based on the </w:t>
      </w:r>
      <w:r w:rsidR="000852C2">
        <w:t>Australian Amyloidosis Network</w:t>
      </w:r>
      <w:r w:rsidRPr="00776775">
        <w:t xml:space="preserve"> registry data, 75% of the newly diagnosed systemic AL amyloidosis patients would be eligible for daratumumab under the proposed PBS restriction</w:t>
      </w:r>
      <w:r w:rsidR="00F17AF3">
        <w:t xml:space="preserve"> (</w:t>
      </w:r>
      <w:r w:rsidR="002F0703" w:rsidRPr="002F0703">
        <w:t xml:space="preserve">Eastern Cooperative Oncology Group </w:t>
      </w:r>
      <w:r w:rsidR="002F0703">
        <w:t>[</w:t>
      </w:r>
      <w:r w:rsidRPr="00776775">
        <w:t>ECOG</w:t>
      </w:r>
      <w:r w:rsidR="002F0703">
        <w:t>]</w:t>
      </w:r>
      <w:r w:rsidRPr="00776775">
        <w:t xml:space="preserve"> Performance Status of 0-2 and without Mayo Stage </w:t>
      </w:r>
      <w:r w:rsidR="005A22F3">
        <w:t>III</w:t>
      </w:r>
      <w:r w:rsidRPr="00776775">
        <w:t>B cardiac disease</w:t>
      </w:r>
      <w:r w:rsidR="00F17AF3">
        <w:t>)</w:t>
      </w:r>
      <w:r w:rsidR="006D64EA">
        <w:t xml:space="preserve">. </w:t>
      </w:r>
    </w:p>
    <w:p w14:paraId="2D634480" w14:textId="1CE3BB31" w:rsidR="008B1A95" w:rsidRDefault="007A6633" w:rsidP="009A45CB">
      <w:pPr>
        <w:pStyle w:val="ListParagraph"/>
        <w:numPr>
          <w:ilvl w:val="0"/>
          <w:numId w:val="21"/>
        </w:numPr>
      </w:pPr>
      <w:r>
        <w:t>B</w:t>
      </w:r>
      <w:r w:rsidR="009A45CB" w:rsidRPr="00776775">
        <w:t>ased on a market research survey completed by 20 Australian haematologists, it was estimated that 8% of the prevalent patients would remain untreated and thus eligible for daratumumab</w:t>
      </w:r>
      <w:r w:rsidR="002F0703">
        <w:t xml:space="preserve">. </w:t>
      </w:r>
    </w:p>
    <w:p w14:paraId="48DBF435" w14:textId="06535654" w:rsidR="009A45CB" w:rsidRDefault="008B1A95" w:rsidP="009A45CB">
      <w:pPr>
        <w:pStyle w:val="ListParagraph"/>
        <w:numPr>
          <w:ilvl w:val="0"/>
          <w:numId w:val="21"/>
        </w:numPr>
      </w:pPr>
      <w:r>
        <w:t>A treatment uptake rate</w:t>
      </w:r>
      <w:r w:rsidR="009A45CB" w:rsidRPr="00776775">
        <w:t xml:space="preserve"> of 95% was applied to the estimated eligible incident and prevalent patients.</w:t>
      </w:r>
    </w:p>
    <w:p w14:paraId="2E42015B" w14:textId="1AD18C8D" w:rsidR="009A45CB" w:rsidRDefault="007A6633" w:rsidP="009A45CB">
      <w:pPr>
        <w:pStyle w:val="ListParagraph"/>
        <w:numPr>
          <w:ilvl w:val="0"/>
          <w:numId w:val="21"/>
        </w:numPr>
      </w:pPr>
      <w:r>
        <w:t>T</w:t>
      </w:r>
      <w:r w:rsidR="009A45CB" w:rsidRPr="00776775">
        <w:t xml:space="preserve">he treatment </w:t>
      </w:r>
      <w:r>
        <w:t>duration</w:t>
      </w:r>
      <w:r w:rsidR="009A45CB" w:rsidRPr="00776775">
        <w:t xml:space="preserve"> was modelled based on the ANDROMEDA</w:t>
      </w:r>
      <w:r w:rsidR="0053744E">
        <w:t xml:space="preserve"> trial</w:t>
      </w:r>
      <w:r w:rsidR="009A45CB" w:rsidRPr="00776775">
        <w:t xml:space="preserve"> time to treatment discontinuation data, consistent with the economic evaluation</w:t>
      </w:r>
      <w:r>
        <w:t xml:space="preserve">. </w:t>
      </w:r>
    </w:p>
    <w:p w14:paraId="330B43A9" w14:textId="7EC20884" w:rsidR="00943FF3" w:rsidRDefault="00943FF3" w:rsidP="00943FF3">
      <w:r w:rsidRPr="00FC199D">
        <w:t>DUSC considered the estimates presented in the submission were reasonable</w:t>
      </w:r>
      <w:r w:rsidR="00CE207B">
        <w:t xml:space="preserve">. However, </w:t>
      </w:r>
      <w:r w:rsidRPr="00FC199D">
        <w:t xml:space="preserve">they identified the following areas of uncertainty: </w:t>
      </w:r>
    </w:p>
    <w:p w14:paraId="522F6B82" w14:textId="10CFDA4A" w:rsidR="00943FF3" w:rsidRDefault="00943FF3" w:rsidP="00943FF3">
      <w:pPr>
        <w:pStyle w:val="ListParagraph"/>
        <w:numPr>
          <w:ilvl w:val="0"/>
          <w:numId w:val="13"/>
        </w:numPr>
      </w:pPr>
      <w:r w:rsidRPr="001B11A7">
        <w:t xml:space="preserve">The application of a 15% increased diagnosis rate, which resulted in an increased incidence rate of 7.2% over the two years, was uncertain. It was probable that the consequence of listing would be earlier diagnosis (rather than increasing incidence) for some patients and therefore, the magnitude of any market growth remained uncertain. The pre-PBAC response clarified that the 15% relative increase (phased over the first 2 years) in incident patients was intended to reflect the patients being diagnosed more rapidly following the PBS listing of daratumumab SC due to greater awareness and an effective treatment being PBS listed. The incidence of the disease and the patient presentation to doctors were assumed to remain unchanged. </w:t>
      </w:r>
    </w:p>
    <w:p w14:paraId="003C2E27" w14:textId="0A972E11" w:rsidR="00943FF3" w:rsidRDefault="00943FF3" w:rsidP="00943FF3">
      <w:pPr>
        <w:pStyle w:val="ListParagraph"/>
        <w:numPr>
          <w:ilvl w:val="0"/>
          <w:numId w:val="13"/>
        </w:numPr>
      </w:pPr>
      <w:r>
        <w:t>T</w:t>
      </w:r>
      <w:r w:rsidRPr="00FC199D">
        <w:t xml:space="preserve">he financial estimates were consistent with the proposed PBS restriction in that previously diagnosed untreated prevalent patients were included. However, the proportion of prevalent patients deemed untreated and therefore eligible for daratumumab SC + CyBorD was uncertain. The sponsor acknowledged that the AL amyloidosis prevalent population in the financial estimates was lower than the prevalence </w:t>
      </w:r>
      <w:proofErr w:type="gramStart"/>
      <w:r w:rsidRPr="00FC199D">
        <w:t>estimate</w:t>
      </w:r>
      <w:proofErr w:type="gramEnd"/>
      <w:r w:rsidRPr="00FC199D">
        <w:t xml:space="preserve"> in the U</w:t>
      </w:r>
      <w:r w:rsidR="00BD6502">
        <w:t xml:space="preserve">nited </w:t>
      </w:r>
      <w:r w:rsidRPr="00FC199D">
        <w:t>S</w:t>
      </w:r>
      <w:r w:rsidR="00BD6502">
        <w:t xml:space="preserve">tates </w:t>
      </w:r>
      <w:r w:rsidRPr="00FC199D">
        <w:t xml:space="preserve">which was based on hospitalisation claims for any type of </w:t>
      </w:r>
      <w:proofErr w:type="gramStart"/>
      <w:r w:rsidRPr="00FC199D">
        <w:t>amyloidosis, and</w:t>
      </w:r>
      <w:proofErr w:type="gramEnd"/>
      <w:r w:rsidRPr="00FC199D">
        <w:t xml:space="preserve"> included a larger proportion of patients aged ≥65 years compared with the population.</w:t>
      </w:r>
      <w:r w:rsidR="00BD6502" w:rsidRPr="00BD6502">
        <w:rPr>
          <w:rStyle w:val="FootnoteReference"/>
        </w:rPr>
        <w:t xml:space="preserve"> </w:t>
      </w:r>
      <w:r w:rsidR="00BD6502">
        <w:rPr>
          <w:rStyle w:val="FootnoteReference"/>
        </w:rPr>
        <w:footnoteReference w:id="4"/>
      </w:r>
      <w:r w:rsidR="00BD6502" w:rsidRPr="00FC199D">
        <w:t xml:space="preserve"> </w:t>
      </w:r>
    </w:p>
    <w:p w14:paraId="51D2AAA1" w14:textId="77777777" w:rsidR="00A817B3" w:rsidRDefault="00943FF3" w:rsidP="00E0445B">
      <w:pPr>
        <w:pStyle w:val="ListParagraph"/>
        <w:numPr>
          <w:ilvl w:val="0"/>
          <w:numId w:val="13"/>
        </w:numPr>
      </w:pPr>
      <w:r w:rsidRPr="00FC199D">
        <w:t xml:space="preserve">The submission did not adjust the estimates to account for patients with a concurrent diagnosis of MM (up to 15% of MM patients will develop symptomatic AL amyloidosis) that already have access to daratumumab via the PBS. </w:t>
      </w:r>
    </w:p>
    <w:p w14:paraId="7706F056" w14:textId="01C0DCF0" w:rsidR="00776775" w:rsidRDefault="00476BCA" w:rsidP="00776775">
      <w:r>
        <w:t xml:space="preserve">DUSC did not consider the May 2022 </w:t>
      </w:r>
      <w:r w:rsidR="00FC326D">
        <w:t xml:space="preserve">resubmission. The resubmission applied the following changes to its utilisation estimates: </w:t>
      </w:r>
    </w:p>
    <w:p w14:paraId="2B375D38" w14:textId="556131FC" w:rsidR="00FA21F4" w:rsidRDefault="00FC326D" w:rsidP="00FA21F4">
      <w:pPr>
        <w:pStyle w:val="ListParagraph"/>
        <w:numPr>
          <w:ilvl w:val="0"/>
          <w:numId w:val="31"/>
        </w:numPr>
      </w:pPr>
      <w:r>
        <w:t xml:space="preserve">Inclusion of Mayo Stage </w:t>
      </w:r>
      <w:r w:rsidR="008C4351">
        <w:t>III</w:t>
      </w:r>
      <w:r>
        <w:t>B cardiac disease patients</w:t>
      </w:r>
      <w:r w:rsidR="006A61CC">
        <w:t>.</w:t>
      </w:r>
    </w:p>
    <w:p w14:paraId="0C76352C" w14:textId="455AE176" w:rsidR="00FA21F4" w:rsidRDefault="006A61CC" w:rsidP="00FA21F4">
      <w:pPr>
        <w:pStyle w:val="ListParagraph"/>
        <w:numPr>
          <w:ilvl w:val="0"/>
          <w:numId w:val="31"/>
        </w:numPr>
      </w:pPr>
      <w:r>
        <w:t xml:space="preserve">Accounting for patients </w:t>
      </w:r>
      <w:r w:rsidR="00221A83">
        <w:t xml:space="preserve">with a concurrent diagnosis of MM. </w:t>
      </w:r>
    </w:p>
    <w:p w14:paraId="1A65D18E" w14:textId="28109A32" w:rsidR="00E0445B" w:rsidRPr="00E0445B" w:rsidRDefault="00D151EB" w:rsidP="00583C5A">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70A968FE" w14:textId="5404E8F0" w:rsidR="00E3652A" w:rsidRPr="00826669" w:rsidRDefault="003C21F0" w:rsidP="00826669">
      <w:pPr>
        <w:pStyle w:val="Tabletitle"/>
      </w:pPr>
      <w:r w:rsidRPr="001420B3" w:rsidDel="00EE2BBB">
        <w:t xml:space="preserve">Table </w:t>
      </w:r>
      <w:r w:rsidR="00EA3535">
        <w:t>4</w:t>
      </w:r>
      <w:r w:rsidRPr="001420B3" w:rsidDel="00EE2BBB">
        <w:t xml:space="preserve">: </w:t>
      </w:r>
      <w:r w:rsidR="00221A83">
        <w:t xml:space="preserve">Actual versus predicted analysis </w:t>
      </w:r>
      <w:r w:rsidR="001516EB">
        <w:t xml:space="preserve">of daratumumab </w:t>
      </w:r>
      <w:r w:rsidR="009416E4">
        <w:t>for AL amyloidosis</w:t>
      </w:r>
    </w:p>
    <w:tbl>
      <w:tblPr>
        <w:tblStyle w:val="TableGrid"/>
        <w:tblW w:w="0" w:type="auto"/>
        <w:tblLook w:val="04A0" w:firstRow="1" w:lastRow="0" w:firstColumn="1" w:lastColumn="0" w:noHBand="0" w:noVBand="1"/>
      </w:tblPr>
      <w:tblGrid>
        <w:gridCol w:w="2351"/>
        <w:gridCol w:w="2396"/>
        <w:gridCol w:w="2100"/>
        <w:gridCol w:w="2100"/>
      </w:tblGrid>
      <w:tr w:rsidR="00ED5146" w:rsidRPr="00424FC1" w14:paraId="60CC09C3" w14:textId="77777777" w:rsidTr="00ED5146">
        <w:tc>
          <w:tcPr>
            <w:tcW w:w="2351" w:type="dxa"/>
            <w:shd w:val="clear" w:color="auto" w:fill="BFBFBF" w:themeFill="background1" w:themeFillShade="BF"/>
          </w:tcPr>
          <w:p w14:paraId="4F414E43" w14:textId="77777777" w:rsidR="00ED5146" w:rsidRPr="00ED5146" w:rsidRDefault="00ED5146" w:rsidP="00424FC1">
            <w:pPr>
              <w:spacing w:before="60" w:after="60"/>
              <w:rPr>
                <w:b/>
                <w:bCs/>
                <w:sz w:val="20"/>
                <w:szCs w:val="20"/>
              </w:rPr>
            </w:pPr>
          </w:p>
        </w:tc>
        <w:tc>
          <w:tcPr>
            <w:tcW w:w="2396" w:type="dxa"/>
            <w:shd w:val="clear" w:color="auto" w:fill="BFBFBF" w:themeFill="background1" w:themeFillShade="BF"/>
          </w:tcPr>
          <w:p w14:paraId="17643277" w14:textId="77777777" w:rsidR="00ED5146" w:rsidRPr="00ED5146" w:rsidRDefault="00ED5146" w:rsidP="00424FC1">
            <w:pPr>
              <w:spacing w:before="60" w:after="60"/>
              <w:rPr>
                <w:b/>
                <w:bCs/>
                <w:sz w:val="20"/>
                <w:szCs w:val="20"/>
              </w:rPr>
            </w:pPr>
          </w:p>
        </w:tc>
        <w:tc>
          <w:tcPr>
            <w:tcW w:w="2100" w:type="dxa"/>
            <w:shd w:val="clear" w:color="auto" w:fill="BFBFBF" w:themeFill="background1" w:themeFillShade="BF"/>
          </w:tcPr>
          <w:p w14:paraId="79F0B5B3" w14:textId="23B0AD70" w:rsidR="00ED5146" w:rsidRPr="00ED5146" w:rsidRDefault="00ED5146" w:rsidP="003C21F0">
            <w:pPr>
              <w:spacing w:before="60" w:after="60"/>
              <w:jc w:val="center"/>
              <w:rPr>
                <w:b/>
                <w:bCs/>
                <w:sz w:val="20"/>
                <w:szCs w:val="20"/>
              </w:rPr>
            </w:pPr>
            <w:r>
              <w:rPr>
                <w:b/>
                <w:bCs/>
                <w:sz w:val="20"/>
                <w:szCs w:val="20"/>
              </w:rPr>
              <w:t>Year 1</w:t>
            </w:r>
          </w:p>
        </w:tc>
        <w:tc>
          <w:tcPr>
            <w:tcW w:w="2100" w:type="dxa"/>
            <w:shd w:val="clear" w:color="auto" w:fill="BFBFBF" w:themeFill="background1" w:themeFillShade="BF"/>
          </w:tcPr>
          <w:p w14:paraId="22779641" w14:textId="37280147" w:rsidR="00ED5146" w:rsidRPr="00ED5146" w:rsidRDefault="00ED5146" w:rsidP="003C21F0">
            <w:pPr>
              <w:spacing w:before="60" w:after="60"/>
              <w:jc w:val="center"/>
              <w:rPr>
                <w:b/>
                <w:bCs/>
                <w:sz w:val="20"/>
                <w:szCs w:val="20"/>
              </w:rPr>
            </w:pPr>
            <w:r>
              <w:rPr>
                <w:b/>
                <w:bCs/>
                <w:sz w:val="20"/>
                <w:szCs w:val="20"/>
              </w:rPr>
              <w:t>Year 2</w:t>
            </w:r>
          </w:p>
        </w:tc>
      </w:tr>
      <w:tr w:rsidR="00424FC1" w:rsidRPr="00424FC1" w14:paraId="65B5A074" w14:textId="5FBD101E" w:rsidTr="00ED5146">
        <w:tc>
          <w:tcPr>
            <w:tcW w:w="2351" w:type="dxa"/>
            <w:shd w:val="clear" w:color="auto" w:fill="BFBFBF" w:themeFill="background1" w:themeFillShade="BF"/>
          </w:tcPr>
          <w:p w14:paraId="1684969D" w14:textId="77777777" w:rsidR="00424FC1" w:rsidRPr="00ED5146" w:rsidRDefault="00424FC1" w:rsidP="00424FC1">
            <w:pPr>
              <w:spacing w:before="60" w:after="60"/>
              <w:rPr>
                <w:b/>
                <w:bCs/>
                <w:sz w:val="20"/>
                <w:szCs w:val="20"/>
              </w:rPr>
            </w:pPr>
          </w:p>
        </w:tc>
        <w:tc>
          <w:tcPr>
            <w:tcW w:w="2396" w:type="dxa"/>
            <w:shd w:val="clear" w:color="auto" w:fill="BFBFBF" w:themeFill="background1" w:themeFillShade="BF"/>
          </w:tcPr>
          <w:p w14:paraId="7792D594" w14:textId="77777777" w:rsidR="00424FC1" w:rsidRPr="00ED5146" w:rsidRDefault="00424FC1" w:rsidP="00424FC1">
            <w:pPr>
              <w:spacing w:before="60" w:after="60"/>
              <w:rPr>
                <w:b/>
                <w:bCs/>
                <w:sz w:val="20"/>
                <w:szCs w:val="20"/>
              </w:rPr>
            </w:pPr>
          </w:p>
        </w:tc>
        <w:tc>
          <w:tcPr>
            <w:tcW w:w="2100" w:type="dxa"/>
            <w:shd w:val="clear" w:color="auto" w:fill="BFBFBF" w:themeFill="background1" w:themeFillShade="BF"/>
          </w:tcPr>
          <w:p w14:paraId="2E6534FB" w14:textId="77777777" w:rsidR="003C21F0" w:rsidRDefault="00ED5146" w:rsidP="003C21F0">
            <w:pPr>
              <w:spacing w:before="60" w:after="60"/>
              <w:jc w:val="center"/>
              <w:rPr>
                <w:b/>
                <w:bCs/>
                <w:sz w:val="20"/>
                <w:szCs w:val="20"/>
              </w:rPr>
            </w:pPr>
            <w:r w:rsidRPr="00ED5146">
              <w:rPr>
                <w:b/>
                <w:bCs/>
                <w:sz w:val="20"/>
                <w:szCs w:val="20"/>
              </w:rPr>
              <w:t xml:space="preserve">1 January 2023 – </w:t>
            </w:r>
          </w:p>
          <w:p w14:paraId="57189915" w14:textId="5E70F49E" w:rsidR="00424FC1" w:rsidRPr="00ED5146" w:rsidRDefault="00ED5146" w:rsidP="003C21F0">
            <w:pPr>
              <w:spacing w:before="60" w:after="60"/>
              <w:jc w:val="center"/>
              <w:rPr>
                <w:b/>
                <w:bCs/>
                <w:sz w:val="20"/>
                <w:szCs w:val="20"/>
              </w:rPr>
            </w:pPr>
            <w:r w:rsidRPr="00ED5146">
              <w:rPr>
                <w:b/>
                <w:bCs/>
                <w:sz w:val="20"/>
                <w:szCs w:val="20"/>
              </w:rPr>
              <w:t>31 December 2023</w:t>
            </w:r>
          </w:p>
        </w:tc>
        <w:tc>
          <w:tcPr>
            <w:tcW w:w="2100" w:type="dxa"/>
            <w:shd w:val="clear" w:color="auto" w:fill="BFBFBF" w:themeFill="background1" w:themeFillShade="BF"/>
          </w:tcPr>
          <w:p w14:paraId="67744E8D" w14:textId="51226457" w:rsidR="003C21F0" w:rsidRDefault="00ED5146" w:rsidP="003C21F0">
            <w:pPr>
              <w:spacing w:before="60" w:after="60"/>
              <w:jc w:val="center"/>
              <w:rPr>
                <w:b/>
                <w:bCs/>
                <w:sz w:val="20"/>
                <w:szCs w:val="20"/>
              </w:rPr>
            </w:pPr>
            <w:r w:rsidRPr="00ED5146">
              <w:rPr>
                <w:b/>
                <w:bCs/>
                <w:sz w:val="20"/>
                <w:szCs w:val="20"/>
              </w:rPr>
              <w:t xml:space="preserve">1 January 2024 </w:t>
            </w:r>
            <w:r w:rsidR="003C21F0">
              <w:rPr>
                <w:b/>
                <w:bCs/>
                <w:sz w:val="20"/>
                <w:szCs w:val="20"/>
              </w:rPr>
              <w:t>–</w:t>
            </w:r>
            <w:r w:rsidRPr="00ED5146">
              <w:rPr>
                <w:b/>
                <w:bCs/>
                <w:sz w:val="20"/>
                <w:szCs w:val="20"/>
              </w:rPr>
              <w:t xml:space="preserve"> </w:t>
            </w:r>
          </w:p>
          <w:p w14:paraId="73202DD4" w14:textId="7BAE4404" w:rsidR="00424FC1" w:rsidRPr="00ED5146" w:rsidRDefault="00ED5146" w:rsidP="003C21F0">
            <w:pPr>
              <w:spacing w:before="60" w:after="60"/>
              <w:jc w:val="center"/>
              <w:rPr>
                <w:b/>
                <w:bCs/>
                <w:sz w:val="20"/>
                <w:szCs w:val="20"/>
              </w:rPr>
            </w:pPr>
            <w:r w:rsidRPr="00ED5146">
              <w:rPr>
                <w:b/>
                <w:bCs/>
                <w:sz w:val="20"/>
                <w:szCs w:val="20"/>
              </w:rPr>
              <w:t>31 December 2024</w:t>
            </w:r>
          </w:p>
        </w:tc>
      </w:tr>
      <w:tr w:rsidR="004E351E" w:rsidRPr="00424FC1" w14:paraId="67D567B4" w14:textId="05B3BCD3" w:rsidTr="00424FC1">
        <w:tc>
          <w:tcPr>
            <w:tcW w:w="2351" w:type="dxa"/>
            <w:vMerge w:val="restart"/>
          </w:tcPr>
          <w:p w14:paraId="03D97C94" w14:textId="5AA02627" w:rsidR="004E351E" w:rsidRPr="00424FC1" w:rsidRDefault="00B63908" w:rsidP="00424FC1">
            <w:pPr>
              <w:spacing w:before="60" w:after="60"/>
              <w:rPr>
                <w:sz w:val="20"/>
                <w:szCs w:val="20"/>
              </w:rPr>
            </w:pPr>
            <w:r>
              <w:rPr>
                <w:sz w:val="20"/>
                <w:szCs w:val="20"/>
              </w:rPr>
              <w:t xml:space="preserve">Initiating patients </w:t>
            </w:r>
            <w:r w:rsidR="004E351E">
              <w:rPr>
                <w:sz w:val="20"/>
                <w:szCs w:val="20"/>
              </w:rPr>
              <w:t xml:space="preserve"> </w:t>
            </w:r>
          </w:p>
        </w:tc>
        <w:tc>
          <w:tcPr>
            <w:tcW w:w="2396" w:type="dxa"/>
          </w:tcPr>
          <w:p w14:paraId="498CE599" w14:textId="4444EAAC" w:rsidR="004E351E" w:rsidRPr="00424FC1" w:rsidRDefault="004E351E" w:rsidP="00424FC1">
            <w:pPr>
              <w:spacing w:before="60" w:after="60"/>
              <w:rPr>
                <w:sz w:val="20"/>
                <w:szCs w:val="20"/>
              </w:rPr>
            </w:pPr>
            <w:r w:rsidRPr="00424FC1">
              <w:rPr>
                <w:sz w:val="20"/>
                <w:szCs w:val="20"/>
              </w:rPr>
              <w:t xml:space="preserve">Predicted </w:t>
            </w:r>
          </w:p>
        </w:tc>
        <w:tc>
          <w:tcPr>
            <w:tcW w:w="2100" w:type="dxa"/>
          </w:tcPr>
          <w:p w14:paraId="3D510263" w14:textId="5F3169CB" w:rsidR="004E351E" w:rsidRPr="00424FC1" w:rsidRDefault="00F81E61" w:rsidP="003C21F0">
            <w:pPr>
              <w:spacing w:before="60" w:after="60"/>
              <w:jc w:val="center"/>
              <w:rPr>
                <w:sz w:val="20"/>
                <w:szCs w:val="20"/>
              </w:rPr>
            </w:pPr>
            <w:r w:rsidRPr="00F81E61">
              <w:rPr>
                <w:sz w:val="20"/>
                <w:szCs w:val="20"/>
                <w:highlight w:val="black"/>
              </w:rPr>
              <w:t>XXX</w:t>
            </w:r>
          </w:p>
        </w:tc>
        <w:tc>
          <w:tcPr>
            <w:tcW w:w="2100" w:type="dxa"/>
          </w:tcPr>
          <w:p w14:paraId="5B5FA4DF" w14:textId="77DCA07D" w:rsidR="004E351E" w:rsidRPr="00424FC1" w:rsidRDefault="00F81E61" w:rsidP="003C21F0">
            <w:pPr>
              <w:spacing w:before="60" w:after="60"/>
              <w:jc w:val="center"/>
              <w:rPr>
                <w:sz w:val="20"/>
                <w:szCs w:val="20"/>
              </w:rPr>
            </w:pPr>
            <w:r w:rsidRPr="00F81E61">
              <w:rPr>
                <w:sz w:val="20"/>
                <w:szCs w:val="20"/>
                <w:highlight w:val="black"/>
              </w:rPr>
              <w:t>XXX</w:t>
            </w:r>
          </w:p>
        </w:tc>
      </w:tr>
      <w:tr w:rsidR="004E351E" w:rsidRPr="00424FC1" w14:paraId="7A4A0F02" w14:textId="5C9C4C91" w:rsidTr="00424FC1">
        <w:tc>
          <w:tcPr>
            <w:tcW w:w="2351" w:type="dxa"/>
            <w:vMerge/>
          </w:tcPr>
          <w:p w14:paraId="00F85922" w14:textId="77777777" w:rsidR="004E351E" w:rsidRPr="00424FC1" w:rsidRDefault="004E351E" w:rsidP="00424FC1">
            <w:pPr>
              <w:spacing w:before="60" w:after="60"/>
              <w:rPr>
                <w:sz w:val="20"/>
                <w:szCs w:val="20"/>
              </w:rPr>
            </w:pPr>
          </w:p>
        </w:tc>
        <w:tc>
          <w:tcPr>
            <w:tcW w:w="2396" w:type="dxa"/>
          </w:tcPr>
          <w:p w14:paraId="528020AD" w14:textId="0B43A1ED" w:rsidR="004E351E" w:rsidRPr="00424FC1" w:rsidRDefault="004E351E" w:rsidP="00424FC1">
            <w:pPr>
              <w:spacing w:before="60" w:after="60"/>
              <w:rPr>
                <w:sz w:val="20"/>
                <w:szCs w:val="20"/>
              </w:rPr>
            </w:pPr>
            <w:r w:rsidRPr="00424FC1">
              <w:rPr>
                <w:sz w:val="20"/>
                <w:szCs w:val="20"/>
              </w:rPr>
              <w:t xml:space="preserve">Actual </w:t>
            </w:r>
          </w:p>
        </w:tc>
        <w:tc>
          <w:tcPr>
            <w:tcW w:w="2100" w:type="dxa"/>
          </w:tcPr>
          <w:p w14:paraId="187276F3" w14:textId="66C77BE0" w:rsidR="004E351E" w:rsidRPr="00424FC1" w:rsidRDefault="00AD67C7" w:rsidP="003C21F0">
            <w:pPr>
              <w:spacing w:before="60" w:after="60"/>
              <w:jc w:val="center"/>
              <w:rPr>
                <w:sz w:val="20"/>
                <w:szCs w:val="20"/>
              </w:rPr>
            </w:pPr>
            <w:r>
              <w:rPr>
                <w:sz w:val="20"/>
                <w:szCs w:val="20"/>
              </w:rPr>
              <w:t>294</w:t>
            </w:r>
          </w:p>
        </w:tc>
        <w:tc>
          <w:tcPr>
            <w:tcW w:w="2100" w:type="dxa"/>
          </w:tcPr>
          <w:p w14:paraId="733245B7" w14:textId="56B4FBAA" w:rsidR="004E351E" w:rsidRPr="00424FC1" w:rsidRDefault="0006681C" w:rsidP="003C21F0">
            <w:pPr>
              <w:spacing w:before="60" w:after="60"/>
              <w:jc w:val="center"/>
              <w:rPr>
                <w:sz w:val="20"/>
                <w:szCs w:val="20"/>
              </w:rPr>
            </w:pPr>
            <w:r>
              <w:rPr>
                <w:sz w:val="20"/>
                <w:szCs w:val="20"/>
              </w:rPr>
              <w:t>225</w:t>
            </w:r>
          </w:p>
        </w:tc>
      </w:tr>
      <w:tr w:rsidR="004E351E" w:rsidRPr="00424FC1" w14:paraId="41641DFD" w14:textId="1E3AD76F" w:rsidTr="00424FC1">
        <w:tc>
          <w:tcPr>
            <w:tcW w:w="2351" w:type="dxa"/>
            <w:vMerge/>
          </w:tcPr>
          <w:p w14:paraId="062EAB8D" w14:textId="77777777" w:rsidR="004E351E" w:rsidRPr="00424FC1" w:rsidRDefault="004E351E" w:rsidP="00424FC1">
            <w:pPr>
              <w:spacing w:before="60" w:after="60"/>
              <w:rPr>
                <w:sz w:val="20"/>
                <w:szCs w:val="20"/>
              </w:rPr>
            </w:pPr>
          </w:p>
        </w:tc>
        <w:tc>
          <w:tcPr>
            <w:tcW w:w="2396" w:type="dxa"/>
          </w:tcPr>
          <w:p w14:paraId="47780262" w14:textId="3DCF94A4" w:rsidR="004E351E" w:rsidRPr="00424FC1" w:rsidRDefault="004E351E" w:rsidP="00424FC1">
            <w:pPr>
              <w:spacing w:before="60" w:after="60"/>
              <w:rPr>
                <w:sz w:val="20"/>
                <w:szCs w:val="20"/>
              </w:rPr>
            </w:pPr>
            <w:r>
              <w:rPr>
                <w:sz w:val="20"/>
                <w:szCs w:val="20"/>
              </w:rPr>
              <w:t>Difference</w:t>
            </w:r>
          </w:p>
        </w:tc>
        <w:tc>
          <w:tcPr>
            <w:tcW w:w="2100" w:type="dxa"/>
          </w:tcPr>
          <w:p w14:paraId="62005259" w14:textId="0A0BE4AF" w:rsidR="004E351E" w:rsidRPr="00424FC1" w:rsidRDefault="00F81E61" w:rsidP="003C21F0">
            <w:pPr>
              <w:spacing w:before="60" w:after="60"/>
              <w:jc w:val="center"/>
              <w:rPr>
                <w:sz w:val="20"/>
                <w:szCs w:val="20"/>
              </w:rPr>
            </w:pPr>
            <w:r w:rsidRPr="00F81E61">
              <w:rPr>
                <w:sz w:val="20"/>
                <w:szCs w:val="20"/>
                <w:highlight w:val="black"/>
              </w:rPr>
              <w:t>XXX</w:t>
            </w:r>
          </w:p>
        </w:tc>
        <w:tc>
          <w:tcPr>
            <w:tcW w:w="2100" w:type="dxa"/>
          </w:tcPr>
          <w:p w14:paraId="526785C7" w14:textId="03B21C6D" w:rsidR="004E351E" w:rsidRPr="00424FC1" w:rsidRDefault="00F81E61" w:rsidP="003C21F0">
            <w:pPr>
              <w:spacing w:before="60" w:after="60"/>
              <w:jc w:val="center"/>
              <w:rPr>
                <w:sz w:val="20"/>
                <w:szCs w:val="20"/>
              </w:rPr>
            </w:pPr>
            <w:r w:rsidRPr="00F81E61">
              <w:rPr>
                <w:sz w:val="20"/>
                <w:szCs w:val="20"/>
                <w:highlight w:val="black"/>
              </w:rPr>
              <w:t>XXX</w:t>
            </w:r>
          </w:p>
        </w:tc>
      </w:tr>
      <w:tr w:rsidR="004E351E" w:rsidRPr="00424FC1" w14:paraId="186D6301" w14:textId="72C15060" w:rsidTr="00424FC1">
        <w:tc>
          <w:tcPr>
            <w:tcW w:w="2351" w:type="dxa"/>
            <w:vMerge w:val="restart"/>
          </w:tcPr>
          <w:p w14:paraId="38DF3DD7" w14:textId="298A56BE" w:rsidR="004E351E" w:rsidRPr="00424FC1" w:rsidRDefault="004E351E" w:rsidP="00424FC1">
            <w:pPr>
              <w:spacing w:before="60" w:after="60"/>
              <w:rPr>
                <w:sz w:val="20"/>
                <w:szCs w:val="20"/>
              </w:rPr>
            </w:pPr>
            <w:r>
              <w:rPr>
                <w:sz w:val="20"/>
                <w:szCs w:val="20"/>
              </w:rPr>
              <w:t>Prescriptions supplied</w:t>
            </w:r>
          </w:p>
        </w:tc>
        <w:tc>
          <w:tcPr>
            <w:tcW w:w="2396" w:type="dxa"/>
          </w:tcPr>
          <w:p w14:paraId="67542D28" w14:textId="3D539916" w:rsidR="004E351E" w:rsidRPr="00424FC1" w:rsidRDefault="004E351E" w:rsidP="00424FC1">
            <w:pPr>
              <w:spacing w:before="60" w:after="60"/>
              <w:rPr>
                <w:sz w:val="20"/>
                <w:szCs w:val="20"/>
              </w:rPr>
            </w:pPr>
            <w:r w:rsidRPr="00424FC1">
              <w:rPr>
                <w:sz w:val="20"/>
                <w:szCs w:val="20"/>
              </w:rPr>
              <w:t xml:space="preserve">Predicted </w:t>
            </w:r>
          </w:p>
        </w:tc>
        <w:tc>
          <w:tcPr>
            <w:tcW w:w="2100" w:type="dxa"/>
          </w:tcPr>
          <w:p w14:paraId="23553F62" w14:textId="6BBE5130" w:rsidR="004E351E" w:rsidRPr="00424FC1" w:rsidRDefault="00F81E61" w:rsidP="003C21F0">
            <w:pPr>
              <w:spacing w:before="60" w:after="60"/>
              <w:jc w:val="center"/>
              <w:rPr>
                <w:sz w:val="20"/>
                <w:szCs w:val="20"/>
              </w:rPr>
            </w:pPr>
            <w:r w:rsidRPr="00F81E61">
              <w:rPr>
                <w:sz w:val="20"/>
                <w:szCs w:val="20"/>
                <w:highlight w:val="black"/>
              </w:rPr>
              <w:t>XXXX</w:t>
            </w:r>
          </w:p>
        </w:tc>
        <w:tc>
          <w:tcPr>
            <w:tcW w:w="2100" w:type="dxa"/>
          </w:tcPr>
          <w:p w14:paraId="7D357060" w14:textId="23ADD3B1" w:rsidR="004E351E" w:rsidRPr="00424FC1" w:rsidRDefault="00F81E61" w:rsidP="003C21F0">
            <w:pPr>
              <w:spacing w:before="60" w:after="60"/>
              <w:jc w:val="center"/>
              <w:rPr>
                <w:sz w:val="20"/>
                <w:szCs w:val="20"/>
              </w:rPr>
            </w:pPr>
            <w:r w:rsidRPr="00F81E61">
              <w:rPr>
                <w:sz w:val="20"/>
                <w:szCs w:val="20"/>
                <w:highlight w:val="black"/>
              </w:rPr>
              <w:t>XXXX</w:t>
            </w:r>
          </w:p>
        </w:tc>
      </w:tr>
      <w:tr w:rsidR="004E351E" w:rsidRPr="00424FC1" w14:paraId="33C14D76" w14:textId="4B2A1D74" w:rsidTr="00424FC1">
        <w:tc>
          <w:tcPr>
            <w:tcW w:w="2351" w:type="dxa"/>
            <w:vMerge/>
          </w:tcPr>
          <w:p w14:paraId="377BCD05" w14:textId="77777777" w:rsidR="004E351E" w:rsidRPr="00424FC1" w:rsidRDefault="004E351E" w:rsidP="00424FC1">
            <w:pPr>
              <w:spacing w:before="60" w:after="60"/>
              <w:rPr>
                <w:sz w:val="20"/>
                <w:szCs w:val="20"/>
              </w:rPr>
            </w:pPr>
          </w:p>
        </w:tc>
        <w:tc>
          <w:tcPr>
            <w:tcW w:w="2396" w:type="dxa"/>
          </w:tcPr>
          <w:p w14:paraId="23750060" w14:textId="4B24AE65" w:rsidR="004E351E" w:rsidRPr="00424FC1" w:rsidRDefault="004E351E" w:rsidP="00424FC1">
            <w:pPr>
              <w:spacing w:before="60" w:after="60"/>
              <w:rPr>
                <w:sz w:val="20"/>
                <w:szCs w:val="20"/>
              </w:rPr>
            </w:pPr>
            <w:r w:rsidRPr="00424FC1">
              <w:rPr>
                <w:sz w:val="20"/>
                <w:szCs w:val="20"/>
              </w:rPr>
              <w:t xml:space="preserve">Actual </w:t>
            </w:r>
          </w:p>
        </w:tc>
        <w:tc>
          <w:tcPr>
            <w:tcW w:w="2100" w:type="dxa"/>
          </w:tcPr>
          <w:p w14:paraId="5A9C2842" w14:textId="6766B58A" w:rsidR="004E351E" w:rsidRPr="00424FC1" w:rsidRDefault="004E351E" w:rsidP="003C21F0">
            <w:pPr>
              <w:spacing w:before="60" w:after="60"/>
              <w:jc w:val="center"/>
              <w:rPr>
                <w:sz w:val="20"/>
                <w:szCs w:val="20"/>
              </w:rPr>
            </w:pPr>
            <w:r>
              <w:rPr>
                <w:sz w:val="20"/>
                <w:szCs w:val="20"/>
              </w:rPr>
              <w:t>3,270</w:t>
            </w:r>
          </w:p>
        </w:tc>
        <w:tc>
          <w:tcPr>
            <w:tcW w:w="2100" w:type="dxa"/>
          </w:tcPr>
          <w:p w14:paraId="29B8BED6" w14:textId="2E233F40" w:rsidR="004E351E" w:rsidRPr="00424FC1" w:rsidRDefault="004E351E" w:rsidP="003C21F0">
            <w:pPr>
              <w:spacing w:before="60" w:after="60"/>
              <w:jc w:val="center"/>
              <w:rPr>
                <w:sz w:val="20"/>
                <w:szCs w:val="20"/>
              </w:rPr>
            </w:pPr>
            <w:r>
              <w:rPr>
                <w:sz w:val="20"/>
                <w:szCs w:val="20"/>
              </w:rPr>
              <w:t>4,881</w:t>
            </w:r>
          </w:p>
        </w:tc>
      </w:tr>
      <w:tr w:rsidR="004E351E" w:rsidRPr="00424FC1" w14:paraId="196DF3F9" w14:textId="77777777" w:rsidTr="00424FC1">
        <w:tc>
          <w:tcPr>
            <w:tcW w:w="2351" w:type="dxa"/>
            <w:vMerge/>
          </w:tcPr>
          <w:p w14:paraId="769FD7B5" w14:textId="77777777" w:rsidR="004E351E" w:rsidRPr="00424FC1" w:rsidRDefault="004E351E" w:rsidP="00424FC1">
            <w:pPr>
              <w:spacing w:before="60" w:after="60"/>
              <w:rPr>
                <w:sz w:val="20"/>
                <w:szCs w:val="20"/>
              </w:rPr>
            </w:pPr>
          </w:p>
        </w:tc>
        <w:tc>
          <w:tcPr>
            <w:tcW w:w="2396" w:type="dxa"/>
          </w:tcPr>
          <w:p w14:paraId="6D2320F4" w14:textId="59432485" w:rsidR="004E351E" w:rsidRPr="00424FC1" w:rsidRDefault="004E351E" w:rsidP="00424FC1">
            <w:pPr>
              <w:spacing w:before="60" w:after="60"/>
              <w:rPr>
                <w:sz w:val="20"/>
                <w:szCs w:val="20"/>
              </w:rPr>
            </w:pPr>
            <w:r>
              <w:rPr>
                <w:sz w:val="20"/>
                <w:szCs w:val="20"/>
              </w:rPr>
              <w:t>Difference</w:t>
            </w:r>
          </w:p>
        </w:tc>
        <w:tc>
          <w:tcPr>
            <w:tcW w:w="2100" w:type="dxa"/>
          </w:tcPr>
          <w:p w14:paraId="77B4278C" w14:textId="1401B75A" w:rsidR="004E351E" w:rsidRPr="00424FC1" w:rsidRDefault="00F81E61" w:rsidP="003C21F0">
            <w:pPr>
              <w:spacing w:before="60" w:after="60"/>
              <w:jc w:val="center"/>
              <w:rPr>
                <w:sz w:val="20"/>
                <w:szCs w:val="20"/>
              </w:rPr>
            </w:pPr>
            <w:r w:rsidRPr="00F81E61">
              <w:rPr>
                <w:sz w:val="20"/>
                <w:szCs w:val="20"/>
                <w:highlight w:val="black"/>
              </w:rPr>
              <w:t>XXXX</w:t>
            </w:r>
          </w:p>
        </w:tc>
        <w:tc>
          <w:tcPr>
            <w:tcW w:w="2100" w:type="dxa"/>
          </w:tcPr>
          <w:p w14:paraId="555E3040" w14:textId="58C02D71" w:rsidR="004E351E" w:rsidRPr="00424FC1" w:rsidRDefault="00F81E61" w:rsidP="003C21F0">
            <w:pPr>
              <w:spacing w:before="60" w:after="60"/>
              <w:jc w:val="center"/>
              <w:rPr>
                <w:sz w:val="20"/>
                <w:szCs w:val="20"/>
              </w:rPr>
            </w:pPr>
            <w:r w:rsidRPr="00F81E61">
              <w:rPr>
                <w:sz w:val="20"/>
                <w:szCs w:val="20"/>
                <w:highlight w:val="black"/>
              </w:rPr>
              <w:t>XXXX</w:t>
            </w:r>
          </w:p>
        </w:tc>
      </w:tr>
    </w:tbl>
    <w:p w14:paraId="3B7C52DB" w14:textId="41AA5EC3" w:rsidR="00F77463" w:rsidRDefault="00F77463" w:rsidP="00F77463"/>
    <w:p w14:paraId="0E381A21" w14:textId="6AA14B53" w:rsidR="00D8725F" w:rsidRDefault="00D8725F" w:rsidP="00F77463">
      <w:r>
        <w:t xml:space="preserve">As shown in Table </w:t>
      </w:r>
      <w:r w:rsidR="00EA3535">
        <w:t>4</w:t>
      </w:r>
      <w:r>
        <w:t xml:space="preserve">, the </w:t>
      </w:r>
      <w:r w:rsidR="007F33E8">
        <w:t xml:space="preserve">actual </w:t>
      </w:r>
      <w:r>
        <w:t xml:space="preserve">number of patients initiating treatment with daratumumab was greater than </w:t>
      </w:r>
      <w:r w:rsidR="007F33E8">
        <w:t>estimated</w:t>
      </w:r>
      <w:r>
        <w:t xml:space="preserve"> across both listing years. However, the</w:t>
      </w:r>
      <w:r w:rsidR="007F33E8">
        <w:t xml:space="preserve"> actual</w:t>
      </w:r>
      <w:r>
        <w:t xml:space="preserve"> number of prescriptions supplied was less than estimated. </w:t>
      </w:r>
    </w:p>
    <w:p w14:paraId="476D562E" w14:textId="31D4AFAD" w:rsidR="00F268E0" w:rsidRPr="009C727E" w:rsidRDefault="00F5600A" w:rsidP="00F77463">
      <w:pPr>
        <w:rPr>
          <w:snapToGrid w:val="0"/>
        </w:rPr>
      </w:pPr>
      <w:r>
        <w:rPr>
          <w:snapToGrid w:val="0"/>
        </w:rPr>
        <w:t>Although the caps were breached as part of the RSA</w:t>
      </w:r>
      <w:r w:rsidR="00BF2332">
        <w:rPr>
          <w:snapToGrid w:val="0"/>
        </w:rPr>
        <w:t xml:space="preserve"> (Table </w:t>
      </w:r>
      <w:r w:rsidR="007F33E8">
        <w:rPr>
          <w:snapToGrid w:val="0"/>
        </w:rPr>
        <w:t>4</w:t>
      </w:r>
      <w:r w:rsidR="00BF2332">
        <w:rPr>
          <w:snapToGrid w:val="0"/>
        </w:rPr>
        <w:t>)</w:t>
      </w:r>
      <w:r>
        <w:rPr>
          <w:snapToGrid w:val="0"/>
        </w:rPr>
        <w:t xml:space="preserve">, </w:t>
      </w:r>
      <w:r w:rsidR="00BF2332">
        <w:rPr>
          <w:snapToGrid w:val="0"/>
        </w:rPr>
        <w:t xml:space="preserve">the number of prescriptions supplied was less than estimated. </w:t>
      </w:r>
      <w:r w:rsidR="00984DB9">
        <w:rPr>
          <w:snapToGrid w:val="0"/>
        </w:rPr>
        <w:t xml:space="preserve">It is noted the </w:t>
      </w:r>
      <w:r w:rsidR="00F268E0" w:rsidRPr="00F268E0">
        <w:t xml:space="preserve">subsidisation caps for the AL amyloidosis listing </w:t>
      </w:r>
      <w:r w:rsidR="00E5469A">
        <w:t>were</w:t>
      </w:r>
      <w:r w:rsidR="00F268E0" w:rsidRPr="00F268E0">
        <w:t xml:space="preserve"> set lower than the utilisation estimates (the number of prescriptions was reduced by </w:t>
      </w:r>
      <w:r w:rsidR="00EE5DD9" w:rsidRPr="00F81E61">
        <w:rPr>
          <w:sz w:val="20"/>
          <w:szCs w:val="20"/>
          <w:highlight w:val="black"/>
        </w:rPr>
        <w:t>XXXX</w:t>
      </w:r>
      <w:r w:rsidR="00EE5DD9">
        <w:t xml:space="preserve"> </w:t>
      </w:r>
      <w:r w:rsidR="00F268E0">
        <w:t xml:space="preserve">(paragraph 9.6 </w:t>
      </w:r>
      <w:r w:rsidR="00703880">
        <w:t>daratumumab P</w:t>
      </w:r>
      <w:r w:rsidR="00BD5603">
        <w:t xml:space="preserve">ublic </w:t>
      </w:r>
      <w:r w:rsidR="00703880">
        <w:t>S</w:t>
      </w:r>
      <w:r w:rsidR="00BD5603">
        <w:t xml:space="preserve">ummary </w:t>
      </w:r>
      <w:r w:rsidR="00703880">
        <w:t>D</w:t>
      </w:r>
      <w:r w:rsidR="00BD5603">
        <w:t>ocument</w:t>
      </w:r>
      <w:r w:rsidR="00703880">
        <w:t xml:space="preserve">, </w:t>
      </w:r>
      <w:r w:rsidR="00BD5603" w:rsidRPr="00BD5603">
        <w:t>November 2021 PBAC Meeting with May 2022 Addendum</w:t>
      </w:r>
      <w:r w:rsidR="00BD5603">
        <w:t xml:space="preserve">). </w:t>
      </w:r>
    </w:p>
    <w:p w14:paraId="7C656059" w14:textId="435649EB" w:rsidR="00C803D9" w:rsidRDefault="00AB3733" w:rsidP="00873D5F">
      <w:pPr>
        <w:pStyle w:val="Heading1"/>
      </w:pPr>
      <w:r>
        <w:t>D</w:t>
      </w:r>
      <w:r w:rsidR="007346C7" w:rsidRPr="005E22C2">
        <w:t>iscussion</w:t>
      </w:r>
    </w:p>
    <w:p w14:paraId="67FE449F" w14:textId="68DB267D" w:rsidR="008A4938" w:rsidRDefault="005F6F00" w:rsidP="00A8134F">
      <w:r>
        <w:t xml:space="preserve">Utilisation of daratumumab for AL amyloidosis has </w:t>
      </w:r>
      <w:r w:rsidR="00320665">
        <w:t>increased over time</w:t>
      </w:r>
      <w:r>
        <w:t xml:space="preserve">, with the number of initiating </w:t>
      </w:r>
      <w:r w:rsidR="00085301">
        <w:t>patients greater than estimated</w:t>
      </w:r>
      <w:r w:rsidR="00985706">
        <w:t>,</w:t>
      </w:r>
      <w:r w:rsidR="00085301">
        <w:t xml:space="preserve"> whereas the number of prescriptions supplied was less than estimated. </w:t>
      </w:r>
    </w:p>
    <w:p w14:paraId="47F17453" w14:textId="48748344" w:rsidR="008810DD" w:rsidRDefault="0078697A" w:rsidP="00F1132C">
      <w:r>
        <w:t xml:space="preserve">The </w:t>
      </w:r>
      <w:r w:rsidR="001A1E36">
        <w:t>median</w:t>
      </w:r>
      <w:r>
        <w:t xml:space="preserve"> age of patients treated with </w:t>
      </w:r>
      <w:r w:rsidR="00873D5F">
        <w:t xml:space="preserve">daratumumab </w:t>
      </w:r>
      <w:r w:rsidR="002772EA">
        <w:t xml:space="preserve">for AL amyloidosis </w:t>
      </w:r>
      <w:r w:rsidR="00873D5F">
        <w:t xml:space="preserve">was </w:t>
      </w:r>
      <w:r w:rsidR="001A1E36">
        <w:t>70</w:t>
      </w:r>
      <w:r w:rsidR="00873D5F">
        <w:t xml:space="preserve"> years</w:t>
      </w:r>
      <w:r w:rsidR="00833D47">
        <w:t xml:space="preserve">, whereas patients were younger in </w:t>
      </w:r>
      <w:r>
        <w:t xml:space="preserve">the </w:t>
      </w:r>
      <w:r w:rsidR="006A559A">
        <w:t>ANDROMEDA</w:t>
      </w:r>
      <w:r>
        <w:t xml:space="preserve"> trial, </w:t>
      </w:r>
      <w:r w:rsidR="00833D47">
        <w:t>with a</w:t>
      </w:r>
      <w:r>
        <w:t xml:space="preserve"> </w:t>
      </w:r>
      <w:r w:rsidR="001A1E36">
        <w:t>median</w:t>
      </w:r>
      <w:r>
        <w:t xml:space="preserve"> age of </w:t>
      </w:r>
      <w:r w:rsidR="001A1E36">
        <w:t>65</w:t>
      </w:r>
      <w:r w:rsidR="008F244D">
        <w:t xml:space="preserve"> years. As part of its </w:t>
      </w:r>
      <w:r w:rsidR="005235A0">
        <w:t>Pre-Sub-Committee Response (</w:t>
      </w:r>
      <w:r w:rsidR="008F244D">
        <w:t>PSCR</w:t>
      </w:r>
      <w:r w:rsidR="005235A0">
        <w:t>)</w:t>
      </w:r>
      <w:r w:rsidR="008F244D">
        <w:t xml:space="preserve">, the sponsor </w:t>
      </w:r>
      <w:r w:rsidR="006A559A">
        <w:t>stated 52.8% of patients in the trial were aged between 34-64 years. This is compared to the</w:t>
      </w:r>
      <w:r w:rsidR="00F84047">
        <w:t xml:space="preserve"> above analyses</w:t>
      </w:r>
      <w:r w:rsidR="006A559A">
        <w:t xml:space="preserve"> </w:t>
      </w:r>
      <w:r w:rsidR="00A002E9">
        <w:t xml:space="preserve">where </w:t>
      </w:r>
      <w:r w:rsidR="00A8134F">
        <w:t xml:space="preserve">this age group only accounted for 28.1% of patients treated. </w:t>
      </w:r>
    </w:p>
    <w:p w14:paraId="375A077A" w14:textId="3C40FC96" w:rsidR="00200AA9" w:rsidRDefault="00622827" w:rsidP="00814391">
      <w:r>
        <w:t xml:space="preserve">At the time of PBAC’s consideration, </w:t>
      </w:r>
      <w:r w:rsidR="004A50F7">
        <w:t>t</w:t>
      </w:r>
      <w:r w:rsidRPr="00622E6C">
        <w:t>he PBAC noted that the median follow-up in ANDROMEDA was 11.4 months. The PBAC considered that the data were too immature to demonstrate a survival benefit</w:t>
      </w:r>
      <w:r w:rsidR="00E74E20">
        <w:t xml:space="preserve"> </w:t>
      </w:r>
      <w:r w:rsidR="004A50F7">
        <w:t xml:space="preserve">(paragraph </w:t>
      </w:r>
      <w:r w:rsidR="00FA6DB9">
        <w:t xml:space="preserve">7.6, daratumumab Public Summary Document </w:t>
      </w:r>
      <w:r w:rsidR="00FA6DB9" w:rsidRPr="00BD5603">
        <w:t>November 2021 PBAC Meeting with May 2022 Addendum</w:t>
      </w:r>
      <w:r w:rsidR="00FA6DB9">
        <w:t>). A retrospective study</w:t>
      </w:r>
      <w:r w:rsidR="00682F7E">
        <w:t xml:space="preserve"> </w:t>
      </w:r>
      <w:r w:rsidR="00BD27E2">
        <w:t xml:space="preserve">published in 2025, </w:t>
      </w:r>
      <w:r w:rsidR="00FA6DB9">
        <w:t xml:space="preserve">found daratumumab in combination with CyBorD was associated with a superior </w:t>
      </w:r>
      <w:r w:rsidR="00FA6DB9">
        <w:lastRenderedPageBreak/>
        <w:t>overall survival rate.</w:t>
      </w:r>
      <w:r w:rsidR="00FA6DB9">
        <w:rPr>
          <w:rStyle w:val="FootnoteReference"/>
        </w:rPr>
        <w:footnoteReference w:id="5"/>
      </w:r>
      <w:r w:rsidR="00FA6DB9">
        <w:t xml:space="preserve"> </w:t>
      </w:r>
      <w:r w:rsidR="00562915">
        <w:t>In this review, t</w:t>
      </w:r>
      <w:r w:rsidR="00AD307B">
        <w:t>he median treatment duration was not reached</w:t>
      </w:r>
      <w:r w:rsidR="000E3AAA">
        <w:t xml:space="preserve"> due to the immaturity of the data</w:t>
      </w:r>
      <w:r w:rsidR="00AD307B">
        <w:t xml:space="preserve">. </w:t>
      </w:r>
    </w:p>
    <w:p w14:paraId="4606176A" w14:textId="77777777" w:rsidR="00200AA9" w:rsidRDefault="00200AA9" w:rsidP="00200AA9">
      <w:pPr>
        <w:pStyle w:val="Heading1"/>
      </w:pPr>
      <w:r>
        <w:t>DUSC consideration</w:t>
      </w:r>
    </w:p>
    <w:p w14:paraId="642722E7" w14:textId="49766D6B" w:rsidR="001369D9" w:rsidRPr="001369D9" w:rsidRDefault="001369D9" w:rsidP="001369D9">
      <w:pPr>
        <w:autoSpaceDE w:val="0"/>
        <w:autoSpaceDN w:val="0"/>
        <w:adjustRightInd w:val="0"/>
      </w:pPr>
      <w:r w:rsidRPr="001369D9">
        <w:t>DUSC noted in the first two years of listing, the number of initiating patients was greater than estimated. The Pre-Sub-Committee Response (PSCR) noted “daratumumab remains the only PBS listed option for these patients.” DUSC considered the greater than estimated number of initiating patients observed was likely due to the unmet need in the population.</w:t>
      </w:r>
    </w:p>
    <w:p w14:paraId="5C7D7F2D" w14:textId="2280C86C" w:rsidR="001369D9" w:rsidRPr="001369D9" w:rsidRDefault="001369D9" w:rsidP="001369D9">
      <w:pPr>
        <w:autoSpaceDE w:val="0"/>
        <w:autoSpaceDN w:val="0"/>
        <w:adjustRightInd w:val="0"/>
      </w:pPr>
      <w:r w:rsidRPr="001369D9">
        <w:t>DUSC noted the number of prescriptions supplied was lower than estimated and considered this is likely due to patients treated in clinical practice being older and frailer compared to the trial population. DUSC noted the analysis (Figure 3) showed the median age of patients treated with daratumumab for AL amyloidosis was 70 years, whereas patients were younger in the ANDROMEDA trial, with a median age of 65 years. DUSC considered the survival rate of this population and noted most newly diagnosed patients present with cardiac involvement at diagnosis and cardiac complications account for most deaths in this population.</w:t>
      </w:r>
      <w:r w:rsidRPr="001369D9">
        <w:rPr>
          <w:rStyle w:val="FootnoteReference"/>
        </w:rPr>
        <w:footnoteReference w:id="6"/>
      </w:r>
    </w:p>
    <w:p w14:paraId="5D2F6C3E" w14:textId="77777777" w:rsidR="00200AA9" w:rsidRDefault="00200AA9" w:rsidP="00200AA9">
      <w:pPr>
        <w:pStyle w:val="Heading1"/>
      </w:pPr>
      <w:r>
        <w:t>DUSC actions</w:t>
      </w:r>
    </w:p>
    <w:p w14:paraId="017362A2" w14:textId="10551C16" w:rsidR="001369D9" w:rsidRPr="001369D9" w:rsidRDefault="001369D9" w:rsidP="00200AA9">
      <w:r w:rsidRPr="001369D9">
        <w:t>DUSC requested the report be provided to the PBAC for consideration.</w:t>
      </w:r>
    </w:p>
    <w:p w14:paraId="7CF41BC3" w14:textId="77777777" w:rsidR="00200AA9" w:rsidRDefault="00200AA9" w:rsidP="00200AA9">
      <w:pPr>
        <w:pStyle w:val="Heading1"/>
      </w:pPr>
      <w:r w:rsidRPr="0092516A">
        <w:t>Context for analysis</w:t>
      </w:r>
    </w:p>
    <w:p w14:paraId="3BDA123C" w14:textId="77777777" w:rsidR="00200AA9" w:rsidRDefault="00200AA9" w:rsidP="00200AA9">
      <w:r>
        <w:t>The DUSC is a Sub Committee of the Pharmaceutical Benefits Advisory Committee (PBAC). The DUSC assesses estimates on projected usage and financial cost of medicines.</w:t>
      </w:r>
    </w:p>
    <w:p w14:paraId="37FA4E28" w14:textId="77777777" w:rsidR="00200AA9" w:rsidRDefault="00200AA9" w:rsidP="00200AA9">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18951D84" w14:textId="77777777" w:rsidR="00200AA9" w:rsidRDefault="00200AA9" w:rsidP="00200AA9">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2B9A0149" w14:textId="77777777" w:rsidR="00200AA9" w:rsidRDefault="00200AA9" w:rsidP="00200AA9">
      <w:r>
        <w:lastRenderedPageBreak/>
        <w:t>The utilisation analysis report was provided to the pharmaceutical sponsors of each drug and comments on the report were provided to DUSC prior to its consideration of the analysis.</w:t>
      </w:r>
    </w:p>
    <w:p w14:paraId="4E300710" w14:textId="77777777" w:rsidR="00200AA9" w:rsidRDefault="00200AA9" w:rsidP="00200AA9">
      <w:pPr>
        <w:pStyle w:val="Heading1"/>
      </w:pPr>
      <w:r>
        <w:t>Sponsor</w:t>
      </w:r>
      <w:r w:rsidRPr="0092516A">
        <w:t>s</w:t>
      </w:r>
      <w:r>
        <w:t>’</w:t>
      </w:r>
      <w:r w:rsidRPr="0092516A">
        <w:t xml:space="preserve"> comments</w:t>
      </w:r>
    </w:p>
    <w:p w14:paraId="34B6D771" w14:textId="0208B79E" w:rsidR="001369D9" w:rsidRDefault="001369D9" w:rsidP="00200AA9">
      <w:r w:rsidRPr="0098071F">
        <w:t>Janssen-Cilag Pty Ltd</w:t>
      </w:r>
      <w:r>
        <w:t>:</w:t>
      </w:r>
      <w:r w:rsidR="00287087">
        <w:t xml:space="preserve"> The sponsor has no comment. </w:t>
      </w:r>
    </w:p>
    <w:p w14:paraId="47CA193B" w14:textId="77777777" w:rsidR="00200AA9" w:rsidRDefault="00200AA9" w:rsidP="00200AA9">
      <w:pPr>
        <w:pStyle w:val="Heading1"/>
      </w:pPr>
      <w:r w:rsidRPr="00A4020E">
        <w:t>Disclaimer</w:t>
      </w:r>
    </w:p>
    <w:p w14:paraId="2F36D902" w14:textId="77777777" w:rsidR="00200AA9" w:rsidRDefault="00200AA9" w:rsidP="00200AA9">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662FDCC5" w14:textId="11DCD032" w:rsidR="00200AA9" w:rsidRDefault="00961608" w:rsidP="00200AA9">
      <w:r w:rsidRPr="00961608">
        <w:t xml:space="preserve">The Department of Health, Disability and Ageing </w:t>
      </w:r>
      <w:r w:rsidR="00200AA9">
        <w:t xml:space="preserve">has made all reasonable efforts to ensure that information provided in this report is accurate. The information provided in this report was </w:t>
      </w:r>
      <w:proofErr w:type="gramStart"/>
      <w:r w:rsidR="00200AA9">
        <w:t>up-to-date</w:t>
      </w:r>
      <w:proofErr w:type="gramEnd"/>
      <w:r w:rsidR="00200AA9">
        <w:t xml:space="preserve"> when it was considered by the Drug Utilisation Sub-committee of the Pharmaceutical Benefits Advisory Committee.  The context for that information may have changed since publication.</w:t>
      </w:r>
    </w:p>
    <w:p w14:paraId="55355080" w14:textId="684E5014" w:rsidR="00200AA9" w:rsidRDefault="00200AA9" w:rsidP="00200AA9">
      <w:r>
        <w:t xml:space="preserve">To the extent provided by law, </w:t>
      </w:r>
      <w:r w:rsidR="00961608">
        <w:t xml:space="preserve">the </w:t>
      </w:r>
      <w:r w:rsidR="00961608" w:rsidRPr="00961608">
        <w:t xml:space="preserve">Department of Health, Disability and Ageing </w:t>
      </w:r>
      <w:r>
        <w:t xml:space="preserve">makes no warranties or representations as to accuracy or completeness of information contained in this report. </w:t>
      </w:r>
    </w:p>
    <w:p w14:paraId="37940EBC" w14:textId="1F62F4F2" w:rsidR="00200AA9" w:rsidRPr="0033504C" w:rsidRDefault="00961608" w:rsidP="00814391">
      <w:r w:rsidRPr="00961608">
        <w:t>To the fullest extent permitted by law, neither the Department of Health, Disability and Ageing nor any Department of Health, Disability and Ageing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200AA9" w:rsidRPr="0033504C" w:rsidSect="00DD188C">
      <w:headerReference w:type="even" r:id="rId21"/>
      <w:headerReference w:type="default" r:id="rId22"/>
      <w:footerReference w:type="even" r:id="rId23"/>
      <w:footerReference w:type="default" r:id="rId24"/>
      <w:headerReference w:type="first" r:id="rId25"/>
      <w:footerReference w:type="first" r:id="rId26"/>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9088" w14:textId="77777777" w:rsidR="007B3CFD" w:rsidRDefault="007B3CFD" w:rsidP="00A35800">
      <w:r>
        <w:separator/>
      </w:r>
    </w:p>
  </w:endnote>
  <w:endnote w:type="continuationSeparator" w:id="0">
    <w:p w14:paraId="209DFEC6" w14:textId="77777777" w:rsidR="007B3CFD" w:rsidRDefault="007B3CFD"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21294A0F" w:rsidR="00214013" w:rsidRDefault="00286B32" w:rsidP="00A35800">
    <w:pPr>
      <w:pStyle w:val="Footer"/>
      <w:rPr>
        <w:rStyle w:val="PageNumber"/>
      </w:rPr>
    </w:pPr>
    <w:r>
      <w:rPr>
        <w:noProof/>
      </w:rPr>
      <mc:AlternateContent>
        <mc:Choice Requires="wps">
          <w:drawing>
            <wp:anchor distT="0" distB="0" distL="0" distR="0" simplePos="0" relativeHeight="251662336" behindDoc="0" locked="0" layoutInCell="1" allowOverlap="1" wp14:anchorId="480AE09D" wp14:editId="6C33D426">
              <wp:simplePos x="635" y="635"/>
              <wp:positionH relativeFrom="page">
                <wp:align>center</wp:align>
              </wp:positionH>
              <wp:positionV relativeFrom="page">
                <wp:align>bottom</wp:align>
              </wp:positionV>
              <wp:extent cx="551815" cy="376555"/>
              <wp:effectExtent l="0" t="0" r="635" b="0"/>
              <wp:wrapNone/>
              <wp:docPr id="16953082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946BDC" w14:textId="22FABCC0" w:rsidR="00286B32" w:rsidRPr="00286B32" w:rsidRDefault="00286B32" w:rsidP="00286B32">
                          <w:pPr>
                            <w:spacing w:after="0"/>
                            <w:rPr>
                              <w:rFonts w:ascii="Calibri" w:eastAsia="Calibri" w:hAnsi="Calibri" w:cs="Calibri"/>
                              <w:noProof/>
                              <w:color w:val="FF0000"/>
                            </w:rPr>
                          </w:pPr>
                          <w:r w:rsidRPr="00286B3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AE09D"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52946BDC" w14:textId="22FABCC0" w:rsidR="00286B32" w:rsidRPr="00286B32" w:rsidRDefault="00286B32" w:rsidP="00286B32">
                    <w:pPr>
                      <w:spacing w:after="0"/>
                      <w:rPr>
                        <w:rFonts w:ascii="Calibri" w:eastAsia="Calibri" w:hAnsi="Calibri" w:cs="Calibri"/>
                        <w:noProof/>
                        <w:color w:val="FF0000"/>
                      </w:rPr>
                    </w:pPr>
                    <w:r w:rsidRPr="00286B32">
                      <w:rPr>
                        <w:rFonts w:ascii="Calibri" w:eastAsia="Calibri" w:hAnsi="Calibri" w:cs="Calibri"/>
                        <w:noProof/>
                        <w:color w:val="FF0000"/>
                      </w:rPr>
                      <w:t>OFFICIAL</w:t>
                    </w:r>
                  </w:p>
                </w:txbxContent>
              </v:textbox>
              <w10:wrap anchorx="page" anchory="page"/>
            </v:shape>
          </w:pict>
        </mc:Fallback>
      </mc:AlternateContent>
    </w:r>
    <w:r w:rsidR="00214013">
      <w:rPr>
        <w:rStyle w:val="PageNumber"/>
      </w:rPr>
      <w:fldChar w:fldCharType="begin"/>
    </w:r>
    <w:r w:rsidR="00214013">
      <w:rPr>
        <w:rStyle w:val="PageNumber"/>
      </w:rPr>
      <w:instrText xml:space="preserve">PAGE  </w:instrText>
    </w:r>
    <w:r w:rsidR="00214013">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8634" w14:textId="77777777" w:rsidR="00286B32" w:rsidRDefault="00286B32" w:rsidP="000E72C6">
    <w:pPr>
      <w:pStyle w:val="Footer"/>
      <w:jc w:val="center"/>
    </w:pPr>
    <w:r>
      <w:rPr>
        <w:noProof/>
      </w:rPr>
      <mc:AlternateContent>
        <mc:Choice Requires="wps">
          <w:drawing>
            <wp:anchor distT="0" distB="0" distL="0" distR="0" simplePos="0" relativeHeight="251663360" behindDoc="0" locked="0" layoutInCell="1" allowOverlap="1" wp14:anchorId="2119981B" wp14:editId="5F4C18CC">
              <wp:simplePos x="635" y="635"/>
              <wp:positionH relativeFrom="page">
                <wp:align>center</wp:align>
              </wp:positionH>
              <wp:positionV relativeFrom="page">
                <wp:align>bottom</wp:align>
              </wp:positionV>
              <wp:extent cx="551815" cy="376555"/>
              <wp:effectExtent l="0" t="0" r="635" b="0"/>
              <wp:wrapNone/>
              <wp:docPr id="11757113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C71ECB" w14:textId="541CE3EB" w:rsidR="00286B32" w:rsidRPr="00286B32" w:rsidRDefault="00286B32" w:rsidP="00286B32">
                          <w:pPr>
                            <w:spacing w:after="0"/>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9981B"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2C71ECB" w14:textId="541CE3EB" w:rsidR="00286B32" w:rsidRPr="00286B32" w:rsidRDefault="00286B32" w:rsidP="00286B32">
                    <w:pPr>
                      <w:spacing w:after="0"/>
                      <w:rPr>
                        <w:rFonts w:ascii="Calibri" w:eastAsia="Calibri" w:hAnsi="Calibri" w:cs="Calibri"/>
                        <w:noProof/>
                        <w:color w:val="FF0000"/>
                      </w:rPr>
                    </w:pPr>
                  </w:p>
                </w:txbxContent>
              </v:textbox>
              <w10:wrap anchorx="page" anchory="page"/>
            </v:shape>
          </w:pict>
        </mc:Fallback>
      </mc:AlternateContent>
    </w:r>
  </w:p>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0682B98" w14:textId="7FA30BEF" w:rsidR="000E72C6" w:rsidRPr="000E72C6" w:rsidRDefault="00302864" w:rsidP="000E72C6">
            <w:pPr>
              <w:pStyle w:val="Footer"/>
              <w:jc w:val="center"/>
              <w:rPr>
                <w:i/>
                <w:sz w:val="20"/>
              </w:rPr>
            </w:pPr>
            <w:r>
              <w:rPr>
                <w:i/>
                <w:sz w:val="20"/>
              </w:rPr>
              <w:t>Public Release Document</w:t>
            </w:r>
            <w:r w:rsidR="00D42D93">
              <w:rPr>
                <w:i/>
                <w:sz w:val="20"/>
              </w:rPr>
              <w:t>, October 2025 DUSC</w:t>
            </w:r>
            <w:r w:rsidR="00EA3535">
              <w:rPr>
                <w:i/>
                <w:sz w:val="20"/>
              </w:rPr>
              <w:t xml:space="preserve"> Meeting</w:t>
            </w:r>
          </w:p>
          <w:p w14:paraId="10292A9A" w14:textId="628273A4"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F0A4E">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F0A4E">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138AAA86" w:rsidR="007A5733" w:rsidRDefault="00286B32" w:rsidP="007A5733">
    <w:pPr>
      <w:pStyle w:val="Footer"/>
      <w:jc w:val="center"/>
      <w:rPr>
        <w:rStyle w:val="PageNumber"/>
      </w:rPr>
    </w:pPr>
    <w:r>
      <w:rPr>
        <w:noProof/>
      </w:rPr>
      <mc:AlternateContent>
        <mc:Choice Requires="wps">
          <w:drawing>
            <wp:anchor distT="0" distB="0" distL="0" distR="0" simplePos="0" relativeHeight="251661312" behindDoc="0" locked="0" layoutInCell="1" allowOverlap="1" wp14:anchorId="49BC8DE7" wp14:editId="22499275">
              <wp:simplePos x="635" y="635"/>
              <wp:positionH relativeFrom="page">
                <wp:align>center</wp:align>
              </wp:positionH>
              <wp:positionV relativeFrom="page">
                <wp:align>bottom</wp:align>
              </wp:positionV>
              <wp:extent cx="551815" cy="376555"/>
              <wp:effectExtent l="0" t="0" r="635" b="0"/>
              <wp:wrapNone/>
              <wp:docPr id="10156725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AAD884" w14:textId="134141CF" w:rsidR="00286B32" w:rsidRPr="00286B32" w:rsidRDefault="00286B32" w:rsidP="00286B32">
                          <w:pPr>
                            <w:spacing w:after="0"/>
                            <w:rPr>
                              <w:rFonts w:ascii="Calibri" w:eastAsia="Calibri" w:hAnsi="Calibri" w:cs="Calibri"/>
                              <w:noProof/>
                              <w:color w:val="FF0000"/>
                            </w:rPr>
                          </w:pPr>
                          <w:r w:rsidRPr="00286B3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C8DE7"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76AAD884" w14:textId="134141CF" w:rsidR="00286B32" w:rsidRPr="00286B32" w:rsidRDefault="00286B32" w:rsidP="00286B32">
                    <w:pPr>
                      <w:spacing w:after="0"/>
                      <w:rPr>
                        <w:rFonts w:ascii="Calibri" w:eastAsia="Calibri" w:hAnsi="Calibri" w:cs="Calibri"/>
                        <w:noProof/>
                        <w:color w:val="FF0000"/>
                      </w:rPr>
                    </w:pPr>
                    <w:r w:rsidRPr="00286B32">
                      <w:rPr>
                        <w:rFonts w:ascii="Calibri" w:eastAsia="Calibri" w:hAnsi="Calibri" w:cs="Calibri"/>
                        <w:noProof/>
                        <w:color w:val="FF0000"/>
                      </w:rPr>
                      <w:t>OFFICIAL</w:t>
                    </w:r>
                  </w:p>
                </w:txbxContent>
              </v:textbox>
              <w10:wrap anchorx="page" anchory="page"/>
            </v:shape>
          </w:pict>
        </mc:Fallback>
      </mc:AlternateContent>
    </w:r>
    <w:r w:rsidR="007A5733">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EFC2" w14:textId="77777777" w:rsidR="007B3CFD" w:rsidRDefault="007B3CFD" w:rsidP="00A35800">
      <w:r>
        <w:separator/>
      </w:r>
    </w:p>
  </w:footnote>
  <w:footnote w:type="continuationSeparator" w:id="0">
    <w:p w14:paraId="557BE63C" w14:textId="77777777" w:rsidR="007B3CFD" w:rsidRDefault="007B3CFD" w:rsidP="00A35800">
      <w:r>
        <w:continuationSeparator/>
      </w:r>
    </w:p>
  </w:footnote>
  <w:footnote w:id="1">
    <w:p w14:paraId="067EBC0D" w14:textId="3EA70B55" w:rsidR="0063767B" w:rsidRDefault="0063767B">
      <w:pPr>
        <w:pStyle w:val="FootnoteText"/>
      </w:pPr>
      <w:r>
        <w:rPr>
          <w:rStyle w:val="FootnoteReference"/>
        </w:rPr>
        <w:footnoteRef/>
      </w:r>
      <w:r>
        <w:t xml:space="preserve"> </w:t>
      </w:r>
      <w:r w:rsidRPr="009A3538">
        <w:t>Wisniowski B, McLeod D, Adams R, Harvey Y, Armes J, Papadimos D, Brown I, McGuire L, Mollee P. The epidemiology of amyloidosis in Australia. Amyloid. 2019;26(sup1):132-133. doi: 10.1080/13506129.2019.1582481.</w:t>
      </w:r>
    </w:p>
  </w:footnote>
  <w:footnote w:id="2">
    <w:p w14:paraId="08299364" w14:textId="77777777" w:rsidR="003D241B" w:rsidRPr="00942C07" w:rsidRDefault="003D241B" w:rsidP="003D241B">
      <w:pPr>
        <w:pStyle w:val="Tablewriting"/>
      </w:pPr>
      <w:r w:rsidRPr="008142B4">
        <w:rPr>
          <w:rStyle w:val="FootnoteReference"/>
          <w:szCs w:val="18"/>
        </w:rPr>
        <w:footnoteRef/>
      </w:r>
      <w:r w:rsidRPr="008142B4">
        <w:rPr>
          <w:szCs w:val="18"/>
        </w:rPr>
        <w:t xml:space="preserve"> </w:t>
      </w:r>
      <w:r w:rsidRPr="0098071F">
        <w:t>Darzalex SC</w:t>
      </w:r>
      <w:r>
        <w:t xml:space="preserve"> </w:t>
      </w:r>
      <w:r>
        <w:rPr>
          <w:szCs w:val="18"/>
        </w:rPr>
        <w:t>(dartumumab). Australian Approved Product Information. Macquarie Park: Janssen-Cilag Pty Ltd. Approved 8 September 2020, updated 29 November 2024. Available from &lt;</w:t>
      </w:r>
      <w:r w:rsidRPr="00CD4486">
        <w:t xml:space="preserve"> </w:t>
      </w:r>
      <w:r w:rsidRPr="00CD4486">
        <w:rPr>
          <w:szCs w:val="18"/>
        </w:rPr>
        <w:t>https://www.tga.gov.au/product-information-pi</w:t>
      </w:r>
      <w:r>
        <w:rPr>
          <w:szCs w:val="18"/>
        </w:rPr>
        <w:t>.&gt;</w:t>
      </w:r>
    </w:p>
  </w:footnote>
  <w:footnote w:id="3">
    <w:p w14:paraId="0A4DD767" w14:textId="6B3A91EE" w:rsidR="00576B18" w:rsidRPr="00BC5AE2" w:rsidRDefault="00576B18" w:rsidP="00576B18">
      <w:pPr>
        <w:pStyle w:val="FootnoteText"/>
        <w:rPr>
          <w:sz w:val="20"/>
        </w:rPr>
      </w:pPr>
      <w:r w:rsidRPr="00BC5AE2">
        <w:rPr>
          <w:rStyle w:val="FootnoteReference"/>
          <w:sz w:val="20"/>
        </w:rPr>
        <w:footnoteRef/>
      </w:r>
      <w:r w:rsidRPr="00BC5AE2">
        <w:rPr>
          <w:sz w:val="20"/>
        </w:rPr>
        <w:t xml:space="preserve"> PBS statistics</w:t>
      </w:r>
      <w:r>
        <w:rPr>
          <w:sz w:val="20"/>
        </w:rPr>
        <w:t xml:space="preserve">. Australian Government </w:t>
      </w:r>
      <w:r w:rsidR="006804E0" w:rsidRPr="006804E0">
        <w:rPr>
          <w:sz w:val="20"/>
        </w:rPr>
        <w:t>Services Australia</w:t>
      </w:r>
      <w:r>
        <w:rPr>
          <w:sz w:val="20"/>
        </w:rPr>
        <w:t>. Canberra. Available from &lt;</w:t>
      </w:r>
      <w:hyperlink r:id="rId1" w:history="1">
        <w:r>
          <w:rPr>
            <w:rStyle w:val="Hyperlink"/>
            <w:sz w:val="20"/>
          </w:rPr>
          <w:t>http://www.medicareaustralia.gov.au/provider/pbs/stats.jsp</w:t>
        </w:r>
      </w:hyperlink>
      <w:r>
        <w:rPr>
          <w:sz w:val="20"/>
        </w:rPr>
        <w:t>&gt;.</w:t>
      </w:r>
    </w:p>
  </w:footnote>
  <w:footnote w:id="4">
    <w:p w14:paraId="3D63517F" w14:textId="77777777" w:rsidR="00BD6502" w:rsidRDefault="00BD6502" w:rsidP="00BD6502">
      <w:r>
        <w:rPr>
          <w:rStyle w:val="FootnoteReference"/>
        </w:rPr>
        <w:footnoteRef/>
      </w:r>
      <w:r>
        <w:t xml:space="preserve"> </w:t>
      </w:r>
      <w:r w:rsidRPr="00F42F0E">
        <w:rPr>
          <w:sz w:val="20"/>
          <w:szCs w:val="20"/>
        </w:rPr>
        <w:t>Quock TP, Yan T, Chang E, Guthrie S, Broder MS. Healthcare resource utilization and costs in amyloid light-chain amyloidosis: a real-world study using US claims data. J Comp Eff Res. 2018 Jun;7(6):549-559.</w:t>
      </w:r>
      <w:r w:rsidRPr="00FC199D">
        <w:t xml:space="preserve"> </w:t>
      </w:r>
    </w:p>
  </w:footnote>
  <w:footnote w:id="5">
    <w:p w14:paraId="62ADE7AE" w14:textId="77777777" w:rsidR="00FA6DB9" w:rsidRDefault="00FA6DB9" w:rsidP="00FA6DB9">
      <w:pPr>
        <w:pStyle w:val="FootnoteText"/>
      </w:pPr>
      <w:r>
        <w:rPr>
          <w:rStyle w:val="FootnoteReference"/>
        </w:rPr>
        <w:footnoteRef/>
      </w:r>
      <w:r>
        <w:t xml:space="preserve"> </w:t>
      </w:r>
      <w:r w:rsidRPr="00301B68">
        <w:t xml:space="preserve">Yohannan B, Rees M, Gertz MA, Dispenzieri A, Kapoor P, Buadi FK, Dingli D, Leung N, Lacy MQ, Hayman SR, Gonsalves W, Kourelis T, Cook J, Binder M, Siddiqui M, Lin Y, Hwa L, Rogers MG, Hobbs M, Fonder A, Warsame R, Rajkumar SV, Kumar SK, Muchtar E. Improved survival with daratumumab-CyBorD compared with CyBorD as frontline therapy for AL amyloidosis. Blood Neoplasia. 2025 Mar 10;2(2):100092. doi: 10.1016/j.bneo.2025.100092. </w:t>
      </w:r>
    </w:p>
  </w:footnote>
  <w:footnote w:id="6">
    <w:p w14:paraId="5A66484F" w14:textId="77777777" w:rsidR="001369D9" w:rsidRDefault="001369D9" w:rsidP="001369D9">
      <w:pPr>
        <w:pStyle w:val="FootnoteText"/>
      </w:pPr>
      <w:r>
        <w:rPr>
          <w:rStyle w:val="FootnoteReference"/>
        </w:rPr>
        <w:footnoteRef/>
      </w:r>
      <w:r>
        <w:t xml:space="preserve"> </w:t>
      </w:r>
      <w:r w:rsidRPr="00474163">
        <w:t>Wechalekar AD, Fontana M, Quarta CC, Liedtke M. AL Amyloidosis for Cardiologists: Awareness, Diagnosis, and Future Prospects: </w:t>
      </w:r>
      <w:r w:rsidRPr="00474163">
        <w:rPr>
          <w:i/>
          <w:iCs/>
        </w:rPr>
        <w:t>JACC: CardioOncology</w:t>
      </w:r>
      <w:r w:rsidRPr="00474163">
        <w:t> State-of-the-Art Review. JACC CardioOncol. 2022 Nov 15;4(4):427-441. doi: 10.1016/j.jaccao.2022.08.009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A9E0" w14:textId="6B83857C" w:rsidR="00286B32" w:rsidRDefault="00286B32">
    <w:pPr>
      <w:pStyle w:val="Header"/>
    </w:pPr>
    <w:r>
      <w:rPr>
        <w:noProof/>
      </w:rPr>
      <mc:AlternateContent>
        <mc:Choice Requires="wps">
          <w:drawing>
            <wp:anchor distT="0" distB="0" distL="0" distR="0" simplePos="0" relativeHeight="251659264" behindDoc="0" locked="0" layoutInCell="1" allowOverlap="1" wp14:anchorId="2FA4CA01" wp14:editId="70EE00B8">
              <wp:simplePos x="635" y="635"/>
              <wp:positionH relativeFrom="page">
                <wp:align>center</wp:align>
              </wp:positionH>
              <wp:positionV relativeFrom="page">
                <wp:align>top</wp:align>
              </wp:positionV>
              <wp:extent cx="551815" cy="376555"/>
              <wp:effectExtent l="0" t="0" r="635" b="4445"/>
              <wp:wrapNone/>
              <wp:docPr id="2911656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327230" w14:textId="0A537F3F" w:rsidR="00286B32" w:rsidRPr="00286B32" w:rsidRDefault="00286B32" w:rsidP="00286B32">
                          <w:pPr>
                            <w:spacing w:after="0"/>
                            <w:rPr>
                              <w:rFonts w:ascii="Calibri" w:eastAsia="Calibri" w:hAnsi="Calibri" w:cs="Calibri"/>
                              <w:noProof/>
                              <w:color w:val="FF0000"/>
                            </w:rPr>
                          </w:pPr>
                          <w:r w:rsidRPr="00286B3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4CA0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0327230" w14:textId="0A537F3F" w:rsidR="00286B32" w:rsidRPr="00286B32" w:rsidRDefault="00286B32" w:rsidP="00286B32">
                    <w:pPr>
                      <w:spacing w:after="0"/>
                      <w:rPr>
                        <w:rFonts w:ascii="Calibri" w:eastAsia="Calibri" w:hAnsi="Calibri" w:cs="Calibri"/>
                        <w:noProof/>
                        <w:color w:val="FF0000"/>
                      </w:rPr>
                    </w:pPr>
                    <w:r w:rsidRPr="00286B3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F15D" w14:textId="77777777" w:rsidR="00FB77FA" w:rsidRDefault="00FB7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3B9F" w14:textId="048512CE" w:rsidR="00286B32" w:rsidRDefault="00286B32">
    <w:pPr>
      <w:pStyle w:val="Header"/>
    </w:pPr>
    <w:r>
      <w:rPr>
        <w:noProof/>
      </w:rPr>
      <mc:AlternateContent>
        <mc:Choice Requires="wps">
          <w:drawing>
            <wp:anchor distT="0" distB="0" distL="0" distR="0" simplePos="0" relativeHeight="251658240" behindDoc="0" locked="0" layoutInCell="1" allowOverlap="1" wp14:anchorId="002F278E" wp14:editId="6B2DAFCE">
              <wp:simplePos x="635" y="635"/>
              <wp:positionH relativeFrom="page">
                <wp:align>center</wp:align>
              </wp:positionH>
              <wp:positionV relativeFrom="page">
                <wp:align>top</wp:align>
              </wp:positionV>
              <wp:extent cx="551815" cy="376555"/>
              <wp:effectExtent l="0" t="0" r="635" b="4445"/>
              <wp:wrapNone/>
              <wp:docPr id="3759424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DE55F7" w14:textId="5194B487" w:rsidR="00286B32" w:rsidRPr="00286B32" w:rsidRDefault="00286B32" w:rsidP="00286B32">
                          <w:pPr>
                            <w:spacing w:after="0"/>
                            <w:rPr>
                              <w:rFonts w:ascii="Calibri" w:eastAsia="Calibri" w:hAnsi="Calibri" w:cs="Calibri"/>
                              <w:noProof/>
                              <w:color w:val="FF0000"/>
                            </w:rPr>
                          </w:pPr>
                          <w:r w:rsidRPr="00286B3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F278E"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29DE55F7" w14:textId="5194B487" w:rsidR="00286B32" w:rsidRPr="00286B32" w:rsidRDefault="00286B32" w:rsidP="00286B32">
                    <w:pPr>
                      <w:spacing w:after="0"/>
                      <w:rPr>
                        <w:rFonts w:ascii="Calibri" w:eastAsia="Calibri" w:hAnsi="Calibri" w:cs="Calibri"/>
                        <w:noProof/>
                        <w:color w:val="FF0000"/>
                      </w:rPr>
                    </w:pPr>
                    <w:r w:rsidRPr="00286B3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74"/>
    <w:multiLevelType w:val="hybridMultilevel"/>
    <w:tmpl w:val="3D2E63E4"/>
    <w:lvl w:ilvl="0" w:tplc="0F9659F2">
      <w:start w:val="1"/>
      <w:numFmt w:val="bullet"/>
      <w:lvlText w:val="-"/>
      <w:lvlJc w:val="left"/>
      <w:pPr>
        <w:ind w:left="1440" w:hanging="360"/>
      </w:pPr>
      <w:rPr>
        <w:rFonts w:ascii="Times New Roman" w:hAnsi="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9DC6DA4"/>
    <w:multiLevelType w:val="hybridMultilevel"/>
    <w:tmpl w:val="E03E292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9A7367"/>
    <w:multiLevelType w:val="multilevel"/>
    <w:tmpl w:val="32A6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26E8F"/>
    <w:multiLevelType w:val="hybridMultilevel"/>
    <w:tmpl w:val="5BE00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47BAC"/>
    <w:multiLevelType w:val="multilevel"/>
    <w:tmpl w:val="7C6C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C711B"/>
    <w:multiLevelType w:val="hybridMultilevel"/>
    <w:tmpl w:val="EB06D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463D7"/>
    <w:multiLevelType w:val="hybridMultilevel"/>
    <w:tmpl w:val="56264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793558"/>
    <w:multiLevelType w:val="hybridMultilevel"/>
    <w:tmpl w:val="607CC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675F03"/>
    <w:multiLevelType w:val="hybridMultilevel"/>
    <w:tmpl w:val="6D0E32A4"/>
    <w:lvl w:ilvl="0" w:tplc="0F9659F2">
      <w:start w:val="1"/>
      <w:numFmt w:val="bullet"/>
      <w:lvlText w:val="-"/>
      <w:lvlJc w:val="left"/>
      <w:pPr>
        <w:ind w:left="1440" w:hanging="360"/>
      </w:pPr>
      <w:rPr>
        <w:rFonts w:ascii="Times New Roman" w:hAnsi="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7B45768"/>
    <w:multiLevelType w:val="multilevel"/>
    <w:tmpl w:val="0F08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F57D8F"/>
    <w:multiLevelType w:val="multilevel"/>
    <w:tmpl w:val="56EC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572F3"/>
    <w:multiLevelType w:val="hybridMultilevel"/>
    <w:tmpl w:val="E98A1B62"/>
    <w:lvl w:ilvl="0" w:tplc="0F9659F2">
      <w:start w:val="1"/>
      <w:numFmt w:val="bullet"/>
      <w:lvlText w:val="-"/>
      <w:lvlJc w:val="left"/>
      <w:pPr>
        <w:ind w:left="1440" w:hanging="360"/>
      </w:pPr>
      <w:rPr>
        <w:rFonts w:ascii="Times New Roman" w:hAnsi="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C2A61FD"/>
    <w:multiLevelType w:val="hybridMultilevel"/>
    <w:tmpl w:val="FD8EE38E"/>
    <w:lvl w:ilvl="0" w:tplc="0F9659F2">
      <w:start w:val="1"/>
      <w:numFmt w:val="bullet"/>
      <w:lvlText w:val="-"/>
      <w:lvlJc w:val="left"/>
      <w:pPr>
        <w:ind w:left="1440" w:hanging="360"/>
      </w:pPr>
      <w:rPr>
        <w:rFonts w:ascii="Times New Roman" w:hAnsi="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C542956"/>
    <w:multiLevelType w:val="multilevel"/>
    <w:tmpl w:val="E7FC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64D39"/>
    <w:multiLevelType w:val="multilevel"/>
    <w:tmpl w:val="AFA6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D3458"/>
    <w:multiLevelType w:val="hybridMultilevel"/>
    <w:tmpl w:val="7EC854EC"/>
    <w:lvl w:ilvl="0" w:tplc="0F9659F2">
      <w:start w:val="1"/>
      <w:numFmt w:val="bullet"/>
      <w:lvlText w:val="-"/>
      <w:lvlJc w:val="left"/>
      <w:pPr>
        <w:ind w:left="1440" w:hanging="360"/>
      </w:pPr>
      <w:rPr>
        <w:rFonts w:ascii="Times New Roman" w:hAnsi="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AF85A55"/>
    <w:multiLevelType w:val="hybridMultilevel"/>
    <w:tmpl w:val="96246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F65D36"/>
    <w:multiLevelType w:val="hybridMultilevel"/>
    <w:tmpl w:val="2EAE169A"/>
    <w:lvl w:ilvl="0" w:tplc="B87C1BC0">
      <w:start w:val="2"/>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8434EA"/>
    <w:multiLevelType w:val="hybridMultilevel"/>
    <w:tmpl w:val="89423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AB65B2"/>
    <w:multiLevelType w:val="multilevel"/>
    <w:tmpl w:val="385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3C70D53"/>
    <w:multiLevelType w:val="multilevel"/>
    <w:tmpl w:val="B626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511F7"/>
    <w:multiLevelType w:val="hybridMultilevel"/>
    <w:tmpl w:val="B424749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C05F83"/>
    <w:multiLevelType w:val="hybridMultilevel"/>
    <w:tmpl w:val="D278EC0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BBC58EC"/>
    <w:multiLevelType w:val="hybridMultilevel"/>
    <w:tmpl w:val="9B34B424"/>
    <w:lvl w:ilvl="0" w:tplc="461CEBA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6D301DCE"/>
    <w:multiLevelType w:val="hybridMultilevel"/>
    <w:tmpl w:val="4DFAE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880EB7"/>
    <w:multiLevelType w:val="hybridMultilevel"/>
    <w:tmpl w:val="8BF47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3EE3527"/>
    <w:multiLevelType w:val="hybridMultilevel"/>
    <w:tmpl w:val="1C58A04C"/>
    <w:lvl w:ilvl="0" w:tplc="4E98A624">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774F70A5"/>
    <w:multiLevelType w:val="hybridMultilevel"/>
    <w:tmpl w:val="86FE5FE8"/>
    <w:lvl w:ilvl="0" w:tplc="0F9659F2">
      <w:start w:val="1"/>
      <w:numFmt w:val="bullet"/>
      <w:lvlText w:val="-"/>
      <w:lvlJc w:val="left"/>
      <w:pPr>
        <w:ind w:left="1440" w:hanging="360"/>
      </w:pPr>
      <w:rPr>
        <w:rFonts w:ascii="Times New Roman" w:hAnsi="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5918918">
    <w:abstractNumId w:val="27"/>
  </w:num>
  <w:num w:numId="2" w16cid:durableId="1894611161">
    <w:abstractNumId w:val="21"/>
  </w:num>
  <w:num w:numId="3" w16cid:durableId="1049260048">
    <w:abstractNumId w:val="10"/>
  </w:num>
  <w:num w:numId="4" w16cid:durableId="967970696">
    <w:abstractNumId w:val="20"/>
  </w:num>
  <w:num w:numId="5" w16cid:durableId="456878491">
    <w:abstractNumId w:val="2"/>
  </w:num>
  <w:num w:numId="6" w16cid:durableId="474494749">
    <w:abstractNumId w:val="9"/>
  </w:num>
  <w:num w:numId="7" w16cid:durableId="1011831327">
    <w:abstractNumId w:val="4"/>
  </w:num>
  <w:num w:numId="8" w16cid:durableId="1640070871">
    <w:abstractNumId w:val="11"/>
  </w:num>
  <w:num w:numId="9" w16cid:durableId="1644771323">
    <w:abstractNumId w:val="14"/>
  </w:num>
  <w:num w:numId="10" w16cid:durableId="508178954">
    <w:abstractNumId w:val="15"/>
  </w:num>
  <w:num w:numId="11" w16cid:durableId="2095005226">
    <w:abstractNumId w:val="22"/>
  </w:num>
  <w:num w:numId="12" w16cid:durableId="1615357820">
    <w:abstractNumId w:val="19"/>
  </w:num>
  <w:num w:numId="13" w16cid:durableId="1069158110">
    <w:abstractNumId w:val="3"/>
  </w:num>
  <w:num w:numId="14" w16cid:durableId="1631934221">
    <w:abstractNumId w:val="18"/>
  </w:num>
  <w:num w:numId="15" w16cid:durableId="1077826198">
    <w:abstractNumId w:val="1"/>
  </w:num>
  <w:num w:numId="16" w16cid:durableId="730693456">
    <w:abstractNumId w:val="23"/>
  </w:num>
  <w:num w:numId="17" w16cid:durableId="809707152">
    <w:abstractNumId w:val="30"/>
  </w:num>
  <w:num w:numId="18" w16cid:durableId="1551456748">
    <w:abstractNumId w:val="24"/>
  </w:num>
  <w:num w:numId="19" w16cid:durableId="195000121">
    <w:abstractNumId w:val="5"/>
  </w:num>
  <w:num w:numId="20" w16cid:durableId="1401902280">
    <w:abstractNumId w:val="17"/>
  </w:num>
  <w:num w:numId="21" w16cid:durableId="228618197">
    <w:abstractNumId w:val="6"/>
  </w:num>
  <w:num w:numId="22" w16cid:durableId="1828396189">
    <w:abstractNumId w:val="29"/>
  </w:num>
  <w:num w:numId="23" w16cid:durableId="765881895">
    <w:abstractNumId w:val="12"/>
  </w:num>
  <w:num w:numId="24" w16cid:durableId="425275546">
    <w:abstractNumId w:val="13"/>
  </w:num>
  <w:num w:numId="25" w16cid:durableId="789322308">
    <w:abstractNumId w:val="16"/>
  </w:num>
  <w:num w:numId="26" w16cid:durableId="250430208">
    <w:abstractNumId w:val="8"/>
  </w:num>
  <w:num w:numId="27" w16cid:durableId="1519657455">
    <w:abstractNumId w:val="0"/>
  </w:num>
  <w:num w:numId="28" w16cid:durableId="199976517">
    <w:abstractNumId w:val="25"/>
  </w:num>
  <w:num w:numId="29" w16cid:durableId="260453980">
    <w:abstractNumId w:val="28"/>
  </w:num>
  <w:num w:numId="30" w16cid:durableId="1482187548">
    <w:abstractNumId w:val="26"/>
  </w:num>
  <w:num w:numId="31" w16cid:durableId="261882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3950"/>
    <w:rsid w:val="0000699C"/>
    <w:rsid w:val="00007E85"/>
    <w:rsid w:val="0001318D"/>
    <w:rsid w:val="00013465"/>
    <w:rsid w:val="00014079"/>
    <w:rsid w:val="000226B3"/>
    <w:rsid w:val="00024549"/>
    <w:rsid w:val="0002736B"/>
    <w:rsid w:val="0004040E"/>
    <w:rsid w:val="00051029"/>
    <w:rsid w:val="000544B6"/>
    <w:rsid w:val="00055D8D"/>
    <w:rsid w:val="000604AF"/>
    <w:rsid w:val="00062773"/>
    <w:rsid w:val="0006455D"/>
    <w:rsid w:val="0006681C"/>
    <w:rsid w:val="00074A9C"/>
    <w:rsid w:val="000764CB"/>
    <w:rsid w:val="000852C2"/>
    <w:rsid w:val="00085301"/>
    <w:rsid w:val="00086C11"/>
    <w:rsid w:val="00086D7E"/>
    <w:rsid w:val="0009306C"/>
    <w:rsid w:val="00094DCF"/>
    <w:rsid w:val="000A2BC6"/>
    <w:rsid w:val="000A6CFD"/>
    <w:rsid w:val="000B0982"/>
    <w:rsid w:val="000B2F22"/>
    <w:rsid w:val="000B303A"/>
    <w:rsid w:val="000B70F0"/>
    <w:rsid w:val="000B796C"/>
    <w:rsid w:val="000C00D2"/>
    <w:rsid w:val="000C0307"/>
    <w:rsid w:val="000C1A3A"/>
    <w:rsid w:val="000C1B9E"/>
    <w:rsid w:val="000C46BB"/>
    <w:rsid w:val="000C4D9D"/>
    <w:rsid w:val="000C6168"/>
    <w:rsid w:val="000C7C4B"/>
    <w:rsid w:val="000C7D8B"/>
    <w:rsid w:val="000D217B"/>
    <w:rsid w:val="000D41C0"/>
    <w:rsid w:val="000D671F"/>
    <w:rsid w:val="000D6A28"/>
    <w:rsid w:val="000E3AAA"/>
    <w:rsid w:val="000E485D"/>
    <w:rsid w:val="000E5036"/>
    <w:rsid w:val="000E72C6"/>
    <w:rsid w:val="000F1893"/>
    <w:rsid w:val="000F2F51"/>
    <w:rsid w:val="000F6086"/>
    <w:rsid w:val="00113CF8"/>
    <w:rsid w:val="00113D74"/>
    <w:rsid w:val="00117C5C"/>
    <w:rsid w:val="001210A7"/>
    <w:rsid w:val="00126ACB"/>
    <w:rsid w:val="00127842"/>
    <w:rsid w:val="001302F9"/>
    <w:rsid w:val="001310AE"/>
    <w:rsid w:val="0013543C"/>
    <w:rsid w:val="001369D9"/>
    <w:rsid w:val="00136EBF"/>
    <w:rsid w:val="001420B3"/>
    <w:rsid w:val="00143AB5"/>
    <w:rsid w:val="001460C4"/>
    <w:rsid w:val="00146DCA"/>
    <w:rsid w:val="001516EB"/>
    <w:rsid w:val="00155AF9"/>
    <w:rsid w:val="00155BF2"/>
    <w:rsid w:val="0015691C"/>
    <w:rsid w:val="00160C2A"/>
    <w:rsid w:val="00160C30"/>
    <w:rsid w:val="001621F7"/>
    <w:rsid w:val="001624D7"/>
    <w:rsid w:val="00174C27"/>
    <w:rsid w:val="00175FEE"/>
    <w:rsid w:val="00177B86"/>
    <w:rsid w:val="00182585"/>
    <w:rsid w:val="00191182"/>
    <w:rsid w:val="00195481"/>
    <w:rsid w:val="0019664D"/>
    <w:rsid w:val="001A1E36"/>
    <w:rsid w:val="001A6103"/>
    <w:rsid w:val="001A777D"/>
    <w:rsid w:val="001B11A7"/>
    <w:rsid w:val="001B5D37"/>
    <w:rsid w:val="001C2940"/>
    <w:rsid w:val="001C4016"/>
    <w:rsid w:val="001C492F"/>
    <w:rsid w:val="001C548D"/>
    <w:rsid w:val="001C6A5D"/>
    <w:rsid w:val="001D3BD4"/>
    <w:rsid w:val="001D539B"/>
    <w:rsid w:val="001D7FCB"/>
    <w:rsid w:val="001E31A6"/>
    <w:rsid w:val="001E42C7"/>
    <w:rsid w:val="001E4CAB"/>
    <w:rsid w:val="001F0A4E"/>
    <w:rsid w:val="001F2330"/>
    <w:rsid w:val="001F2F3E"/>
    <w:rsid w:val="001F4906"/>
    <w:rsid w:val="001F618B"/>
    <w:rsid w:val="001F7C4A"/>
    <w:rsid w:val="002007E0"/>
    <w:rsid w:val="00200AA9"/>
    <w:rsid w:val="0020578A"/>
    <w:rsid w:val="00207631"/>
    <w:rsid w:val="002104FA"/>
    <w:rsid w:val="002132E1"/>
    <w:rsid w:val="00213F0A"/>
    <w:rsid w:val="00214013"/>
    <w:rsid w:val="00220FC1"/>
    <w:rsid w:val="00221A83"/>
    <w:rsid w:val="00222940"/>
    <w:rsid w:val="00222E9A"/>
    <w:rsid w:val="002257EF"/>
    <w:rsid w:val="00227D8F"/>
    <w:rsid w:val="0023179D"/>
    <w:rsid w:val="00233858"/>
    <w:rsid w:val="00237BB0"/>
    <w:rsid w:val="00247153"/>
    <w:rsid w:val="00250F3A"/>
    <w:rsid w:val="0025389D"/>
    <w:rsid w:val="00254E02"/>
    <w:rsid w:val="00255814"/>
    <w:rsid w:val="00260875"/>
    <w:rsid w:val="0026117B"/>
    <w:rsid w:val="0026265F"/>
    <w:rsid w:val="002772EA"/>
    <w:rsid w:val="00286B32"/>
    <w:rsid w:val="00286C3A"/>
    <w:rsid w:val="00287087"/>
    <w:rsid w:val="00287C11"/>
    <w:rsid w:val="002930F5"/>
    <w:rsid w:val="0029656E"/>
    <w:rsid w:val="002A06B7"/>
    <w:rsid w:val="002A7012"/>
    <w:rsid w:val="002B6D56"/>
    <w:rsid w:val="002C6E0C"/>
    <w:rsid w:val="002C741B"/>
    <w:rsid w:val="002C74B9"/>
    <w:rsid w:val="002D144A"/>
    <w:rsid w:val="002E19A3"/>
    <w:rsid w:val="002E212B"/>
    <w:rsid w:val="002E27FC"/>
    <w:rsid w:val="002E3337"/>
    <w:rsid w:val="002E40DF"/>
    <w:rsid w:val="002E4C6C"/>
    <w:rsid w:val="002E6D03"/>
    <w:rsid w:val="002F0703"/>
    <w:rsid w:val="002F49A8"/>
    <w:rsid w:val="002F5E66"/>
    <w:rsid w:val="002F61CA"/>
    <w:rsid w:val="0030010D"/>
    <w:rsid w:val="0030033F"/>
    <w:rsid w:val="00301B68"/>
    <w:rsid w:val="00302864"/>
    <w:rsid w:val="00311DAB"/>
    <w:rsid w:val="00312389"/>
    <w:rsid w:val="003144D1"/>
    <w:rsid w:val="00316ED0"/>
    <w:rsid w:val="00320665"/>
    <w:rsid w:val="003224C2"/>
    <w:rsid w:val="0033504C"/>
    <w:rsid w:val="00336816"/>
    <w:rsid w:val="003370D0"/>
    <w:rsid w:val="00337355"/>
    <w:rsid w:val="003402E4"/>
    <w:rsid w:val="00340F95"/>
    <w:rsid w:val="00341DFC"/>
    <w:rsid w:val="00342F44"/>
    <w:rsid w:val="00343AED"/>
    <w:rsid w:val="00345573"/>
    <w:rsid w:val="003467C7"/>
    <w:rsid w:val="0034729C"/>
    <w:rsid w:val="0035050F"/>
    <w:rsid w:val="003531ED"/>
    <w:rsid w:val="00360B9A"/>
    <w:rsid w:val="003620C3"/>
    <w:rsid w:val="00362F56"/>
    <w:rsid w:val="003757DF"/>
    <w:rsid w:val="00376C7D"/>
    <w:rsid w:val="0039017F"/>
    <w:rsid w:val="003949F2"/>
    <w:rsid w:val="00394AEE"/>
    <w:rsid w:val="00394CB6"/>
    <w:rsid w:val="003A5BAC"/>
    <w:rsid w:val="003C21F0"/>
    <w:rsid w:val="003C2C7B"/>
    <w:rsid w:val="003C2D98"/>
    <w:rsid w:val="003C4426"/>
    <w:rsid w:val="003C50F9"/>
    <w:rsid w:val="003C6793"/>
    <w:rsid w:val="003D050F"/>
    <w:rsid w:val="003D241B"/>
    <w:rsid w:val="003D2B71"/>
    <w:rsid w:val="003D3A96"/>
    <w:rsid w:val="003D3B9C"/>
    <w:rsid w:val="003E104D"/>
    <w:rsid w:val="00404F03"/>
    <w:rsid w:val="00405C70"/>
    <w:rsid w:val="00411794"/>
    <w:rsid w:val="00412051"/>
    <w:rsid w:val="004168D7"/>
    <w:rsid w:val="00423B94"/>
    <w:rsid w:val="00424FC1"/>
    <w:rsid w:val="004320B1"/>
    <w:rsid w:val="0043227E"/>
    <w:rsid w:val="00434C02"/>
    <w:rsid w:val="00446FA4"/>
    <w:rsid w:val="0045648C"/>
    <w:rsid w:val="004620EE"/>
    <w:rsid w:val="00463731"/>
    <w:rsid w:val="0046400A"/>
    <w:rsid w:val="00467B25"/>
    <w:rsid w:val="00470A8E"/>
    <w:rsid w:val="00476BCA"/>
    <w:rsid w:val="00481108"/>
    <w:rsid w:val="00483BEC"/>
    <w:rsid w:val="00487BE9"/>
    <w:rsid w:val="0049042B"/>
    <w:rsid w:val="004937ED"/>
    <w:rsid w:val="00495473"/>
    <w:rsid w:val="004A308D"/>
    <w:rsid w:val="004A458E"/>
    <w:rsid w:val="004A50F7"/>
    <w:rsid w:val="004A74DD"/>
    <w:rsid w:val="004B23E7"/>
    <w:rsid w:val="004B306F"/>
    <w:rsid w:val="004B3997"/>
    <w:rsid w:val="004C3186"/>
    <w:rsid w:val="004C3CD0"/>
    <w:rsid w:val="004C5042"/>
    <w:rsid w:val="004C5293"/>
    <w:rsid w:val="004D2FFF"/>
    <w:rsid w:val="004D7793"/>
    <w:rsid w:val="004E351E"/>
    <w:rsid w:val="004E4422"/>
    <w:rsid w:val="00503998"/>
    <w:rsid w:val="0050623B"/>
    <w:rsid w:val="005074F8"/>
    <w:rsid w:val="00515328"/>
    <w:rsid w:val="00523181"/>
    <w:rsid w:val="005235A0"/>
    <w:rsid w:val="00524D13"/>
    <w:rsid w:val="005269CD"/>
    <w:rsid w:val="005339F6"/>
    <w:rsid w:val="0053452F"/>
    <w:rsid w:val="00536162"/>
    <w:rsid w:val="0053744E"/>
    <w:rsid w:val="00543422"/>
    <w:rsid w:val="005434E5"/>
    <w:rsid w:val="005545ED"/>
    <w:rsid w:val="0056178F"/>
    <w:rsid w:val="00562915"/>
    <w:rsid w:val="00571CE4"/>
    <w:rsid w:val="00576B18"/>
    <w:rsid w:val="00583C5A"/>
    <w:rsid w:val="00587724"/>
    <w:rsid w:val="00590C07"/>
    <w:rsid w:val="00591512"/>
    <w:rsid w:val="005928DF"/>
    <w:rsid w:val="0059561C"/>
    <w:rsid w:val="005A22F3"/>
    <w:rsid w:val="005A7BB1"/>
    <w:rsid w:val="005A7E9A"/>
    <w:rsid w:val="005B16DF"/>
    <w:rsid w:val="005B2D91"/>
    <w:rsid w:val="005B45B4"/>
    <w:rsid w:val="005B48B4"/>
    <w:rsid w:val="005B56D7"/>
    <w:rsid w:val="005B5E71"/>
    <w:rsid w:val="005C6661"/>
    <w:rsid w:val="005C6E3B"/>
    <w:rsid w:val="005D0266"/>
    <w:rsid w:val="005D3D28"/>
    <w:rsid w:val="005D474B"/>
    <w:rsid w:val="005D66C8"/>
    <w:rsid w:val="005D79B7"/>
    <w:rsid w:val="005E085C"/>
    <w:rsid w:val="005E147D"/>
    <w:rsid w:val="005E22C2"/>
    <w:rsid w:val="005E2743"/>
    <w:rsid w:val="005E57BB"/>
    <w:rsid w:val="005F0017"/>
    <w:rsid w:val="005F5A4F"/>
    <w:rsid w:val="005F6F00"/>
    <w:rsid w:val="00601266"/>
    <w:rsid w:val="006014F1"/>
    <w:rsid w:val="006038F3"/>
    <w:rsid w:val="006076A6"/>
    <w:rsid w:val="0061357B"/>
    <w:rsid w:val="00614A7D"/>
    <w:rsid w:val="00620B4A"/>
    <w:rsid w:val="00620DE5"/>
    <w:rsid w:val="00622827"/>
    <w:rsid w:val="00635D47"/>
    <w:rsid w:val="00636114"/>
    <w:rsid w:val="0063631C"/>
    <w:rsid w:val="0063757B"/>
    <w:rsid w:val="0063767B"/>
    <w:rsid w:val="006377CE"/>
    <w:rsid w:val="00644DF8"/>
    <w:rsid w:val="00651681"/>
    <w:rsid w:val="00652E2D"/>
    <w:rsid w:val="006537D9"/>
    <w:rsid w:val="00655DA2"/>
    <w:rsid w:val="006576FF"/>
    <w:rsid w:val="00657BBE"/>
    <w:rsid w:val="00660961"/>
    <w:rsid w:val="00661BB3"/>
    <w:rsid w:val="00664A48"/>
    <w:rsid w:val="00665CDF"/>
    <w:rsid w:val="00665DEF"/>
    <w:rsid w:val="006714CF"/>
    <w:rsid w:val="00675BB1"/>
    <w:rsid w:val="006775F1"/>
    <w:rsid w:val="006804E0"/>
    <w:rsid w:val="00682F7E"/>
    <w:rsid w:val="006845F2"/>
    <w:rsid w:val="006853A0"/>
    <w:rsid w:val="00692AA7"/>
    <w:rsid w:val="00695134"/>
    <w:rsid w:val="00695C2C"/>
    <w:rsid w:val="00697FEC"/>
    <w:rsid w:val="006A175F"/>
    <w:rsid w:val="006A213D"/>
    <w:rsid w:val="006A214D"/>
    <w:rsid w:val="006A44F5"/>
    <w:rsid w:val="006A559A"/>
    <w:rsid w:val="006A61CC"/>
    <w:rsid w:val="006B105E"/>
    <w:rsid w:val="006B3990"/>
    <w:rsid w:val="006B4537"/>
    <w:rsid w:val="006B554F"/>
    <w:rsid w:val="006B5F85"/>
    <w:rsid w:val="006B65C3"/>
    <w:rsid w:val="006B6929"/>
    <w:rsid w:val="006B709B"/>
    <w:rsid w:val="006C2F2B"/>
    <w:rsid w:val="006C3673"/>
    <w:rsid w:val="006C54AF"/>
    <w:rsid w:val="006D1F2B"/>
    <w:rsid w:val="006D3344"/>
    <w:rsid w:val="006D6489"/>
    <w:rsid w:val="006D64EA"/>
    <w:rsid w:val="006E0181"/>
    <w:rsid w:val="006E1F5B"/>
    <w:rsid w:val="006E55EF"/>
    <w:rsid w:val="006E78FE"/>
    <w:rsid w:val="006F00C6"/>
    <w:rsid w:val="006F541C"/>
    <w:rsid w:val="007005C8"/>
    <w:rsid w:val="00700C0E"/>
    <w:rsid w:val="00703880"/>
    <w:rsid w:val="00705DAD"/>
    <w:rsid w:val="00706784"/>
    <w:rsid w:val="007073B0"/>
    <w:rsid w:val="00707AF1"/>
    <w:rsid w:val="00711E68"/>
    <w:rsid w:val="00716FE9"/>
    <w:rsid w:val="007247B9"/>
    <w:rsid w:val="00727D85"/>
    <w:rsid w:val="00730901"/>
    <w:rsid w:val="00731FE2"/>
    <w:rsid w:val="0073272F"/>
    <w:rsid w:val="007346C7"/>
    <w:rsid w:val="00736041"/>
    <w:rsid w:val="007408C7"/>
    <w:rsid w:val="00742A5E"/>
    <w:rsid w:val="007465DA"/>
    <w:rsid w:val="00751894"/>
    <w:rsid w:val="00751F0E"/>
    <w:rsid w:val="00752C7F"/>
    <w:rsid w:val="00753DAF"/>
    <w:rsid w:val="00756316"/>
    <w:rsid w:val="00761E65"/>
    <w:rsid w:val="00764268"/>
    <w:rsid w:val="00765BE9"/>
    <w:rsid w:val="00766152"/>
    <w:rsid w:val="00773850"/>
    <w:rsid w:val="00775D15"/>
    <w:rsid w:val="00776598"/>
    <w:rsid w:val="00776775"/>
    <w:rsid w:val="007822B5"/>
    <w:rsid w:val="007829C5"/>
    <w:rsid w:val="007833D9"/>
    <w:rsid w:val="0078697A"/>
    <w:rsid w:val="00791E1B"/>
    <w:rsid w:val="00792948"/>
    <w:rsid w:val="00796E84"/>
    <w:rsid w:val="007A3ADE"/>
    <w:rsid w:val="007A5733"/>
    <w:rsid w:val="007A5774"/>
    <w:rsid w:val="007A6633"/>
    <w:rsid w:val="007A7290"/>
    <w:rsid w:val="007B3CFD"/>
    <w:rsid w:val="007B72C3"/>
    <w:rsid w:val="007C417F"/>
    <w:rsid w:val="007C4D10"/>
    <w:rsid w:val="007C5230"/>
    <w:rsid w:val="007C6238"/>
    <w:rsid w:val="007C6938"/>
    <w:rsid w:val="007D28C8"/>
    <w:rsid w:val="007D477C"/>
    <w:rsid w:val="007E1DAD"/>
    <w:rsid w:val="007E3819"/>
    <w:rsid w:val="007E4603"/>
    <w:rsid w:val="007E7BB7"/>
    <w:rsid w:val="007F20D2"/>
    <w:rsid w:val="007F33E8"/>
    <w:rsid w:val="007F39EC"/>
    <w:rsid w:val="0080108B"/>
    <w:rsid w:val="00801E74"/>
    <w:rsid w:val="0080485E"/>
    <w:rsid w:val="0080538D"/>
    <w:rsid w:val="0081020B"/>
    <w:rsid w:val="008142B4"/>
    <w:rsid w:val="00814391"/>
    <w:rsid w:val="0081791B"/>
    <w:rsid w:val="00826669"/>
    <w:rsid w:val="0082772E"/>
    <w:rsid w:val="00832324"/>
    <w:rsid w:val="008325AB"/>
    <w:rsid w:val="00833D47"/>
    <w:rsid w:val="00835337"/>
    <w:rsid w:val="00837D14"/>
    <w:rsid w:val="00844D9A"/>
    <w:rsid w:val="00846DCD"/>
    <w:rsid w:val="00851D85"/>
    <w:rsid w:val="00854619"/>
    <w:rsid w:val="00860CCB"/>
    <w:rsid w:val="00863C40"/>
    <w:rsid w:val="00863D30"/>
    <w:rsid w:val="008650D6"/>
    <w:rsid w:val="00873D5F"/>
    <w:rsid w:val="008740A3"/>
    <w:rsid w:val="008810DD"/>
    <w:rsid w:val="00883429"/>
    <w:rsid w:val="0089297B"/>
    <w:rsid w:val="008A02E1"/>
    <w:rsid w:val="008A4938"/>
    <w:rsid w:val="008B195B"/>
    <w:rsid w:val="008B1A95"/>
    <w:rsid w:val="008B2D2E"/>
    <w:rsid w:val="008B7163"/>
    <w:rsid w:val="008C2180"/>
    <w:rsid w:val="008C36CA"/>
    <w:rsid w:val="008C3E4E"/>
    <w:rsid w:val="008C4351"/>
    <w:rsid w:val="008C7A71"/>
    <w:rsid w:val="008D1BDB"/>
    <w:rsid w:val="008D4425"/>
    <w:rsid w:val="008E3F8C"/>
    <w:rsid w:val="008F1DD9"/>
    <w:rsid w:val="008F244D"/>
    <w:rsid w:val="008F7EFF"/>
    <w:rsid w:val="00902FD0"/>
    <w:rsid w:val="009053D3"/>
    <w:rsid w:val="0090691F"/>
    <w:rsid w:val="00913D93"/>
    <w:rsid w:val="0091631D"/>
    <w:rsid w:val="009202D5"/>
    <w:rsid w:val="00920372"/>
    <w:rsid w:val="00925F70"/>
    <w:rsid w:val="00926088"/>
    <w:rsid w:val="0093111F"/>
    <w:rsid w:val="00935689"/>
    <w:rsid w:val="009416E4"/>
    <w:rsid w:val="00942C07"/>
    <w:rsid w:val="00943FF3"/>
    <w:rsid w:val="0095303B"/>
    <w:rsid w:val="00961608"/>
    <w:rsid w:val="00963C04"/>
    <w:rsid w:val="009663B6"/>
    <w:rsid w:val="009731F7"/>
    <w:rsid w:val="00974A47"/>
    <w:rsid w:val="00975D77"/>
    <w:rsid w:val="00980286"/>
    <w:rsid w:val="0098071F"/>
    <w:rsid w:val="00984DB9"/>
    <w:rsid w:val="00985706"/>
    <w:rsid w:val="00990DCF"/>
    <w:rsid w:val="00993EEA"/>
    <w:rsid w:val="009A1374"/>
    <w:rsid w:val="009A3538"/>
    <w:rsid w:val="009A45CB"/>
    <w:rsid w:val="009A4CD6"/>
    <w:rsid w:val="009A537C"/>
    <w:rsid w:val="009B3FEB"/>
    <w:rsid w:val="009C0886"/>
    <w:rsid w:val="009C19EE"/>
    <w:rsid w:val="009C28D0"/>
    <w:rsid w:val="009C35F2"/>
    <w:rsid w:val="009C5562"/>
    <w:rsid w:val="009C727E"/>
    <w:rsid w:val="009C7782"/>
    <w:rsid w:val="009D1ED5"/>
    <w:rsid w:val="009D4663"/>
    <w:rsid w:val="009D4C13"/>
    <w:rsid w:val="009D5B8E"/>
    <w:rsid w:val="009E123B"/>
    <w:rsid w:val="009E21A7"/>
    <w:rsid w:val="009E71D8"/>
    <w:rsid w:val="009F10B3"/>
    <w:rsid w:val="00A002E9"/>
    <w:rsid w:val="00A04564"/>
    <w:rsid w:val="00A06033"/>
    <w:rsid w:val="00A103ED"/>
    <w:rsid w:val="00A11005"/>
    <w:rsid w:val="00A1287F"/>
    <w:rsid w:val="00A13C60"/>
    <w:rsid w:val="00A15134"/>
    <w:rsid w:val="00A153D5"/>
    <w:rsid w:val="00A21617"/>
    <w:rsid w:val="00A27D33"/>
    <w:rsid w:val="00A341A3"/>
    <w:rsid w:val="00A35800"/>
    <w:rsid w:val="00A3736F"/>
    <w:rsid w:val="00A45C6C"/>
    <w:rsid w:val="00A52918"/>
    <w:rsid w:val="00A547B3"/>
    <w:rsid w:val="00A63FA2"/>
    <w:rsid w:val="00A70E82"/>
    <w:rsid w:val="00A77228"/>
    <w:rsid w:val="00A8134F"/>
    <w:rsid w:val="00A817B3"/>
    <w:rsid w:val="00A84CAD"/>
    <w:rsid w:val="00A850DB"/>
    <w:rsid w:val="00A903C4"/>
    <w:rsid w:val="00A90E50"/>
    <w:rsid w:val="00A917C2"/>
    <w:rsid w:val="00A95FA5"/>
    <w:rsid w:val="00A96D92"/>
    <w:rsid w:val="00AA0BEC"/>
    <w:rsid w:val="00AB199C"/>
    <w:rsid w:val="00AB3733"/>
    <w:rsid w:val="00AB588C"/>
    <w:rsid w:val="00AB7897"/>
    <w:rsid w:val="00AC33D4"/>
    <w:rsid w:val="00AC5054"/>
    <w:rsid w:val="00AC74D8"/>
    <w:rsid w:val="00AD307B"/>
    <w:rsid w:val="00AD67C7"/>
    <w:rsid w:val="00AE1D3F"/>
    <w:rsid w:val="00AE33BD"/>
    <w:rsid w:val="00AE3403"/>
    <w:rsid w:val="00AE4316"/>
    <w:rsid w:val="00AE4BAC"/>
    <w:rsid w:val="00AE66D5"/>
    <w:rsid w:val="00AE7AC4"/>
    <w:rsid w:val="00AF06A6"/>
    <w:rsid w:val="00AF2383"/>
    <w:rsid w:val="00B034FC"/>
    <w:rsid w:val="00B05310"/>
    <w:rsid w:val="00B10A0B"/>
    <w:rsid w:val="00B1438F"/>
    <w:rsid w:val="00B21B1B"/>
    <w:rsid w:val="00B21BED"/>
    <w:rsid w:val="00B22F05"/>
    <w:rsid w:val="00B304A7"/>
    <w:rsid w:val="00B30D85"/>
    <w:rsid w:val="00B319EC"/>
    <w:rsid w:val="00B34EBB"/>
    <w:rsid w:val="00B35A4A"/>
    <w:rsid w:val="00B453CF"/>
    <w:rsid w:val="00B53855"/>
    <w:rsid w:val="00B55475"/>
    <w:rsid w:val="00B56A5B"/>
    <w:rsid w:val="00B57288"/>
    <w:rsid w:val="00B63908"/>
    <w:rsid w:val="00B63ED3"/>
    <w:rsid w:val="00B63FD7"/>
    <w:rsid w:val="00B65046"/>
    <w:rsid w:val="00B7028E"/>
    <w:rsid w:val="00B7093D"/>
    <w:rsid w:val="00B7205E"/>
    <w:rsid w:val="00B816D9"/>
    <w:rsid w:val="00B866CD"/>
    <w:rsid w:val="00B9120F"/>
    <w:rsid w:val="00B9216C"/>
    <w:rsid w:val="00B924A4"/>
    <w:rsid w:val="00B92547"/>
    <w:rsid w:val="00BA6006"/>
    <w:rsid w:val="00BA760B"/>
    <w:rsid w:val="00BB0631"/>
    <w:rsid w:val="00BB0D1A"/>
    <w:rsid w:val="00BB1228"/>
    <w:rsid w:val="00BB1D3B"/>
    <w:rsid w:val="00BB2BC8"/>
    <w:rsid w:val="00BB57B0"/>
    <w:rsid w:val="00BC35ED"/>
    <w:rsid w:val="00BC5FE1"/>
    <w:rsid w:val="00BD2388"/>
    <w:rsid w:val="00BD27E2"/>
    <w:rsid w:val="00BD5603"/>
    <w:rsid w:val="00BD5959"/>
    <w:rsid w:val="00BD6502"/>
    <w:rsid w:val="00BE1A93"/>
    <w:rsid w:val="00BE205A"/>
    <w:rsid w:val="00BE2746"/>
    <w:rsid w:val="00BE3802"/>
    <w:rsid w:val="00BE7B25"/>
    <w:rsid w:val="00BF2332"/>
    <w:rsid w:val="00BF238E"/>
    <w:rsid w:val="00BF2F4A"/>
    <w:rsid w:val="00BF3FE0"/>
    <w:rsid w:val="00BF544D"/>
    <w:rsid w:val="00BF5851"/>
    <w:rsid w:val="00BF6139"/>
    <w:rsid w:val="00BF7500"/>
    <w:rsid w:val="00C0076F"/>
    <w:rsid w:val="00C013B3"/>
    <w:rsid w:val="00C0301C"/>
    <w:rsid w:val="00C03843"/>
    <w:rsid w:val="00C050B6"/>
    <w:rsid w:val="00C10F12"/>
    <w:rsid w:val="00C11ED9"/>
    <w:rsid w:val="00C2358B"/>
    <w:rsid w:val="00C245EA"/>
    <w:rsid w:val="00C2540C"/>
    <w:rsid w:val="00C256F6"/>
    <w:rsid w:val="00C3097E"/>
    <w:rsid w:val="00C35ECC"/>
    <w:rsid w:val="00C361A8"/>
    <w:rsid w:val="00C41246"/>
    <w:rsid w:val="00C44E16"/>
    <w:rsid w:val="00C45E5F"/>
    <w:rsid w:val="00C46291"/>
    <w:rsid w:val="00C52C7A"/>
    <w:rsid w:val="00C57B6D"/>
    <w:rsid w:val="00C600B2"/>
    <w:rsid w:val="00C614EE"/>
    <w:rsid w:val="00C63412"/>
    <w:rsid w:val="00C6691B"/>
    <w:rsid w:val="00C66CF7"/>
    <w:rsid w:val="00C714D0"/>
    <w:rsid w:val="00C803D9"/>
    <w:rsid w:val="00C80C30"/>
    <w:rsid w:val="00C90EF4"/>
    <w:rsid w:val="00C91242"/>
    <w:rsid w:val="00CA015A"/>
    <w:rsid w:val="00CA34C4"/>
    <w:rsid w:val="00CA66F0"/>
    <w:rsid w:val="00CB3640"/>
    <w:rsid w:val="00CC1AA3"/>
    <w:rsid w:val="00CD4486"/>
    <w:rsid w:val="00CE207B"/>
    <w:rsid w:val="00CF30EE"/>
    <w:rsid w:val="00CF5E22"/>
    <w:rsid w:val="00D06A44"/>
    <w:rsid w:val="00D07FD1"/>
    <w:rsid w:val="00D151EB"/>
    <w:rsid w:val="00D300E0"/>
    <w:rsid w:val="00D35EB1"/>
    <w:rsid w:val="00D374CD"/>
    <w:rsid w:val="00D404A3"/>
    <w:rsid w:val="00D42D93"/>
    <w:rsid w:val="00D45EB5"/>
    <w:rsid w:val="00D60E58"/>
    <w:rsid w:val="00D650CE"/>
    <w:rsid w:val="00D65106"/>
    <w:rsid w:val="00D71719"/>
    <w:rsid w:val="00D7503D"/>
    <w:rsid w:val="00D776DA"/>
    <w:rsid w:val="00D83033"/>
    <w:rsid w:val="00D8725F"/>
    <w:rsid w:val="00D8758B"/>
    <w:rsid w:val="00D942B3"/>
    <w:rsid w:val="00D94863"/>
    <w:rsid w:val="00D94F3E"/>
    <w:rsid w:val="00DA6D85"/>
    <w:rsid w:val="00DA7BA3"/>
    <w:rsid w:val="00DA7D09"/>
    <w:rsid w:val="00DB0F03"/>
    <w:rsid w:val="00DB3E56"/>
    <w:rsid w:val="00DB4367"/>
    <w:rsid w:val="00DB7693"/>
    <w:rsid w:val="00DC1F5B"/>
    <w:rsid w:val="00DC2630"/>
    <w:rsid w:val="00DC34B7"/>
    <w:rsid w:val="00DC49E9"/>
    <w:rsid w:val="00DC55E4"/>
    <w:rsid w:val="00DC66B3"/>
    <w:rsid w:val="00DC7D71"/>
    <w:rsid w:val="00DD188C"/>
    <w:rsid w:val="00DD29A3"/>
    <w:rsid w:val="00DD412C"/>
    <w:rsid w:val="00DD48EE"/>
    <w:rsid w:val="00DE0B96"/>
    <w:rsid w:val="00DE0BA9"/>
    <w:rsid w:val="00DE10B9"/>
    <w:rsid w:val="00DE10DF"/>
    <w:rsid w:val="00DE1AAA"/>
    <w:rsid w:val="00DE35FA"/>
    <w:rsid w:val="00DF0B13"/>
    <w:rsid w:val="00DF2DAF"/>
    <w:rsid w:val="00DF2EB8"/>
    <w:rsid w:val="00DF43BB"/>
    <w:rsid w:val="00DF4A94"/>
    <w:rsid w:val="00DF6003"/>
    <w:rsid w:val="00E00095"/>
    <w:rsid w:val="00E02B95"/>
    <w:rsid w:val="00E0445B"/>
    <w:rsid w:val="00E066C3"/>
    <w:rsid w:val="00E10D8C"/>
    <w:rsid w:val="00E1353A"/>
    <w:rsid w:val="00E1564B"/>
    <w:rsid w:val="00E208A0"/>
    <w:rsid w:val="00E21F2A"/>
    <w:rsid w:val="00E23B1F"/>
    <w:rsid w:val="00E23DE3"/>
    <w:rsid w:val="00E25B49"/>
    <w:rsid w:val="00E26310"/>
    <w:rsid w:val="00E3652A"/>
    <w:rsid w:val="00E371EA"/>
    <w:rsid w:val="00E4233D"/>
    <w:rsid w:val="00E476EC"/>
    <w:rsid w:val="00E5469A"/>
    <w:rsid w:val="00E54E4B"/>
    <w:rsid w:val="00E62310"/>
    <w:rsid w:val="00E64429"/>
    <w:rsid w:val="00E65DF8"/>
    <w:rsid w:val="00E677DD"/>
    <w:rsid w:val="00E74E20"/>
    <w:rsid w:val="00E7594B"/>
    <w:rsid w:val="00E85F23"/>
    <w:rsid w:val="00E87C0B"/>
    <w:rsid w:val="00E96284"/>
    <w:rsid w:val="00EA3535"/>
    <w:rsid w:val="00EA69F1"/>
    <w:rsid w:val="00EB4688"/>
    <w:rsid w:val="00EB6C07"/>
    <w:rsid w:val="00EC028D"/>
    <w:rsid w:val="00EC378E"/>
    <w:rsid w:val="00EC3D9F"/>
    <w:rsid w:val="00ED5146"/>
    <w:rsid w:val="00ED633B"/>
    <w:rsid w:val="00ED646B"/>
    <w:rsid w:val="00EE2BBB"/>
    <w:rsid w:val="00EE478C"/>
    <w:rsid w:val="00EE5DD9"/>
    <w:rsid w:val="00EE65AC"/>
    <w:rsid w:val="00EF0523"/>
    <w:rsid w:val="00EF1F0E"/>
    <w:rsid w:val="00EF76D7"/>
    <w:rsid w:val="00F028DC"/>
    <w:rsid w:val="00F06416"/>
    <w:rsid w:val="00F1132C"/>
    <w:rsid w:val="00F15DD5"/>
    <w:rsid w:val="00F17AF3"/>
    <w:rsid w:val="00F17D4B"/>
    <w:rsid w:val="00F225C3"/>
    <w:rsid w:val="00F23139"/>
    <w:rsid w:val="00F25242"/>
    <w:rsid w:val="00F268E0"/>
    <w:rsid w:val="00F35E89"/>
    <w:rsid w:val="00F4248B"/>
    <w:rsid w:val="00F42F0E"/>
    <w:rsid w:val="00F52C14"/>
    <w:rsid w:val="00F5600A"/>
    <w:rsid w:val="00F577FB"/>
    <w:rsid w:val="00F61EF4"/>
    <w:rsid w:val="00F63A43"/>
    <w:rsid w:val="00F66CD5"/>
    <w:rsid w:val="00F67A9A"/>
    <w:rsid w:val="00F70F4E"/>
    <w:rsid w:val="00F73113"/>
    <w:rsid w:val="00F75FC4"/>
    <w:rsid w:val="00F76846"/>
    <w:rsid w:val="00F77463"/>
    <w:rsid w:val="00F8190D"/>
    <w:rsid w:val="00F81E61"/>
    <w:rsid w:val="00F84047"/>
    <w:rsid w:val="00F8416E"/>
    <w:rsid w:val="00F85981"/>
    <w:rsid w:val="00F87263"/>
    <w:rsid w:val="00F87794"/>
    <w:rsid w:val="00F900D3"/>
    <w:rsid w:val="00F93725"/>
    <w:rsid w:val="00F9475A"/>
    <w:rsid w:val="00F95047"/>
    <w:rsid w:val="00FA21F4"/>
    <w:rsid w:val="00FA343F"/>
    <w:rsid w:val="00FA4890"/>
    <w:rsid w:val="00FA6DB9"/>
    <w:rsid w:val="00FB2AD1"/>
    <w:rsid w:val="00FB4E0F"/>
    <w:rsid w:val="00FB77FA"/>
    <w:rsid w:val="00FC0283"/>
    <w:rsid w:val="00FC072F"/>
    <w:rsid w:val="00FC199D"/>
    <w:rsid w:val="00FC326D"/>
    <w:rsid w:val="00FC3C70"/>
    <w:rsid w:val="00FC4A73"/>
    <w:rsid w:val="00FC559C"/>
    <w:rsid w:val="00FC7B26"/>
    <w:rsid w:val="00FC7F0D"/>
    <w:rsid w:val="00FD4B98"/>
    <w:rsid w:val="00FD6C65"/>
    <w:rsid w:val="00FD6D1E"/>
    <w:rsid w:val="00FE178F"/>
    <w:rsid w:val="00FE2847"/>
    <w:rsid w:val="00FE31DD"/>
    <w:rsid w:val="00FE645A"/>
    <w:rsid w:val="00FF092F"/>
    <w:rsid w:val="00FF6102"/>
    <w:rsid w:val="00FF7E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15:docId w15:val="{4818A57B-B8F8-455B-AC2C-E7149B91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aliases w:val="Table Title"/>
    <w:basedOn w:val="DefaultParagraphFont"/>
    <w:uiPriority w:val="99"/>
    <w:unhideWhenUsed/>
    <w:qFormat/>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aliases w:val="Summary box,Table Gridbeth,CMA Table Template,ASD Table,new style,PBAC table,MSD Table Grid,Dossier table,Summary Table"/>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3224C2"/>
    <w:pPr>
      <w:spacing w:after="0" w:line="240" w:lineRule="auto"/>
    </w:pPr>
    <w:rPr>
      <w:sz w:val="24"/>
      <w:szCs w:val="24"/>
    </w:rPr>
  </w:style>
  <w:style w:type="paragraph" w:styleId="NormalWeb">
    <w:name w:val="Normal (Web)"/>
    <w:basedOn w:val="Normal"/>
    <w:uiPriority w:val="99"/>
    <w:semiHidden/>
    <w:unhideWhenUsed/>
    <w:rsid w:val="00AE1D3F"/>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3620C3"/>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20C3"/>
    <w:rPr>
      <w:rFonts w:ascii="Consolas" w:hAnsi="Consolas"/>
      <w:sz w:val="20"/>
      <w:szCs w:val="20"/>
    </w:rPr>
  </w:style>
  <w:style w:type="character" w:styleId="UnresolvedMention">
    <w:name w:val="Unresolved Mention"/>
    <w:basedOn w:val="DefaultParagraphFont"/>
    <w:uiPriority w:val="99"/>
    <w:semiHidden/>
    <w:unhideWhenUsed/>
    <w:rsid w:val="00E21F2A"/>
    <w:rPr>
      <w:color w:val="605E5C"/>
      <w:shd w:val="clear" w:color="auto" w:fill="E1DFDD"/>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autoRedefine/>
    <w:uiPriority w:val="35"/>
    <w:unhideWhenUsed/>
    <w:qFormat/>
    <w:rsid w:val="003E104D"/>
    <w:pPr>
      <w:keepNext/>
      <w:spacing w:after="0"/>
      <w:jc w:val="both"/>
    </w:pPr>
    <w:rPr>
      <w:rFonts w:ascii="Arial Narrow" w:eastAsia="Times New Roman" w:hAnsi="Arial Narrow" w:cs="Arial"/>
      <w:b/>
      <w:bCs/>
      <w:color w:val="000000" w:themeColor="text1"/>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sid w:val="003E104D"/>
    <w:rPr>
      <w:rFonts w:ascii="Arial Narrow" w:eastAsia="Times New Roman" w:hAnsi="Arial Narrow" w:cs="Arial"/>
      <w:b/>
      <w:bCs/>
      <w:color w:val="000000" w:themeColor="text1"/>
      <w:sz w:val="20"/>
      <w:szCs w:val="18"/>
    </w:rPr>
  </w:style>
  <w:style w:type="paragraph" w:customStyle="1" w:styleId="TableText">
    <w:name w:val="Table Text"/>
    <w:link w:val="TableTextChar"/>
    <w:qFormat/>
    <w:rsid w:val="003E104D"/>
    <w:pPr>
      <w:keepNext/>
      <w:spacing w:after="0" w:line="240" w:lineRule="auto"/>
    </w:pPr>
    <w:rPr>
      <w:rFonts w:ascii="Arial Narrow" w:eastAsiaTheme="majorEastAsia" w:hAnsi="Arial Narrow" w:cstheme="majorBidi"/>
      <w:bCs/>
      <w:sz w:val="20"/>
      <w:szCs w:val="24"/>
    </w:rPr>
  </w:style>
  <w:style w:type="paragraph" w:customStyle="1" w:styleId="In-tableHeading">
    <w:name w:val="In-table Heading"/>
    <w:qFormat/>
    <w:rsid w:val="003E104D"/>
    <w:pPr>
      <w:keepNext/>
      <w:spacing w:after="0" w:line="240" w:lineRule="auto"/>
    </w:pPr>
    <w:rPr>
      <w:rFonts w:ascii="Arial Narrow" w:eastAsiaTheme="majorEastAsia" w:hAnsi="Arial Narrow" w:cs="Times New Roman"/>
      <w:b/>
      <w:sz w:val="20"/>
      <w:szCs w:val="24"/>
      <w:lang w:val="en-US"/>
    </w:rPr>
  </w:style>
  <w:style w:type="paragraph" w:customStyle="1" w:styleId="TableFigureFooter">
    <w:name w:val="Table/Figure Footer"/>
    <w:basedOn w:val="Normal"/>
    <w:link w:val="TableFigureFooterChar"/>
    <w:qFormat/>
    <w:rsid w:val="003E104D"/>
    <w:pPr>
      <w:spacing w:after="120"/>
      <w:contextualSpacing/>
      <w:jc w:val="both"/>
    </w:pPr>
    <w:rPr>
      <w:rFonts w:ascii="Arial Narrow" w:eastAsia="Times New Roman" w:hAnsi="Arial Narrow" w:cs="Arial"/>
      <w:snapToGrid w:val="0"/>
      <w:sz w:val="18"/>
      <w:szCs w:val="22"/>
    </w:rPr>
  </w:style>
  <w:style w:type="character" w:customStyle="1" w:styleId="TableFigureFooterChar">
    <w:name w:val="Table/Figure Footer Char"/>
    <w:link w:val="TableFigureFooter"/>
    <w:rsid w:val="003E104D"/>
    <w:rPr>
      <w:rFonts w:ascii="Arial Narrow" w:eastAsia="Times New Roman" w:hAnsi="Arial Narrow" w:cs="Arial"/>
      <w:snapToGrid w:val="0"/>
      <w:sz w:val="18"/>
    </w:rPr>
  </w:style>
  <w:style w:type="character" w:customStyle="1" w:styleId="TableTextChar">
    <w:name w:val="Table Text Char"/>
    <w:basedOn w:val="DefaultParagraphFont"/>
    <w:link w:val="TableText"/>
    <w:rsid w:val="003E104D"/>
    <w:rPr>
      <w:rFonts w:ascii="Arial Narrow" w:eastAsiaTheme="majorEastAsia" w:hAnsi="Arial Narrow" w:cstheme="majorBidi"/>
      <w:bCs/>
      <w:sz w:val="20"/>
      <w:szCs w:val="24"/>
    </w:rPr>
  </w:style>
  <w:style w:type="paragraph" w:customStyle="1" w:styleId="2-SectionHeading">
    <w:name w:val="2-Section Heading"/>
    <w:qFormat/>
    <w:rsid w:val="00FB4E0F"/>
    <w:pPr>
      <w:keepNext/>
      <w:numPr>
        <w:numId w:val="17"/>
      </w:numPr>
      <w:spacing w:before="240" w:after="120" w:line="240" w:lineRule="auto"/>
      <w:outlineLvl w:val="0"/>
    </w:pPr>
    <w:rPr>
      <w:rFonts w:eastAsia="Times New Roman" w:cs="Arial"/>
      <w:b/>
      <w:snapToGrid w:val="0"/>
      <w:sz w:val="32"/>
      <w:szCs w:val="32"/>
    </w:rPr>
  </w:style>
  <w:style w:type="paragraph" w:customStyle="1" w:styleId="3-BodyText">
    <w:name w:val="3-Body Text"/>
    <w:basedOn w:val="ListParagraph"/>
    <w:link w:val="3-BodyTextChar"/>
    <w:qFormat/>
    <w:rsid w:val="00FB4E0F"/>
    <w:pPr>
      <w:numPr>
        <w:ilvl w:val="1"/>
        <w:numId w:val="17"/>
      </w:numPr>
      <w:spacing w:after="120"/>
      <w:contextualSpacing w:val="0"/>
      <w:jc w:val="both"/>
    </w:pPr>
    <w:rPr>
      <w:rFonts w:eastAsia="Times New Roman" w:cs="Arial"/>
      <w:snapToGrid w:val="0"/>
    </w:rPr>
  </w:style>
  <w:style w:type="character" w:customStyle="1" w:styleId="3-BodyTextChar">
    <w:name w:val="3-Body Text Char"/>
    <w:basedOn w:val="DefaultParagraphFont"/>
    <w:link w:val="3-BodyText"/>
    <w:rsid w:val="00FB4E0F"/>
    <w:rPr>
      <w:rFonts w:eastAsia="Times New Roman"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3161">
      <w:bodyDiv w:val="1"/>
      <w:marLeft w:val="0"/>
      <w:marRight w:val="0"/>
      <w:marTop w:val="0"/>
      <w:marBottom w:val="0"/>
      <w:divBdr>
        <w:top w:val="none" w:sz="0" w:space="0" w:color="auto"/>
        <w:left w:val="none" w:sz="0" w:space="0" w:color="auto"/>
        <w:bottom w:val="none" w:sz="0" w:space="0" w:color="auto"/>
        <w:right w:val="none" w:sz="0" w:space="0" w:color="auto"/>
      </w:divBdr>
    </w:div>
    <w:div w:id="146409774">
      <w:bodyDiv w:val="1"/>
      <w:marLeft w:val="0"/>
      <w:marRight w:val="0"/>
      <w:marTop w:val="0"/>
      <w:marBottom w:val="0"/>
      <w:divBdr>
        <w:top w:val="none" w:sz="0" w:space="0" w:color="auto"/>
        <w:left w:val="none" w:sz="0" w:space="0" w:color="auto"/>
        <w:bottom w:val="none" w:sz="0" w:space="0" w:color="auto"/>
        <w:right w:val="none" w:sz="0" w:space="0" w:color="auto"/>
      </w:divBdr>
    </w:div>
    <w:div w:id="18791492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397242752">
      <w:bodyDiv w:val="1"/>
      <w:marLeft w:val="0"/>
      <w:marRight w:val="0"/>
      <w:marTop w:val="0"/>
      <w:marBottom w:val="0"/>
      <w:divBdr>
        <w:top w:val="none" w:sz="0" w:space="0" w:color="auto"/>
        <w:left w:val="none" w:sz="0" w:space="0" w:color="auto"/>
        <w:bottom w:val="none" w:sz="0" w:space="0" w:color="auto"/>
        <w:right w:val="none" w:sz="0" w:space="0" w:color="auto"/>
      </w:divBdr>
    </w:div>
    <w:div w:id="549457953">
      <w:bodyDiv w:val="1"/>
      <w:marLeft w:val="0"/>
      <w:marRight w:val="0"/>
      <w:marTop w:val="0"/>
      <w:marBottom w:val="0"/>
      <w:divBdr>
        <w:top w:val="none" w:sz="0" w:space="0" w:color="auto"/>
        <w:left w:val="none" w:sz="0" w:space="0" w:color="auto"/>
        <w:bottom w:val="none" w:sz="0" w:space="0" w:color="auto"/>
        <w:right w:val="none" w:sz="0" w:space="0" w:color="auto"/>
      </w:divBdr>
    </w:div>
    <w:div w:id="569391928">
      <w:bodyDiv w:val="1"/>
      <w:marLeft w:val="0"/>
      <w:marRight w:val="0"/>
      <w:marTop w:val="0"/>
      <w:marBottom w:val="0"/>
      <w:divBdr>
        <w:top w:val="none" w:sz="0" w:space="0" w:color="auto"/>
        <w:left w:val="none" w:sz="0" w:space="0" w:color="auto"/>
        <w:bottom w:val="none" w:sz="0" w:space="0" w:color="auto"/>
        <w:right w:val="none" w:sz="0" w:space="0" w:color="auto"/>
      </w:divBdr>
      <w:divsChild>
        <w:div w:id="383452511">
          <w:marLeft w:val="0"/>
          <w:marRight w:val="0"/>
          <w:marTop w:val="0"/>
          <w:marBottom w:val="0"/>
          <w:divBdr>
            <w:top w:val="none" w:sz="0" w:space="0" w:color="C4DEEE"/>
            <w:left w:val="none" w:sz="0" w:space="8" w:color="C4DEEE"/>
            <w:bottom w:val="none" w:sz="0" w:space="0" w:color="C4DEEE"/>
            <w:right w:val="none" w:sz="0" w:space="0" w:color="C4DEEE"/>
          </w:divBdr>
        </w:div>
        <w:div w:id="433093762">
          <w:marLeft w:val="0"/>
          <w:marRight w:val="0"/>
          <w:marTop w:val="0"/>
          <w:marBottom w:val="0"/>
          <w:divBdr>
            <w:top w:val="none" w:sz="0" w:space="0" w:color="C4DEEE"/>
            <w:left w:val="none" w:sz="0" w:space="0" w:color="C4DEEE"/>
            <w:bottom w:val="none" w:sz="0" w:space="0" w:color="C4DEEE"/>
            <w:right w:val="none" w:sz="0" w:space="0" w:color="C4DEEE"/>
          </w:divBdr>
        </w:div>
      </w:divsChild>
    </w:div>
    <w:div w:id="598634800">
      <w:bodyDiv w:val="1"/>
      <w:marLeft w:val="0"/>
      <w:marRight w:val="0"/>
      <w:marTop w:val="0"/>
      <w:marBottom w:val="0"/>
      <w:divBdr>
        <w:top w:val="none" w:sz="0" w:space="0" w:color="auto"/>
        <w:left w:val="none" w:sz="0" w:space="0" w:color="auto"/>
        <w:bottom w:val="none" w:sz="0" w:space="0" w:color="auto"/>
        <w:right w:val="none" w:sz="0" w:space="0" w:color="auto"/>
      </w:divBdr>
    </w:div>
    <w:div w:id="700472837">
      <w:bodyDiv w:val="1"/>
      <w:marLeft w:val="0"/>
      <w:marRight w:val="0"/>
      <w:marTop w:val="0"/>
      <w:marBottom w:val="0"/>
      <w:divBdr>
        <w:top w:val="none" w:sz="0" w:space="0" w:color="auto"/>
        <w:left w:val="none" w:sz="0" w:space="0" w:color="auto"/>
        <w:bottom w:val="none" w:sz="0" w:space="0" w:color="auto"/>
        <w:right w:val="none" w:sz="0" w:space="0" w:color="auto"/>
      </w:divBdr>
      <w:divsChild>
        <w:div w:id="1501895023">
          <w:marLeft w:val="0"/>
          <w:marRight w:val="0"/>
          <w:marTop w:val="0"/>
          <w:marBottom w:val="0"/>
          <w:divBdr>
            <w:top w:val="none" w:sz="0" w:space="0" w:color="C4DEEE"/>
            <w:left w:val="none" w:sz="0" w:space="8" w:color="C4DEEE"/>
            <w:bottom w:val="none" w:sz="0" w:space="0" w:color="C4DEEE"/>
            <w:right w:val="none" w:sz="0" w:space="0" w:color="C4DEEE"/>
          </w:divBdr>
        </w:div>
        <w:div w:id="1079980136">
          <w:marLeft w:val="0"/>
          <w:marRight w:val="0"/>
          <w:marTop w:val="0"/>
          <w:marBottom w:val="0"/>
          <w:divBdr>
            <w:top w:val="none" w:sz="0" w:space="0" w:color="C4DEEE"/>
            <w:left w:val="none" w:sz="0" w:space="0" w:color="C4DEEE"/>
            <w:bottom w:val="none" w:sz="0" w:space="0" w:color="C4DEEE"/>
            <w:right w:val="none" w:sz="0" w:space="0" w:color="C4DEEE"/>
          </w:divBdr>
        </w:div>
      </w:divsChild>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775206246">
      <w:bodyDiv w:val="1"/>
      <w:marLeft w:val="0"/>
      <w:marRight w:val="0"/>
      <w:marTop w:val="0"/>
      <w:marBottom w:val="0"/>
      <w:divBdr>
        <w:top w:val="none" w:sz="0" w:space="0" w:color="auto"/>
        <w:left w:val="none" w:sz="0" w:space="0" w:color="auto"/>
        <w:bottom w:val="none" w:sz="0" w:space="0" w:color="auto"/>
        <w:right w:val="none" w:sz="0" w:space="0" w:color="auto"/>
      </w:divBdr>
    </w:div>
    <w:div w:id="1869483802">
      <w:bodyDiv w:val="1"/>
      <w:marLeft w:val="0"/>
      <w:marRight w:val="0"/>
      <w:marTop w:val="0"/>
      <w:marBottom w:val="0"/>
      <w:divBdr>
        <w:top w:val="none" w:sz="0" w:space="0" w:color="auto"/>
        <w:left w:val="none" w:sz="0" w:space="0" w:color="auto"/>
        <w:bottom w:val="none" w:sz="0" w:space="0" w:color="auto"/>
        <w:right w:val="none" w:sz="0" w:space="0" w:color="auto"/>
      </w:divBdr>
    </w:div>
    <w:div w:id="1905218530">
      <w:bodyDiv w:val="1"/>
      <w:marLeft w:val="0"/>
      <w:marRight w:val="0"/>
      <w:marTop w:val="0"/>
      <w:marBottom w:val="0"/>
      <w:divBdr>
        <w:top w:val="none" w:sz="0" w:space="0" w:color="auto"/>
        <w:left w:val="none" w:sz="0" w:space="0" w:color="auto"/>
        <w:bottom w:val="none" w:sz="0" w:space="0" w:color="auto"/>
        <w:right w:val="none" w:sz="0" w:space="0" w:color="auto"/>
      </w:divBdr>
    </w:div>
    <w:div w:id="2038582674">
      <w:bodyDiv w:val="1"/>
      <w:marLeft w:val="0"/>
      <w:marRight w:val="0"/>
      <w:marTop w:val="0"/>
      <w:marBottom w:val="0"/>
      <w:divBdr>
        <w:top w:val="none" w:sz="0" w:space="0" w:color="auto"/>
        <w:left w:val="none" w:sz="0" w:space="0" w:color="auto"/>
        <w:bottom w:val="none" w:sz="0" w:space="0" w:color="auto"/>
        <w:right w:val="none" w:sz="0" w:space="0" w:color="auto"/>
      </w:divBdr>
    </w:div>
    <w:div w:id="2079664910">
      <w:bodyDiv w:val="1"/>
      <w:marLeft w:val="0"/>
      <w:marRight w:val="0"/>
      <w:marTop w:val="0"/>
      <w:marBottom w:val="0"/>
      <w:divBdr>
        <w:top w:val="none" w:sz="0" w:space="0" w:color="auto"/>
        <w:left w:val="none" w:sz="0" w:space="0" w:color="auto"/>
        <w:bottom w:val="none" w:sz="0" w:space="0" w:color="auto"/>
        <w:right w:val="none" w:sz="0" w:space="0" w:color="auto"/>
      </w:divBdr>
      <w:divsChild>
        <w:div w:id="169805924">
          <w:marLeft w:val="0"/>
          <w:marRight w:val="0"/>
          <w:marTop w:val="0"/>
          <w:marBottom w:val="0"/>
          <w:divBdr>
            <w:top w:val="none" w:sz="0" w:space="0" w:color="C4DEEE"/>
            <w:left w:val="none" w:sz="0" w:space="0" w:color="C4DEEE"/>
            <w:bottom w:val="none" w:sz="0" w:space="0" w:color="C4DEEE"/>
            <w:right w:val="none" w:sz="0" w:space="0" w:color="C4DEEE"/>
          </w:divBdr>
          <w:divsChild>
            <w:div w:id="769593422">
              <w:marLeft w:val="0"/>
              <w:marRight w:val="0"/>
              <w:marTop w:val="0"/>
              <w:marBottom w:val="0"/>
              <w:divBdr>
                <w:top w:val="none" w:sz="0" w:space="0" w:color="C4DEEE"/>
                <w:left w:val="none" w:sz="0" w:space="8" w:color="C4DEEE"/>
                <w:bottom w:val="none" w:sz="0" w:space="0" w:color="C4DEEE"/>
                <w:right w:val="none" w:sz="0" w:space="0" w:color="C4DEEE"/>
              </w:divBdr>
              <w:divsChild>
                <w:div w:id="854032057">
                  <w:marLeft w:val="0"/>
                  <w:marRight w:val="0"/>
                  <w:marTop w:val="0"/>
                  <w:marBottom w:val="0"/>
                  <w:divBdr>
                    <w:top w:val="none" w:sz="0" w:space="0" w:color="C4DEEE"/>
                    <w:left w:val="none" w:sz="0" w:space="0" w:color="C4DEEE"/>
                    <w:bottom w:val="none" w:sz="0" w:space="0" w:color="C4DEEE"/>
                    <w:right w:val="none" w:sz="0" w:space="0" w:color="C4DEEE"/>
                  </w:divBdr>
                  <w:divsChild>
                    <w:div w:id="1506893778">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chart" Target="charts/chart1.xm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bs.gov.au/info/industry/listing/elements/pbac-meetings/psd/2022-05/daratumumab-solution-for-subcutaneous-injection-1800-mg" TargetMode="External"/><Relationship Id="rId17" Type="http://schemas.openxmlformats.org/officeDocument/2006/relationships/chart" Target="charts/chart5.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pbs.gov.au/pbs/home" TargetMode="External"/><Relationship Id="rId19"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chart" Target="charts/chart2.xm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DARATUMUMAB/Daratumumab.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Daratumuma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Daratumumab.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Daratumumab.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[Daratumumab.xlsx]Sheet1!PivotTable1</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Sheet1!$R$1</c:f>
              <c:strCache>
                <c:ptCount val="1"/>
                <c:pt idx="0">
                  <c:v>Initiating patients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Sheet1!$Q$2:$Q$12</c:f>
              <c:strCache>
                <c:ptCount val="10"/>
                <c:pt idx="0">
                  <c:v>2023Q1</c:v>
                </c:pt>
                <c:pt idx="1">
                  <c:v>2023Q2</c:v>
                </c:pt>
                <c:pt idx="2">
                  <c:v>2023Q3</c:v>
                </c:pt>
                <c:pt idx="3">
                  <c:v>2023Q4</c:v>
                </c:pt>
                <c:pt idx="4">
                  <c:v>2024Q1</c:v>
                </c:pt>
                <c:pt idx="5">
                  <c:v>2024Q2</c:v>
                </c:pt>
                <c:pt idx="6">
                  <c:v>2024Q3</c:v>
                </c:pt>
                <c:pt idx="7">
                  <c:v>2024Q4</c:v>
                </c:pt>
                <c:pt idx="8">
                  <c:v>2025Q1</c:v>
                </c:pt>
                <c:pt idx="9">
                  <c:v>2025Q2</c:v>
                </c:pt>
              </c:strCache>
            </c:strRef>
          </c:cat>
          <c:val>
            <c:numRef>
              <c:f>Sheet1!$R$2:$R$12</c:f>
              <c:numCache>
                <c:formatCode>General</c:formatCode>
                <c:ptCount val="10"/>
                <c:pt idx="0">
                  <c:v>94</c:v>
                </c:pt>
                <c:pt idx="1">
                  <c:v>57</c:v>
                </c:pt>
                <c:pt idx="2">
                  <c:v>71</c:v>
                </c:pt>
                <c:pt idx="3">
                  <c:v>72</c:v>
                </c:pt>
                <c:pt idx="4">
                  <c:v>53</c:v>
                </c:pt>
                <c:pt idx="5">
                  <c:v>60</c:v>
                </c:pt>
                <c:pt idx="6">
                  <c:v>53</c:v>
                </c:pt>
                <c:pt idx="7">
                  <c:v>59</c:v>
                </c:pt>
                <c:pt idx="8">
                  <c:v>42</c:v>
                </c:pt>
                <c:pt idx="9">
                  <c:v>68</c:v>
                </c:pt>
              </c:numCache>
            </c:numRef>
          </c:val>
          <c:smooth val="0"/>
          <c:extLst>
            <c:ext xmlns:c16="http://schemas.microsoft.com/office/drawing/2014/chart" uri="{C3380CC4-5D6E-409C-BE32-E72D297353CC}">
              <c16:uniqueId val="{00000000-E7A3-4DE6-BE7D-5D55B9081B9D}"/>
            </c:ext>
          </c:extLst>
        </c:ser>
        <c:ser>
          <c:idx val="1"/>
          <c:order val="1"/>
          <c:tx>
            <c:strRef>
              <c:f>Sheet1!$S$1</c:f>
              <c:strCache>
                <c:ptCount val="1"/>
                <c:pt idx="0">
                  <c:v>Prevalent patients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Sheet1!$Q$2:$Q$12</c:f>
              <c:strCache>
                <c:ptCount val="10"/>
                <c:pt idx="0">
                  <c:v>2023Q1</c:v>
                </c:pt>
                <c:pt idx="1">
                  <c:v>2023Q2</c:v>
                </c:pt>
                <c:pt idx="2">
                  <c:v>2023Q3</c:v>
                </c:pt>
                <c:pt idx="3">
                  <c:v>2023Q4</c:v>
                </c:pt>
                <c:pt idx="4">
                  <c:v>2024Q1</c:v>
                </c:pt>
                <c:pt idx="5">
                  <c:v>2024Q2</c:v>
                </c:pt>
                <c:pt idx="6">
                  <c:v>2024Q3</c:v>
                </c:pt>
                <c:pt idx="7">
                  <c:v>2024Q4</c:v>
                </c:pt>
                <c:pt idx="8">
                  <c:v>2025Q1</c:v>
                </c:pt>
                <c:pt idx="9">
                  <c:v>2025Q2</c:v>
                </c:pt>
              </c:strCache>
            </c:strRef>
          </c:cat>
          <c:val>
            <c:numRef>
              <c:f>Sheet1!$S$2:$S$12</c:f>
              <c:numCache>
                <c:formatCode>General</c:formatCode>
                <c:ptCount val="10"/>
                <c:pt idx="0">
                  <c:v>94</c:v>
                </c:pt>
                <c:pt idx="1">
                  <c:v>142</c:v>
                </c:pt>
                <c:pt idx="2">
                  <c:v>187</c:v>
                </c:pt>
                <c:pt idx="3">
                  <c:v>240</c:v>
                </c:pt>
                <c:pt idx="4">
                  <c:v>266</c:v>
                </c:pt>
                <c:pt idx="5">
                  <c:v>283</c:v>
                </c:pt>
                <c:pt idx="6">
                  <c:v>304</c:v>
                </c:pt>
                <c:pt idx="7">
                  <c:v>325</c:v>
                </c:pt>
                <c:pt idx="8">
                  <c:v>333</c:v>
                </c:pt>
                <c:pt idx="9">
                  <c:v>377</c:v>
                </c:pt>
              </c:numCache>
            </c:numRef>
          </c:val>
          <c:smooth val="0"/>
          <c:extLst>
            <c:ext xmlns:c16="http://schemas.microsoft.com/office/drawing/2014/chart" uri="{C3380CC4-5D6E-409C-BE32-E72D297353CC}">
              <c16:uniqueId val="{00000001-E7A3-4DE6-BE7D-5D55B9081B9D}"/>
            </c:ext>
          </c:extLst>
        </c:ser>
        <c:dLbls>
          <c:showLegendKey val="0"/>
          <c:showVal val="0"/>
          <c:showCatName val="0"/>
          <c:showSerName val="0"/>
          <c:showPercent val="0"/>
          <c:showBubbleSize val="0"/>
        </c:dLbls>
        <c:marker val="1"/>
        <c:smooth val="0"/>
        <c:axId val="692810408"/>
        <c:axId val="692811128"/>
      </c:lineChart>
      <c:catAx>
        <c:axId val="692810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811128"/>
        <c:crosses val="autoZero"/>
        <c:auto val="1"/>
        <c:lblAlgn val="ctr"/>
        <c:lblOffset val="100"/>
        <c:noMultiLvlLbl val="0"/>
      </c:catAx>
      <c:valAx>
        <c:axId val="692811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810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[Daratumumab.xlsx]Sheet1!PivotTable2</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Sheet1!$R$19</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Sheet1!$Q$20:$Q$30</c:f>
              <c:strCache>
                <c:ptCount val="10"/>
                <c:pt idx="0">
                  <c:v>2023Q1</c:v>
                </c:pt>
                <c:pt idx="1">
                  <c:v>2023Q2</c:v>
                </c:pt>
                <c:pt idx="2">
                  <c:v>2023Q3</c:v>
                </c:pt>
                <c:pt idx="3">
                  <c:v>2023Q4</c:v>
                </c:pt>
                <c:pt idx="4">
                  <c:v>2024Q1</c:v>
                </c:pt>
                <c:pt idx="5">
                  <c:v>2024Q2</c:v>
                </c:pt>
                <c:pt idx="6">
                  <c:v>2024Q3</c:v>
                </c:pt>
                <c:pt idx="7">
                  <c:v>2024Q4</c:v>
                </c:pt>
                <c:pt idx="8">
                  <c:v>2025Q1</c:v>
                </c:pt>
                <c:pt idx="9">
                  <c:v>2025Q2</c:v>
                </c:pt>
              </c:strCache>
            </c:strRef>
          </c:cat>
          <c:val>
            <c:numRef>
              <c:f>Sheet1!$R$20:$R$30</c:f>
              <c:numCache>
                <c:formatCode>General</c:formatCode>
                <c:ptCount val="10"/>
                <c:pt idx="0">
                  <c:v>464</c:v>
                </c:pt>
                <c:pt idx="1">
                  <c:v>696</c:v>
                </c:pt>
                <c:pt idx="2">
                  <c:v>982</c:v>
                </c:pt>
                <c:pt idx="3">
                  <c:v>1128</c:v>
                </c:pt>
                <c:pt idx="4">
                  <c:v>1146</c:v>
                </c:pt>
                <c:pt idx="5">
                  <c:v>1130</c:v>
                </c:pt>
                <c:pt idx="6">
                  <c:v>1280</c:v>
                </c:pt>
                <c:pt idx="7">
                  <c:v>1325</c:v>
                </c:pt>
                <c:pt idx="8">
                  <c:v>1300</c:v>
                </c:pt>
                <c:pt idx="9">
                  <c:v>1486</c:v>
                </c:pt>
              </c:numCache>
            </c:numRef>
          </c:val>
          <c:smooth val="0"/>
          <c:extLst>
            <c:ext xmlns:c16="http://schemas.microsoft.com/office/drawing/2014/chart" uri="{C3380CC4-5D6E-409C-BE32-E72D297353CC}">
              <c16:uniqueId val="{00000000-4CDB-4F31-AD02-63C8FB31C469}"/>
            </c:ext>
          </c:extLst>
        </c:ser>
        <c:dLbls>
          <c:showLegendKey val="0"/>
          <c:showVal val="0"/>
          <c:showCatName val="0"/>
          <c:showSerName val="0"/>
          <c:showPercent val="0"/>
          <c:showBubbleSize val="0"/>
        </c:dLbls>
        <c:marker val="1"/>
        <c:smooth val="0"/>
        <c:axId val="686346752"/>
        <c:axId val="686347472"/>
      </c:lineChart>
      <c:catAx>
        <c:axId val="686346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347472"/>
        <c:crosses val="autoZero"/>
        <c:auto val="1"/>
        <c:lblAlgn val="ctr"/>
        <c:lblOffset val="100"/>
        <c:noMultiLvlLbl val="0"/>
      </c:catAx>
      <c:valAx>
        <c:axId val="68634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supplied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346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[Daratumumab.xlsx]age gender!PivotTable2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'age gender'!$N$79:$N$80</c:f>
              <c:strCache>
                <c:ptCount val="1"/>
                <c:pt idx="0">
                  <c:v>Female</c:v>
                </c:pt>
              </c:strCache>
            </c:strRef>
          </c:tx>
          <c:spPr>
            <a:solidFill>
              <a:schemeClr val="accent1"/>
            </a:solidFill>
            <a:ln>
              <a:noFill/>
            </a:ln>
            <a:effectLst/>
          </c:spPr>
          <c:invertIfNegative val="0"/>
          <c:cat>
            <c:strRef>
              <c:f>'age gender'!$M$81:$M$93</c:f>
              <c:strCache>
                <c:ptCount val="12"/>
                <c:pt idx="0">
                  <c:v>35-39 yrs</c:v>
                </c:pt>
                <c:pt idx="1">
                  <c:v>40-44 yrs</c:v>
                </c:pt>
                <c:pt idx="2">
                  <c:v>45-49 yrs</c:v>
                </c:pt>
                <c:pt idx="3">
                  <c:v>50-54 yrs</c:v>
                </c:pt>
                <c:pt idx="4">
                  <c:v>55-59 yrs</c:v>
                </c:pt>
                <c:pt idx="5">
                  <c:v>60-64 yrs</c:v>
                </c:pt>
                <c:pt idx="6">
                  <c:v>65-69 yrs</c:v>
                </c:pt>
                <c:pt idx="7">
                  <c:v>70-74 yrs</c:v>
                </c:pt>
                <c:pt idx="8">
                  <c:v>75-79 yrs</c:v>
                </c:pt>
                <c:pt idx="9">
                  <c:v>80-84 yrs</c:v>
                </c:pt>
                <c:pt idx="10">
                  <c:v>85-89 yrs</c:v>
                </c:pt>
                <c:pt idx="11">
                  <c:v>90-94 yrs</c:v>
                </c:pt>
              </c:strCache>
            </c:strRef>
          </c:cat>
          <c:val>
            <c:numRef>
              <c:f>'age gender'!$N$81:$N$93</c:f>
              <c:numCache>
                <c:formatCode>General</c:formatCode>
                <c:ptCount val="12"/>
                <c:pt idx="1">
                  <c:v>5</c:v>
                </c:pt>
                <c:pt idx="2">
                  <c:v>5</c:v>
                </c:pt>
                <c:pt idx="3">
                  <c:v>10</c:v>
                </c:pt>
                <c:pt idx="4">
                  <c:v>8</c:v>
                </c:pt>
                <c:pt idx="5">
                  <c:v>31</c:v>
                </c:pt>
                <c:pt idx="6">
                  <c:v>38</c:v>
                </c:pt>
                <c:pt idx="7">
                  <c:v>46</c:v>
                </c:pt>
                <c:pt idx="8">
                  <c:v>60</c:v>
                </c:pt>
                <c:pt idx="9">
                  <c:v>29</c:v>
                </c:pt>
                <c:pt idx="10">
                  <c:v>17</c:v>
                </c:pt>
              </c:numCache>
            </c:numRef>
          </c:val>
          <c:extLst>
            <c:ext xmlns:c16="http://schemas.microsoft.com/office/drawing/2014/chart" uri="{C3380CC4-5D6E-409C-BE32-E72D297353CC}">
              <c16:uniqueId val="{00000000-D913-4C8A-AB9C-3ACA5D96656B}"/>
            </c:ext>
          </c:extLst>
        </c:ser>
        <c:ser>
          <c:idx val="1"/>
          <c:order val="1"/>
          <c:tx>
            <c:strRef>
              <c:f>'age gender'!$O$79:$O$80</c:f>
              <c:strCache>
                <c:ptCount val="1"/>
                <c:pt idx="0">
                  <c:v>Male</c:v>
                </c:pt>
              </c:strCache>
            </c:strRef>
          </c:tx>
          <c:spPr>
            <a:solidFill>
              <a:schemeClr val="accent2"/>
            </a:solidFill>
            <a:ln>
              <a:noFill/>
            </a:ln>
            <a:effectLst/>
          </c:spPr>
          <c:invertIfNegative val="0"/>
          <c:cat>
            <c:strRef>
              <c:f>'age gender'!$M$81:$M$93</c:f>
              <c:strCache>
                <c:ptCount val="12"/>
                <c:pt idx="0">
                  <c:v>35-39 yrs</c:v>
                </c:pt>
                <c:pt idx="1">
                  <c:v>40-44 yrs</c:v>
                </c:pt>
                <c:pt idx="2">
                  <c:v>45-49 yrs</c:v>
                </c:pt>
                <c:pt idx="3">
                  <c:v>50-54 yrs</c:v>
                </c:pt>
                <c:pt idx="4">
                  <c:v>55-59 yrs</c:v>
                </c:pt>
                <c:pt idx="5">
                  <c:v>60-64 yrs</c:v>
                </c:pt>
                <c:pt idx="6">
                  <c:v>65-69 yrs</c:v>
                </c:pt>
                <c:pt idx="7">
                  <c:v>70-74 yrs</c:v>
                </c:pt>
                <c:pt idx="8">
                  <c:v>75-79 yrs</c:v>
                </c:pt>
                <c:pt idx="9">
                  <c:v>80-84 yrs</c:v>
                </c:pt>
                <c:pt idx="10">
                  <c:v>85-89 yrs</c:v>
                </c:pt>
                <c:pt idx="11">
                  <c:v>90-94 yrs</c:v>
                </c:pt>
              </c:strCache>
            </c:strRef>
          </c:cat>
          <c:val>
            <c:numRef>
              <c:f>'age gender'!$O$81:$O$93</c:f>
              <c:numCache>
                <c:formatCode>General</c:formatCode>
                <c:ptCount val="12"/>
                <c:pt idx="0">
                  <c:v>5</c:v>
                </c:pt>
                <c:pt idx="1">
                  <c:v>8</c:v>
                </c:pt>
                <c:pt idx="2">
                  <c:v>15</c:v>
                </c:pt>
                <c:pt idx="3">
                  <c:v>14</c:v>
                </c:pt>
                <c:pt idx="4">
                  <c:v>30</c:v>
                </c:pt>
                <c:pt idx="5">
                  <c:v>52</c:v>
                </c:pt>
                <c:pt idx="6">
                  <c:v>69</c:v>
                </c:pt>
                <c:pt idx="7">
                  <c:v>71</c:v>
                </c:pt>
                <c:pt idx="8">
                  <c:v>58</c:v>
                </c:pt>
                <c:pt idx="9">
                  <c:v>45</c:v>
                </c:pt>
                <c:pt idx="10">
                  <c:v>15</c:v>
                </c:pt>
                <c:pt idx="11">
                  <c:v>5</c:v>
                </c:pt>
              </c:numCache>
            </c:numRef>
          </c:val>
          <c:extLst>
            <c:ext xmlns:c16="http://schemas.microsoft.com/office/drawing/2014/chart" uri="{C3380CC4-5D6E-409C-BE32-E72D297353CC}">
              <c16:uniqueId val="{00000001-D913-4C8A-AB9C-3ACA5D96656B}"/>
            </c:ext>
          </c:extLst>
        </c:ser>
        <c:dLbls>
          <c:showLegendKey val="0"/>
          <c:showVal val="0"/>
          <c:showCatName val="0"/>
          <c:showSerName val="0"/>
          <c:showPercent val="0"/>
          <c:showBubbleSize val="0"/>
        </c:dLbls>
        <c:gapWidth val="219"/>
        <c:overlap val="-27"/>
        <c:axId val="750963784"/>
        <c:axId val="750964144"/>
      </c:barChart>
      <c:catAx>
        <c:axId val="750963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964144"/>
        <c:crosses val="autoZero"/>
        <c:auto val="1"/>
        <c:lblAlgn val="ctr"/>
        <c:lblOffset val="100"/>
        <c:noMultiLvlLbl val="0"/>
      </c:catAx>
      <c:valAx>
        <c:axId val="75096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963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[Daratumumab.xlsx]Sheet4!PivotTable5</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Sheet4!$I$1:$I$2</c:f>
              <c:strCache>
                <c:ptCount val="1"/>
                <c:pt idx="0">
                  <c:v>Haematology</c:v>
                </c:pt>
              </c:strCache>
            </c:strRef>
          </c:tx>
          <c:spPr>
            <a:solidFill>
              <a:schemeClr val="accent1"/>
            </a:solidFill>
            <a:ln>
              <a:noFill/>
            </a:ln>
            <a:effectLst/>
          </c:spPr>
          <c:invertIfNegative val="0"/>
          <c:cat>
            <c:strRef>
              <c:f>Sheet4!$H$3</c:f>
              <c:strCache>
                <c:ptCount val="1"/>
                <c:pt idx="0">
                  <c:v>Total</c:v>
                </c:pt>
              </c:strCache>
            </c:strRef>
          </c:cat>
          <c:val>
            <c:numRef>
              <c:f>Sheet4!$I$3</c:f>
              <c:numCache>
                <c:formatCode>0.00%</c:formatCode>
                <c:ptCount val="1"/>
                <c:pt idx="0">
                  <c:v>0.53061792540359998</c:v>
                </c:pt>
              </c:numCache>
            </c:numRef>
          </c:val>
          <c:extLst>
            <c:ext xmlns:c16="http://schemas.microsoft.com/office/drawing/2014/chart" uri="{C3380CC4-5D6E-409C-BE32-E72D297353CC}">
              <c16:uniqueId val="{00000000-D1E4-46E7-94AE-569498656689}"/>
            </c:ext>
          </c:extLst>
        </c:ser>
        <c:ser>
          <c:idx val="1"/>
          <c:order val="1"/>
          <c:tx>
            <c:strRef>
              <c:f>Sheet4!$J$1:$J$2</c:f>
              <c:strCache>
                <c:ptCount val="1"/>
                <c:pt idx="0">
                  <c:v>Pathology</c:v>
                </c:pt>
              </c:strCache>
            </c:strRef>
          </c:tx>
          <c:spPr>
            <a:solidFill>
              <a:schemeClr val="accent2"/>
            </a:solidFill>
            <a:ln>
              <a:noFill/>
            </a:ln>
            <a:effectLst/>
          </c:spPr>
          <c:invertIfNegative val="0"/>
          <c:cat>
            <c:strRef>
              <c:f>Sheet4!$H$3</c:f>
              <c:strCache>
                <c:ptCount val="1"/>
                <c:pt idx="0">
                  <c:v>Total</c:v>
                </c:pt>
              </c:strCache>
            </c:strRef>
          </c:cat>
          <c:val>
            <c:numRef>
              <c:f>Sheet4!$J$3</c:f>
              <c:numCache>
                <c:formatCode>0.00%</c:formatCode>
                <c:ptCount val="1"/>
                <c:pt idx="0">
                  <c:v>0.23668584152904062</c:v>
                </c:pt>
              </c:numCache>
            </c:numRef>
          </c:val>
          <c:extLst>
            <c:ext xmlns:c16="http://schemas.microsoft.com/office/drawing/2014/chart" uri="{C3380CC4-5D6E-409C-BE32-E72D297353CC}">
              <c16:uniqueId val="{00000001-D1E4-46E7-94AE-569498656689}"/>
            </c:ext>
          </c:extLst>
        </c:ser>
        <c:ser>
          <c:idx val="2"/>
          <c:order val="2"/>
          <c:tx>
            <c:strRef>
              <c:f>Sheet4!$K$1:$K$2</c:f>
              <c:strCache>
                <c:ptCount val="1"/>
                <c:pt idx="0">
                  <c:v>GP</c:v>
                </c:pt>
              </c:strCache>
            </c:strRef>
          </c:tx>
          <c:spPr>
            <a:solidFill>
              <a:schemeClr val="accent3"/>
            </a:solidFill>
            <a:ln>
              <a:noFill/>
            </a:ln>
            <a:effectLst/>
          </c:spPr>
          <c:invertIfNegative val="0"/>
          <c:cat>
            <c:strRef>
              <c:f>Sheet4!$H$3</c:f>
              <c:strCache>
                <c:ptCount val="1"/>
                <c:pt idx="0">
                  <c:v>Total</c:v>
                </c:pt>
              </c:strCache>
            </c:strRef>
          </c:cat>
          <c:val>
            <c:numRef>
              <c:f>Sheet4!$K$3</c:f>
              <c:numCache>
                <c:formatCode>0.00%</c:formatCode>
                <c:ptCount val="1"/>
                <c:pt idx="0">
                  <c:v>0.21822230469474857</c:v>
                </c:pt>
              </c:numCache>
            </c:numRef>
          </c:val>
          <c:extLst>
            <c:ext xmlns:c16="http://schemas.microsoft.com/office/drawing/2014/chart" uri="{C3380CC4-5D6E-409C-BE32-E72D297353CC}">
              <c16:uniqueId val="{00000002-D1E4-46E7-94AE-569498656689}"/>
            </c:ext>
          </c:extLst>
        </c:ser>
        <c:ser>
          <c:idx val="3"/>
          <c:order val="3"/>
          <c:tx>
            <c:strRef>
              <c:f>Sheet4!$L$1:$L$2</c:f>
              <c:strCache>
                <c:ptCount val="1"/>
                <c:pt idx="0">
                  <c:v>Other specialities</c:v>
                </c:pt>
              </c:strCache>
            </c:strRef>
          </c:tx>
          <c:spPr>
            <a:solidFill>
              <a:schemeClr val="accent4"/>
            </a:solidFill>
            <a:ln>
              <a:noFill/>
            </a:ln>
            <a:effectLst/>
          </c:spPr>
          <c:invertIfNegative val="0"/>
          <c:cat>
            <c:strRef>
              <c:f>Sheet4!$H$3</c:f>
              <c:strCache>
                <c:ptCount val="1"/>
                <c:pt idx="0">
                  <c:v>Total</c:v>
                </c:pt>
              </c:strCache>
            </c:strRef>
          </c:cat>
          <c:val>
            <c:numRef>
              <c:f>Sheet4!$L$3</c:f>
              <c:numCache>
                <c:formatCode>0.00%</c:formatCode>
                <c:ptCount val="1"/>
                <c:pt idx="0">
                  <c:v>1.4473928372610873E-2</c:v>
                </c:pt>
              </c:numCache>
            </c:numRef>
          </c:val>
          <c:extLst>
            <c:ext xmlns:c16="http://schemas.microsoft.com/office/drawing/2014/chart" uri="{C3380CC4-5D6E-409C-BE32-E72D297353CC}">
              <c16:uniqueId val="{00000003-D1E4-46E7-94AE-569498656689}"/>
            </c:ext>
          </c:extLst>
        </c:ser>
        <c:dLbls>
          <c:showLegendKey val="0"/>
          <c:showVal val="0"/>
          <c:showCatName val="0"/>
          <c:showSerName val="0"/>
          <c:showPercent val="0"/>
          <c:showBubbleSize val="0"/>
        </c:dLbls>
        <c:gapWidth val="150"/>
        <c:overlap val="100"/>
        <c:axId val="1124073232"/>
        <c:axId val="1124069992"/>
      </c:barChart>
      <c:catAx>
        <c:axId val="1124073232"/>
        <c:scaling>
          <c:orientation val="minMax"/>
        </c:scaling>
        <c:delete val="1"/>
        <c:axPos val="l"/>
        <c:numFmt formatCode="General" sourceLinked="1"/>
        <c:majorTickMark val="none"/>
        <c:minorTickMark val="none"/>
        <c:tickLblPos val="nextTo"/>
        <c:crossAx val="1124069992"/>
        <c:crosses val="autoZero"/>
        <c:auto val="1"/>
        <c:lblAlgn val="ctr"/>
        <c:lblOffset val="100"/>
        <c:noMultiLvlLbl val="0"/>
      </c:catAx>
      <c:valAx>
        <c:axId val="11240699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 of prescriptions supplied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07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[Daratumumab.xlsx]Sheet5!PivotTable6</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Sheet5!$O$1</c:f>
              <c:strCache>
                <c:ptCount val="1"/>
                <c:pt idx="0">
                  <c:v>Total</c:v>
                </c:pt>
              </c:strCache>
            </c:strRef>
          </c:tx>
          <c:spPr>
            <a:ln w="28575" cap="rnd">
              <a:solidFill>
                <a:schemeClr val="accent1"/>
              </a:solidFill>
              <a:round/>
            </a:ln>
            <a:effectLst/>
          </c:spPr>
          <c:marker>
            <c:symbol val="none"/>
          </c:marker>
          <c:cat>
            <c:strRef>
              <c:f>Sheet5!$N$2:$N$139</c:f>
              <c:strCache>
                <c:ptCount val="13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68</c:v>
                </c:pt>
                <c:pt idx="68">
                  <c:v>69</c:v>
                </c:pt>
                <c:pt idx="69">
                  <c:v>70</c:v>
                </c:pt>
                <c:pt idx="70">
                  <c:v>71</c:v>
                </c:pt>
                <c:pt idx="71">
                  <c:v>73</c:v>
                </c:pt>
                <c:pt idx="72">
                  <c:v>75</c:v>
                </c:pt>
                <c:pt idx="73">
                  <c:v>76</c:v>
                </c:pt>
                <c:pt idx="74">
                  <c:v>77</c:v>
                </c:pt>
                <c:pt idx="75">
                  <c:v>78</c:v>
                </c:pt>
                <c:pt idx="76">
                  <c:v>79</c:v>
                </c:pt>
                <c:pt idx="77">
                  <c:v>80</c:v>
                </c:pt>
                <c:pt idx="78">
                  <c:v>81</c:v>
                </c:pt>
                <c:pt idx="79">
                  <c:v>83</c:v>
                </c:pt>
                <c:pt idx="80">
                  <c:v>84</c:v>
                </c:pt>
                <c:pt idx="81">
                  <c:v>85</c:v>
                </c:pt>
                <c:pt idx="82">
                  <c:v>86</c:v>
                </c:pt>
                <c:pt idx="83">
                  <c:v>89</c:v>
                </c:pt>
                <c:pt idx="84">
                  <c:v>90</c:v>
                </c:pt>
                <c:pt idx="85">
                  <c:v>92</c:v>
                </c:pt>
                <c:pt idx="86">
                  <c:v>94</c:v>
                </c:pt>
                <c:pt idx="87">
                  <c:v>95</c:v>
                </c:pt>
                <c:pt idx="88">
                  <c:v>98</c:v>
                </c:pt>
                <c:pt idx="89">
                  <c:v>99</c:v>
                </c:pt>
                <c:pt idx="90">
                  <c:v>101</c:v>
                </c:pt>
                <c:pt idx="91">
                  <c:v>102</c:v>
                </c:pt>
                <c:pt idx="92">
                  <c:v>103</c:v>
                </c:pt>
                <c:pt idx="93">
                  <c:v>104</c:v>
                </c:pt>
                <c:pt idx="94">
                  <c:v>105</c:v>
                </c:pt>
                <c:pt idx="95">
                  <c:v>106</c:v>
                </c:pt>
                <c:pt idx="96">
                  <c:v>109</c:v>
                </c:pt>
                <c:pt idx="97">
                  <c:v>110</c:v>
                </c:pt>
                <c:pt idx="98">
                  <c:v>112</c:v>
                </c:pt>
                <c:pt idx="99">
                  <c:v>113</c:v>
                </c:pt>
                <c:pt idx="100">
                  <c:v>115</c:v>
                </c:pt>
                <c:pt idx="101">
                  <c:v>118</c:v>
                </c:pt>
                <c:pt idx="102">
                  <c:v>120</c:v>
                </c:pt>
                <c:pt idx="103">
                  <c:v>127</c:v>
                </c:pt>
                <c:pt idx="104">
                  <c:v>128</c:v>
                </c:pt>
                <c:pt idx="105">
                  <c:v>132</c:v>
                </c:pt>
                <c:pt idx="106">
                  <c:v>138</c:v>
                </c:pt>
                <c:pt idx="107">
                  <c:v>140</c:v>
                </c:pt>
                <c:pt idx="108">
                  <c:v>143</c:v>
                </c:pt>
                <c:pt idx="109">
                  <c:v>148</c:v>
                </c:pt>
                <c:pt idx="110">
                  <c:v>150</c:v>
                </c:pt>
                <c:pt idx="111">
                  <c:v>153</c:v>
                </c:pt>
                <c:pt idx="112">
                  <c:v>154</c:v>
                </c:pt>
                <c:pt idx="113">
                  <c:v>158</c:v>
                </c:pt>
                <c:pt idx="114">
                  <c:v>162</c:v>
                </c:pt>
                <c:pt idx="115">
                  <c:v>163</c:v>
                </c:pt>
                <c:pt idx="116">
                  <c:v>164</c:v>
                </c:pt>
                <c:pt idx="117">
                  <c:v>167</c:v>
                </c:pt>
                <c:pt idx="118">
                  <c:v>168</c:v>
                </c:pt>
                <c:pt idx="119">
                  <c:v>175</c:v>
                </c:pt>
                <c:pt idx="120">
                  <c:v>182</c:v>
                </c:pt>
                <c:pt idx="121">
                  <c:v>183</c:v>
                </c:pt>
                <c:pt idx="122">
                  <c:v>186</c:v>
                </c:pt>
                <c:pt idx="123">
                  <c:v>189</c:v>
                </c:pt>
                <c:pt idx="124">
                  <c:v>198</c:v>
                </c:pt>
                <c:pt idx="125">
                  <c:v>208</c:v>
                </c:pt>
                <c:pt idx="126">
                  <c:v>214</c:v>
                </c:pt>
                <c:pt idx="127">
                  <c:v>217</c:v>
                </c:pt>
                <c:pt idx="128">
                  <c:v>223</c:v>
                </c:pt>
                <c:pt idx="129">
                  <c:v>228</c:v>
                </c:pt>
                <c:pt idx="130">
                  <c:v>232</c:v>
                </c:pt>
                <c:pt idx="131">
                  <c:v>233</c:v>
                </c:pt>
                <c:pt idx="132">
                  <c:v>240</c:v>
                </c:pt>
                <c:pt idx="133">
                  <c:v>247</c:v>
                </c:pt>
                <c:pt idx="134">
                  <c:v>341</c:v>
                </c:pt>
                <c:pt idx="135">
                  <c:v>377</c:v>
                </c:pt>
                <c:pt idx="136">
                  <c:v>422</c:v>
                </c:pt>
              </c:strCache>
            </c:strRef>
          </c:cat>
          <c:val>
            <c:numRef>
              <c:f>Sheet5!$O$2:$O$139</c:f>
              <c:numCache>
                <c:formatCode>General</c:formatCode>
                <c:ptCount val="137"/>
                <c:pt idx="0">
                  <c:v>489</c:v>
                </c:pt>
                <c:pt idx="1">
                  <c:v>113</c:v>
                </c:pt>
                <c:pt idx="2">
                  <c:v>87</c:v>
                </c:pt>
                <c:pt idx="3">
                  <c:v>105</c:v>
                </c:pt>
                <c:pt idx="4">
                  <c:v>148</c:v>
                </c:pt>
                <c:pt idx="5">
                  <c:v>139</c:v>
                </c:pt>
                <c:pt idx="6">
                  <c:v>405</c:v>
                </c:pt>
                <c:pt idx="7">
                  <c:v>1579</c:v>
                </c:pt>
                <c:pt idx="8">
                  <c:v>382</c:v>
                </c:pt>
                <c:pt idx="9">
                  <c:v>134</c:v>
                </c:pt>
                <c:pt idx="10">
                  <c:v>139</c:v>
                </c:pt>
                <c:pt idx="11">
                  <c:v>118</c:v>
                </c:pt>
                <c:pt idx="12">
                  <c:v>130</c:v>
                </c:pt>
                <c:pt idx="13">
                  <c:v>336</c:v>
                </c:pt>
                <c:pt idx="14">
                  <c:v>1186</c:v>
                </c:pt>
                <c:pt idx="15">
                  <c:v>306</c:v>
                </c:pt>
                <c:pt idx="16">
                  <c:v>86</c:v>
                </c:pt>
                <c:pt idx="17">
                  <c:v>77</c:v>
                </c:pt>
                <c:pt idx="18">
                  <c:v>78</c:v>
                </c:pt>
                <c:pt idx="19">
                  <c:v>69</c:v>
                </c:pt>
                <c:pt idx="20">
                  <c:v>75</c:v>
                </c:pt>
                <c:pt idx="21">
                  <c:v>187</c:v>
                </c:pt>
                <c:pt idx="22">
                  <c:v>87</c:v>
                </c:pt>
                <c:pt idx="23">
                  <c:v>73</c:v>
                </c:pt>
                <c:pt idx="24">
                  <c:v>94</c:v>
                </c:pt>
                <c:pt idx="25">
                  <c:v>133</c:v>
                </c:pt>
                <c:pt idx="26">
                  <c:v>117</c:v>
                </c:pt>
                <c:pt idx="27">
                  <c:v>394</c:v>
                </c:pt>
                <c:pt idx="28">
                  <c:v>1595</c:v>
                </c:pt>
                <c:pt idx="29">
                  <c:v>362</c:v>
                </c:pt>
                <c:pt idx="30">
                  <c:v>113</c:v>
                </c:pt>
                <c:pt idx="31">
                  <c:v>121</c:v>
                </c:pt>
                <c:pt idx="32">
                  <c:v>85</c:v>
                </c:pt>
                <c:pt idx="33">
                  <c:v>73</c:v>
                </c:pt>
                <c:pt idx="34">
                  <c:v>55</c:v>
                </c:pt>
                <c:pt idx="35">
                  <c:v>135</c:v>
                </c:pt>
                <c:pt idx="36">
                  <c:v>56</c:v>
                </c:pt>
                <c:pt idx="37">
                  <c:v>21</c:v>
                </c:pt>
                <c:pt idx="38">
                  <c:v>14</c:v>
                </c:pt>
                <c:pt idx="39">
                  <c:v>12</c:v>
                </c:pt>
                <c:pt idx="40">
                  <c:v>9</c:v>
                </c:pt>
                <c:pt idx="41">
                  <c:v>22</c:v>
                </c:pt>
                <c:pt idx="42">
                  <c:v>39</c:v>
                </c:pt>
                <c:pt idx="43">
                  <c:v>15</c:v>
                </c:pt>
                <c:pt idx="44">
                  <c:v>12</c:v>
                </c:pt>
                <c:pt idx="45">
                  <c:v>7</c:v>
                </c:pt>
                <c:pt idx="46">
                  <c:v>6</c:v>
                </c:pt>
                <c:pt idx="47">
                  <c:v>9</c:v>
                </c:pt>
                <c:pt idx="48">
                  <c:v>12</c:v>
                </c:pt>
                <c:pt idx="49">
                  <c:v>20</c:v>
                </c:pt>
                <c:pt idx="50">
                  <c:v>8</c:v>
                </c:pt>
                <c:pt idx="51">
                  <c:v>9</c:v>
                </c:pt>
                <c:pt idx="52">
                  <c:v>4</c:v>
                </c:pt>
                <c:pt idx="53">
                  <c:v>4</c:v>
                </c:pt>
                <c:pt idx="54">
                  <c:v>9</c:v>
                </c:pt>
                <c:pt idx="55">
                  <c:v>7</c:v>
                </c:pt>
                <c:pt idx="56">
                  <c:v>22</c:v>
                </c:pt>
                <c:pt idx="57">
                  <c:v>16</c:v>
                </c:pt>
                <c:pt idx="58">
                  <c:v>6</c:v>
                </c:pt>
                <c:pt idx="59">
                  <c:v>3</c:v>
                </c:pt>
                <c:pt idx="60">
                  <c:v>11</c:v>
                </c:pt>
                <c:pt idx="61">
                  <c:v>2</c:v>
                </c:pt>
                <c:pt idx="62">
                  <c:v>5</c:v>
                </c:pt>
                <c:pt idx="63">
                  <c:v>13</c:v>
                </c:pt>
                <c:pt idx="64">
                  <c:v>6</c:v>
                </c:pt>
                <c:pt idx="65">
                  <c:v>2</c:v>
                </c:pt>
                <c:pt idx="66">
                  <c:v>4</c:v>
                </c:pt>
                <c:pt idx="67">
                  <c:v>2</c:v>
                </c:pt>
                <c:pt idx="68">
                  <c:v>4</c:v>
                </c:pt>
                <c:pt idx="69">
                  <c:v>6</c:v>
                </c:pt>
                <c:pt idx="70">
                  <c:v>4</c:v>
                </c:pt>
                <c:pt idx="71">
                  <c:v>3</c:v>
                </c:pt>
                <c:pt idx="72">
                  <c:v>3</c:v>
                </c:pt>
                <c:pt idx="73">
                  <c:v>2</c:v>
                </c:pt>
                <c:pt idx="74">
                  <c:v>2</c:v>
                </c:pt>
                <c:pt idx="75">
                  <c:v>3</c:v>
                </c:pt>
                <c:pt idx="76">
                  <c:v>1</c:v>
                </c:pt>
                <c:pt idx="77">
                  <c:v>2</c:v>
                </c:pt>
                <c:pt idx="78">
                  <c:v>2</c:v>
                </c:pt>
                <c:pt idx="79">
                  <c:v>2</c:v>
                </c:pt>
                <c:pt idx="80">
                  <c:v>6</c:v>
                </c:pt>
                <c:pt idx="81">
                  <c:v>3</c:v>
                </c:pt>
                <c:pt idx="82">
                  <c:v>2</c:v>
                </c:pt>
                <c:pt idx="83">
                  <c:v>3</c:v>
                </c:pt>
                <c:pt idx="84">
                  <c:v>2</c:v>
                </c:pt>
                <c:pt idx="85">
                  <c:v>1</c:v>
                </c:pt>
                <c:pt idx="86">
                  <c:v>1</c:v>
                </c:pt>
                <c:pt idx="87">
                  <c:v>1</c:v>
                </c:pt>
                <c:pt idx="88">
                  <c:v>2</c:v>
                </c:pt>
                <c:pt idx="89">
                  <c:v>1</c:v>
                </c:pt>
                <c:pt idx="90">
                  <c:v>1</c:v>
                </c:pt>
                <c:pt idx="91">
                  <c:v>1</c:v>
                </c:pt>
                <c:pt idx="92">
                  <c:v>1</c:v>
                </c:pt>
                <c:pt idx="93">
                  <c:v>1</c:v>
                </c:pt>
                <c:pt idx="94">
                  <c:v>4</c:v>
                </c:pt>
                <c:pt idx="95">
                  <c:v>2</c:v>
                </c:pt>
                <c:pt idx="96">
                  <c:v>1</c:v>
                </c:pt>
                <c:pt idx="97">
                  <c:v>1</c:v>
                </c:pt>
                <c:pt idx="98">
                  <c:v>2</c:v>
                </c:pt>
                <c:pt idx="99">
                  <c:v>4</c:v>
                </c:pt>
                <c:pt idx="100">
                  <c:v>1</c:v>
                </c:pt>
                <c:pt idx="101">
                  <c:v>1</c:v>
                </c:pt>
                <c:pt idx="102">
                  <c:v>3</c:v>
                </c:pt>
                <c:pt idx="103">
                  <c:v>3</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2</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numCache>
            </c:numRef>
          </c:val>
          <c:smooth val="0"/>
          <c:extLst>
            <c:ext xmlns:c16="http://schemas.microsoft.com/office/drawing/2014/chart" uri="{C3380CC4-5D6E-409C-BE32-E72D297353CC}">
              <c16:uniqueId val="{00000000-791F-412E-9E60-D13347058643}"/>
            </c:ext>
          </c:extLst>
        </c:ser>
        <c:dLbls>
          <c:showLegendKey val="0"/>
          <c:showVal val="0"/>
          <c:showCatName val="0"/>
          <c:showSerName val="0"/>
          <c:showPercent val="0"/>
          <c:showBubbleSize val="0"/>
        </c:dLbls>
        <c:smooth val="0"/>
        <c:axId val="1314465400"/>
        <c:axId val="1314466480"/>
      </c:lineChart>
      <c:catAx>
        <c:axId val="1314465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Time</a:t>
                </a:r>
                <a:r>
                  <a:rPr lang="en-AU" baseline="0"/>
                  <a:t> to resupply (days)</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466480"/>
        <c:crosses val="autoZero"/>
        <c:auto val="1"/>
        <c:lblAlgn val="ctr"/>
        <c:lblOffset val="100"/>
        <c:noMultiLvlLbl val="0"/>
      </c:catAx>
      <c:valAx>
        <c:axId val="1314466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supplied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4654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[Daratumumab.xlsx]Sheet1!PivotTable7</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Sheet1!$R$37</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Sheet1!$Q$38:$Q$48</c:f>
              <c:strCache>
                <c:ptCount val="10"/>
                <c:pt idx="0">
                  <c:v>2023Q1</c:v>
                </c:pt>
                <c:pt idx="1">
                  <c:v>2023Q2</c:v>
                </c:pt>
                <c:pt idx="2">
                  <c:v>2023Q3</c:v>
                </c:pt>
                <c:pt idx="3">
                  <c:v>2023Q4</c:v>
                </c:pt>
                <c:pt idx="4">
                  <c:v>2024Q1</c:v>
                </c:pt>
                <c:pt idx="5">
                  <c:v>2024Q2</c:v>
                </c:pt>
                <c:pt idx="6">
                  <c:v>2024Q3</c:v>
                </c:pt>
                <c:pt idx="7">
                  <c:v>2024Q4</c:v>
                </c:pt>
                <c:pt idx="8">
                  <c:v>2025Q1</c:v>
                </c:pt>
                <c:pt idx="9">
                  <c:v>2025Q2</c:v>
                </c:pt>
              </c:strCache>
            </c:strRef>
          </c:cat>
          <c:val>
            <c:numRef>
              <c:f>Sheet1!$R$38:$R$48</c:f>
              <c:numCache>
                <c:formatCode>_-"$"* #,##0_-;\-"$"* #,##0_-;_-"$"* "-"??_-;_-@_-</c:formatCode>
                <c:ptCount val="10"/>
                <c:pt idx="0">
                  <c:v>3297559.68</c:v>
                </c:pt>
                <c:pt idx="1">
                  <c:v>4945552.9000000004</c:v>
                </c:pt>
                <c:pt idx="2">
                  <c:v>6978202.3899999997</c:v>
                </c:pt>
                <c:pt idx="3">
                  <c:v>8021654.4199999999</c:v>
                </c:pt>
                <c:pt idx="4">
                  <c:v>8148633.1200000001</c:v>
                </c:pt>
                <c:pt idx="5">
                  <c:v>8033478.4000000004</c:v>
                </c:pt>
                <c:pt idx="6">
                  <c:v>9093448.5</c:v>
                </c:pt>
                <c:pt idx="7">
                  <c:v>9417336.5500000007</c:v>
                </c:pt>
                <c:pt idx="8">
                  <c:v>9235468.5</c:v>
                </c:pt>
                <c:pt idx="9">
                  <c:v>10565382.07</c:v>
                </c:pt>
              </c:numCache>
            </c:numRef>
          </c:val>
          <c:smooth val="0"/>
          <c:extLst>
            <c:ext xmlns:c16="http://schemas.microsoft.com/office/drawing/2014/chart" uri="{C3380CC4-5D6E-409C-BE32-E72D297353CC}">
              <c16:uniqueId val="{00000000-ADB7-40AE-9BFD-5AE050A3C37F}"/>
            </c:ext>
          </c:extLst>
        </c:ser>
        <c:dLbls>
          <c:showLegendKey val="0"/>
          <c:showVal val="0"/>
          <c:showCatName val="0"/>
          <c:showSerName val="0"/>
          <c:showPercent val="0"/>
          <c:showBubbleSize val="0"/>
        </c:dLbls>
        <c:marker val="1"/>
        <c:smooth val="0"/>
        <c:axId val="1091674288"/>
        <c:axId val="1091676088"/>
      </c:lineChart>
      <c:catAx>
        <c:axId val="1091674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676088"/>
        <c:crosses val="autoZero"/>
        <c:auto val="1"/>
        <c:lblAlgn val="ctr"/>
        <c:lblOffset val="100"/>
        <c:noMultiLvlLbl val="0"/>
      </c:catAx>
      <c:valAx>
        <c:axId val="1091676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Expenditure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6742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F82B-27DE-4369-A0C3-FBA3FE91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3614</Words>
  <Characters>20276</Characters>
  <Application>Microsoft Office Word</Application>
  <DocSecurity>0</DocSecurity>
  <Lines>482</Lines>
  <Paragraphs>277</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2026-02-23T06:01:00Z</cp:lastPrinted>
  <dcterms:created xsi:type="dcterms:W3CDTF">2026-02-23T05:37:00Z</dcterms:created>
  <dcterms:modified xsi:type="dcterms:W3CDTF">2026-02-23T06:02:00Z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16686d24,115ad5af,3eab8d37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3c89eee8,650c59d0,4613ee45</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2025-08-31T06:27:42Z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cedf7775-82ff-449b-b653-ea74ac2b8687</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