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745A55BB" w:rsidR="00832324" w:rsidRDefault="00FC65BF" w:rsidP="00F73113">
      <w:pPr>
        <w:pStyle w:val="Title"/>
      </w:pPr>
      <w:r>
        <w:t>Analysis</w:t>
      </w:r>
      <w:r w:rsidR="00150324">
        <w:t xml:space="preserve"> of the u</w:t>
      </w:r>
      <w:r w:rsidR="009075C7">
        <w:t xml:space="preserve">tilisation </w:t>
      </w:r>
      <w:r w:rsidR="00150324">
        <w:t xml:space="preserve">of treatments for </w:t>
      </w:r>
      <w:r w:rsidR="00150324" w:rsidRPr="00150324">
        <w:t>chronic lymphocytic leukaemia or small lymphocytic lymphoma</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6CCCDC92" w:rsidR="009053D3" w:rsidRPr="00F73113" w:rsidRDefault="00476CD0" w:rsidP="00F73113">
      <w:pPr>
        <w:pStyle w:val="Meetingdate"/>
      </w:pPr>
      <w:r>
        <w:t xml:space="preserve">October </w:t>
      </w:r>
      <w:r w:rsidR="00D151EB" w:rsidRPr="00F73113">
        <w:t>20</w:t>
      </w:r>
      <w:r>
        <w:t>25</w:t>
      </w:r>
    </w:p>
    <w:p w14:paraId="1494B8AD" w14:textId="77777777" w:rsidR="005C6661" w:rsidRPr="00CF5E22" w:rsidRDefault="005C6661" w:rsidP="00CF5E22">
      <w:pPr>
        <w:pStyle w:val="Heading2"/>
      </w:pPr>
      <w:r w:rsidRPr="00CF5E22">
        <w:t>Abstract</w:t>
      </w:r>
    </w:p>
    <w:p w14:paraId="287D7939" w14:textId="77777777" w:rsidR="005C6661" w:rsidRDefault="005C6661" w:rsidP="00CF5E22">
      <w:pPr>
        <w:pStyle w:val="Heading3"/>
      </w:pPr>
      <w:r w:rsidRPr="00CF5E22">
        <w:t>Purpose</w:t>
      </w:r>
    </w:p>
    <w:p w14:paraId="3E9F3C8B" w14:textId="474C1AF6" w:rsidR="004412CB" w:rsidRDefault="004B1B28" w:rsidP="004B1B28">
      <w:r>
        <w:t>To review the</w:t>
      </w:r>
      <w:r w:rsidR="00E301F3">
        <w:t xml:space="preserve"> </w:t>
      </w:r>
      <w:r w:rsidR="003F71B4">
        <w:t xml:space="preserve">utilisation of </w:t>
      </w:r>
      <w:r w:rsidR="00D13254">
        <w:t xml:space="preserve">currently listed </w:t>
      </w:r>
      <w:r w:rsidR="005527B4" w:rsidRPr="005527B4">
        <w:t xml:space="preserve">Pharmaceutical Benefits Scheme </w:t>
      </w:r>
      <w:r w:rsidR="005527B4">
        <w:t>(PBS)</w:t>
      </w:r>
      <w:r w:rsidR="00D3720F">
        <w:t xml:space="preserve"> </w:t>
      </w:r>
      <w:r w:rsidR="003F71B4">
        <w:t xml:space="preserve">medications </w:t>
      </w:r>
      <w:r w:rsidR="00003931">
        <w:t>used in the treatment of</w:t>
      </w:r>
      <w:r w:rsidR="003F71B4">
        <w:t xml:space="preserve"> </w:t>
      </w:r>
      <w:r w:rsidR="00E301F3" w:rsidRPr="00E301F3">
        <w:t xml:space="preserve">chronic lymphocytic leukaemia </w:t>
      </w:r>
      <w:r w:rsidR="00A32551">
        <w:t xml:space="preserve">(CLL) </w:t>
      </w:r>
      <w:r w:rsidR="00E301F3" w:rsidRPr="00E301F3">
        <w:t>or small lymphocytic lymphoma</w:t>
      </w:r>
      <w:r w:rsidR="00A32551">
        <w:t xml:space="preserve"> (SLL).</w:t>
      </w:r>
      <w:r w:rsidR="00735A9B">
        <w:t xml:space="preserve"> </w:t>
      </w:r>
    </w:p>
    <w:p w14:paraId="25FE66E0" w14:textId="607B2625" w:rsidR="004B1B28" w:rsidRPr="004B1B28" w:rsidRDefault="00853246" w:rsidP="004B1B28">
      <w:r w:rsidRPr="00853246">
        <w:t xml:space="preserve">At its November 2023 meeting, the PBAC considered the DUSC’s review of venetoclax </w:t>
      </w:r>
      <w:r w:rsidR="006E2BCA">
        <w:t>for first-line therapy of</w:t>
      </w:r>
      <w:r w:rsidRPr="00853246">
        <w:t xml:space="preserve"> </w:t>
      </w:r>
      <w:r w:rsidR="00382114">
        <w:t>CLL</w:t>
      </w:r>
      <w:r w:rsidR="00B73220">
        <w:t>/</w:t>
      </w:r>
      <w:r w:rsidR="00382114">
        <w:t>SLL</w:t>
      </w:r>
      <w:r w:rsidRPr="00853246">
        <w:t>.</w:t>
      </w:r>
      <w:r w:rsidR="006E2BCA">
        <w:t xml:space="preserve"> </w:t>
      </w:r>
      <w:r w:rsidR="00EC30BC" w:rsidRPr="00EC30BC">
        <w:t xml:space="preserve">The PBAC considered that another review of venetoclax utilisation for </w:t>
      </w:r>
      <w:r w:rsidR="00382114">
        <w:t>CLL</w:t>
      </w:r>
      <w:r w:rsidR="00B73220">
        <w:t>/</w:t>
      </w:r>
      <w:r w:rsidR="00382114">
        <w:t>SLL</w:t>
      </w:r>
      <w:r w:rsidR="00EC30BC" w:rsidRPr="00EC30BC">
        <w:t xml:space="preserve"> in 24 months would be of value.</w:t>
      </w:r>
      <w:r w:rsidR="00A437E3">
        <w:t xml:space="preserve"> At its June 2025 meeting the DUSC</w:t>
      </w:r>
      <w:r w:rsidR="004412CB">
        <w:t xml:space="preserve"> </w:t>
      </w:r>
      <w:r w:rsidR="004412CB" w:rsidRPr="004412CB">
        <w:t xml:space="preserve">noted the listing of zanubrutinib for </w:t>
      </w:r>
      <w:r w:rsidR="00382114">
        <w:t>CLL</w:t>
      </w:r>
      <w:r w:rsidR="00B73220">
        <w:t>/</w:t>
      </w:r>
      <w:r w:rsidR="00382114">
        <w:t>SLL</w:t>
      </w:r>
      <w:r w:rsidR="004412CB" w:rsidRPr="004412CB">
        <w:t xml:space="preserve"> in September 2023 and utilisation of other medicines for </w:t>
      </w:r>
      <w:r w:rsidR="00382114">
        <w:t>CLL</w:t>
      </w:r>
      <w:r w:rsidR="00B73220">
        <w:t>/</w:t>
      </w:r>
      <w:r w:rsidR="00382114">
        <w:t>SLL</w:t>
      </w:r>
      <w:r w:rsidR="004412CB" w:rsidRPr="004412CB">
        <w:t xml:space="preserve"> and considered a market review could be undertaken.</w:t>
      </w:r>
    </w:p>
    <w:p w14:paraId="526743BB" w14:textId="77777777" w:rsidR="005C6661" w:rsidRDefault="005C6661" w:rsidP="00CF5E22">
      <w:pPr>
        <w:pStyle w:val="Heading3"/>
      </w:pPr>
      <w:r>
        <w:t>Data Source / methodology</w:t>
      </w:r>
    </w:p>
    <w:p w14:paraId="18567B41" w14:textId="77777777" w:rsidR="00992B4A" w:rsidRDefault="00992B4A" w:rsidP="00992B4A">
      <w:pPr>
        <w:spacing w:after="0"/>
      </w:pPr>
      <w:r>
        <w:t xml:space="preserve">Authorities data and prescriptions data was extracted from the prescription database and </w:t>
      </w:r>
    </w:p>
    <w:p w14:paraId="2BD7FECB" w14:textId="296B12FD" w:rsidR="00992B4A" w:rsidRPr="00992B4A" w:rsidRDefault="00992B4A" w:rsidP="001676C4">
      <w:pPr>
        <w:spacing w:after="0"/>
      </w:pPr>
      <w:r>
        <w:t xml:space="preserve">Authorities database maintained by the Department of Health, Disability and Ageing, processed by Services Australia from between 1 </w:t>
      </w:r>
      <w:r w:rsidR="00620B5B">
        <w:t>July</w:t>
      </w:r>
      <w:r>
        <w:t xml:space="preserve"> 202</w:t>
      </w:r>
      <w:r w:rsidR="00620B5B">
        <w:t>1</w:t>
      </w:r>
      <w:r>
        <w:t xml:space="preserve"> and </w:t>
      </w:r>
      <w:r w:rsidR="00620B5B">
        <w:t>30 June 2025</w:t>
      </w:r>
      <w:r>
        <w:t>, respectively. Data were extracted based on the date of supply.</w:t>
      </w:r>
    </w:p>
    <w:p w14:paraId="311F638A" w14:textId="77777777" w:rsidR="009765CF" w:rsidRDefault="005C6661" w:rsidP="009765CF">
      <w:pPr>
        <w:pStyle w:val="Heading3"/>
      </w:pPr>
      <w:r>
        <w:t>Key Findings</w:t>
      </w:r>
    </w:p>
    <w:p w14:paraId="013B8A7D" w14:textId="6F981BF1" w:rsidR="005C6661" w:rsidRDefault="009765CF" w:rsidP="009765CF">
      <w:pPr>
        <w:pStyle w:val="Heading3"/>
        <w:numPr>
          <w:ilvl w:val="0"/>
          <w:numId w:val="8"/>
        </w:numPr>
        <w:spacing w:before="0" w:after="0"/>
        <w:ind w:left="357" w:hanging="357"/>
        <w:rPr>
          <w:b w:val="0"/>
          <w:bCs/>
          <w:i w:val="0"/>
          <w:iCs/>
        </w:rPr>
      </w:pPr>
      <w:r>
        <w:rPr>
          <w:b w:val="0"/>
          <w:bCs/>
          <w:i w:val="0"/>
          <w:iCs/>
        </w:rPr>
        <w:t>Over the analysis period t</w:t>
      </w:r>
      <w:r w:rsidRPr="009765CF">
        <w:rPr>
          <w:b w:val="0"/>
          <w:bCs/>
          <w:i w:val="0"/>
          <w:iCs/>
        </w:rPr>
        <w:t xml:space="preserve">here has been an increase in the number of first-line incident </w:t>
      </w:r>
      <w:r>
        <w:rPr>
          <w:b w:val="0"/>
          <w:bCs/>
          <w:i w:val="0"/>
          <w:iCs/>
        </w:rPr>
        <w:t xml:space="preserve">and prevalent </w:t>
      </w:r>
      <w:r w:rsidRPr="009765CF">
        <w:rPr>
          <w:b w:val="0"/>
          <w:bCs/>
          <w:i w:val="0"/>
          <w:iCs/>
        </w:rPr>
        <w:t>patients treated since the third quarter (Q3) of 2023</w:t>
      </w:r>
      <w:r>
        <w:rPr>
          <w:b w:val="0"/>
          <w:bCs/>
          <w:i w:val="0"/>
          <w:iCs/>
        </w:rPr>
        <w:t>.</w:t>
      </w:r>
    </w:p>
    <w:p w14:paraId="06ED47C8" w14:textId="62A15C52" w:rsidR="009765CF" w:rsidRDefault="009765CF" w:rsidP="009765CF">
      <w:pPr>
        <w:pStyle w:val="ListParagraph"/>
        <w:numPr>
          <w:ilvl w:val="0"/>
          <w:numId w:val="8"/>
        </w:numPr>
      </w:pPr>
      <w:r>
        <w:t>The nu</w:t>
      </w:r>
      <w:r w:rsidRPr="009765CF">
        <w:t xml:space="preserve">mber of second-line incident and prevalent patients treated has remained </w:t>
      </w:r>
      <w:r>
        <w:t>constant over the analysis period.</w:t>
      </w:r>
    </w:p>
    <w:p w14:paraId="23674937" w14:textId="7696902E" w:rsidR="009765CF" w:rsidRDefault="009765CF" w:rsidP="009765CF">
      <w:pPr>
        <w:pStyle w:val="ListParagraph"/>
        <w:numPr>
          <w:ilvl w:val="0"/>
          <w:numId w:val="8"/>
        </w:numPr>
      </w:pPr>
      <w:r>
        <w:t>The c</w:t>
      </w:r>
      <w:r w:rsidRPr="009765CF">
        <w:t xml:space="preserve">ost to </w:t>
      </w:r>
      <w:r>
        <w:t>g</w:t>
      </w:r>
      <w:r w:rsidRPr="009765CF">
        <w:t>overnment for first line therapy has increased largely as a result of the introduction of zanubrutinib, and to a lesser extent acalabrutinib and venetoclax in combination with ibrutinib and acalabrutinib in combination with obinutuzumab.</w:t>
      </w:r>
    </w:p>
    <w:p w14:paraId="38B57ECC" w14:textId="610ED786" w:rsidR="00BB0D1A" w:rsidRPr="009D410B" w:rsidRDefault="009765CF" w:rsidP="009D410B">
      <w:pPr>
        <w:pStyle w:val="ListParagraph"/>
        <w:numPr>
          <w:ilvl w:val="0"/>
          <w:numId w:val="8"/>
        </w:numPr>
      </w:pPr>
      <w:r>
        <w:t>The c</w:t>
      </w:r>
      <w:r w:rsidRPr="009765CF">
        <w:t xml:space="preserve">ost to </w:t>
      </w:r>
      <w:r>
        <w:t>g</w:t>
      </w:r>
      <w:r w:rsidRPr="009765CF">
        <w:t xml:space="preserve">overnment for second line therapy has generally been stable largely driven by the decreased use of ibrutinib, counterbalanced to some extent with the increased use of </w:t>
      </w:r>
      <w:r>
        <w:t xml:space="preserve">zanubrutinib and </w:t>
      </w:r>
      <w:r w:rsidRPr="009765CF">
        <w:t>acalabrutinib.</w:t>
      </w:r>
    </w:p>
    <w:p w14:paraId="5B262047" w14:textId="525241DC" w:rsidR="00E677DD" w:rsidRDefault="00E677DD" w:rsidP="00CF5E22">
      <w:pPr>
        <w:pStyle w:val="Heading1"/>
      </w:pPr>
      <w:r w:rsidRPr="00CF5E22">
        <w:lastRenderedPageBreak/>
        <w:t xml:space="preserve">Purpose of </w:t>
      </w:r>
      <w:r w:rsidR="00D151EB" w:rsidRPr="00CF5E22">
        <w:t>analysis</w:t>
      </w:r>
    </w:p>
    <w:p w14:paraId="48B42873" w14:textId="7233499E" w:rsidR="00F55B42" w:rsidRDefault="00F55B42" w:rsidP="00F55B42">
      <w:r>
        <w:t xml:space="preserve">To review the utilisation of </w:t>
      </w:r>
      <w:r w:rsidRPr="005527B4">
        <w:t xml:space="preserve">Pharmaceutical Benefits Scheme </w:t>
      </w:r>
      <w:r>
        <w:t xml:space="preserve">(PBS) </w:t>
      </w:r>
      <w:r w:rsidR="00D3720F">
        <w:t xml:space="preserve">listed </w:t>
      </w:r>
      <w:r>
        <w:t>medications currently listed used in the treatment of CLL</w:t>
      </w:r>
      <w:r w:rsidR="00D3720F">
        <w:t>/</w:t>
      </w:r>
      <w:r>
        <w:t xml:space="preserve">SLL. </w:t>
      </w:r>
    </w:p>
    <w:p w14:paraId="5493E48F" w14:textId="499BA8FB" w:rsidR="00F55B42" w:rsidRPr="00F55B42" w:rsidRDefault="00F55B42" w:rsidP="00F55B42">
      <w:r w:rsidRPr="00853246">
        <w:t xml:space="preserve">At its November 2023 meeting, the PBAC considered the DUSC’s review of venetoclax </w:t>
      </w:r>
      <w:r>
        <w:t>for first-line therapy of</w:t>
      </w:r>
      <w:r w:rsidRPr="00853246">
        <w:t xml:space="preserve"> </w:t>
      </w:r>
      <w:r w:rsidR="00382114">
        <w:t>CLL</w:t>
      </w:r>
      <w:r w:rsidR="00D3720F">
        <w:t>/</w:t>
      </w:r>
      <w:r w:rsidR="00382114">
        <w:t>SLL</w:t>
      </w:r>
      <w:r w:rsidRPr="00853246">
        <w:t>.</w:t>
      </w:r>
      <w:r>
        <w:t xml:space="preserve"> </w:t>
      </w:r>
      <w:r w:rsidRPr="00EC30BC">
        <w:t xml:space="preserve">The PBAC </w:t>
      </w:r>
      <w:r w:rsidR="00FE67B5">
        <w:t>requested</w:t>
      </w:r>
      <w:r w:rsidRPr="00EC30BC">
        <w:t xml:space="preserve"> another review of venetoclax utilisation for </w:t>
      </w:r>
      <w:r w:rsidR="00382114">
        <w:t>CLL</w:t>
      </w:r>
      <w:r w:rsidR="00D3720F">
        <w:t>/</w:t>
      </w:r>
      <w:r w:rsidR="00382114">
        <w:t>SLL</w:t>
      </w:r>
      <w:r w:rsidRPr="00EC30BC">
        <w:t xml:space="preserve"> </w:t>
      </w:r>
      <w:r w:rsidR="00FE67B5">
        <w:t>after</w:t>
      </w:r>
      <w:r w:rsidRPr="00EC30BC">
        <w:t xml:space="preserve"> 24 months.</w:t>
      </w:r>
      <w:r>
        <w:t xml:space="preserve"> At its June 2025 meeting the DUSC </w:t>
      </w:r>
      <w:r w:rsidRPr="004412CB">
        <w:t xml:space="preserve">noted the listing of zanubrutinib for </w:t>
      </w:r>
      <w:r w:rsidR="00382114">
        <w:t>CLL</w:t>
      </w:r>
      <w:r w:rsidR="00D3720F">
        <w:t>/</w:t>
      </w:r>
      <w:r w:rsidR="00382114">
        <w:t>SLL</w:t>
      </w:r>
      <w:r w:rsidRPr="004412CB">
        <w:t xml:space="preserve"> in September 2023 and utilisation of other medicines for </w:t>
      </w:r>
      <w:r w:rsidR="00382114">
        <w:t>CLL</w:t>
      </w:r>
      <w:r w:rsidR="00D3720F">
        <w:t>/</w:t>
      </w:r>
      <w:r w:rsidR="00382114">
        <w:t>SLL</w:t>
      </w:r>
      <w:r w:rsidRPr="004412CB">
        <w:t xml:space="preserve"> and considered a market review could be undertaken.</w:t>
      </w:r>
    </w:p>
    <w:p w14:paraId="0A7F0B57" w14:textId="034D22D5" w:rsidR="006537D9" w:rsidRPr="005E22C2" w:rsidRDefault="00736041" w:rsidP="00CF5E22">
      <w:pPr>
        <w:pStyle w:val="Heading1"/>
      </w:pPr>
      <w:r w:rsidRPr="005E22C2">
        <w:t>Background</w:t>
      </w:r>
    </w:p>
    <w:p w14:paraId="2C748275" w14:textId="77777777" w:rsidR="00EE2BBB" w:rsidRDefault="00EE2BBB" w:rsidP="00EE2BBB">
      <w:pPr>
        <w:pStyle w:val="Heading2"/>
      </w:pPr>
      <w:r w:rsidRPr="007247B9">
        <w:t>Clinical situation</w:t>
      </w:r>
    </w:p>
    <w:p w14:paraId="7C36895D" w14:textId="592017AB" w:rsidR="004C64FB" w:rsidRDefault="00382114" w:rsidP="00811485">
      <w:r>
        <w:t>CLL</w:t>
      </w:r>
      <w:r w:rsidR="00D3720F">
        <w:t>/</w:t>
      </w:r>
      <w:r>
        <w:t>SLL</w:t>
      </w:r>
      <w:r w:rsidR="00A062D7" w:rsidRPr="00A062D7">
        <w:t xml:space="preserve"> is a slow-growing cancer in which immature B-lymphocytes (B-cells) are found in the blood and bone marrow and/or in the lymph nodes. CLL and SLL are the same disease, but in CLL cancer cells are found mostly in the blood and bone marrow. In SLL cancer cells are found mostly in the lymph nodes. </w:t>
      </w:r>
      <w:r>
        <w:t>CLL</w:t>
      </w:r>
      <w:r w:rsidR="00D3720F">
        <w:t>/</w:t>
      </w:r>
      <w:r>
        <w:t>SLL</w:t>
      </w:r>
      <w:r w:rsidR="00A062D7" w:rsidRPr="00A062D7">
        <w:t xml:space="preserve"> is a type of lymphoma.</w:t>
      </w:r>
      <w:r w:rsidR="00DD1724" w:rsidRPr="00DD1724">
        <w:rPr>
          <w:rStyle w:val="FootnoteReference"/>
        </w:rPr>
        <w:t xml:space="preserve"> </w:t>
      </w:r>
      <w:r w:rsidR="00DD1724">
        <w:rPr>
          <w:rStyle w:val="FootnoteReference"/>
        </w:rPr>
        <w:footnoteReference w:id="1"/>
      </w:r>
      <w:r w:rsidR="00DD1724" w:rsidRPr="00694C6E">
        <w:rPr>
          <w:vertAlign w:val="superscript"/>
        </w:rPr>
        <w:t>,</w:t>
      </w:r>
      <w:r w:rsidR="00DD1724">
        <w:rPr>
          <w:rStyle w:val="FootnoteReference"/>
        </w:rPr>
        <w:footnoteReference w:id="2"/>
      </w:r>
      <w:r w:rsidR="00A062D7" w:rsidRPr="00A062D7">
        <w:t xml:space="preserve"> </w:t>
      </w:r>
      <w:r w:rsidR="00CB6A68">
        <w:t>The average age of diagnosis is 71 years</w:t>
      </w:r>
      <w:r w:rsidR="00CB6A68" w:rsidRPr="00CB6A68">
        <w:t>.</w:t>
      </w:r>
      <w:r w:rsidR="00DD1724" w:rsidRPr="00DD1724">
        <w:rPr>
          <w:rStyle w:val="FootnoteReference"/>
        </w:rPr>
        <w:t xml:space="preserve"> </w:t>
      </w:r>
      <w:r w:rsidR="00DD1724">
        <w:rPr>
          <w:rStyle w:val="FootnoteReference"/>
        </w:rPr>
        <w:footnoteReference w:id="3"/>
      </w:r>
    </w:p>
    <w:p w14:paraId="47E0CF42" w14:textId="43CD7683" w:rsidR="00A062D7" w:rsidRDefault="00A062D7" w:rsidP="00A062D7">
      <w:r w:rsidRPr="00A062D7">
        <w:t xml:space="preserve">Data </w:t>
      </w:r>
      <w:r w:rsidR="00E05C98">
        <w:t xml:space="preserve">from the </w:t>
      </w:r>
      <w:r w:rsidR="00E05C98" w:rsidRPr="00E05C98">
        <w:t>Australian Institute of Health and Welfare</w:t>
      </w:r>
      <w:r w:rsidR="00E05C98">
        <w:t xml:space="preserve"> </w:t>
      </w:r>
      <w:r w:rsidR="003837BF">
        <w:t xml:space="preserve">(AIHW) </w:t>
      </w:r>
      <w:r w:rsidRPr="00A062D7">
        <w:t>indicates that</w:t>
      </w:r>
      <w:r w:rsidR="00875D16">
        <w:t xml:space="preserve"> in 2020</w:t>
      </w:r>
      <w:r w:rsidR="00856E49">
        <w:t>:</w:t>
      </w:r>
      <w:r w:rsidR="00DD1724" w:rsidRPr="00DD1724">
        <w:rPr>
          <w:rStyle w:val="FootnoteReference"/>
        </w:rPr>
        <w:t xml:space="preserve"> </w:t>
      </w:r>
      <w:r w:rsidR="00DD1724">
        <w:rPr>
          <w:rStyle w:val="FootnoteReference"/>
        </w:rPr>
        <w:footnoteReference w:id="4"/>
      </w:r>
    </w:p>
    <w:p w14:paraId="76FF6953" w14:textId="3D688DF5" w:rsidR="00856E49" w:rsidRDefault="008336D4" w:rsidP="003D5B14">
      <w:pPr>
        <w:pStyle w:val="ListParagraph"/>
        <w:numPr>
          <w:ilvl w:val="0"/>
          <w:numId w:val="1"/>
        </w:numPr>
        <w:spacing w:after="0"/>
      </w:pPr>
      <w:r>
        <w:t xml:space="preserve">1,942 cases of </w:t>
      </w:r>
      <w:r w:rsidR="00382114">
        <w:t>CLL</w:t>
      </w:r>
      <w:r w:rsidR="00D3720F">
        <w:t>/</w:t>
      </w:r>
      <w:r w:rsidR="00382114">
        <w:t>SLL</w:t>
      </w:r>
      <w:r>
        <w:t xml:space="preserve"> were diagnosed</w:t>
      </w:r>
      <w:r w:rsidR="009529F6">
        <w:t xml:space="preserve"> in </w:t>
      </w:r>
      <w:r w:rsidR="007C2995">
        <w:t xml:space="preserve">all </w:t>
      </w:r>
      <w:r w:rsidR="009529F6">
        <w:t xml:space="preserve">persons </w:t>
      </w:r>
      <w:r w:rsidR="006D1DE3">
        <w:t>(</w:t>
      </w:r>
      <w:r w:rsidR="00530076">
        <w:t xml:space="preserve">1,861 CLL and 81 SLL) </w:t>
      </w:r>
      <w:r w:rsidR="009529F6">
        <w:t>(all years of age).</w:t>
      </w:r>
    </w:p>
    <w:p w14:paraId="00E4B4C4" w14:textId="2B46C373" w:rsidR="009529F6" w:rsidRDefault="00875D16" w:rsidP="003D5B14">
      <w:pPr>
        <w:pStyle w:val="ListParagraph"/>
        <w:numPr>
          <w:ilvl w:val="0"/>
          <w:numId w:val="1"/>
        </w:numPr>
        <w:spacing w:after="0"/>
      </w:pPr>
      <w:r>
        <w:t>T</w:t>
      </w:r>
      <w:r w:rsidRPr="00875D16">
        <w:t xml:space="preserve">he crude incidence rate for </w:t>
      </w:r>
      <w:r w:rsidR="007C2995">
        <w:t xml:space="preserve">all </w:t>
      </w:r>
      <w:r w:rsidR="00382114">
        <w:t>CLL</w:t>
      </w:r>
      <w:r w:rsidR="00D3720F">
        <w:t>/</w:t>
      </w:r>
      <w:r w:rsidR="00382114">
        <w:t>SLL</w:t>
      </w:r>
      <w:r w:rsidRPr="00875D16">
        <w:t xml:space="preserve"> persons (all years of age) was 7.6 cases per 100,000 persons. </w:t>
      </w:r>
      <w:r w:rsidR="007C2995">
        <w:t>The number of incident</w:t>
      </w:r>
      <w:r w:rsidRPr="00875D16">
        <w:t xml:space="preserve"> </w:t>
      </w:r>
      <w:r w:rsidR="007C2995">
        <w:t>m</w:t>
      </w:r>
      <w:r w:rsidRPr="00875D16">
        <w:t xml:space="preserve">ales </w:t>
      </w:r>
      <w:r w:rsidR="007C2995">
        <w:t xml:space="preserve">was </w:t>
      </w:r>
      <w:r w:rsidRPr="00875D16">
        <w:t>1,216</w:t>
      </w:r>
      <w:r w:rsidR="007C2995">
        <w:t xml:space="preserve"> (</w:t>
      </w:r>
      <w:r w:rsidRPr="00875D16">
        <w:t>9.6 cases per 100,000 males</w:t>
      </w:r>
      <w:r w:rsidR="007C2995">
        <w:t>) and the number of incident</w:t>
      </w:r>
      <w:r w:rsidR="003A6CF4">
        <w:t xml:space="preserve"> </w:t>
      </w:r>
      <w:r w:rsidR="007C2995">
        <w:t>f</w:t>
      </w:r>
      <w:r w:rsidRPr="00875D16">
        <w:t xml:space="preserve">emales </w:t>
      </w:r>
      <w:r w:rsidR="007C2995">
        <w:t xml:space="preserve">was </w:t>
      </w:r>
      <w:r w:rsidRPr="00875D16">
        <w:t xml:space="preserve">726 </w:t>
      </w:r>
      <w:r w:rsidR="007C2995">
        <w:t>(</w:t>
      </w:r>
      <w:r w:rsidRPr="00875D16">
        <w:t>5.6 cases per 100,000</w:t>
      </w:r>
      <w:r w:rsidR="007C2995">
        <w:t>)</w:t>
      </w:r>
      <w:r w:rsidRPr="00875D16">
        <w:t>.</w:t>
      </w:r>
    </w:p>
    <w:p w14:paraId="4D89D9FB" w14:textId="711CB3CB" w:rsidR="001470CF" w:rsidRDefault="002B5F75" w:rsidP="003D5B14">
      <w:pPr>
        <w:pStyle w:val="ListParagraph"/>
        <w:numPr>
          <w:ilvl w:val="0"/>
          <w:numId w:val="1"/>
        </w:numPr>
        <w:spacing w:after="0"/>
      </w:pPr>
      <w:r>
        <w:t>A</w:t>
      </w:r>
      <w:r w:rsidRPr="002B5F75">
        <w:t xml:space="preserve">t the end of 2020 there were 13,846 </w:t>
      </w:r>
      <w:r w:rsidR="00141CE7">
        <w:t>(</w:t>
      </w:r>
      <w:r w:rsidR="00837DFF">
        <w:t xml:space="preserve">13,185 CLL and 661 SLL) </w:t>
      </w:r>
      <w:r w:rsidRPr="002B5F75">
        <w:t xml:space="preserve">persons alive, all ages, who were diagnosed between 2011 and 2020 with </w:t>
      </w:r>
      <w:r w:rsidR="00382114">
        <w:t>CLL</w:t>
      </w:r>
      <w:r w:rsidR="00D3720F">
        <w:t>/</w:t>
      </w:r>
      <w:r w:rsidR="00382114">
        <w:t>SLL</w:t>
      </w:r>
      <w:r w:rsidRPr="002B5F75">
        <w:t>.</w:t>
      </w:r>
    </w:p>
    <w:p w14:paraId="6E99884D" w14:textId="2C35F1E0" w:rsidR="004E1C8D" w:rsidRDefault="007C2995" w:rsidP="003D5B14">
      <w:pPr>
        <w:pStyle w:val="ListParagraph"/>
        <w:numPr>
          <w:ilvl w:val="0"/>
          <w:numId w:val="1"/>
        </w:numPr>
        <w:spacing w:after="0"/>
      </w:pPr>
      <w:r>
        <w:t>The relative s</w:t>
      </w:r>
      <w:r w:rsidR="004E1C8D">
        <w:t xml:space="preserve">urvival 5 years after diagnosis persons all ages combined </w:t>
      </w:r>
      <w:r>
        <w:t xml:space="preserve">has increased over time: </w:t>
      </w:r>
      <w:r w:rsidR="004E1C8D">
        <w:t>2006-2010</w:t>
      </w:r>
      <w:r w:rsidR="0095272E">
        <w:t xml:space="preserve"> </w:t>
      </w:r>
      <w:r w:rsidR="004E1C8D">
        <w:t>78.8%, 2011-2015</w:t>
      </w:r>
      <w:r w:rsidR="0095272E">
        <w:t xml:space="preserve"> </w:t>
      </w:r>
      <w:r w:rsidR="004E1C8D">
        <w:t>83.9%</w:t>
      </w:r>
      <w:r>
        <w:t>; and</w:t>
      </w:r>
      <w:r w:rsidR="004E1C8D">
        <w:t xml:space="preserve"> 2016-2020</w:t>
      </w:r>
      <w:r w:rsidR="0095272E">
        <w:t xml:space="preserve"> </w:t>
      </w:r>
      <w:r w:rsidR="004E1C8D">
        <w:t>87.1%.</w:t>
      </w:r>
    </w:p>
    <w:p w14:paraId="4388EA9B" w14:textId="4D4105A0" w:rsidR="00585246" w:rsidRDefault="00771C76" w:rsidP="003D5B14">
      <w:pPr>
        <w:pStyle w:val="ListParagraph"/>
        <w:numPr>
          <w:ilvl w:val="0"/>
          <w:numId w:val="1"/>
        </w:numPr>
        <w:spacing w:after="0"/>
      </w:pPr>
      <w:r>
        <w:t>The p</w:t>
      </w:r>
      <w:r w:rsidR="00585246" w:rsidRPr="00585246">
        <w:t xml:space="preserve">rojections of CLL </w:t>
      </w:r>
      <w:r w:rsidR="00B863DC">
        <w:t>(IDC10 – C91.1)</w:t>
      </w:r>
      <w:r>
        <w:t xml:space="preserve"> for</w:t>
      </w:r>
      <w:r w:rsidR="00680313">
        <w:t xml:space="preserve"> </w:t>
      </w:r>
      <w:r w:rsidR="00585246" w:rsidRPr="00585246">
        <w:t xml:space="preserve">incident persons </w:t>
      </w:r>
      <w:r>
        <w:t xml:space="preserve">of </w:t>
      </w:r>
      <w:r w:rsidR="00585246" w:rsidRPr="00585246">
        <w:t xml:space="preserve">all ages </w:t>
      </w:r>
      <w:r w:rsidR="00FA43FB">
        <w:t>(</w:t>
      </w:r>
      <w:r w:rsidR="00585246" w:rsidRPr="00585246">
        <w:t>crude</w:t>
      </w:r>
      <w:r w:rsidR="00FA43FB">
        <w:t xml:space="preserve"> rate)</w:t>
      </w:r>
      <w:r w:rsidR="00585246" w:rsidRPr="00585246">
        <w:t xml:space="preserve"> </w:t>
      </w:r>
      <w:r w:rsidR="00C14A44">
        <w:t xml:space="preserve">for </w:t>
      </w:r>
      <w:r w:rsidR="00585246" w:rsidRPr="00585246">
        <w:t xml:space="preserve">2024 </w:t>
      </w:r>
      <w:r>
        <w:t>was</w:t>
      </w:r>
      <w:r w:rsidR="00585246" w:rsidRPr="00585246">
        <w:t xml:space="preserve"> 2,401</w:t>
      </w:r>
      <w:r w:rsidR="00885137">
        <w:t xml:space="preserve"> or </w:t>
      </w:r>
      <w:r w:rsidR="00585246" w:rsidRPr="00585246">
        <w:t>8.8</w:t>
      </w:r>
      <w:r w:rsidR="00885137">
        <w:t xml:space="preserve"> case</w:t>
      </w:r>
      <w:r w:rsidR="000F47BE">
        <w:t xml:space="preserve">s per </w:t>
      </w:r>
      <w:r w:rsidR="00585246" w:rsidRPr="00585246">
        <w:t>100,000</w:t>
      </w:r>
      <w:r w:rsidR="000F47BE">
        <w:t xml:space="preserve"> persons</w:t>
      </w:r>
      <w:r w:rsidR="00C14A44">
        <w:t>.</w:t>
      </w:r>
      <w:r w:rsidR="00DD1724" w:rsidRPr="00DD1724">
        <w:rPr>
          <w:rStyle w:val="FootnoteReference"/>
        </w:rPr>
        <w:t xml:space="preserve"> </w:t>
      </w:r>
      <w:r w:rsidR="00DD1724">
        <w:rPr>
          <w:rStyle w:val="FootnoteReference"/>
        </w:rPr>
        <w:footnoteReference w:id="5"/>
      </w:r>
    </w:p>
    <w:p w14:paraId="503828C0" w14:textId="77777777" w:rsidR="00C70295" w:rsidRDefault="00C70295" w:rsidP="00C70295">
      <w:pPr>
        <w:spacing w:after="0"/>
      </w:pPr>
    </w:p>
    <w:p w14:paraId="4CF288E6" w14:textId="77777777" w:rsidR="005D7C38" w:rsidRDefault="005D7C38" w:rsidP="00C70295">
      <w:pPr>
        <w:spacing w:after="0"/>
      </w:pPr>
    </w:p>
    <w:p w14:paraId="72DF2115" w14:textId="77777777" w:rsidR="005D7C38" w:rsidRDefault="005D7C38" w:rsidP="00C70295">
      <w:pPr>
        <w:spacing w:after="0"/>
      </w:pPr>
    </w:p>
    <w:p w14:paraId="0CADC98B" w14:textId="24DBF395" w:rsidR="005D7C38" w:rsidRDefault="005D7C38" w:rsidP="00C70295">
      <w:pPr>
        <w:spacing w:after="0"/>
      </w:pPr>
      <w:r>
        <w:lastRenderedPageBreak/>
        <w:t xml:space="preserve">PBS listed treatments for CLL/SLL: </w:t>
      </w:r>
    </w:p>
    <w:p w14:paraId="1147AAFC" w14:textId="77777777" w:rsidR="005D7C38" w:rsidRDefault="005D7C38" w:rsidP="00C70295">
      <w:pPr>
        <w:spacing w:after="0"/>
      </w:pPr>
    </w:p>
    <w:p w14:paraId="51E2E9A6" w14:textId="30C72F11" w:rsidR="005D7C38" w:rsidRDefault="005D7C38" w:rsidP="00C70295">
      <w:pPr>
        <w:spacing w:after="0"/>
      </w:pPr>
      <w:r w:rsidRPr="005D7C38">
        <w:t>Fludarabine appropriate</w:t>
      </w:r>
      <w:r w:rsidR="001E4FEE">
        <w:t>:</w:t>
      </w:r>
    </w:p>
    <w:p w14:paraId="054A63C0" w14:textId="72DBE22D" w:rsidR="005D7C38" w:rsidRDefault="005D7C38" w:rsidP="00C70295">
      <w:pPr>
        <w:pStyle w:val="ListParagraph"/>
        <w:numPr>
          <w:ilvl w:val="0"/>
          <w:numId w:val="5"/>
        </w:numPr>
        <w:spacing w:after="0"/>
      </w:pPr>
      <w:r>
        <w:t>First-line – fludarabine with cyclophosphamide and rituximab</w:t>
      </w:r>
      <w:r w:rsidR="3A153476">
        <w:t>.</w:t>
      </w:r>
    </w:p>
    <w:p w14:paraId="21EFE95F" w14:textId="6215AA67" w:rsidR="001E4FEE" w:rsidRDefault="005D7C38" w:rsidP="00D7651D">
      <w:pPr>
        <w:pStyle w:val="ListParagraph"/>
        <w:numPr>
          <w:ilvl w:val="0"/>
          <w:numId w:val="5"/>
        </w:numPr>
        <w:spacing w:after="0"/>
      </w:pPr>
      <w:r w:rsidRPr="005D7C38">
        <w:t xml:space="preserve">Second-line for Relapsed or Refractory (RR) – fludarabine with cyclophosphamide and rituximab. </w:t>
      </w:r>
    </w:p>
    <w:p w14:paraId="129E5422" w14:textId="77777777" w:rsidR="001E4FEE" w:rsidRDefault="001E4FEE" w:rsidP="00C70295">
      <w:pPr>
        <w:spacing w:after="0"/>
      </w:pPr>
    </w:p>
    <w:p w14:paraId="427E10AC" w14:textId="5F647CB0" w:rsidR="001E4FEE" w:rsidRDefault="005D7C38" w:rsidP="00C70295">
      <w:pPr>
        <w:spacing w:after="0"/>
      </w:pPr>
      <w:r w:rsidRPr="005D7C38">
        <w:t>Fludarabine inappropriate</w:t>
      </w:r>
      <w:r w:rsidR="00D7651D">
        <w:t>:</w:t>
      </w:r>
      <w:r w:rsidRPr="005D7C38">
        <w:t xml:space="preserve"> </w:t>
      </w:r>
    </w:p>
    <w:p w14:paraId="62D90589" w14:textId="758F7D09" w:rsidR="00D7651D" w:rsidRDefault="005D7C38" w:rsidP="00811485">
      <w:pPr>
        <w:pStyle w:val="ListParagraph"/>
        <w:numPr>
          <w:ilvl w:val="0"/>
          <w:numId w:val="6"/>
        </w:numPr>
        <w:spacing w:after="0"/>
      </w:pPr>
      <w:r w:rsidRPr="005D7C38">
        <w:t xml:space="preserve">First-line – </w:t>
      </w:r>
      <w:bookmarkStart w:id="0" w:name="_Hlk204255650"/>
      <w:r w:rsidRPr="005D7C38">
        <w:t>venetoclax and obinutuzumab, obinutuzumab and chlorambucil, rituximab and chlorambucil</w:t>
      </w:r>
      <w:r w:rsidR="00637690">
        <w:t xml:space="preserve">, </w:t>
      </w:r>
      <w:r w:rsidR="00010CF5" w:rsidRPr="005D7C38">
        <w:t>acalabrutinib</w:t>
      </w:r>
      <w:r w:rsidR="00010CF5">
        <w:t xml:space="preserve">, </w:t>
      </w:r>
      <w:r w:rsidR="00637690" w:rsidRPr="005D7C38">
        <w:t>acalabrutinib</w:t>
      </w:r>
      <w:r w:rsidR="00637690">
        <w:t xml:space="preserve"> and </w:t>
      </w:r>
      <w:r w:rsidR="007361A9">
        <w:t xml:space="preserve">obinutuzumab, </w:t>
      </w:r>
      <w:r w:rsidR="007361A9" w:rsidRPr="005D7C38">
        <w:t>ibrutinib</w:t>
      </w:r>
      <w:r w:rsidR="007361A9">
        <w:t xml:space="preserve"> and </w:t>
      </w:r>
      <w:r w:rsidR="007361A9" w:rsidRPr="005D7C38">
        <w:t>venetoclax</w:t>
      </w:r>
      <w:r w:rsidR="009B5B4B">
        <w:t>, zanubrutinib</w:t>
      </w:r>
      <w:r w:rsidRPr="005D7C38">
        <w:t xml:space="preserve">. </w:t>
      </w:r>
    </w:p>
    <w:p w14:paraId="761E8660" w14:textId="022289CB" w:rsidR="00C70295" w:rsidRPr="00A062D7" w:rsidRDefault="005D7C38" w:rsidP="00D7651D">
      <w:pPr>
        <w:pStyle w:val="ListParagraph"/>
        <w:numPr>
          <w:ilvl w:val="0"/>
          <w:numId w:val="6"/>
        </w:numPr>
        <w:spacing w:after="0"/>
      </w:pPr>
      <w:r w:rsidRPr="005D7C38">
        <w:t>Second-line for RR – venetoclax, venetoclax and rituximab, ibrutinib, acalabrutinib, idelalisib and rituximab</w:t>
      </w:r>
      <w:r w:rsidR="006B7C64">
        <w:t>, zanubrutinib</w:t>
      </w:r>
      <w:r w:rsidRPr="005D7C38">
        <w:t>.</w:t>
      </w:r>
    </w:p>
    <w:bookmarkEnd w:id="0"/>
    <w:p w14:paraId="0183A567" w14:textId="413DF87B" w:rsidR="007247B9" w:rsidRDefault="007247B9" w:rsidP="00CF5E22">
      <w:pPr>
        <w:pStyle w:val="Heading2"/>
      </w:pPr>
      <w:r>
        <w:t>Pharmacology</w:t>
      </w:r>
    </w:p>
    <w:p w14:paraId="076DC08A" w14:textId="3F2CEDCF" w:rsidR="00706686" w:rsidRPr="00706686" w:rsidRDefault="00706686" w:rsidP="00706686">
      <w:pPr>
        <w:rPr>
          <w:b/>
          <w:bCs/>
        </w:rPr>
      </w:pPr>
      <w:r w:rsidRPr="00706686">
        <w:rPr>
          <w:b/>
          <w:bCs/>
        </w:rPr>
        <w:t>Table 1: Pharmacology of PBS listed drugs</w:t>
      </w:r>
      <w:r>
        <w:rPr>
          <w:b/>
          <w:bCs/>
        </w:rPr>
        <w:t xml:space="preserve"> for CLL/SLL</w:t>
      </w:r>
    </w:p>
    <w:tbl>
      <w:tblPr>
        <w:tblStyle w:val="TableGrid"/>
        <w:tblW w:w="0" w:type="auto"/>
        <w:tblLook w:val="04A0" w:firstRow="1" w:lastRow="0" w:firstColumn="1" w:lastColumn="0" w:noHBand="0" w:noVBand="1"/>
      </w:tblPr>
      <w:tblGrid>
        <w:gridCol w:w="2116"/>
        <w:gridCol w:w="6831"/>
      </w:tblGrid>
      <w:tr w:rsidR="0022151C" w:rsidRPr="00130553" w14:paraId="09E024FA" w14:textId="77777777" w:rsidTr="00706686">
        <w:tc>
          <w:tcPr>
            <w:tcW w:w="2122" w:type="dxa"/>
            <w:shd w:val="clear" w:color="auto" w:fill="BFBFBF" w:themeFill="background1" w:themeFillShade="BF"/>
          </w:tcPr>
          <w:p w14:paraId="4F66C143" w14:textId="77777777" w:rsidR="0022151C" w:rsidRPr="00706686" w:rsidRDefault="0022151C" w:rsidP="00D354AB">
            <w:pPr>
              <w:rPr>
                <w:rFonts w:ascii="Calibri" w:hAnsi="Calibri" w:cs="Calibri"/>
                <w:b/>
                <w:bCs/>
                <w:sz w:val="20"/>
                <w:szCs w:val="20"/>
              </w:rPr>
            </w:pPr>
            <w:r w:rsidRPr="00706686">
              <w:rPr>
                <w:rFonts w:ascii="Calibri" w:hAnsi="Calibri" w:cs="Calibri"/>
                <w:b/>
                <w:bCs/>
                <w:sz w:val="20"/>
                <w:szCs w:val="20"/>
              </w:rPr>
              <w:t>Drug</w:t>
            </w:r>
          </w:p>
        </w:tc>
        <w:tc>
          <w:tcPr>
            <w:tcW w:w="6894" w:type="dxa"/>
            <w:shd w:val="clear" w:color="auto" w:fill="BFBFBF" w:themeFill="background1" w:themeFillShade="BF"/>
          </w:tcPr>
          <w:p w14:paraId="3410F6FD" w14:textId="77777777" w:rsidR="0022151C" w:rsidRPr="00706686" w:rsidRDefault="0022151C" w:rsidP="00D354AB">
            <w:pPr>
              <w:rPr>
                <w:rFonts w:ascii="Calibri" w:hAnsi="Calibri" w:cs="Calibri"/>
                <w:b/>
                <w:bCs/>
                <w:sz w:val="20"/>
                <w:szCs w:val="20"/>
              </w:rPr>
            </w:pPr>
            <w:r w:rsidRPr="00706686">
              <w:rPr>
                <w:rFonts w:ascii="Calibri" w:hAnsi="Calibri" w:cs="Calibri"/>
                <w:b/>
                <w:bCs/>
                <w:sz w:val="20"/>
                <w:szCs w:val="20"/>
              </w:rPr>
              <w:t>Pharmacology</w:t>
            </w:r>
          </w:p>
        </w:tc>
      </w:tr>
      <w:tr w:rsidR="0022151C" w:rsidRPr="00130553" w14:paraId="00FD5D13" w14:textId="77777777" w:rsidTr="00D354AB">
        <w:tc>
          <w:tcPr>
            <w:tcW w:w="2122" w:type="dxa"/>
          </w:tcPr>
          <w:p w14:paraId="76F72EDC" w14:textId="77777777" w:rsidR="0022151C" w:rsidRPr="00E4448A" w:rsidRDefault="0022151C" w:rsidP="00D354AB">
            <w:pPr>
              <w:rPr>
                <w:rFonts w:ascii="Calibri" w:hAnsi="Calibri" w:cs="Calibri"/>
                <w:sz w:val="20"/>
                <w:szCs w:val="20"/>
              </w:rPr>
            </w:pPr>
            <w:r w:rsidRPr="00E4448A">
              <w:rPr>
                <w:rFonts w:ascii="Calibri" w:hAnsi="Calibri" w:cs="Calibri"/>
                <w:sz w:val="20"/>
                <w:szCs w:val="20"/>
              </w:rPr>
              <w:t>ACALABRUTINIB</w:t>
            </w:r>
          </w:p>
        </w:tc>
        <w:tc>
          <w:tcPr>
            <w:tcW w:w="6894" w:type="dxa"/>
          </w:tcPr>
          <w:p w14:paraId="03CD95ED" w14:textId="719A5321" w:rsidR="0022151C" w:rsidRPr="00E4448A" w:rsidRDefault="0022151C" w:rsidP="00D354AB">
            <w:pPr>
              <w:rPr>
                <w:rFonts w:ascii="Calibri" w:hAnsi="Calibri" w:cs="Calibri"/>
                <w:sz w:val="20"/>
                <w:szCs w:val="20"/>
              </w:rPr>
            </w:pPr>
            <w:r w:rsidRPr="00E4448A">
              <w:rPr>
                <w:rFonts w:ascii="Calibri" w:hAnsi="Calibri" w:cs="Calibri"/>
                <w:sz w:val="20"/>
                <w:szCs w:val="20"/>
              </w:rPr>
              <w:t>Acalabrutinib is a small-molecule inhibitor of Bruton’s tyrosine kinase (BTK) leading to inhibition of BTK enzymatic activity. BTK is a signalling molecule of the B-cell antigen receptor and cytokine receptor pathways. In B-cells, BTK signalling results in activation of pathways necessary for B-cell proliferation, trafficking, chemotaxis, and adhesion.</w:t>
            </w:r>
            <w:r w:rsidR="00432509">
              <w:rPr>
                <w:rFonts w:ascii="Calibri" w:hAnsi="Calibri" w:cs="Calibri"/>
                <w:sz w:val="20"/>
                <w:szCs w:val="20"/>
              </w:rPr>
              <w:t xml:space="preserve"> </w:t>
            </w:r>
            <w:hyperlink r:id="rId8" w:history="1">
              <w:r w:rsidR="00432509" w:rsidRPr="00F074D1">
                <w:rPr>
                  <w:rStyle w:val="Hyperlink"/>
                  <w:rFonts w:ascii="Calibri" w:hAnsi="Calibri" w:cs="Calibri"/>
                  <w:sz w:val="20"/>
                  <w:szCs w:val="20"/>
                </w:rPr>
                <w:t>Product information</w:t>
              </w:r>
            </w:hyperlink>
            <w:r w:rsidR="00432509">
              <w:rPr>
                <w:rFonts w:ascii="Calibri" w:hAnsi="Calibri" w:cs="Calibri"/>
                <w:sz w:val="20"/>
                <w:szCs w:val="20"/>
              </w:rPr>
              <w:t>.</w:t>
            </w:r>
          </w:p>
        </w:tc>
      </w:tr>
      <w:tr w:rsidR="0022151C" w:rsidRPr="00130553" w14:paraId="735EA623" w14:textId="77777777" w:rsidTr="00D354AB">
        <w:tc>
          <w:tcPr>
            <w:tcW w:w="2122" w:type="dxa"/>
          </w:tcPr>
          <w:p w14:paraId="12E84951" w14:textId="77777777" w:rsidR="0022151C" w:rsidRPr="00E4448A" w:rsidRDefault="0022151C" w:rsidP="00D354AB">
            <w:pPr>
              <w:rPr>
                <w:rFonts w:ascii="Calibri" w:hAnsi="Calibri" w:cs="Calibri"/>
                <w:sz w:val="20"/>
                <w:szCs w:val="20"/>
              </w:rPr>
            </w:pPr>
            <w:r w:rsidRPr="00E4448A">
              <w:rPr>
                <w:rFonts w:ascii="Calibri" w:hAnsi="Calibri" w:cs="Calibri"/>
                <w:sz w:val="20"/>
                <w:szCs w:val="20"/>
              </w:rPr>
              <w:t>IBRUTINIB</w:t>
            </w:r>
          </w:p>
        </w:tc>
        <w:tc>
          <w:tcPr>
            <w:tcW w:w="6894" w:type="dxa"/>
          </w:tcPr>
          <w:p w14:paraId="745170BB" w14:textId="738FF055" w:rsidR="0022151C" w:rsidRPr="00E4448A" w:rsidRDefault="0022151C" w:rsidP="00D354AB">
            <w:pPr>
              <w:rPr>
                <w:rFonts w:ascii="Calibri" w:hAnsi="Calibri" w:cs="Calibri"/>
                <w:sz w:val="20"/>
                <w:szCs w:val="20"/>
              </w:rPr>
            </w:pPr>
            <w:r w:rsidRPr="00E4448A">
              <w:rPr>
                <w:rFonts w:ascii="Calibri" w:hAnsi="Calibri" w:cs="Calibri"/>
                <w:sz w:val="20"/>
                <w:szCs w:val="20"/>
              </w:rPr>
              <w:t>Ibrutinib is a small molecule inhibitor of BTK.</w:t>
            </w:r>
            <w:r w:rsidR="00432509">
              <w:rPr>
                <w:rFonts w:ascii="Calibri" w:hAnsi="Calibri" w:cs="Calibri"/>
                <w:sz w:val="20"/>
                <w:szCs w:val="20"/>
              </w:rPr>
              <w:t xml:space="preserve"> </w:t>
            </w:r>
            <w:hyperlink r:id="rId9" w:history="1">
              <w:r w:rsidR="00432509" w:rsidRPr="00C03169">
                <w:rPr>
                  <w:rStyle w:val="Hyperlink"/>
                  <w:rFonts w:ascii="Calibri" w:hAnsi="Calibri" w:cs="Calibri"/>
                  <w:sz w:val="20"/>
                  <w:szCs w:val="20"/>
                </w:rPr>
                <w:t>Product information</w:t>
              </w:r>
            </w:hyperlink>
            <w:r w:rsidR="00432509" w:rsidRPr="00432509">
              <w:rPr>
                <w:rFonts w:ascii="Calibri" w:hAnsi="Calibri" w:cs="Calibri"/>
                <w:sz w:val="20"/>
                <w:szCs w:val="20"/>
              </w:rPr>
              <w:t>.</w:t>
            </w:r>
          </w:p>
        </w:tc>
      </w:tr>
      <w:tr w:rsidR="0022151C" w:rsidRPr="00130553" w14:paraId="0DEFF684" w14:textId="77777777" w:rsidTr="00D354AB">
        <w:tc>
          <w:tcPr>
            <w:tcW w:w="2122" w:type="dxa"/>
          </w:tcPr>
          <w:p w14:paraId="11187A0A" w14:textId="77777777" w:rsidR="0022151C" w:rsidRPr="00E4448A" w:rsidRDefault="0022151C" w:rsidP="00D354AB">
            <w:pPr>
              <w:rPr>
                <w:rFonts w:ascii="Calibri" w:hAnsi="Calibri" w:cs="Calibri"/>
                <w:sz w:val="20"/>
                <w:szCs w:val="20"/>
              </w:rPr>
            </w:pPr>
            <w:r w:rsidRPr="00E4448A">
              <w:rPr>
                <w:rFonts w:ascii="Calibri" w:hAnsi="Calibri" w:cs="Calibri"/>
                <w:sz w:val="20"/>
                <w:szCs w:val="20"/>
              </w:rPr>
              <w:t>IDELALISIB</w:t>
            </w:r>
          </w:p>
        </w:tc>
        <w:tc>
          <w:tcPr>
            <w:tcW w:w="6894" w:type="dxa"/>
          </w:tcPr>
          <w:p w14:paraId="730E85B5" w14:textId="77777777" w:rsidR="0022151C" w:rsidRPr="00E4448A" w:rsidRDefault="0022151C" w:rsidP="00D354AB">
            <w:pPr>
              <w:rPr>
                <w:rFonts w:ascii="Calibri" w:hAnsi="Calibri" w:cs="Calibri"/>
                <w:sz w:val="20"/>
                <w:szCs w:val="20"/>
              </w:rPr>
            </w:pPr>
            <w:r w:rsidRPr="00E4448A">
              <w:rPr>
                <w:rFonts w:ascii="Calibri" w:hAnsi="Calibri" w:cs="Calibri"/>
                <w:sz w:val="20"/>
                <w:szCs w:val="20"/>
              </w:rPr>
              <w:t>Idelalisib, an isoform-selective, small-molecule inhibitor of</w:t>
            </w:r>
          </w:p>
          <w:p w14:paraId="0F2C53D0" w14:textId="77777777" w:rsidR="0022151C" w:rsidRPr="00E4448A" w:rsidRDefault="0022151C" w:rsidP="00D354AB">
            <w:pPr>
              <w:rPr>
                <w:rFonts w:ascii="Calibri" w:hAnsi="Calibri" w:cs="Calibri"/>
                <w:sz w:val="20"/>
                <w:szCs w:val="20"/>
              </w:rPr>
            </w:pPr>
            <w:r w:rsidRPr="00E4448A">
              <w:rPr>
                <w:rFonts w:ascii="Calibri" w:hAnsi="Calibri" w:cs="Calibri"/>
                <w:sz w:val="20"/>
                <w:szCs w:val="20"/>
              </w:rPr>
              <w:t>phosphatidylinositol 3-kinase p110δ (PI3Kδ) which is hyperactive in B-cell malignancies and is central to multiple signalling pathways that drive proliferation, survival, homing, and retention of malignant cells in lymphoid tissues and bone marrow. Idelalisib induces apoptosis and inhibits proliferation in cell lines derived from malignant B-cells and in primary tumour cells. Idelalisib inhibits homing and retention of malignant B-cells in the tumour</w:t>
            </w:r>
          </w:p>
          <w:p w14:paraId="32980B22" w14:textId="22CD7EC0" w:rsidR="0022151C" w:rsidRPr="00E4448A" w:rsidRDefault="0022151C" w:rsidP="00D354AB">
            <w:pPr>
              <w:rPr>
                <w:rFonts w:ascii="Calibri" w:hAnsi="Calibri" w:cs="Calibri"/>
                <w:sz w:val="20"/>
                <w:szCs w:val="20"/>
              </w:rPr>
            </w:pPr>
            <w:r w:rsidRPr="00E4448A">
              <w:rPr>
                <w:rFonts w:ascii="Calibri" w:hAnsi="Calibri" w:cs="Calibri"/>
                <w:sz w:val="20"/>
                <w:szCs w:val="20"/>
              </w:rPr>
              <w:t>microenvironment including lymphoid tissues and the bone marrow.</w:t>
            </w:r>
            <w:r w:rsidR="00432509">
              <w:rPr>
                <w:rFonts w:ascii="Calibri" w:hAnsi="Calibri" w:cs="Calibri"/>
                <w:sz w:val="20"/>
                <w:szCs w:val="20"/>
              </w:rPr>
              <w:t xml:space="preserve"> </w:t>
            </w:r>
            <w:hyperlink r:id="rId10" w:history="1">
              <w:r w:rsidR="00432509" w:rsidRPr="00880FD1">
                <w:rPr>
                  <w:rStyle w:val="Hyperlink"/>
                  <w:rFonts w:ascii="Calibri" w:hAnsi="Calibri" w:cs="Calibri"/>
                  <w:sz w:val="20"/>
                  <w:szCs w:val="20"/>
                </w:rPr>
                <w:t>Product information</w:t>
              </w:r>
            </w:hyperlink>
            <w:r w:rsidR="00432509" w:rsidRPr="00432509">
              <w:rPr>
                <w:rFonts w:ascii="Calibri" w:hAnsi="Calibri" w:cs="Calibri"/>
                <w:sz w:val="20"/>
                <w:szCs w:val="20"/>
              </w:rPr>
              <w:t>.</w:t>
            </w:r>
          </w:p>
        </w:tc>
      </w:tr>
      <w:tr w:rsidR="0022151C" w:rsidRPr="00130553" w14:paraId="11D877F5" w14:textId="77777777" w:rsidTr="00D354AB">
        <w:tc>
          <w:tcPr>
            <w:tcW w:w="2122" w:type="dxa"/>
          </w:tcPr>
          <w:p w14:paraId="49D0CD4A" w14:textId="77777777" w:rsidR="0022151C" w:rsidRPr="00E4448A" w:rsidRDefault="0022151C" w:rsidP="00D354AB">
            <w:pPr>
              <w:rPr>
                <w:rFonts w:ascii="Calibri" w:hAnsi="Calibri" w:cs="Calibri"/>
                <w:sz w:val="20"/>
                <w:szCs w:val="20"/>
              </w:rPr>
            </w:pPr>
            <w:r w:rsidRPr="00E4448A">
              <w:rPr>
                <w:rFonts w:ascii="Calibri" w:hAnsi="Calibri" w:cs="Calibri"/>
                <w:sz w:val="20"/>
                <w:szCs w:val="20"/>
              </w:rPr>
              <w:t>OBINUTUZUMAB</w:t>
            </w:r>
          </w:p>
        </w:tc>
        <w:tc>
          <w:tcPr>
            <w:tcW w:w="6894" w:type="dxa"/>
          </w:tcPr>
          <w:p w14:paraId="6A607795" w14:textId="1B28AD40" w:rsidR="0022151C" w:rsidRPr="00E4448A" w:rsidRDefault="0022151C" w:rsidP="00D354AB">
            <w:pPr>
              <w:rPr>
                <w:rFonts w:ascii="Calibri" w:hAnsi="Calibri" w:cs="Calibri"/>
                <w:sz w:val="20"/>
                <w:szCs w:val="20"/>
              </w:rPr>
            </w:pPr>
            <w:r w:rsidRPr="00E4448A">
              <w:rPr>
                <w:rFonts w:ascii="Calibri" w:hAnsi="Calibri" w:cs="Calibri"/>
                <w:sz w:val="20"/>
                <w:szCs w:val="20"/>
              </w:rPr>
              <w:t>Obinutuzumab specifically targets the extracellular loop of the CD20 transmembrane antigen on the surface of non-malignant and malignant pre B and mature B lymphocytes. Obinutuzumab induces direct cell death and mediates antibody dependent cellular cytotoxicity and antibody dependent cellular phagocytosis through recruitment of FcƔRIII positive immune effector cells. In addition, obinutuzumab mediates a low degree of complement dependent cytotoxicity.</w:t>
            </w:r>
            <w:r w:rsidR="00432509">
              <w:rPr>
                <w:rFonts w:ascii="Calibri" w:hAnsi="Calibri" w:cs="Calibri"/>
                <w:sz w:val="20"/>
                <w:szCs w:val="20"/>
              </w:rPr>
              <w:t xml:space="preserve"> </w:t>
            </w:r>
            <w:hyperlink r:id="rId11" w:history="1">
              <w:r w:rsidR="00432509" w:rsidRPr="00AA7B16">
                <w:rPr>
                  <w:rStyle w:val="Hyperlink"/>
                  <w:rFonts w:ascii="Calibri" w:hAnsi="Calibri" w:cs="Calibri"/>
                  <w:sz w:val="20"/>
                  <w:szCs w:val="20"/>
                </w:rPr>
                <w:t>Product information</w:t>
              </w:r>
            </w:hyperlink>
            <w:r w:rsidR="00432509" w:rsidRPr="00432509">
              <w:rPr>
                <w:rFonts w:ascii="Calibri" w:hAnsi="Calibri" w:cs="Calibri"/>
                <w:sz w:val="20"/>
                <w:szCs w:val="20"/>
              </w:rPr>
              <w:t>.</w:t>
            </w:r>
          </w:p>
        </w:tc>
      </w:tr>
      <w:tr w:rsidR="0022151C" w:rsidRPr="00130553" w14:paraId="796FB0FE" w14:textId="77777777" w:rsidTr="00D354AB">
        <w:tc>
          <w:tcPr>
            <w:tcW w:w="2122" w:type="dxa"/>
          </w:tcPr>
          <w:p w14:paraId="387EA9E7" w14:textId="77777777" w:rsidR="0022151C" w:rsidRPr="00E4448A" w:rsidRDefault="0022151C" w:rsidP="00D354AB">
            <w:pPr>
              <w:rPr>
                <w:rFonts w:ascii="Calibri" w:hAnsi="Calibri" w:cs="Calibri"/>
                <w:sz w:val="20"/>
                <w:szCs w:val="20"/>
              </w:rPr>
            </w:pPr>
            <w:r w:rsidRPr="00E4448A">
              <w:rPr>
                <w:rFonts w:ascii="Calibri" w:hAnsi="Calibri" w:cs="Calibri"/>
                <w:sz w:val="20"/>
                <w:szCs w:val="20"/>
              </w:rPr>
              <w:t>VENETOCLAX</w:t>
            </w:r>
          </w:p>
        </w:tc>
        <w:tc>
          <w:tcPr>
            <w:tcW w:w="6894" w:type="dxa"/>
          </w:tcPr>
          <w:p w14:paraId="6E48C9B9" w14:textId="0AE9F4FB" w:rsidR="0022151C" w:rsidRPr="00E4448A" w:rsidRDefault="0022151C" w:rsidP="00D354AB">
            <w:pPr>
              <w:rPr>
                <w:rFonts w:ascii="Calibri" w:hAnsi="Calibri" w:cs="Calibri"/>
                <w:sz w:val="20"/>
                <w:szCs w:val="20"/>
              </w:rPr>
            </w:pPr>
            <w:r w:rsidRPr="00E4448A">
              <w:rPr>
                <w:rFonts w:ascii="Calibri" w:hAnsi="Calibri" w:cs="Calibri"/>
                <w:sz w:val="20"/>
                <w:szCs w:val="20"/>
              </w:rPr>
              <w:t>Venetoclax is a small-molecule inhibitor of B-cell lymphoma (BCL)-2, an anti-apoptotic protein. Overexpression of BCL-2 has been demonstrated in CLL, and has been implicated in resistance to certain therapeutic agents. Venetoclax helps restore the process of apoptosis by binding directly to the BCL-2 protein, displacing pro-apoptotic proteins like BIM, triggering mitochondrial outer membrane permeabilisation, the release of cytochrome c from mitochondria and the activation of caspases.</w:t>
            </w:r>
            <w:r w:rsidR="00432509">
              <w:rPr>
                <w:rFonts w:ascii="Calibri" w:hAnsi="Calibri" w:cs="Calibri"/>
                <w:sz w:val="20"/>
                <w:szCs w:val="20"/>
              </w:rPr>
              <w:t xml:space="preserve"> </w:t>
            </w:r>
            <w:hyperlink r:id="rId12" w:history="1">
              <w:r w:rsidR="00432509" w:rsidRPr="009253FA">
                <w:rPr>
                  <w:rStyle w:val="Hyperlink"/>
                  <w:rFonts w:ascii="Calibri" w:hAnsi="Calibri" w:cs="Calibri"/>
                  <w:sz w:val="20"/>
                  <w:szCs w:val="20"/>
                </w:rPr>
                <w:t>Product information</w:t>
              </w:r>
            </w:hyperlink>
            <w:r w:rsidR="00432509" w:rsidRPr="00432509">
              <w:rPr>
                <w:rFonts w:ascii="Calibri" w:hAnsi="Calibri" w:cs="Calibri"/>
                <w:sz w:val="20"/>
                <w:szCs w:val="20"/>
              </w:rPr>
              <w:t>.</w:t>
            </w:r>
          </w:p>
        </w:tc>
      </w:tr>
      <w:tr w:rsidR="0022151C" w:rsidRPr="00130553" w14:paraId="104FC73B" w14:textId="77777777" w:rsidTr="00D354AB">
        <w:tc>
          <w:tcPr>
            <w:tcW w:w="2122" w:type="dxa"/>
          </w:tcPr>
          <w:p w14:paraId="4CE60AF7" w14:textId="77777777" w:rsidR="0022151C" w:rsidRPr="00E4448A" w:rsidRDefault="0022151C" w:rsidP="00D354AB">
            <w:pPr>
              <w:rPr>
                <w:rFonts w:ascii="Calibri" w:hAnsi="Calibri" w:cs="Calibri"/>
                <w:sz w:val="20"/>
                <w:szCs w:val="20"/>
              </w:rPr>
            </w:pPr>
            <w:r w:rsidRPr="00E4448A">
              <w:rPr>
                <w:rFonts w:ascii="Calibri" w:hAnsi="Calibri" w:cs="Calibri"/>
                <w:sz w:val="20"/>
                <w:szCs w:val="20"/>
              </w:rPr>
              <w:t>ZANUBRUTINIB</w:t>
            </w:r>
          </w:p>
        </w:tc>
        <w:tc>
          <w:tcPr>
            <w:tcW w:w="6894" w:type="dxa"/>
          </w:tcPr>
          <w:p w14:paraId="303F87F6" w14:textId="70D84D45" w:rsidR="0022151C" w:rsidRPr="00E4448A" w:rsidRDefault="0022151C" w:rsidP="00D354AB">
            <w:pPr>
              <w:rPr>
                <w:rFonts w:ascii="Calibri" w:hAnsi="Calibri" w:cs="Calibri"/>
                <w:sz w:val="20"/>
                <w:szCs w:val="20"/>
              </w:rPr>
            </w:pPr>
            <w:r w:rsidRPr="00E4448A">
              <w:rPr>
                <w:rFonts w:ascii="Calibri" w:hAnsi="Calibri" w:cs="Calibri"/>
                <w:sz w:val="20"/>
                <w:szCs w:val="20"/>
              </w:rPr>
              <w:t>Zanubrutinib is a small-molecule inhibitor of BTK.</w:t>
            </w:r>
            <w:r w:rsidR="00432509">
              <w:rPr>
                <w:rFonts w:ascii="Calibri" w:hAnsi="Calibri" w:cs="Calibri"/>
                <w:sz w:val="20"/>
                <w:szCs w:val="20"/>
              </w:rPr>
              <w:t xml:space="preserve"> </w:t>
            </w:r>
            <w:hyperlink r:id="rId13" w:history="1">
              <w:r w:rsidR="00432509" w:rsidRPr="008A06BD">
                <w:rPr>
                  <w:rStyle w:val="Hyperlink"/>
                  <w:rFonts w:ascii="Calibri" w:hAnsi="Calibri" w:cs="Calibri"/>
                  <w:sz w:val="20"/>
                  <w:szCs w:val="20"/>
                </w:rPr>
                <w:t>Product information</w:t>
              </w:r>
            </w:hyperlink>
            <w:r w:rsidR="00432509" w:rsidRPr="00432509">
              <w:rPr>
                <w:rFonts w:ascii="Calibri" w:hAnsi="Calibri" w:cs="Calibri"/>
                <w:sz w:val="20"/>
                <w:szCs w:val="20"/>
              </w:rPr>
              <w:t>.</w:t>
            </w:r>
          </w:p>
        </w:tc>
      </w:tr>
      <w:tr w:rsidR="0022151C" w:rsidRPr="00130553" w14:paraId="621D6C38" w14:textId="77777777" w:rsidTr="00D354AB">
        <w:tc>
          <w:tcPr>
            <w:tcW w:w="2122" w:type="dxa"/>
          </w:tcPr>
          <w:p w14:paraId="5F9AD442" w14:textId="77777777" w:rsidR="0022151C" w:rsidRPr="00E4448A" w:rsidRDefault="0022151C" w:rsidP="00D354AB">
            <w:pPr>
              <w:rPr>
                <w:rFonts w:ascii="Calibri" w:hAnsi="Calibri" w:cs="Calibri"/>
                <w:sz w:val="20"/>
                <w:szCs w:val="20"/>
              </w:rPr>
            </w:pPr>
            <w:r w:rsidRPr="00E4448A">
              <w:rPr>
                <w:rFonts w:ascii="Calibri" w:hAnsi="Calibri" w:cs="Calibri"/>
                <w:sz w:val="20"/>
                <w:szCs w:val="20"/>
              </w:rPr>
              <w:t>RITUXIMAB</w:t>
            </w:r>
          </w:p>
        </w:tc>
        <w:tc>
          <w:tcPr>
            <w:tcW w:w="6894" w:type="dxa"/>
          </w:tcPr>
          <w:p w14:paraId="51CDE029" w14:textId="414F8E2F" w:rsidR="0022151C" w:rsidRPr="00E4448A" w:rsidRDefault="0022151C" w:rsidP="00D354AB">
            <w:pPr>
              <w:rPr>
                <w:rFonts w:ascii="Calibri" w:hAnsi="Calibri" w:cs="Calibri"/>
                <w:sz w:val="20"/>
                <w:szCs w:val="20"/>
              </w:rPr>
            </w:pPr>
            <w:r w:rsidRPr="00E4448A">
              <w:rPr>
                <w:rFonts w:ascii="Calibri" w:hAnsi="Calibri" w:cs="Calibri"/>
                <w:sz w:val="20"/>
                <w:szCs w:val="20"/>
              </w:rPr>
              <w:t>Rituximab binds specifically to the antigen CD20.</w:t>
            </w:r>
            <w:r w:rsidR="00432509">
              <w:rPr>
                <w:rFonts w:ascii="Calibri" w:hAnsi="Calibri" w:cs="Calibri"/>
                <w:sz w:val="20"/>
                <w:szCs w:val="20"/>
              </w:rPr>
              <w:t xml:space="preserve"> </w:t>
            </w:r>
            <w:hyperlink r:id="rId14" w:history="1">
              <w:r w:rsidR="00432509" w:rsidRPr="00AA4B59">
                <w:rPr>
                  <w:rStyle w:val="Hyperlink"/>
                  <w:rFonts w:ascii="Calibri" w:hAnsi="Calibri" w:cs="Calibri"/>
                  <w:sz w:val="20"/>
                  <w:szCs w:val="20"/>
                </w:rPr>
                <w:t>Product information</w:t>
              </w:r>
            </w:hyperlink>
            <w:r w:rsidR="00432509" w:rsidRPr="00432509">
              <w:rPr>
                <w:rFonts w:ascii="Calibri" w:hAnsi="Calibri" w:cs="Calibri"/>
                <w:sz w:val="20"/>
                <w:szCs w:val="20"/>
              </w:rPr>
              <w:t>.</w:t>
            </w:r>
          </w:p>
        </w:tc>
      </w:tr>
    </w:tbl>
    <w:p w14:paraId="6B524D27" w14:textId="4E35060B" w:rsidR="0022151C" w:rsidRPr="0022151C" w:rsidRDefault="0022151C" w:rsidP="0022151C"/>
    <w:p w14:paraId="6AC18C88" w14:textId="7A398934" w:rsidR="001420B3" w:rsidRDefault="00A52918" w:rsidP="00CF5E22">
      <w:pPr>
        <w:pStyle w:val="Heading2"/>
      </w:pPr>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7EE1811F" w14:textId="160CF38E" w:rsidR="00706686" w:rsidRPr="00706686" w:rsidRDefault="00706686" w:rsidP="00706686">
      <w:pPr>
        <w:rPr>
          <w:b/>
          <w:bCs/>
        </w:rPr>
      </w:pPr>
      <w:r w:rsidRPr="00706686">
        <w:rPr>
          <w:b/>
          <w:bCs/>
        </w:rPr>
        <w:t>Table 2: TGA listed indications and Australian Register of Therapeutic Goods (ARTG) listing dates</w:t>
      </w:r>
      <w:r>
        <w:rPr>
          <w:b/>
          <w:bCs/>
        </w:rPr>
        <w:t xml:space="preserve"> of CLL/SLL drugs</w:t>
      </w:r>
    </w:p>
    <w:tbl>
      <w:tblPr>
        <w:tblStyle w:val="TableGrid"/>
        <w:tblW w:w="0" w:type="auto"/>
        <w:tblLook w:val="04A0" w:firstRow="1" w:lastRow="0" w:firstColumn="1" w:lastColumn="0" w:noHBand="0" w:noVBand="1"/>
      </w:tblPr>
      <w:tblGrid>
        <w:gridCol w:w="1980"/>
        <w:gridCol w:w="4394"/>
        <w:gridCol w:w="2573"/>
      </w:tblGrid>
      <w:tr w:rsidR="006D2AAC" w:rsidRPr="00130553" w14:paraId="41599838" w14:textId="77777777" w:rsidTr="00706686">
        <w:tc>
          <w:tcPr>
            <w:tcW w:w="1980" w:type="dxa"/>
            <w:shd w:val="clear" w:color="auto" w:fill="BFBFBF" w:themeFill="background1" w:themeFillShade="BF"/>
          </w:tcPr>
          <w:p w14:paraId="2689CCB9" w14:textId="77777777" w:rsidR="006D2AAC" w:rsidRPr="00706686" w:rsidRDefault="006D2AAC" w:rsidP="00B12867">
            <w:pPr>
              <w:rPr>
                <w:rFonts w:ascii="Calibri" w:hAnsi="Calibri" w:cs="Calibri"/>
                <w:b/>
                <w:bCs/>
                <w:sz w:val="20"/>
                <w:szCs w:val="20"/>
              </w:rPr>
            </w:pPr>
            <w:r w:rsidRPr="00706686">
              <w:rPr>
                <w:rFonts w:ascii="Calibri" w:hAnsi="Calibri" w:cs="Calibri"/>
                <w:b/>
                <w:bCs/>
                <w:sz w:val="20"/>
                <w:szCs w:val="20"/>
              </w:rPr>
              <w:t>Drug</w:t>
            </w:r>
          </w:p>
        </w:tc>
        <w:tc>
          <w:tcPr>
            <w:tcW w:w="4394" w:type="dxa"/>
            <w:shd w:val="clear" w:color="auto" w:fill="BFBFBF" w:themeFill="background1" w:themeFillShade="BF"/>
          </w:tcPr>
          <w:p w14:paraId="0F7F9460" w14:textId="05FF220C" w:rsidR="006D2AAC" w:rsidRPr="00706686" w:rsidRDefault="006D2AAC" w:rsidP="00B12867">
            <w:pPr>
              <w:rPr>
                <w:rFonts w:ascii="Calibri" w:hAnsi="Calibri" w:cs="Calibri"/>
                <w:b/>
                <w:bCs/>
                <w:sz w:val="20"/>
                <w:szCs w:val="20"/>
              </w:rPr>
            </w:pPr>
            <w:r w:rsidRPr="00706686">
              <w:rPr>
                <w:rFonts w:ascii="Calibri" w:hAnsi="Calibri" w:cs="Calibri"/>
                <w:b/>
                <w:bCs/>
                <w:sz w:val="20"/>
                <w:szCs w:val="20"/>
              </w:rPr>
              <w:t>TGA indication</w:t>
            </w:r>
            <w:r w:rsidR="001D38F6" w:rsidRPr="00706686">
              <w:rPr>
                <w:rFonts w:ascii="Calibri" w:hAnsi="Calibri" w:cs="Calibri"/>
                <w:b/>
                <w:bCs/>
                <w:sz w:val="20"/>
                <w:szCs w:val="20"/>
              </w:rPr>
              <w:t>s</w:t>
            </w:r>
          </w:p>
        </w:tc>
        <w:tc>
          <w:tcPr>
            <w:tcW w:w="2573" w:type="dxa"/>
            <w:shd w:val="clear" w:color="auto" w:fill="BFBFBF" w:themeFill="background1" w:themeFillShade="BF"/>
          </w:tcPr>
          <w:p w14:paraId="2C6BDF13" w14:textId="2F844522" w:rsidR="006D2AAC" w:rsidRPr="00706686" w:rsidRDefault="008B33CC" w:rsidP="00B12867">
            <w:pPr>
              <w:rPr>
                <w:rFonts w:ascii="Calibri" w:hAnsi="Calibri" w:cs="Calibri"/>
                <w:b/>
                <w:bCs/>
                <w:sz w:val="20"/>
                <w:szCs w:val="20"/>
              </w:rPr>
            </w:pPr>
            <w:r w:rsidRPr="00706686">
              <w:rPr>
                <w:rFonts w:ascii="Calibri" w:hAnsi="Calibri" w:cs="Calibri"/>
                <w:b/>
                <w:bCs/>
                <w:sz w:val="20"/>
                <w:szCs w:val="20"/>
              </w:rPr>
              <w:t>Date of ARTG Listing</w:t>
            </w:r>
          </w:p>
        </w:tc>
      </w:tr>
      <w:tr w:rsidR="001B027D" w:rsidRPr="00130553" w14:paraId="45E5A995" w14:textId="77777777" w:rsidTr="00945DEA">
        <w:tc>
          <w:tcPr>
            <w:tcW w:w="1980" w:type="dxa"/>
          </w:tcPr>
          <w:p w14:paraId="25317EA7" w14:textId="77777777" w:rsidR="001B027D" w:rsidRPr="00E4448A" w:rsidRDefault="001B027D" w:rsidP="001B027D">
            <w:pPr>
              <w:rPr>
                <w:rFonts w:ascii="Calibri" w:hAnsi="Calibri" w:cs="Calibri"/>
                <w:sz w:val="20"/>
                <w:szCs w:val="20"/>
              </w:rPr>
            </w:pPr>
            <w:r w:rsidRPr="00E4448A">
              <w:rPr>
                <w:rFonts w:ascii="Calibri" w:hAnsi="Calibri" w:cs="Calibri"/>
                <w:sz w:val="20"/>
                <w:szCs w:val="20"/>
              </w:rPr>
              <w:t>ACALABRUTINIB</w:t>
            </w:r>
          </w:p>
        </w:tc>
        <w:tc>
          <w:tcPr>
            <w:tcW w:w="4394" w:type="dxa"/>
          </w:tcPr>
          <w:p w14:paraId="76D48C21" w14:textId="119AF5C2" w:rsidR="001B027D" w:rsidRPr="00E4448A" w:rsidRDefault="002211ED" w:rsidP="001B027D">
            <w:pPr>
              <w:rPr>
                <w:rFonts w:ascii="Calibri" w:hAnsi="Calibri" w:cs="Calibri"/>
                <w:sz w:val="20"/>
                <w:szCs w:val="20"/>
              </w:rPr>
            </w:pPr>
            <w:r>
              <w:rPr>
                <w:rFonts w:ascii="Calibri" w:hAnsi="Calibri" w:cs="Calibri"/>
                <w:sz w:val="20"/>
                <w:szCs w:val="20"/>
              </w:rPr>
              <w:t>CLL/SLL</w:t>
            </w:r>
            <w:r w:rsidR="001B027D" w:rsidRPr="00E4448A">
              <w:rPr>
                <w:rFonts w:ascii="Calibri" w:hAnsi="Calibri" w:cs="Calibri"/>
                <w:sz w:val="20"/>
                <w:szCs w:val="20"/>
              </w:rPr>
              <w:t>, Mantle cell lymphoma.</w:t>
            </w:r>
          </w:p>
        </w:tc>
        <w:tc>
          <w:tcPr>
            <w:tcW w:w="2573" w:type="dxa"/>
          </w:tcPr>
          <w:p w14:paraId="5310C86C" w14:textId="67AE5C80" w:rsidR="001B027D" w:rsidRPr="00E4448A" w:rsidRDefault="001B027D" w:rsidP="001B027D">
            <w:pPr>
              <w:rPr>
                <w:rFonts w:ascii="Calibri" w:hAnsi="Calibri" w:cs="Calibri"/>
                <w:sz w:val="20"/>
                <w:szCs w:val="20"/>
              </w:rPr>
            </w:pPr>
            <w:r w:rsidRPr="00E4448A">
              <w:rPr>
                <w:sz w:val="20"/>
                <w:szCs w:val="20"/>
              </w:rPr>
              <w:t>21 November 2019.</w:t>
            </w:r>
          </w:p>
        </w:tc>
      </w:tr>
      <w:tr w:rsidR="008C31FD" w:rsidRPr="00130553" w14:paraId="7824634F" w14:textId="77777777" w:rsidTr="00945DEA">
        <w:tc>
          <w:tcPr>
            <w:tcW w:w="1980" w:type="dxa"/>
          </w:tcPr>
          <w:p w14:paraId="16A78482" w14:textId="77777777" w:rsidR="008C31FD" w:rsidRPr="00E4448A" w:rsidRDefault="008C31FD" w:rsidP="008C31FD">
            <w:pPr>
              <w:rPr>
                <w:rFonts w:ascii="Calibri" w:hAnsi="Calibri" w:cs="Calibri"/>
                <w:sz w:val="20"/>
                <w:szCs w:val="20"/>
              </w:rPr>
            </w:pPr>
            <w:r w:rsidRPr="00E4448A">
              <w:rPr>
                <w:rFonts w:ascii="Calibri" w:hAnsi="Calibri" w:cs="Calibri"/>
                <w:sz w:val="20"/>
                <w:szCs w:val="20"/>
              </w:rPr>
              <w:t>IBRUTINIB</w:t>
            </w:r>
          </w:p>
        </w:tc>
        <w:tc>
          <w:tcPr>
            <w:tcW w:w="4394" w:type="dxa"/>
          </w:tcPr>
          <w:p w14:paraId="33933EBA" w14:textId="31FEE69D" w:rsidR="008C31FD" w:rsidRPr="00E4448A" w:rsidRDefault="002211ED" w:rsidP="008C31FD">
            <w:pPr>
              <w:rPr>
                <w:rFonts w:ascii="Calibri" w:hAnsi="Calibri" w:cs="Calibri"/>
                <w:sz w:val="20"/>
                <w:szCs w:val="20"/>
              </w:rPr>
            </w:pPr>
            <w:r>
              <w:rPr>
                <w:rFonts w:ascii="Calibri" w:hAnsi="Calibri" w:cs="Calibri"/>
                <w:sz w:val="20"/>
                <w:szCs w:val="20"/>
              </w:rPr>
              <w:t>CLL/SLL</w:t>
            </w:r>
            <w:r w:rsidR="008C31FD" w:rsidRPr="00E4448A">
              <w:rPr>
                <w:rFonts w:ascii="Calibri" w:hAnsi="Calibri" w:cs="Calibri"/>
                <w:sz w:val="20"/>
                <w:szCs w:val="20"/>
              </w:rPr>
              <w:t>, Mantle cell lymphoma, Waldenstrom macroglobulinaemia.</w:t>
            </w:r>
          </w:p>
        </w:tc>
        <w:tc>
          <w:tcPr>
            <w:tcW w:w="2573" w:type="dxa"/>
          </w:tcPr>
          <w:p w14:paraId="32DA34B2" w14:textId="07960A3D" w:rsidR="008C31FD" w:rsidRPr="00E4448A" w:rsidRDefault="008C31FD" w:rsidP="008C31FD">
            <w:pPr>
              <w:rPr>
                <w:rFonts w:ascii="Calibri" w:hAnsi="Calibri" w:cs="Calibri"/>
                <w:sz w:val="20"/>
                <w:szCs w:val="20"/>
              </w:rPr>
            </w:pPr>
            <w:r w:rsidRPr="00E4448A">
              <w:rPr>
                <w:sz w:val="20"/>
                <w:szCs w:val="20"/>
              </w:rPr>
              <w:t xml:space="preserve">20 April 2015. </w:t>
            </w:r>
          </w:p>
        </w:tc>
      </w:tr>
      <w:tr w:rsidR="008C31FD" w:rsidRPr="00130553" w14:paraId="65C5395F" w14:textId="77777777" w:rsidTr="00945DEA">
        <w:tc>
          <w:tcPr>
            <w:tcW w:w="1980" w:type="dxa"/>
          </w:tcPr>
          <w:p w14:paraId="2702B4F4" w14:textId="77777777" w:rsidR="008C31FD" w:rsidRPr="00E4448A" w:rsidRDefault="008C31FD" w:rsidP="008C31FD">
            <w:pPr>
              <w:rPr>
                <w:rFonts w:ascii="Calibri" w:hAnsi="Calibri" w:cs="Calibri"/>
                <w:sz w:val="20"/>
                <w:szCs w:val="20"/>
              </w:rPr>
            </w:pPr>
            <w:r w:rsidRPr="00E4448A">
              <w:rPr>
                <w:rFonts w:ascii="Calibri" w:hAnsi="Calibri" w:cs="Calibri"/>
                <w:sz w:val="20"/>
                <w:szCs w:val="20"/>
              </w:rPr>
              <w:t>IDELALISIB</w:t>
            </w:r>
          </w:p>
        </w:tc>
        <w:tc>
          <w:tcPr>
            <w:tcW w:w="4394" w:type="dxa"/>
          </w:tcPr>
          <w:p w14:paraId="2DE4B3CE" w14:textId="68314913" w:rsidR="008C31FD" w:rsidRPr="00E4448A" w:rsidRDefault="002211ED" w:rsidP="008C31FD">
            <w:pPr>
              <w:rPr>
                <w:rFonts w:ascii="Calibri" w:hAnsi="Calibri" w:cs="Calibri"/>
                <w:sz w:val="20"/>
                <w:szCs w:val="20"/>
              </w:rPr>
            </w:pPr>
            <w:r>
              <w:rPr>
                <w:rFonts w:ascii="Calibri" w:hAnsi="Calibri" w:cs="Calibri"/>
                <w:sz w:val="20"/>
                <w:szCs w:val="20"/>
              </w:rPr>
              <w:t>CLL/SLL</w:t>
            </w:r>
            <w:r w:rsidR="008C31FD" w:rsidRPr="00E4448A">
              <w:rPr>
                <w:rFonts w:ascii="Calibri" w:hAnsi="Calibri" w:cs="Calibri"/>
                <w:sz w:val="20"/>
                <w:szCs w:val="20"/>
              </w:rPr>
              <w:t>, Refractory follicular B-cell non-Hodgkin's lymphoma.</w:t>
            </w:r>
          </w:p>
        </w:tc>
        <w:tc>
          <w:tcPr>
            <w:tcW w:w="2573" w:type="dxa"/>
          </w:tcPr>
          <w:p w14:paraId="39D2C465" w14:textId="221368B4" w:rsidR="008C31FD" w:rsidRPr="00E4448A" w:rsidRDefault="008C31FD" w:rsidP="008C31FD">
            <w:pPr>
              <w:rPr>
                <w:rFonts w:ascii="Calibri" w:hAnsi="Calibri" w:cs="Calibri"/>
                <w:sz w:val="20"/>
                <w:szCs w:val="20"/>
              </w:rPr>
            </w:pPr>
            <w:r w:rsidRPr="00E4448A">
              <w:rPr>
                <w:sz w:val="20"/>
                <w:szCs w:val="20"/>
              </w:rPr>
              <w:t xml:space="preserve">9 February 2015. </w:t>
            </w:r>
          </w:p>
        </w:tc>
      </w:tr>
      <w:tr w:rsidR="008C31FD" w:rsidRPr="00130553" w14:paraId="2FFAEB46" w14:textId="77777777" w:rsidTr="00945DEA">
        <w:tc>
          <w:tcPr>
            <w:tcW w:w="1980" w:type="dxa"/>
          </w:tcPr>
          <w:p w14:paraId="5A36D3D1" w14:textId="77777777" w:rsidR="008C31FD" w:rsidRPr="00E4448A" w:rsidRDefault="008C31FD" w:rsidP="008C31FD">
            <w:pPr>
              <w:rPr>
                <w:rFonts w:ascii="Calibri" w:hAnsi="Calibri" w:cs="Calibri"/>
                <w:sz w:val="20"/>
                <w:szCs w:val="20"/>
              </w:rPr>
            </w:pPr>
            <w:r w:rsidRPr="00E4448A">
              <w:rPr>
                <w:rFonts w:ascii="Calibri" w:hAnsi="Calibri" w:cs="Calibri"/>
                <w:sz w:val="20"/>
                <w:szCs w:val="20"/>
              </w:rPr>
              <w:t>OBINUTUZUMAB</w:t>
            </w:r>
          </w:p>
        </w:tc>
        <w:tc>
          <w:tcPr>
            <w:tcW w:w="4394" w:type="dxa"/>
          </w:tcPr>
          <w:p w14:paraId="0468DEC2" w14:textId="6D9F6D0E" w:rsidR="008C31FD" w:rsidRPr="00E4448A" w:rsidRDefault="002211ED" w:rsidP="008C31FD">
            <w:pPr>
              <w:rPr>
                <w:rFonts w:ascii="Calibri" w:hAnsi="Calibri" w:cs="Calibri"/>
                <w:sz w:val="20"/>
                <w:szCs w:val="20"/>
              </w:rPr>
            </w:pPr>
            <w:r>
              <w:rPr>
                <w:rFonts w:ascii="Calibri" w:hAnsi="Calibri" w:cs="Calibri"/>
                <w:sz w:val="20"/>
                <w:szCs w:val="20"/>
              </w:rPr>
              <w:t>CLL/SLL</w:t>
            </w:r>
            <w:r w:rsidR="008C31FD" w:rsidRPr="00E4448A">
              <w:rPr>
                <w:rFonts w:ascii="Calibri" w:hAnsi="Calibri" w:cs="Calibri"/>
                <w:sz w:val="20"/>
                <w:szCs w:val="20"/>
              </w:rPr>
              <w:t>, Follicular lymphoma.</w:t>
            </w:r>
          </w:p>
        </w:tc>
        <w:tc>
          <w:tcPr>
            <w:tcW w:w="2573" w:type="dxa"/>
          </w:tcPr>
          <w:p w14:paraId="4636662F" w14:textId="5DA4911D" w:rsidR="008C31FD" w:rsidRPr="00E4448A" w:rsidRDefault="008C31FD" w:rsidP="008C31FD">
            <w:pPr>
              <w:rPr>
                <w:rFonts w:ascii="Calibri" w:hAnsi="Calibri" w:cs="Calibri"/>
                <w:sz w:val="20"/>
                <w:szCs w:val="20"/>
              </w:rPr>
            </w:pPr>
            <w:r w:rsidRPr="00E4448A">
              <w:rPr>
                <w:sz w:val="20"/>
                <w:szCs w:val="20"/>
              </w:rPr>
              <w:t xml:space="preserve">15 May 2014. </w:t>
            </w:r>
          </w:p>
        </w:tc>
      </w:tr>
      <w:tr w:rsidR="008C31FD" w:rsidRPr="00130553" w14:paraId="621AF619" w14:textId="77777777" w:rsidTr="00945DEA">
        <w:tc>
          <w:tcPr>
            <w:tcW w:w="1980" w:type="dxa"/>
          </w:tcPr>
          <w:p w14:paraId="482099DF" w14:textId="77777777" w:rsidR="008C31FD" w:rsidRPr="00E4448A" w:rsidRDefault="008C31FD" w:rsidP="008C31FD">
            <w:pPr>
              <w:rPr>
                <w:rFonts w:ascii="Calibri" w:hAnsi="Calibri" w:cs="Calibri"/>
                <w:sz w:val="20"/>
                <w:szCs w:val="20"/>
              </w:rPr>
            </w:pPr>
            <w:r w:rsidRPr="00E4448A">
              <w:rPr>
                <w:rFonts w:ascii="Calibri" w:hAnsi="Calibri" w:cs="Calibri"/>
                <w:sz w:val="20"/>
                <w:szCs w:val="20"/>
              </w:rPr>
              <w:t>VENETOCLAX</w:t>
            </w:r>
          </w:p>
        </w:tc>
        <w:tc>
          <w:tcPr>
            <w:tcW w:w="4394" w:type="dxa"/>
          </w:tcPr>
          <w:p w14:paraId="25BBD7C1" w14:textId="448562ED" w:rsidR="008C31FD" w:rsidRPr="00E4448A" w:rsidRDefault="002211ED" w:rsidP="008C31FD">
            <w:pPr>
              <w:rPr>
                <w:rFonts w:ascii="Calibri" w:hAnsi="Calibri" w:cs="Calibri"/>
                <w:sz w:val="20"/>
                <w:szCs w:val="20"/>
              </w:rPr>
            </w:pPr>
            <w:r>
              <w:rPr>
                <w:rFonts w:ascii="Calibri" w:hAnsi="Calibri" w:cs="Calibri"/>
                <w:sz w:val="20"/>
                <w:szCs w:val="20"/>
              </w:rPr>
              <w:t>CLL/SLL</w:t>
            </w:r>
            <w:r w:rsidR="008C31FD" w:rsidRPr="00E4448A">
              <w:rPr>
                <w:rFonts w:ascii="Calibri" w:hAnsi="Calibri" w:cs="Calibri"/>
                <w:sz w:val="20"/>
                <w:szCs w:val="20"/>
              </w:rPr>
              <w:t>, Acute Myeloid Leukaemia.</w:t>
            </w:r>
          </w:p>
        </w:tc>
        <w:tc>
          <w:tcPr>
            <w:tcW w:w="2573" w:type="dxa"/>
          </w:tcPr>
          <w:p w14:paraId="3250D57D" w14:textId="0D5FE991" w:rsidR="008C31FD" w:rsidRPr="00E4448A" w:rsidRDefault="008C31FD" w:rsidP="008C31FD">
            <w:pPr>
              <w:rPr>
                <w:rFonts w:ascii="Calibri" w:hAnsi="Calibri" w:cs="Calibri"/>
                <w:sz w:val="20"/>
                <w:szCs w:val="20"/>
              </w:rPr>
            </w:pPr>
            <w:r w:rsidRPr="00E4448A">
              <w:rPr>
                <w:sz w:val="20"/>
                <w:szCs w:val="20"/>
              </w:rPr>
              <w:t xml:space="preserve">5 January 2017. </w:t>
            </w:r>
          </w:p>
        </w:tc>
      </w:tr>
      <w:tr w:rsidR="008C31FD" w:rsidRPr="00130553" w14:paraId="6C296A35" w14:textId="77777777" w:rsidTr="00945DEA">
        <w:tc>
          <w:tcPr>
            <w:tcW w:w="1980" w:type="dxa"/>
          </w:tcPr>
          <w:p w14:paraId="3F60072E" w14:textId="77777777" w:rsidR="008C31FD" w:rsidRPr="00E4448A" w:rsidRDefault="008C31FD" w:rsidP="008C31FD">
            <w:pPr>
              <w:rPr>
                <w:rFonts w:ascii="Calibri" w:hAnsi="Calibri" w:cs="Calibri"/>
                <w:sz w:val="20"/>
                <w:szCs w:val="20"/>
              </w:rPr>
            </w:pPr>
            <w:r w:rsidRPr="00E4448A">
              <w:rPr>
                <w:rFonts w:ascii="Calibri" w:hAnsi="Calibri" w:cs="Calibri"/>
                <w:sz w:val="20"/>
                <w:szCs w:val="20"/>
              </w:rPr>
              <w:t>ZANUBRUTINIB</w:t>
            </w:r>
          </w:p>
        </w:tc>
        <w:tc>
          <w:tcPr>
            <w:tcW w:w="4394" w:type="dxa"/>
          </w:tcPr>
          <w:p w14:paraId="62005157" w14:textId="0BF27764" w:rsidR="008C31FD" w:rsidRPr="00E4448A" w:rsidRDefault="002211ED" w:rsidP="008C31FD">
            <w:pPr>
              <w:rPr>
                <w:rFonts w:ascii="Calibri" w:hAnsi="Calibri" w:cs="Calibri"/>
                <w:sz w:val="20"/>
                <w:szCs w:val="20"/>
              </w:rPr>
            </w:pPr>
            <w:r>
              <w:rPr>
                <w:rFonts w:ascii="Calibri" w:hAnsi="Calibri" w:cs="Calibri"/>
                <w:sz w:val="20"/>
                <w:szCs w:val="20"/>
              </w:rPr>
              <w:t>CLL/SLL</w:t>
            </w:r>
            <w:r w:rsidR="008C31FD" w:rsidRPr="00E4448A">
              <w:rPr>
                <w:rFonts w:ascii="Calibri" w:hAnsi="Calibri" w:cs="Calibri"/>
                <w:sz w:val="20"/>
                <w:szCs w:val="20"/>
              </w:rPr>
              <w:t>, Mantle cell lymphoma, Waldenstrom macroglobulinaemia, Marginal Zone lymphoma.</w:t>
            </w:r>
          </w:p>
        </w:tc>
        <w:tc>
          <w:tcPr>
            <w:tcW w:w="2573" w:type="dxa"/>
          </w:tcPr>
          <w:p w14:paraId="413D6A72" w14:textId="3A9503F5" w:rsidR="008C31FD" w:rsidRPr="00E4448A" w:rsidRDefault="00A731E3" w:rsidP="008C31FD">
            <w:pPr>
              <w:rPr>
                <w:rFonts w:ascii="Calibri" w:hAnsi="Calibri" w:cs="Calibri"/>
                <w:sz w:val="20"/>
                <w:szCs w:val="20"/>
              </w:rPr>
            </w:pPr>
            <w:r w:rsidRPr="00E4448A">
              <w:rPr>
                <w:rFonts w:ascii="Calibri" w:hAnsi="Calibri" w:cs="Calibri"/>
                <w:sz w:val="20"/>
                <w:szCs w:val="20"/>
              </w:rPr>
              <w:t>7 October 2021.</w:t>
            </w:r>
          </w:p>
        </w:tc>
      </w:tr>
    </w:tbl>
    <w:p w14:paraId="1E393897" w14:textId="2D6C15B7" w:rsidR="001420B3" w:rsidRDefault="001420B3" w:rsidP="00A35800"/>
    <w:p w14:paraId="4EDCB208" w14:textId="4F0A7273" w:rsidR="00706686" w:rsidRPr="00706686" w:rsidRDefault="00706686" w:rsidP="00A35800">
      <w:pPr>
        <w:rPr>
          <w:b/>
          <w:bCs/>
        </w:rPr>
      </w:pPr>
      <w:r w:rsidRPr="00706686">
        <w:rPr>
          <w:b/>
          <w:bCs/>
        </w:rPr>
        <w:t>Table 3: TGA listed indications</w:t>
      </w:r>
      <w:r>
        <w:rPr>
          <w:b/>
          <w:bCs/>
        </w:rPr>
        <w:t xml:space="preserve"> of CLL/SLL drugs</w:t>
      </w:r>
    </w:p>
    <w:tbl>
      <w:tblPr>
        <w:tblStyle w:val="TableGrid"/>
        <w:tblW w:w="0" w:type="auto"/>
        <w:tblLook w:val="04A0" w:firstRow="1" w:lastRow="0" w:firstColumn="1" w:lastColumn="0" w:noHBand="0" w:noVBand="1"/>
      </w:tblPr>
      <w:tblGrid>
        <w:gridCol w:w="1980"/>
        <w:gridCol w:w="6946"/>
      </w:tblGrid>
      <w:tr w:rsidR="008E17BC" w:rsidRPr="00130553" w14:paraId="1452C6A8" w14:textId="77777777" w:rsidTr="00706686">
        <w:tc>
          <w:tcPr>
            <w:tcW w:w="1980" w:type="dxa"/>
            <w:shd w:val="clear" w:color="auto" w:fill="BFBFBF" w:themeFill="background1" w:themeFillShade="BF"/>
          </w:tcPr>
          <w:p w14:paraId="13B18BCA" w14:textId="77777777" w:rsidR="008E17BC" w:rsidRPr="00706686" w:rsidRDefault="008E17BC" w:rsidP="00B12867">
            <w:pPr>
              <w:rPr>
                <w:rFonts w:ascii="Calibri" w:hAnsi="Calibri" w:cs="Calibri"/>
                <w:b/>
                <w:bCs/>
                <w:sz w:val="20"/>
                <w:szCs w:val="20"/>
              </w:rPr>
            </w:pPr>
            <w:r w:rsidRPr="00706686">
              <w:rPr>
                <w:rFonts w:ascii="Calibri" w:hAnsi="Calibri" w:cs="Calibri"/>
                <w:b/>
                <w:bCs/>
                <w:sz w:val="20"/>
                <w:szCs w:val="20"/>
              </w:rPr>
              <w:t>Drug</w:t>
            </w:r>
          </w:p>
        </w:tc>
        <w:tc>
          <w:tcPr>
            <w:tcW w:w="6946" w:type="dxa"/>
            <w:shd w:val="clear" w:color="auto" w:fill="BFBFBF" w:themeFill="background1" w:themeFillShade="BF"/>
          </w:tcPr>
          <w:p w14:paraId="1D4C7517" w14:textId="4B38A2DC" w:rsidR="008E17BC" w:rsidRPr="00706686" w:rsidRDefault="008E17BC" w:rsidP="00B12867">
            <w:pPr>
              <w:rPr>
                <w:rFonts w:ascii="Calibri" w:hAnsi="Calibri" w:cs="Calibri"/>
                <w:b/>
                <w:bCs/>
                <w:sz w:val="20"/>
                <w:szCs w:val="20"/>
              </w:rPr>
            </w:pPr>
            <w:r w:rsidRPr="00706686">
              <w:rPr>
                <w:rFonts w:ascii="Calibri" w:hAnsi="Calibri" w:cs="Calibri"/>
                <w:b/>
                <w:bCs/>
                <w:sz w:val="20"/>
                <w:szCs w:val="20"/>
              </w:rPr>
              <w:t xml:space="preserve">TGA indication for </w:t>
            </w:r>
            <w:r w:rsidR="00382114" w:rsidRPr="00706686">
              <w:rPr>
                <w:rFonts w:ascii="Calibri" w:hAnsi="Calibri" w:cs="Calibri"/>
                <w:b/>
                <w:bCs/>
                <w:sz w:val="20"/>
                <w:szCs w:val="20"/>
              </w:rPr>
              <w:t>CLL</w:t>
            </w:r>
            <w:r w:rsidR="00706686" w:rsidRPr="00706686">
              <w:rPr>
                <w:rFonts w:ascii="Calibri" w:hAnsi="Calibri" w:cs="Calibri"/>
                <w:b/>
                <w:bCs/>
                <w:sz w:val="20"/>
                <w:szCs w:val="20"/>
              </w:rPr>
              <w:t>/</w:t>
            </w:r>
            <w:r w:rsidR="00382114" w:rsidRPr="00706686">
              <w:rPr>
                <w:rFonts w:ascii="Calibri" w:hAnsi="Calibri" w:cs="Calibri"/>
                <w:b/>
                <w:bCs/>
                <w:sz w:val="20"/>
                <w:szCs w:val="20"/>
              </w:rPr>
              <w:t>SLL</w:t>
            </w:r>
          </w:p>
        </w:tc>
      </w:tr>
      <w:tr w:rsidR="008E17BC" w:rsidRPr="00130553" w14:paraId="74F9B703" w14:textId="77777777" w:rsidTr="008E17BC">
        <w:tc>
          <w:tcPr>
            <w:tcW w:w="1980" w:type="dxa"/>
          </w:tcPr>
          <w:p w14:paraId="469BDB65" w14:textId="77777777" w:rsidR="008E17BC" w:rsidRPr="00E4448A" w:rsidRDefault="008E17BC" w:rsidP="00B12867">
            <w:pPr>
              <w:rPr>
                <w:rFonts w:ascii="Calibri" w:hAnsi="Calibri" w:cs="Calibri"/>
                <w:sz w:val="20"/>
                <w:szCs w:val="20"/>
              </w:rPr>
            </w:pPr>
            <w:r w:rsidRPr="00E4448A">
              <w:rPr>
                <w:rFonts w:ascii="Calibri" w:hAnsi="Calibri" w:cs="Calibri"/>
                <w:sz w:val="20"/>
                <w:szCs w:val="20"/>
              </w:rPr>
              <w:t>ACALABRUTINIB</w:t>
            </w:r>
          </w:p>
        </w:tc>
        <w:tc>
          <w:tcPr>
            <w:tcW w:w="6946" w:type="dxa"/>
          </w:tcPr>
          <w:p w14:paraId="643C8CA7" w14:textId="0379C62F" w:rsidR="008E17BC" w:rsidRPr="00E4448A" w:rsidRDefault="00A34DE4" w:rsidP="00B12867">
            <w:pPr>
              <w:rPr>
                <w:rFonts w:ascii="Calibri" w:hAnsi="Calibri" w:cs="Calibri"/>
                <w:sz w:val="20"/>
                <w:szCs w:val="20"/>
              </w:rPr>
            </w:pPr>
            <w:r w:rsidRPr="00E4448A">
              <w:rPr>
                <w:rFonts w:ascii="Calibri" w:hAnsi="Calibri" w:cs="Calibri"/>
                <w:sz w:val="20"/>
                <w:szCs w:val="20"/>
              </w:rPr>
              <w:t>Either as monotherapy or in combination with obinutuzumab.</w:t>
            </w:r>
          </w:p>
        </w:tc>
      </w:tr>
      <w:tr w:rsidR="008E17BC" w:rsidRPr="00130553" w14:paraId="796B6746" w14:textId="77777777" w:rsidTr="008E17BC">
        <w:tc>
          <w:tcPr>
            <w:tcW w:w="1980" w:type="dxa"/>
          </w:tcPr>
          <w:p w14:paraId="2AEEE84D" w14:textId="77777777" w:rsidR="008E17BC" w:rsidRPr="00E4448A" w:rsidRDefault="008E17BC" w:rsidP="00B12867">
            <w:pPr>
              <w:rPr>
                <w:rFonts w:ascii="Calibri" w:hAnsi="Calibri" w:cs="Calibri"/>
                <w:sz w:val="20"/>
                <w:szCs w:val="20"/>
              </w:rPr>
            </w:pPr>
            <w:r w:rsidRPr="00E4448A">
              <w:rPr>
                <w:rFonts w:ascii="Calibri" w:hAnsi="Calibri" w:cs="Calibri"/>
                <w:sz w:val="20"/>
                <w:szCs w:val="20"/>
              </w:rPr>
              <w:t>IBRUTINIB</w:t>
            </w:r>
          </w:p>
        </w:tc>
        <w:tc>
          <w:tcPr>
            <w:tcW w:w="6946" w:type="dxa"/>
          </w:tcPr>
          <w:p w14:paraId="2A52A645" w14:textId="531ADA07" w:rsidR="008E17BC" w:rsidRPr="00E4448A" w:rsidRDefault="0095526B" w:rsidP="00B12867">
            <w:pPr>
              <w:rPr>
                <w:rFonts w:ascii="Calibri" w:hAnsi="Calibri" w:cs="Calibri"/>
                <w:sz w:val="20"/>
                <w:szCs w:val="20"/>
              </w:rPr>
            </w:pPr>
            <w:r w:rsidRPr="00E4448A">
              <w:rPr>
                <w:rFonts w:ascii="Calibri" w:hAnsi="Calibri" w:cs="Calibri"/>
                <w:sz w:val="20"/>
                <w:szCs w:val="20"/>
              </w:rPr>
              <w:t xml:space="preserve">As a single agent or in combination with rituximab or obinutuzumab or venetoclax for the treatment of previously untreated </w:t>
            </w:r>
            <w:r w:rsidR="00382114">
              <w:rPr>
                <w:rFonts w:ascii="Calibri" w:hAnsi="Calibri" w:cs="Calibri"/>
                <w:sz w:val="20"/>
                <w:szCs w:val="20"/>
              </w:rPr>
              <w:t>CLL</w:t>
            </w:r>
            <w:r w:rsidR="00706686">
              <w:rPr>
                <w:rFonts w:ascii="Calibri" w:hAnsi="Calibri" w:cs="Calibri"/>
                <w:sz w:val="20"/>
                <w:szCs w:val="20"/>
              </w:rPr>
              <w:t>/</w:t>
            </w:r>
            <w:r w:rsidR="00382114">
              <w:rPr>
                <w:rFonts w:ascii="Calibri" w:hAnsi="Calibri" w:cs="Calibri"/>
                <w:sz w:val="20"/>
                <w:szCs w:val="20"/>
              </w:rPr>
              <w:t>SLL</w:t>
            </w:r>
            <w:r w:rsidRPr="00E4448A">
              <w:rPr>
                <w:rFonts w:ascii="Calibri" w:hAnsi="Calibri" w:cs="Calibri"/>
                <w:sz w:val="20"/>
                <w:szCs w:val="20"/>
              </w:rPr>
              <w:t xml:space="preserve">. As a single agent or in combination with bendamustine and rituximab (BR) for the treatment of </w:t>
            </w:r>
            <w:r w:rsidR="00382114">
              <w:rPr>
                <w:rFonts w:ascii="Calibri" w:hAnsi="Calibri" w:cs="Calibri"/>
                <w:sz w:val="20"/>
                <w:szCs w:val="20"/>
              </w:rPr>
              <w:t>CLL</w:t>
            </w:r>
            <w:r w:rsidR="00706686">
              <w:rPr>
                <w:rFonts w:ascii="Calibri" w:hAnsi="Calibri" w:cs="Calibri"/>
                <w:sz w:val="20"/>
                <w:szCs w:val="20"/>
              </w:rPr>
              <w:t>/</w:t>
            </w:r>
            <w:r w:rsidR="00382114">
              <w:rPr>
                <w:rFonts w:ascii="Calibri" w:hAnsi="Calibri" w:cs="Calibri"/>
                <w:sz w:val="20"/>
                <w:szCs w:val="20"/>
              </w:rPr>
              <w:t>SLL</w:t>
            </w:r>
            <w:r w:rsidRPr="00E4448A">
              <w:rPr>
                <w:rFonts w:ascii="Calibri" w:hAnsi="Calibri" w:cs="Calibri"/>
                <w:sz w:val="20"/>
                <w:szCs w:val="20"/>
              </w:rPr>
              <w:t xml:space="preserve"> who have received at least one prior therapy</w:t>
            </w:r>
          </w:p>
        </w:tc>
      </w:tr>
      <w:tr w:rsidR="008E17BC" w:rsidRPr="00130553" w14:paraId="451C17E9" w14:textId="77777777" w:rsidTr="008E17BC">
        <w:tc>
          <w:tcPr>
            <w:tcW w:w="1980" w:type="dxa"/>
          </w:tcPr>
          <w:p w14:paraId="2865E7A9" w14:textId="77777777" w:rsidR="008E17BC" w:rsidRPr="00E4448A" w:rsidRDefault="008E17BC" w:rsidP="00B12867">
            <w:pPr>
              <w:rPr>
                <w:rFonts w:ascii="Calibri" w:hAnsi="Calibri" w:cs="Calibri"/>
                <w:sz w:val="20"/>
                <w:szCs w:val="20"/>
              </w:rPr>
            </w:pPr>
            <w:r w:rsidRPr="00E4448A">
              <w:rPr>
                <w:rFonts w:ascii="Calibri" w:hAnsi="Calibri" w:cs="Calibri"/>
                <w:sz w:val="20"/>
                <w:szCs w:val="20"/>
              </w:rPr>
              <w:t>IDELALISIB</w:t>
            </w:r>
          </w:p>
        </w:tc>
        <w:tc>
          <w:tcPr>
            <w:tcW w:w="6946" w:type="dxa"/>
          </w:tcPr>
          <w:p w14:paraId="6875025A" w14:textId="73E0EAFC" w:rsidR="008E17BC" w:rsidRPr="00E4448A" w:rsidRDefault="005F5C1E" w:rsidP="00B12867">
            <w:pPr>
              <w:rPr>
                <w:rFonts w:ascii="Calibri" w:hAnsi="Calibri" w:cs="Calibri"/>
                <w:sz w:val="20"/>
                <w:szCs w:val="20"/>
              </w:rPr>
            </w:pPr>
            <w:r w:rsidRPr="00E4448A">
              <w:rPr>
                <w:rFonts w:ascii="Calibri" w:hAnsi="Calibri" w:cs="Calibri"/>
                <w:sz w:val="20"/>
                <w:szCs w:val="20"/>
              </w:rPr>
              <w:t xml:space="preserve">In combination with rituximab for the treatment of </w:t>
            </w:r>
            <w:r w:rsidR="00382114">
              <w:rPr>
                <w:rFonts w:ascii="Calibri" w:hAnsi="Calibri" w:cs="Calibri"/>
                <w:sz w:val="20"/>
                <w:szCs w:val="20"/>
              </w:rPr>
              <w:t>CLL</w:t>
            </w:r>
            <w:r w:rsidR="00706686">
              <w:rPr>
                <w:rFonts w:ascii="Calibri" w:hAnsi="Calibri" w:cs="Calibri"/>
                <w:sz w:val="20"/>
                <w:szCs w:val="20"/>
              </w:rPr>
              <w:t>/</w:t>
            </w:r>
            <w:r w:rsidR="00382114">
              <w:rPr>
                <w:rFonts w:ascii="Calibri" w:hAnsi="Calibri" w:cs="Calibri"/>
                <w:sz w:val="20"/>
                <w:szCs w:val="20"/>
              </w:rPr>
              <w:t>SLL</w:t>
            </w:r>
            <w:r w:rsidRPr="00E4448A">
              <w:rPr>
                <w:rFonts w:ascii="Calibri" w:hAnsi="Calibri" w:cs="Calibri"/>
                <w:sz w:val="20"/>
                <w:szCs w:val="20"/>
              </w:rPr>
              <w:t xml:space="preserve"> upon relapse in patients for whom chemo-immunotherapy is not considered suitable. In combination with ofatumumab for the treatment with </w:t>
            </w:r>
            <w:r w:rsidR="00382114">
              <w:rPr>
                <w:rFonts w:ascii="Calibri" w:hAnsi="Calibri" w:cs="Calibri"/>
                <w:sz w:val="20"/>
                <w:szCs w:val="20"/>
              </w:rPr>
              <w:t>CLL</w:t>
            </w:r>
            <w:r w:rsidR="00706686">
              <w:rPr>
                <w:rFonts w:ascii="Calibri" w:hAnsi="Calibri" w:cs="Calibri"/>
                <w:sz w:val="20"/>
                <w:szCs w:val="20"/>
              </w:rPr>
              <w:t>/</w:t>
            </w:r>
            <w:r w:rsidR="00382114">
              <w:rPr>
                <w:rFonts w:ascii="Calibri" w:hAnsi="Calibri" w:cs="Calibri"/>
                <w:sz w:val="20"/>
                <w:szCs w:val="20"/>
              </w:rPr>
              <w:t>SLL</w:t>
            </w:r>
            <w:r w:rsidRPr="00E4448A">
              <w:rPr>
                <w:rFonts w:ascii="Calibri" w:hAnsi="Calibri" w:cs="Calibri"/>
                <w:sz w:val="20"/>
                <w:szCs w:val="20"/>
              </w:rPr>
              <w:t xml:space="preserve"> upon relapse in patients for whom chemo-immunotherapy is not considered suitable.</w:t>
            </w:r>
          </w:p>
        </w:tc>
      </w:tr>
      <w:tr w:rsidR="008E17BC" w:rsidRPr="00130553" w14:paraId="09C04936" w14:textId="77777777" w:rsidTr="008E17BC">
        <w:tc>
          <w:tcPr>
            <w:tcW w:w="1980" w:type="dxa"/>
          </w:tcPr>
          <w:p w14:paraId="61CE19A3" w14:textId="77777777" w:rsidR="008E17BC" w:rsidRPr="00E4448A" w:rsidRDefault="008E17BC" w:rsidP="00B12867">
            <w:pPr>
              <w:rPr>
                <w:rFonts w:ascii="Calibri" w:hAnsi="Calibri" w:cs="Calibri"/>
                <w:sz w:val="20"/>
                <w:szCs w:val="20"/>
              </w:rPr>
            </w:pPr>
            <w:r w:rsidRPr="00E4448A">
              <w:rPr>
                <w:rFonts w:ascii="Calibri" w:hAnsi="Calibri" w:cs="Calibri"/>
                <w:sz w:val="20"/>
                <w:szCs w:val="20"/>
              </w:rPr>
              <w:t>OBINUTUZUMAB</w:t>
            </w:r>
          </w:p>
        </w:tc>
        <w:tc>
          <w:tcPr>
            <w:tcW w:w="6946" w:type="dxa"/>
          </w:tcPr>
          <w:p w14:paraId="3ABA73CF" w14:textId="38A70651" w:rsidR="008E17BC" w:rsidRPr="00E4448A" w:rsidRDefault="00004D92" w:rsidP="00B12867">
            <w:pPr>
              <w:rPr>
                <w:rFonts w:ascii="Calibri" w:hAnsi="Calibri" w:cs="Calibri"/>
                <w:sz w:val="20"/>
                <w:szCs w:val="20"/>
              </w:rPr>
            </w:pPr>
            <w:r w:rsidRPr="00E4448A">
              <w:rPr>
                <w:rFonts w:ascii="Calibri" w:hAnsi="Calibri" w:cs="Calibri"/>
                <w:sz w:val="20"/>
                <w:szCs w:val="20"/>
              </w:rPr>
              <w:t>In combination with chlorambucil for the treatment of patients with previously untreated CLL.</w:t>
            </w:r>
          </w:p>
        </w:tc>
      </w:tr>
      <w:tr w:rsidR="008E17BC" w:rsidRPr="00130553" w14:paraId="36C95694" w14:textId="77777777" w:rsidTr="008E17BC">
        <w:tc>
          <w:tcPr>
            <w:tcW w:w="1980" w:type="dxa"/>
          </w:tcPr>
          <w:p w14:paraId="30C54827" w14:textId="77777777" w:rsidR="008E17BC" w:rsidRPr="00E4448A" w:rsidRDefault="008E17BC" w:rsidP="00B12867">
            <w:pPr>
              <w:rPr>
                <w:rFonts w:ascii="Calibri" w:hAnsi="Calibri" w:cs="Calibri"/>
                <w:sz w:val="20"/>
                <w:szCs w:val="20"/>
              </w:rPr>
            </w:pPr>
            <w:r w:rsidRPr="00E4448A">
              <w:rPr>
                <w:rFonts w:ascii="Calibri" w:hAnsi="Calibri" w:cs="Calibri"/>
                <w:sz w:val="20"/>
                <w:szCs w:val="20"/>
              </w:rPr>
              <w:t>VENETOCLAX</w:t>
            </w:r>
          </w:p>
        </w:tc>
        <w:tc>
          <w:tcPr>
            <w:tcW w:w="6946" w:type="dxa"/>
          </w:tcPr>
          <w:p w14:paraId="0B15E979" w14:textId="1B5E6F43" w:rsidR="00574DB5" w:rsidRPr="00E4448A" w:rsidRDefault="00574DB5" w:rsidP="00574DB5">
            <w:pPr>
              <w:rPr>
                <w:rFonts w:ascii="Calibri" w:hAnsi="Calibri" w:cs="Calibri"/>
                <w:sz w:val="20"/>
                <w:szCs w:val="20"/>
              </w:rPr>
            </w:pPr>
            <w:r w:rsidRPr="00E4448A">
              <w:rPr>
                <w:rFonts w:ascii="Calibri" w:hAnsi="Calibri" w:cs="Calibri"/>
                <w:sz w:val="20"/>
                <w:szCs w:val="20"/>
              </w:rPr>
              <w:t xml:space="preserve">In combination with obinutuzumab for the treatment of patients with </w:t>
            </w:r>
            <w:r w:rsidR="00382114">
              <w:rPr>
                <w:rFonts w:ascii="Calibri" w:hAnsi="Calibri" w:cs="Calibri"/>
                <w:sz w:val="20"/>
                <w:szCs w:val="20"/>
              </w:rPr>
              <w:t>CLL</w:t>
            </w:r>
            <w:r w:rsidR="00706686">
              <w:rPr>
                <w:rFonts w:ascii="Calibri" w:hAnsi="Calibri" w:cs="Calibri"/>
                <w:sz w:val="20"/>
                <w:szCs w:val="20"/>
              </w:rPr>
              <w:t>/</w:t>
            </w:r>
            <w:r w:rsidR="00382114">
              <w:rPr>
                <w:rFonts w:ascii="Calibri" w:hAnsi="Calibri" w:cs="Calibri"/>
                <w:sz w:val="20"/>
                <w:szCs w:val="20"/>
              </w:rPr>
              <w:t>SLL</w:t>
            </w:r>
            <w:r w:rsidRPr="00E4448A">
              <w:rPr>
                <w:rFonts w:ascii="Calibri" w:hAnsi="Calibri" w:cs="Calibri"/>
                <w:sz w:val="20"/>
                <w:szCs w:val="20"/>
              </w:rPr>
              <w:t>. In combination with ibrutinib for the treatment of</w:t>
            </w:r>
          </w:p>
          <w:p w14:paraId="62CDEFF0" w14:textId="63988DC2" w:rsidR="008E17BC" w:rsidRPr="00E4448A" w:rsidRDefault="00574DB5" w:rsidP="00574DB5">
            <w:pPr>
              <w:rPr>
                <w:rFonts w:ascii="Calibri" w:hAnsi="Calibri" w:cs="Calibri"/>
                <w:sz w:val="20"/>
                <w:szCs w:val="20"/>
              </w:rPr>
            </w:pPr>
            <w:r w:rsidRPr="00E4448A">
              <w:rPr>
                <w:rFonts w:ascii="Calibri" w:hAnsi="Calibri" w:cs="Calibri"/>
                <w:sz w:val="20"/>
                <w:szCs w:val="20"/>
              </w:rPr>
              <w:t xml:space="preserve">previously untreated </w:t>
            </w:r>
            <w:r w:rsidR="00382114">
              <w:rPr>
                <w:rFonts w:ascii="Calibri" w:hAnsi="Calibri" w:cs="Calibri"/>
                <w:sz w:val="20"/>
                <w:szCs w:val="20"/>
              </w:rPr>
              <w:t>CLL</w:t>
            </w:r>
            <w:r w:rsidR="00706686">
              <w:rPr>
                <w:rFonts w:ascii="Calibri" w:hAnsi="Calibri" w:cs="Calibri"/>
                <w:sz w:val="20"/>
                <w:szCs w:val="20"/>
              </w:rPr>
              <w:t>/</w:t>
            </w:r>
            <w:r w:rsidR="00382114">
              <w:rPr>
                <w:rFonts w:ascii="Calibri" w:hAnsi="Calibri" w:cs="Calibri"/>
                <w:sz w:val="20"/>
                <w:szCs w:val="20"/>
              </w:rPr>
              <w:t>SLL</w:t>
            </w:r>
            <w:r w:rsidRPr="00E4448A">
              <w:rPr>
                <w:rFonts w:ascii="Calibri" w:hAnsi="Calibri" w:cs="Calibri"/>
                <w:sz w:val="20"/>
                <w:szCs w:val="20"/>
              </w:rPr>
              <w:t>. In combination with rituximab in patients with CLL who have received at least one prior therapy.</w:t>
            </w:r>
          </w:p>
          <w:p w14:paraId="117AABC0" w14:textId="77777777" w:rsidR="00574CAA" w:rsidRPr="00E4448A" w:rsidRDefault="00574CAA" w:rsidP="00574CAA">
            <w:pPr>
              <w:rPr>
                <w:rFonts w:ascii="Calibri" w:hAnsi="Calibri" w:cs="Calibri"/>
                <w:sz w:val="20"/>
                <w:szCs w:val="20"/>
              </w:rPr>
            </w:pPr>
            <w:r w:rsidRPr="00E4448A">
              <w:rPr>
                <w:rFonts w:ascii="Calibri" w:hAnsi="Calibri" w:cs="Calibri"/>
                <w:sz w:val="20"/>
                <w:szCs w:val="20"/>
              </w:rPr>
              <w:t>Monotherapy is indicated for the treatment of:</w:t>
            </w:r>
          </w:p>
          <w:p w14:paraId="2A1B905C" w14:textId="77777777" w:rsidR="00574CAA" w:rsidRPr="00E4448A" w:rsidRDefault="00574CAA" w:rsidP="00574CAA">
            <w:pPr>
              <w:rPr>
                <w:rFonts w:ascii="Calibri" w:hAnsi="Calibri" w:cs="Calibri"/>
                <w:sz w:val="20"/>
                <w:szCs w:val="20"/>
              </w:rPr>
            </w:pPr>
            <w:r w:rsidRPr="00E4448A">
              <w:rPr>
                <w:rFonts w:ascii="Calibri" w:hAnsi="Calibri" w:cs="Calibri"/>
                <w:sz w:val="20"/>
                <w:szCs w:val="20"/>
              </w:rPr>
              <w:t>· patients with relapsed or refractory CLL with 17p deletion, or</w:t>
            </w:r>
          </w:p>
          <w:p w14:paraId="1B6DC81A" w14:textId="7E7DE851" w:rsidR="00574CAA" w:rsidRPr="00E4448A" w:rsidRDefault="00574CAA" w:rsidP="00574CAA">
            <w:pPr>
              <w:rPr>
                <w:rFonts w:ascii="Calibri" w:hAnsi="Calibri" w:cs="Calibri"/>
                <w:sz w:val="20"/>
                <w:szCs w:val="20"/>
              </w:rPr>
            </w:pPr>
            <w:r w:rsidRPr="00E4448A">
              <w:rPr>
                <w:rFonts w:ascii="Calibri" w:hAnsi="Calibri" w:cs="Calibri"/>
                <w:sz w:val="20"/>
                <w:szCs w:val="20"/>
              </w:rPr>
              <w:t>· patients with relapsed or refractory CLL for whom there are no other suitable treatment options.</w:t>
            </w:r>
          </w:p>
        </w:tc>
      </w:tr>
      <w:tr w:rsidR="008E17BC" w:rsidRPr="00130553" w14:paraId="0D598D9B" w14:textId="77777777" w:rsidTr="008E17BC">
        <w:tc>
          <w:tcPr>
            <w:tcW w:w="1980" w:type="dxa"/>
          </w:tcPr>
          <w:p w14:paraId="650B2D2D" w14:textId="77777777" w:rsidR="008E17BC" w:rsidRPr="00E4448A" w:rsidRDefault="008E17BC" w:rsidP="00B12867">
            <w:pPr>
              <w:rPr>
                <w:rFonts w:ascii="Calibri" w:hAnsi="Calibri" w:cs="Calibri"/>
                <w:sz w:val="20"/>
                <w:szCs w:val="20"/>
              </w:rPr>
            </w:pPr>
            <w:r w:rsidRPr="00E4448A">
              <w:rPr>
                <w:rFonts w:ascii="Calibri" w:hAnsi="Calibri" w:cs="Calibri"/>
                <w:sz w:val="20"/>
                <w:szCs w:val="20"/>
              </w:rPr>
              <w:t>ZANUBRUTINIB</w:t>
            </w:r>
          </w:p>
        </w:tc>
        <w:tc>
          <w:tcPr>
            <w:tcW w:w="6946" w:type="dxa"/>
          </w:tcPr>
          <w:p w14:paraId="78D10723" w14:textId="14358A64" w:rsidR="008E17BC" w:rsidRPr="00E4448A" w:rsidRDefault="00670B25" w:rsidP="00B12867">
            <w:pPr>
              <w:rPr>
                <w:rFonts w:ascii="Calibri" w:hAnsi="Calibri" w:cs="Calibri"/>
                <w:sz w:val="20"/>
                <w:szCs w:val="20"/>
              </w:rPr>
            </w:pPr>
            <w:r w:rsidRPr="00E4448A">
              <w:rPr>
                <w:rFonts w:ascii="Calibri" w:hAnsi="Calibri" w:cs="Calibri"/>
                <w:sz w:val="20"/>
                <w:szCs w:val="20"/>
              </w:rPr>
              <w:t xml:space="preserve">Indicated as monotherapy for the treatment of </w:t>
            </w:r>
            <w:r w:rsidR="00382114">
              <w:rPr>
                <w:rFonts w:ascii="Calibri" w:hAnsi="Calibri" w:cs="Calibri"/>
                <w:sz w:val="20"/>
                <w:szCs w:val="20"/>
              </w:rPr>
              <w:t>CLL</w:t>
            </w:r>
            <w:r w:rsidR="00706686">
              <w:rPr>
                <w:rFonts w:ascii="Calibri" w:hAnsi="Calibri" w:cs="Calibri"/>
                <w:sz w:val="20"/>
                <w:szCs w:val="20"/>
              </w:rPr>
              <w:t>/</w:t>
            </w:r>
            <w:r w:rsidR="00382114">
              <w:rPr>
                <w:rFonts w:ascii="Calibri" w:hAnsi="Calibri" w:cs="Calibri"/>
                <w:sz w:val="20"/>
                <w:szCs w:val="20"/>
              </w:rPr>
              <w:t>SLL</w:t>
            </w:r>
            <w:r w:rsidRPr="00E4448A">
              <w:rPr>
                <w:rFonts w:ascii="Calibri" w:hAnsi="Calibri" w:cs="Calibri"/>
                <w:sz w:val="20"/>
                <w:szCs w:val="20"/>
              </w:rPr>
              <w:t>, including patients with deletion 17p and/or TP53 mutation.</w:t>
            </w:r>
          </w:p>
        </w:tc>
      </w:tr>
    </w:tbl>
    <w:p w14:paraId="62B9F9D0" w14:textId="77777777" w:rsidR="008E17BC" w:rsidRDefault="008E17BC" w:rsidP="00A35800"/>
    <w:p w14:paraId="0EEAFFD0" w14:textId="77777777" w:rsidR="00811485" w:rsidRDefault="00811485" w:rsidP="00A35800"/>
    <w:p w14:paraId="74111D77" w14:textId="77777777" w:rsidR="00811485" w:rsidRDefault="00811485" w:rsidP="00A35800"/>
    <w:p w14:paraId="6CDF1B7D" w14:textId="77777777" w:rsidR="00811485" w:rsidRDefault="00811485" w:rsidP="00A35800"/>
    <w:p w14:paraId="0171A768" w14:textId="77777777" w:rsidR="00811485" w:rsidRDefault="00811485" w:rsidP="00A35800"/>
    <w:p w14:paraId="496A08C8" w14:textId="77777777" w:rsidR="00811485" w:rsidRDefault="00811485" w:rsidP="00A35800"/>
    <w:p w14:paraId="382F1132" w14:textId="77777777" w:rsidR="00811485" w:rsidRDefault="00811485" w:rsidP="00A35800"/>
    <w:p w14:paraId="56290C71" w14:textId="527EB587" w:rsidR="00C966D4" w:rsidRPr="00706686" w:rsidRDefault="00706686" w:rsidP="00A35800">
      <w:pPr>
        <w:rPr>
          <w:b/>
          <w:bCs/>
        </w:rPr>
      </w:pPr>
      <w:r w:rsidRPr="00706686">
        <w:rPr>
          <w:b/>
          <w:bCs/>
        </w:rPr>
        <w:lastRenderedPageBreak/>
        <w:t xml:space="preserve">Table 4: TGA </w:t>
      </w:r>
      <w:r>
        <w:rPr>
          <w:b/>
          <w:bCs/>
        </w:rPr>
        <w:t xml:space="preserve">listed </w:t>
      </w:r>
      <w:r w:rsidRPr="00706686">
        <w:rPr>
          <w:b/>
          <w:bCs/>
        </w:rPr>
        <w:t>warnings</w:t>
      </w:r>
      <w:r>
        <w:rPr>
          <w:b/>
          <w:bCs/>
        </w:rPr>
        <w:t xml:space="preserve"> on CLL/SLL drugs</w:t>
      </w:r>
    </w:p>
    <w:tbl>
      <w:tblPr>
        <w:tblStyle w:val="TableGrid"/>
        <w:tblW w:w="0" w:type="auto"/>
        <w:tblLook w:val="04A0" w:firstRow="1" w:lastRow="0" w:firstColumn="1" w:lastColumn="0" w:noHBand="0" w:noVBand="1"/>
      </w:tblPr>
      <w:tblGrid>
        <w:gridCol w:w="2115"/>
        <w:gridCol w:w="6832"/>
      </w:tblGrid>
      <w:tr w:rsidR="003A7966" w:rsidRPr="00130553" w14:paraId="108C8A55" w14:textId="77777777" w:rsidTr="00706686">
        <w:tc>
          <w:tcPr>
            <w:tcW w:w="2122" w:type="dxa"/>
            <w:shd w:val="clear" w:color="auto" w:fill="BFBFBF" w:themeFill="background1" w:themeFillShade="BF"/>
          </w:tcPr>
          <w:p w14:paraId="71E523F5" w14:textId="77777777" w:rsidR="003A7966" w:rsidRPr="00706686" w:rsidRDefault="003A7966" w:rsidP="00B12867">
            <w:pPr>
              <w:rPr>
                <w:rFonts w:ascii="Calibri" w:hAnsi="Calibri" w:cs="Calibri"/>
                <w:b/>
                <w:bCs/>
                <w:sz w:val="20"/>
                <w:szCs w:val="20"/>
              </w:rPr>
            </w:pPr>
            <w:r w:rsidRPr="00706686">
              <w:rPr>
                <w:rFonts w:ascii="Calibri" w:hAnsi="Calibri" w:cs="Calibri"/>
                <w:b/>
                <w:bCs/>
                <w:sz w:val="20"/>
                <w:szCs w:val="20"/>
              </w:rPr>
              <w:t>Drug</w:t>
            </w:r>
          </w:p>
        </w:tc>
        <w:tc>
          <w:tcPr>
            <w:tcW w:w="6894" w:type="dxa"/>
            <w:shd w:val="clear" w:color="auto" w:fill="BFBFBF" w:themeFill="background1" w:themeFillShade="BF"/>
          </w:tcPr>
          <w:p w14:paraId="7EA1642A" w14:textId="77777777" w:rsidR="003A7966" w:rsidRPr="00706686" w:rsidRDefault="003A7966" w:rsidP="00B12867">
            <w:pPr>
              <w:rPr>
                <w:rFonts w:ascii="Calibri" w:hAnsi="Calibri" w:cs="Calibri"/>
                <w:b/>
                <w:bCs/>
                <w:sz w:val="20"/>
                <w:szCs w:val="20"/>
              </w:rPr>
            </w:pPr>
            <w:r w:rsidRPr="00706686">
              <w:rPr>
                <w:rFonts w:ascii="Calibri" w:hAnsi="Calibri" w:cs="Calibri"/>
                <w:b/>
                <w:bCs/>
                <w:sz w:val="20"/>
                <w:szCs w:val="20"/>
              </w:rPr>
              <w:t>Warnings</w:t>
            </w:r>
          </w:p>
        </w:tc>
      </w:tr>
      <w:tr w:rsidR="003A7966" w:rsidRPr="00130553" w14:paraId="47F8999D" w14:textId="77777777" w:rsidTr="00B12867">
        <w:tc>
          <w:tcPr>
            <w:tcW w:w="2122" w:type="dxa"/>
          </w:tcPr>
          <w:p w14:paraId="7AA3A815" w14:textId="77777777" w:rsidR="003A7966" w:rsidRPr="00E4448A" w:rsidRDefault="003A7966" w:rsidP="00B12867">
            <w:pPr>
              <w:rPr>
                <w:rFonts w:ascii="Calibri" w:hAnsi="Calibri" w:cs="Calibri"/>
                <w:sz w:val="20"/>
                <w:szCs w:val="20"/>
              </w:rPr>
            </w:pPr>
            <w:r w:rsidRPr="00E4448A">
              <w:rPr>
                <w:rFonts w:ascii="Calibri" w:hAnsi="Calibri" w:cs="Calibri"/>
                <w:sz w:val="20"/>
                <w:szCs w:val="20"/>
              </w:rPr>
              <w:t>ACALABRUTINIB</w:t>
            </w:r>
          </w:p>
        </w:tc>
        <w:tc>
          <w:tcPr>
            <w:tcW w:w="6894" w:type="dxa"/>
          </w:tcPr>
          <w:p w14:paraId="73741939" w14:textId="77777777" w:rsidR="003A7966" w:rsidRPr="00E4448A" w:rsidRDefault="003A7966" w:rsidP="00B12867">
            <w:pPr>
              <w:rPr>
                <w:rFonts w:ascii="Calibri" w:hAnsi="Calibri" w:cs="Calibri"/>
                <w:sz w:val="20"/>
                <w:szCs w:val="20"/>
              </w:rPr>
            </w:pPr>
            <w:r w:rsidRPr="00E4448A">
              <w:rPr>
                <w:rFonts w:ascii="Calibri" w:hAnsi="Calibri" w:cs="Calibri"/>
                <w:sz w:val="20"/>
                <w:szCs w:val="20"/>
              </w:rPr>
              <w:t>Black triangle - This medicinal product is subject to additional monitoring in Australia.</w:t>
            </w:r>
          </w:p>
        </w:tc>
      </w:tr>
      <w:tr w:rsidR="003A7966" w:rsidRPr="00130553" w14:paraId="0D3D7C03" w14:textId="77777777" w:rsidTr="00B12867">
        <w:tc>
          <w:tcPr>
            <w:tcW w:w="2122" w:type="dxa"/>
          </w:tcPr>
          <w:p w14:paraId="272A0A42" w14:textId="77777777" w:rsidR="003A7966" w:rsidRPr="00E4448A" w:rsidRDefault="003A7966" w:rsidP="00B12867">
            <w:pPr>
              <w:rPr>
                <w:rFonts w:ascii="Calibri" w:hAnsi="Calibri" w:cs="Calibri"/>
                <w:sz w:val="20"/>
                <w:szCs w:val="20"/>
              </w:rPr>
            </w:pPr>
            <w:r w:rsidRPr="00E4448A">
              <w:rPr>
                <w:rFonts w:ascii="Calibri" w:hAnsi="Calibri" w:cs="Calibri"/>
                <w:sz w:val="20"/>
                <w:szCs w:val="20"/>
              </w:rPr>
              <w:t>IDELALISIB</w:t>
            </w:r>
          </w:p>
        </w:tc>
        <w:tc>
          <w:tcPr>
            <w:tcW w:w="6894" w:type="dxa"/>
          </w:tcPr>
          <w:p w14:paraId="12D840E0" w14:textId="77777777" w:rsidR="003A7966" w:rsidRPr="00E4448A" w:rsidRDefault="003A7966" w:rsidP="00B12867">
            <w:pPr>
              <w:rPr>
                <w:rFonts w:ascii="Calibri" w:hAnsi="Calibri" w:cs="Calibri"/>
                <w:sz w:val="20"/>
                <w:szCs w:val="20"/>
              </w:rPr>
            </w:pPr>
            <w:r w:rsidRPr="00E4448A">
              <w:rPr>
                <w:rFonts w:ascii="Calibri" w:hAnsi="Calibri" w:cs="Calibri"/>
                <w:sz w:val="20"/>
                <w:szCs w:val="20"/>
              </w:rPr>
              <w:t>A boxed warning was added to the Product Information in April 2017 to alert prescribers of the risk of serious infections with specific reference to Pneumocystis jirovecii pneumonia and cytomegalovirus infection and also pneumonitis.</w:t>
            </w:r>
          </w:p>
        </w:tc>
      </w:tr>
      <w:tr w:rsidR="003A7966" w:rsidRPr="00130553" w14:paraId="5AAC2BEE" w14:textId="77777777" w:rsidTr="00B12867">
        <w:tc>
          <w:tcPr>
            <w:tcW w:w="2122" w:type="dxa"/>
          </w:tcPr>
          <w:p w14:paraId="0ACB4022" w14:textId="77777777" w:rsidR="003A7966" w:rsidRPr="00E4448A" w:rsidRDefault="003A7966" w:rsidP="00B12867">
            <w:pPr>
              <w:rPr>
                <w:rFonts w:ascii="Calibri" w:hAnsi="Calibri" w:cs="Calibri"/>
                <w:sz w:val="20"/>
                <w:szCs w:val="20"/>
              </w:rPr>
            </w:pPr>
            <w:r w:rsidRPr="00E4448A">
              <w:rPr>
                <w:rFonts w:ascii="Calibri" w:hAnsi="Calibri" w:cs="Calibri"/>
                <w:sz w:val="20"/>
                <w:szCs w:val="20"/>
              </w:rPr>
              <w:t>OBINUTUZUMAB</w:t>
            </w:r>
          </w:p>
        </w:tc>
        <w:tc>
          <w:tcPr>
            <w:tcW w:w="6894" w:type="dxa"/>
          </w:tcPr>
          <w:p w14:paraId="3267FEF1" w14:textId="77777777" w:rsidR="003A7966" w:rsidRPr="00E4448A" w:rsidRDefault="003A7966" w:rsidP="00B12867">
            <w:pPr>
              <w:rPr>
                <w:rFonts w:ascii="Calibri" w:hAnsi="Calibri" w:cs="Calibri"/>
                <w:sz w:val="20"/>
                <w:szCs w:val="20"/>
              </w:rPr>
            </w:pPr>
            <w:r w:rsidRPr="00E4448A">
              <w:rPr>
                <w:rFonts w:ascii="Calibri" w:hAnsi="Calibri" w:cs="Calibri"/>
                <w:sz w:val="20"/>
                <w:szCs w:val="20"/>
              </w:rPr>
              <w:t>Boxed warning in Product Information - Progressive Multifocal Leukoencephalopathy.</w:t>
            </w:r>
          </w:p>
        </w:tc>
      </w:tr>
      <w:tr w:rsidR="003A7966" w:rsidRPr="00130553" w14:paraId="74778F4E" w14:textId="77777777" w:rsidTr="00B12867">
        <w:tc>
          <w:tcPr>
            <w:tcW w:w="2122" w:type="dxa"/>
          </w:tcPr>
          <w:p w14:paraId="1A1E3523" w14:textId="77777777" w:rsidR="003A7966" w:rsidRPr="00E4448A" w:rsidRDefault="003A7966" w:rsidP="00B12867">
            <w:pPr>
              <w:rPr>
                <w:rFonts w:ascii="Calibri" w:hAnsi="Calibri" w:cs="Calibri"/>
                <w:sz w:val="20"/>
                <w:szCs w:val="20"/>
              </w:rPr>
            </w:pPr>
            <w:r w:rsidRPr="00E4448A">
              <w:rPr>
                <w:rFonts w:ascii="Calibri" w:hAnsi="Calibri" w:cs="Calibri"/>
                <w:sz w:val="20"/>
                <w:szCs w:val="20"/>
              </w:rPr>
              <w:t>ZANUBRUTINIB</w:t>
            </w:r>
          </w:p>
        </w:tc>
        <w:tc>
          <w:tcPr>
            <w:tcW w:w="6894" w:type="dxa"/>
          </w:tcPr>
          <w:p w14:paraId="13E933DE" w14:textId="77777777" w:rsidR="003A7966" w:rsidRPr="00E4448A" w:rsidRDefault="003A7966" w:rsidP="00B12867">
            <w:pPr>
              <w:rPr>
                <w:rFonts w:ascii="Calibri" w:hAnsi="Calibri" w:cs="Calibri"/>
                <w:sz w:val="20"/>
                <w:szCs w:val="20"/>
              </w:rPr>
            </w:pPr>
            <w:r w:rsidRPr="00E4448A">
              <w:rPr>
                <w:rFonts w:ascii="Calibri" w:hAnsi="Calibri" w:cs="Calibri"/>
                <w:sz w:val="20"/>
                <w:szCs w:val="20"/>
              </w:rPr>
              <w:t>Black triangle - This medicinal product is subject to additional monitoring in Australia.</w:t>
            </w:r>
          </w:p>
        </w:tc>
      </w:tr>
      <w:tr w:rsidR="003A7966" w:rsidRPr="00130553" w14:paraId="079D22C5" w14:textId="77777777" w:rsidTr="00B12867">
        <w:tc>
          <w:tcPr>
            <w:tcW w:w="2122" w:type="dxa"/>
          </w:tcPr>
          <w:p w14:paraId="29C1A45D" w14:textId="77777777" w:rsidR="003A7966" w:rsidRPr="00E4448A" w:rsidRDefault="003A7966" w:rsidP="00B12867">
            <w:pPr>
              <w:rPr>
                <w:rFonts w:ascii="Calibri" w:hAnsi="Calibri" w:cs="Calibri"/>
                <w:sz w:val="20"/>
                <w:szCs w:val="20"/>
              </w:rPr>
            </w:pPr>
            <w:r w:rsidRPr="00E4448A">
              <w:rPr>
                <w:rFonts w:ascii="Calibri" w:hAnsi="Calibri" w:cs="Calibri"/>
                <w:sz w:val="20"/>
                <w:szCs w:val="20"/>
              </w:rPr>
              <w:t>RITUXIMAB</w:t>
            </w:r>
          </w:p>
        </w:tc>
        <w:tc>
          <w:tcPr>
            <w:tcW w:w="6894" w:type="dxa"/>
          </w:tcPr>
          <w:p w14:paraId="04CB5589" w14:textId="77777777" w:rsidR="003A7966" w:rsidRPr="00E4448A" w:rsidRDefault="003A7966" w:rsidP="00B12867">
            <w:pPr>
              <w:rPr>
                <w:rFonts w:ascii="Calibri" w:hAnsi="Calibri" w:cs="Calibri"/>
                <w:sz w:val="20"/>
                <w:szCs w:val="20"/>
              </w:rPr>
            </w:pPr>
            <w:r w:rsidRPr="00E4448A">
              <w:rPr>
                <w:rFonts w:ascii="Calibri" w:hAnsi="Calibri" w:cs="Calibri"/>
                <w:sz w:val="20"/>
                <w:szCs w:val="20"/>
              </w:rPr>
              <w:t>Boxed warning in Product Information - Progressive Multifocal Leukoencephalopathy.</w:t>
            </w:r>
          </w:p>
        </w:tc>
      </w:tr>
    </w:tbl>
    <w:p w14:paraId="74F83A65" w14:textId="77777777" w:rsidR="003A7966" w:rsidRDefault="003A7966" w:rsidP="00A35800"/>
    <w:p w14:paraId="15E919C1" w14:textId="1B3BA560" w:rsidR="006B709B" w:rsidRDefault="006B709B" w:rsidP="00CF5E22">
      <w:pPr>
        <w:pStyle w:val="Heading2"/>
      </w:pPr>
      <w:r>
        <w:t>Dosage and administration</w:t>
      </w:r>
    </w:p>
    <w:p w14:paraId="08E92BE6" w14:textId="7226AB31" w:rsidR="00706686" w:rsidRPr="00706686" w:rsidRDefault="00706686" w:rsidP="00706686">
      <w:pPr>
        <w:rPr>
          <w:b/>
          <w:bCs/>
        </w:rPr>
      </w:pPr>
      <w:r w:rsidRPr="00706686">
        <w:rPr>
          <w:b/>
          <w:bCs/>
        </w:rPr>
        <w:t>Table 5: Dosage and form of administration</w:t>
      </w:r>
      <w:r>
        <w:rPr>
          <w:b/>
          <w:bCs/>
        </w:rPr>
        <w:t xml:space="preserve"> for CLL/SLL drugs</w:t>
      </w:r>
    </w:p>
    <w:tbl>
      <w:tblPr>
        <w:tblStyle w:val="TableGrid"/>
        <w:tblW w:w="0" w:type="auto"/>
        <w:tblLook w:val="04A0" w:firstRow="1" w:lastRow="0" w:firstColumn="1" w:lastColumn="0" w:noHBand="0" w:noVBand="1"/>
      </w:tblPr>
      <w:tblGrid>
        <w:gridCol w:w="2255"/>
        <w:gridCol w:w="6692"/>
      </w:tblGrid>
      <w:tr w:rsidR="00E01874" w:rsidRPr="00130553" w14:paraId="065260A0" w14:textId="77777777" w:rsidTr="00706686">
        <w:tc>
          <w:tcPr>
            <w:tcW w:w="2263" w:type="dxa"/>
            <w:shd w:val="clear" w:color="auto" w:fill="BFBFBF" w:themeFill="background1" w:themeFillShade="BF"/>
          </w:tcPr>
          <w:p w14:paraId="2A2ED55D" w14:textId="77777777" w:rsidR="00E01874" w:rsidRPr="00706686" w:rsidRDefault="00E01874" w:rsidP="00B12867">
            <w:pPr>
              <w:rPr>
                <w:rFonts w:ascii="Calibri" w:hAnsi="Calibri" w:cs="Calibri"/>
                <w:b/>
                <w:bCs/>
                <w:sz w:val="20"/>
                <w:szCs w:val="20"/>
              </w:rPr>
            </w:pPr>
            <w:r w:rsidRPr="00706686">
              <w:rPr>
                <w:rFonts w:ascii="Calibri" w:hAnsi="Calibri" w:cs="Calibri"/>
                <w:b/>
                <w:bCs/>
                <w:sz w:val="20"/>
                <w:szCs w:val="20"/>
              </w:rPr>
              <w:t>Drug</w:t>
            </w:r>
          </w:p>
        </w:tc>
        <w:tc>
          <w:tcPr>
            <w:tcW w:w="6753" w:type="dxa"/>
            <w:shd w:val="clear" w:color="auto" w:fill="BFBFBF" w:themeFill="background1" w:themeFillShade="BF"/>
          </w:tcPr>
          <w:p w14:paraId="61BC0D2D" w14:textId="77777777" w:rsidR="00E01874" w:rsidRPr="00706686" w:rsidRDefault="00E01874" w:rsidP="00B12867">
            <w:pPr>
              <w:rPr>
                <w:rFonts w:ascii="Calibri" w:hAnsi="Calibri" w:cs="Calibri"/>
                <w:b/>
                <w:bCs/>
                <w:sz w:val="20"/>
                <w:szCs w:val="20"/>
              </w:rPr>
            </w:pPr>
            <w:r w:rsidRPr="00706686">
              <w:rPr>
                <w:rFonts w:ascii="Calibri" w:hAnsi="Calibri" w:cs="Calibri"/>
                <w:b/>
                <w:bCs/>
                <w:sz w:val="20"/>
                <w:szCs w:val="20"/>
              </w:rPr>
              <w:t>Dosage and frequency of administration</w:t>
            </w:r>
          </w:p>
        </w:tc>
      </w:tr>
      <w:tr w:rsidR="00E01874" w:rsidRPr="00130553" w14:paraId="172EDB4F" w14:textId="77777777" w:rsidTr="00B12867">
        <w:tc>
          <w:tcPr>
            <w:tcW w:w="2263" w:type="dxa"/>
          </w:tcPr>
          <w:p w14:paraId="21519578" w14:textId="77777777" w:rsidR="00E01874" w:rsidRPr="009A3541" w:rsidRDefault="00E01874" w:rsidP="00B12867">
            <w:pPr>
              <w:rPr>
                <w:rFonts w:ascii="Calibri" w:hAnsi="Calibri" w:cs="Calibri"/>
                <w:sz w:val="20"/>
                <w:szCs w:val="20"/>
              </w:rPr>
            </w:pPr>
            <w:r w:rsidRPr="009A3541">
              <w:rPr>
                <w:rFonts w:ascii="Calibri" w:hAnsi="Calibri" w:cs="Calibri"/>
                <w:sz w:val="20"/>
                <w:szCs w:val="20"/>
              </w:rPr>
              <w:t>ACALABRUTINIB</w:t>
            </w:r>
          </w:p>
        </w:tc>
        <w:tc>
          <w:tcPr>
            <w:tcW w:w="6753" w:type="dxa"/>
          </w:tcPr>
          <w:p w14:paraId="51DFF10A" w14:textId="77777777" w:rsidR="00E01874" w:rsidRPr="009A3541" w:rsidRDefault="00E01874" w:rsidP="00B12867">
            <w:pPr>
              <w:rPr>
                <w:rFonts w:ascii="Calibri" w:hAnsi="Calibri" w:cs="Calibri"/>
                <w:sz w:val="20"/>
                <w:szCs w:val="20"/>
              </w:rPr>
            </w:pPr>
            <w:r w:rsidRPr="009A3541">
              <w:rPr>
                <w:rFonts w:ascii="Calibri" w:hAnsi="Calibri" w:cs="Calibri"/>
                <w:sz w:val="20"/>
                <w:szCs w:val="20"/>
              </w:rPr>
              <w:t>The recommended dose is 100 mg (1 capsule) twice daily, either as monotherapy or in combination with obinutuzumab.</w:t>
            </w:r>
          </w:p>
        </w:tc>
      </w:tr>
      <w:tr w:rsidR="00E01874" w:rsidRPr="00130553" w14:paraId="247695C1" w14:textId="77777777" w:rsidTr="00B12867">
        <w:tc>
          <w:tcPr>
            <w:tcW w:w="2263" w:type="dxa"/>
          </w:tcPr>
          <w:p w14:paraId="7BA034E5" w14:textId="77777777" w:rsidR="00E01874" w:rsidRPr="009A3541" w:rsidRDefault="00E01874" w:rsidP="00B12867">
            <w:pPr>
              <w:rPr>
                <w:rFonts w:ascii="Calibri" w:hAnsi="Calibri" w:cs="Calibri"/>
                <w:sz w:val="20"/>
                <w:szCs w:val="20"/>
              </w:rPr>
            </w:pPr>
            <w:r w:rsidRPr="009A3541">
              <w:rPr>
                <w:rFonts w:ascii="Calibri" w:hAnsi="Calibri" w:cs="Calibri"/>
                <w:sz w:val="20"/>
                <w:szCs w:val="20"/>
              </w:rPr>
              <w:t>IBRUTINIB</w:t>
            </w:r>
          </w:p>
        </w:tc>
        <w:tc>
          <w:tcPr>
            <w:tcW w:w="6753" w:type="dxa"/>
          </w:tcPr>
          <w:p w14:paraId="4C1A352B" w14:textId="77777777" w:rsidR="00E01874" w:rsidRPr="009A3541" w:rsidRDefault="00E01874" w:rsidP="00B12867">
            <w:pPr>
              <w:rPr>
                <w:rFonts w:ascii="Calibri" w:hAnsi="Calibri" w:cs="Calibri"/>
                <w:sz w:val="20"/>
                <w:szCs w:val="20"/>
              </w:rPr>
            </w:pPr>
            <w:r w:rsidRPr="009A3541">
              <w:rPr>
                <w:rFonts w:ascii="Calibri" w:hAnsi="Calibri" w:cs="Calibri"/>
                <w:sz w:val="20"/>
                <w:szCs w:val="20"/>
              </w:rPr>
              <w:t>The recommended dose is 420 mg once daily. In combination with venetoclax, ibrutinib should be administered as a single agent for an initial 3 cycles (1 cycle is 28 days), followed by 12 cycles of ibrutinib plus venetoclax.</w:t>
            </w:r>
          </w:p>
        </w:tc>
      </w:tr>
      <w:tr w:rsidR="00E01874" w:rsidRPr="00130553" w14:paraId="10730320" w14:textId="77777777" w:rsidTr="00B12867">
        <w:tc>
          <w:tcPr>
            <w:tcW w:w="2263" w:type="dxa"/>
          </w:tcPr>
          <w:p w14:paraId="745BCC80" w14:textId="77777777" w:rsidR="00E01874" w:rsidRPr="009A3541" w:rsidRDefault="00E01874" w:rsidP="00B12867">
            <w:pPr>
              <w:rPr>
                <w:rFonts w:ascii="Calibri" w:hAnsi="Calibri" w:cs="Calibri"/>
                <w:sz w:val="20"/>
                <w:szCs w:val="20"/>
              </w:rPr>
            </w:pPr>
            <w:r w:rsidRPr="009A3541">
              <w:rPr>
                <w:rFonts w:ascii="Calibri" w:hAnsi="Calibri" w:cs="Calibri"/>
                <w:sz w:val="20"/>
                <w:szCs w:val="20"/>
              </w:rPr>
              <w:t>IDELALISIB</w:t>
            </w:r>
          </w:p>
        </w:tc>
        <w:tc>
          <w:tcPr>
            <w:tcW w:w="6753" w:type="dxa"/>
          </w:tcPr>
          <w:p w14:paraId="00C13DF8" w14:textId="77777777" w:rsidR="00E01874" w:rsidRPr="009A3541" w:rsidRDefault="00E01874" w:rsidP="00B12867">
            <w:pPr>
              <w:rPr>
                <w:rFonts w:ascii="Calibri" w:hAnsi="Calibri" w:cs="Calibri"/>
                <w:sz w:val="20"/>
                <w:szCs w:val="20"/>
              </w:rPr>
            </w:pPr>
            <w:r w:rsidRPr="009A3541">
              <w:rPr>
                <w:rFonts w:ascii="Calibri" w:hAnsi="Calibri" w:cs="Calibri"/>
                <w:sz w:val="20"/>
                <w:szCs w:val="20"/>
              </w:rPr>
              <w:t>The recommended dose of idelalisib for adults is 150 mg, taken orally, twice daily.</w:t>
            </w:r>
          </w:p>
        </w:tc>
      </w:tr>
      <w:tr w:rsidR="00E01874" w:rsidRPr="00130553" w14:paraId="31E73F46" w14:textId="77777777" w:rsidTr="00B12867">
        <w:tc>
          <w:tcPr>
            <w:tcW w:w="2263" w:type="dxa"/>
          </w:tcPr>
          <w:p w14:paraId="274BA6AA" w14:textId="77777777" w:rsidR="00E01874" w:rsidRPr="009A3541" w:rsidRDefault="00E01874" w:rsidP="00B12867">
            <w:pPr>
              <w:rPr>
                <w:rFonts w:ascii="Calibri" w:hAnsi="Calibri" w:cs="Calibri"/>
                <w:sz w:val="20"/>
                <w:szCs w:val="20"/>
              </w:rPr>
            </w:pPr>
            <w:r w:rsidRPr="009A3541">
              <w:rPr>
                <w:rFonts w:ascii="Calibri" w:hAnsi="Calibri" w:cs="Calibri"/>
                <w:sz w:val="20"/>
                <w:szCs w:val="20"/>
              </w:rPr>
              <w:t>OBINUTUZUMAB</w:t>
            </w:r>
          </w:p>
        </w:tc>
        <w:tc>
          <w:tcPr>
            <w:tcW w:w="6753" w:type="dxa"/>
          </w:tcPr>
          <w:p w14:paraId="27566CB9" w14:textId="77777777" w:rsidR="00E01874" w:rsidRPr="009A3541" w:rsidRDefault="00A177E3" w:rsidP="00A177E3">
            <w:pPr>
              <w:rPr>
                <w:rFonts w:ascii="Calibri" w:hAnsi="Calibri" w:cs="Calibri"/>
                <w:sz w:val="20"/>
                <w:szCs w:val="20"/>
              </w:rPr>
            </w:pPr>
            <w:r w:rsidRPr="009A3541">
              <w:rPr>
                <w:rFonts w:ascii="Calibri" w:hAnsi="Calibri" w:cs="Calibri"/>
                <w:sz w:val="20"/>
                <w:szCs w:val="20"/>
              </w:rPr>
              <w:t>Cycle 1 - The recommended dosage of Gazyva is 1000 mg administered over Day 1 and 2, and on Day 8 and Day 15 of the first 28 day treatment cycle.</w:t>
            </w:r>
          </w:p>
          <w:p w14:paraId="1C45840A" w14:textId="649FE1B7" w:rsidR="00A177E3" w:rsidRPr="009A3541" w:rsidRDefault="00A177E3" w:rsidP="00A177E3">
            <w:pPr>
              <w:rPr>
                <w:rFonts w:ascii="Calibri" w:hAnsi="Calibri" w:cs="Calibri"/>
                <w:sz w:val="20"/>
                <w:szCs w:val="20"/>
              </w:rPr>
            </w:pPr>
            <w:r w:rsidRPr="009A3541">
              <w:rPr>
                <w:rFonts w:ascii="Calibri" w:hAnsi="Calibri" w:cs="Calibri"/>
                <w:sz w:val="20"/>
                <w:szCs w:val="20"/>
              </w:rPr>
              <w:t>Cycles 2-6 - The recommended dosage of Gazyva is 1000 mg administered on Day 1 for each 28 day treatment cycle</w:t>
            </w:r>
          </w:p>
        </w:tc>
      </w:tr>
      <w:tr w:rsidR="00E01874" w:rsidRPr="00130553" w14:paraId="59F5E88A" w14:textId="77777777" w:rsidTr="00B12867">
        <w:tc>
          <w:tcPr>
            <w:tcW w:w="2263" w:type="dxa"/>
          </w:tcPr>
          <w:p w14:paraId="0F733524" w14:textId="77777777" w:rsidR="00E01874" w:rsidRPr="009A3541" w:rsidRDefault="00E01874" w:rsidP="00B12867">
            <w:pPr>
              <w:rPr>
                <w:rFonts w:ascii="Calibri" w:hAnsi="Calibri" w:cs="Calibri"/>
                <w:sz w:val="20"/>
                <w:szCs w:val="20"/>
              </w:rPr>
            </w:pPr>
            <w:r w:rsidRPr="009A3541">
              <w:rPr>
                <w:rFonts w:ascii="Calibri" w:hAnsi="Calibri" w:cs="Calibri"/>
                <w:sz w:val="20"/>
                <w:szCs w:val="20"/>
              </w:rPr>
              <w:t>VENETOCLAX</w:t>
            </w:r>
          </w:p>
        </w:tc>
        <w:tc>
          <w:tcPr>
            <w:tcW w:w="6753" w:type="dxa"/>
          </w:tcPr>
          <w:p w14:paraId="51CA5399" w14:textId="3B474DB9" w:rsidR="00E01874" w:rsidRPr="009A3541" w:rsidRDefault="00E01874" w:rsidP="00B12867">
            <w:pPr>
              <w:rPr>
                <w:rFonts w:ascii="Calibri" w:hAnsi="Calibri" w:cs="Calibri"/>
                <w:sz w:val="20"/>
                <w:szCs w:val="20"/>
              </w:rPr>
            </w:pPr>
            <w:r w:rsidRPr="009A3541">
              <w:rPr>
                <w:rFonts w:ascii="Calibri" w:hAnsi="Calibri" w:cs="Calibri"/>
                <w:sz w:val="20"/>
                <w:szCs w:val="20"/>
              </w:rPr>
              <w:t>See b</w:t>
            </w:r>
            <w:r w:rsidR="00DE16B4" w:rsidRPr="009A3541">
              <w:rPr>
                <w:rFonts w:ascii="Calibri" w:hAnsi="Calibri" w:cs="Calibri"/>
                <w:sz w:val="20"/>
                <w:szCs w:val="20"/>
              </w:rPr>
              <w:t>elow.</w:t>
            </w:r>
          </w:p>
        </w:tc>
      </w:tr>
      <w:tr w:rsidR="00E01874" w:rsidRPr="00130553" w14:paraId="417FE0BD" w14:textId="77777777" w:rsidTr="00B12867">
        <w:tc>
          <w:tcPr>
            <w:tcW w:w="2263" w:type="dxa"/>
          </w:tcPr>
          <w:p w14:paraId="49E6D118" w14:textId="77777777" w:rsidR="00E01874" w:rsidRPr="009A3541" w:rsidRDefault="00E01874" w:rsidP="00B12867">
            <w:pPr>
              <w:rPr>
                <w:rFonts w:ascii="Calibri" w:hAnsi="Calibri" w:cs="Calibri"/>
                <w:sz w:val="20"/>
                <w:szCs w:val="20"/>
              </w:rPr>
            </w:pPr>
            <w:r w:rsidRPr="009A3541">
              <w:rPr>
                <w:rFonts w:ascii="Calibri" w:hAnsi="Calibri" w:cs="Calibri"/>
                <w:sz w:val="20"/>
                <w:szCs w:val="20"/>
              </w:rPr>
              <w:t>ZANUBRUTINIB</w:t>
            </w:r>
          </w:p>
        </w:tc>
        <w:tc>
          <w:tcPr>
            <w:tcW w:w="6753" w:type="dxa"/>
          </w:tcPr>
          <w:p w14:paraId="36F07331" w14:textId="77777777" w:rsidR="00E01874" w:rsidRPr="009A3541" w:rsidRDefault="00E01874" w:rsidP="00B12867">
            <w:pPr>
              <w:rPr>
                <w:rFonts w:ascii="Calibri" w:hAnsi="Calibri" w:cs="Calibri"/>
                <w:sz w:val="20"/>
                <w:szCs w:val="20"/>
              </w:rPr>
            </w:pPr>
            <w:r w:rsidRPr="009A3541">
              <w:rPr>
                <w:rFonts w:ascii="Calibri" w:hAnsi="Calibri" w:cs="Calibri"/>
                <w:sz w:val="20"/>
                <w:szCs w:val="20"/>
              </w:rPr>
              <w:t>The recommended total daily oral dose of zanubrutinib is 320 mg. Zanubrutinib may be taken as either 320 mg (four 80 mg capsules) once daily, or as 160 mg (two 80 mg capsules) twice daily.</w:t>
            </w:r>
          </w:p>
        </w:tc>
      </w:tr>
    </w:tbl>
    <w:p w14:paraId="08559CD9" w14:textId="2DA0A34D" w:rsidR="00A35800" w:rsidRPr="00A526B6" w:rsidRDefault="003370D0" w:rsidP="00A35800">
      <w:pPr>
        <w:pStyle w:val="Notes"/>
      </w:pPr>
      <w:r w:rsidRPr="00A526B6">
        <w:t>Source:</w:t>
      </w:r>
      <w:r w:rsidR="00A526B6" w:rsidRPr="00A526B6">
        <w:t xml:space="preserve"> Product Information </w:t>
      </w:r>
      <w:hyperlink r:id="rId15" w:history="1">
        <w:r w:rsidR="00A526B6" w:rsidRPr="00A526B6">
          <w:rPr>
            <w:rStyle w:val="Hyperlink"/>
          </w:rPr>
          <w:t>Product Information (PI) | Therapeutic Goods Administration (TGA)</w:t>
        </w:r>
      </w:hyperlink>
    </w:p>
    <w:p w14:paraId="0F901A43" w14:textId="3B2FA937" w:rsidR="00576C9E" w:rsidRPr="00975BFC" w:rsidRDefault="00576C9E" w:rsidP="00A35800">
      <w:pPr>
        <w:pStyle w:val="Notes"/>
        <w:rPr>
          <w:b/>
          <w:bCs/>
          <w:i/>
          <w:iCs/>
          <w:sz w:val="24"/>
          <w:szCs w:val="24"/>
        </w:rPr>
      </w:pPr>
      <w:r w:rsidRPr="00975BFC">
        <w:rPr>
          <w:b/>
          <w:bCs/>
          <w:i/>
          <w:iCs/>
          <w:sz w:val="24"/>
          <w:szCs w:val="24"/>
        </w:rPr>
        <w:t>Venetoclax</w:t>
      </w:r>
    </w:p>
    <w:p w14:paraId="7EB67C36" w14:textId="77777777" w:rsidR="00D52A9A" w:rsidRPr="00975BFC" w:rsidRDefault="009328EC" w:rsidP="00216240">
      <w:pPr>
        <w:pStyle w:val="Notes"/>
        <w:rPr>
          <w:sz w:val="24"/>
          <w:szCs w:val="24"/>
          <w:u w:val="single"/>
        </w:rPr>
      </w:pPr>
      <w:r w:rsidRPr="00975BFC">
        <w:rPr>
          <w:sz w:val="24"/>
          <w:szCs w:val="24"/>
          <w:u w:val="single"/>
        </w:rPr>
        <w:t xml:space="preserve">First line </w:t>
      </w:r>
      <w:r w:rsidR="00382114" w:rsidRPr="00975BFC">
        <w:rPr>
          <w:sz w:val="24"/>
          <w:szCs w:val="24"/>
          <w:u w:val="single"/>
        </w:rPr>
        <w:t>CLL</w:t>
      </w:r>
      <w:r w:rsidR="00706686" w:rsidRPr="00975BFC">
        <w:rPr>
          <w:sz w:val="24"/>
          <w:szCs w:val="24"/>
          <w:u w:val="single"/>
        </w:rPr>
        <w:t>/</w:t>
      </w:r>
      <w:r w:rsidR="00382114" w:rsidRPr="00975BFC">
        <w:rPr>
          <w:sz w:val="24"/>
          <w:szCs w:val="24"/>
          <w:u w:val="single"/>
        </w:rPr>
        <w:t>SLL</w:t>
      </w:r>
    </w:p>
    <w:p w14:paraId="5B801557" w14:textId="22F5917A" w:rsidR="00216240" w:rsidRPr="00216240" w:rsidRDefault="00D52A9A" w:rsidP="00216240">
      <w:pPr>
        <w:pStyle w:val="Notes"/>
        <w:rPr>
          <w:sz w:val="24"/>
          <w:szCs w:val="24"/>
        </w:rPr>
      </w:pPr>
      <w:r>
        <w:rPr>
          <w:sz w:val="24"/>
          <w:szCs w:val="24"/>
        </w:rPr>
        <w:t xml:space="preserve">Involves a </w:t>
      </w:r>
      <w:r w:rsidR="00216240" w:rsidRPr="00216240">
        <w:rPr>
          <w:sz w:val="24"/>
          <w:szCs w:val="24"/>
        </w:rPr>
        <w:t>5-week ramp-up schedule</w:t>
      </w:r>
      <w:r>
        <w:rPr>
          <w:sz w:val="24"/>
          <w:szCs w:val="24"/>
        </w:rPr>
        <w:t>.</w:t>
      </w:r>
      <w:r w:rsidR="00216240" w:rsidRPr="00216240">
        <w:rPr>
          <w:sz w:val="24"/>
          <w:szCs w:val="24"/>
        </w:rPr>
        <w:t xml:space="preserve"> </w:t>
      </w:r>
    </w:p>
    <w:p w14:paraId="1E31BB4C" w14:textId="2C569C14" w:rsidR="00216240" w:rsidRDefault="00216240" w:rsidP="00216240">
      <w:pPr>
        <w:pStyle w:val="Notes"/>
        <w:rPr>
          <w:sz w:val="24"/>
          <w:szCs w:val="24"/>
        </w:rPr>
      </w:pPr>
      <w:r w:rsidRPr="00216240">
        <w:rPr>
          <w:sz w:val="24"/>
          <w:szCs w:val="24"/>
        </w:rPr>
        <w:t xml:space="preserve">The starting dose of </w:t>
      </w:r>
      <w:r w:rsidR="00772810">
        <w:rPr>
          <w:sz w:val="24"/>
          <w:szCs w:val="24"/>
        </w:rPr>
        <w:t>ve</w:t>
      </w:r>
      <w:r w:rsidR="00B41ED4">
        <w:rPr>
          <w:sz w:val="24"/>
          <w:szCs w:val="24"/>
        </w:rPr>
        <w:t>netoclax</w:t>
      </w:r>
      <w:r w:rsidRPr="00216240">
        <w:rPr>
          <w:sz w:val="24"/>
          <w:szCs w:val="24"/>
        </w:rPr>
        <w:t xml:space="preserve"> is 20 mg once daily for 7 days. The </w:t>
      </w:r>
      <w:r w:rsidR="00B41ED4">
        <w:rPr>
          <w:sz w:val="24"/>
          <w:szCs w:val="24"/>
        </w:rPr>
        <w:t>venetoclax</w:t>
      </w:r>
      <w:r w:rsidRPr="00216240">
        <w:rPr>
          <w:sz w:val="24"/>
          <w:szCs w:val="24"/>
        </w:rPr>
        <w:t xml:space="preserve"> dose must be administered according to a weekly ramp-up schedule to the daily dose of 400 mg over a period of 5 weeks</w:t>
      </w:r>
      <w:r w:rsidR="00B41ED4">
        <w:rPr>
          <w:sz w:val="24"/>
          <w:szCs w:val="24"/>
        </w:rPr>
        <w:t>.</w:t>
      </w:r>
    </w:p>
    <w:p w14:paraId="69AF9FA2" w14:textId="2F0E6F16" w:rsidR="00094192" w:rsidRPr="00975BFC" w:rsidRDefault="00094192" w:rsidP="00094192">
      <w:pPr>
        <w:pStyle w:val="Notes"/>
        <w:rPr>
          <w:b/>
          <w:bCs/>
          <w:i/>
          <w:iCs/>
          <w:sz w:val="24"/>
          <w:szCs w:val="24"/>
        </w:rPr>
      </w:pPr>
      <w:r w:rsidRPr="00975BFC">
        <w:rPr>
          <w:b/>
          <w:bCs/>
          <w:i/>
          <w:iCs/>
          <w:sz w:val="24"/>
          <w:szCs w:val="24"/>
        </w:rPr>
        <w:t>V</w:t>
      </w:r>
      <w:r w:rsidR="00AE1927" w:rsidRPr="00975BFC">
        <w:rPr>
          <w:b/>
          <w:bCs/>
          <w:i/>
          <w:iCs/>
          <w:sz w:val="24"/>
          <w:szCs w:val="24"/>
        </w:rPr>
        <w:t>enetoclax</w:t>
      </w:r>
      <w:r w:rsidRPr="00975BFC">
        <w:rPr>
          <w:b/>
          <w:bCs/>
          <w:i/>
          <w:iCs/>
          <w:sz w:val="24"/>
          <w:szCs w:val="24"/>
        </w:rPr>
        <w:t xml:space="preserve"> in combination with obinutuzumab </w:t>
      </w:r>
    </w:p>
    <w:p w14:paraId="2593C3E9" w14:textId="54BE7995" w:rsidR="002C2A25" w:rsidRDefault="00094192" w:rsidP="00094192">
      <w:pPr>
        <w:pStyle w:val="Notes"/>
        <w:rPr>
          <w:sz w:val="24"/>
          <w:szCs w:val="24"/>
        </w:rPr>
      </w:pPr>
      <w:r w:rsidRPr="00AE1927">
        <w:rPr>
          <w:sz w:val="24"/>
          <w:szCs w:val="24"/>
        </w:rPr>
        <w:t>V</w:t>
      </w:r>
      <w:r w:rsidR="00AE1927">
        <w:rPr>
          <w:sz w:val="24"/>
          <w:szCs w:val="24"/>
        </w:rPr>
        <w:t>enetoclax</w:t>
      </w:r>
      <w:r w:rsidRPr="00AE1927">
        <w:rPr>
          <w:sz w:val="24"/>
          <w:szCs w:val="24"/>
        </w:rPr>
        <w:t xml:space="preserve"> should be given for a total of 12 cycles (28 days in each cycle): 6 cycles in combination with obinutuzumab, followed by 6 cycles of </w:t>
      </w:r>
      <w:r w:rsidR="00AE1927">
        <w:rPr>
          <w:sz w:val="24"/>
          <w:szCs w:val="24"/>
        </w:rPr>
        <w:t>venetoclax</w:t>
      </w:r>
      <w:r w:rsidRPr="00AE1927">
        <w:rPr>
          <w:sz w:val="24"/>
          <w:szCs w:val="24"/>
        </w:rPr>
        <w:t xml:space="preserve"> as a single agent</w:t>
      </w:r>
      <w:r w:rsidR="007D6D28">
        <w:rPr>
          <w:sz w:val="24"/>
          <w:szCs w:val="24"/>
        </w:rPr>
        <w:t>.</w:t>
      </w:r>
    </w:p>
    <w:tbl>
      <w:tblPr>
        <w:tblStyle w:val="TableGrid"/>
        <w:tblW w:w="0" w:type="auto"/>
        <w:tblLook w:val="04A0" w:firstRow="1" w:lastRow="0" w:firstColumn="1" w:lastColumn="0" w:noHBand="0" w:noVBand="1"/>
      </w:tblPr>
      <w:tblGrid>
        <w:gridCol w:w="2982"/>
        <w:gridCol w:w="2982"/>
        <w:gridCol w:w="2983"/>
      </w:tblGrid>
      <w:tr w:rsidR="00C35024" w14:paraId="0C2B9E08" w14:textId="77777777" w:rsidTr="007D6D28">
        <w:tc>
          <w:tcPr>
            <w:tcW w:w="2982" w:type="dxa"/>
          </w:tcPr>
          <w:p w14:paraId="46B778E7" w14:textId="14D18103" w:rsidR="00C35024" w:rsidRPr="009A3541" w:rsidRDefault="00C35024" w:rsidP="00C35024">
            <w:pPr>
              <w:pStyle w:val="Notes"/>
            </w:pPr>
            <w:r w:rsidRPr="009A3541">
              <w:lastRenderedPageBreak/>
              <w:t>Cycle, Day</w:t>
            </w:r>
          </w:p>
        </w:tc>
        <w:tc>
          <w:tcPr>
            <w:tcW w:w="2982" w:type="dxa"/>
          </w:tcPr>
          <w:p w14:paraId="07A616BB" w14:textId="444F1F37" w:rsidR="00C35024" w:rsidRPr="009A3541" w:rsidRDefault="00C35024" w:rsidP="00C35024">
            <w:pPr>
              <w:pStyle w:val="Notes"/>
            </w:pPr>
            <w:r w:rsidRPr="009A3541">
              <w:t>Cycle, Day</w:t>
            </w:r>
          </w:p>
        </w:tc>
        <w:tc>
          <w:tcPr>
            <w:tcW w:w="2983" w:type="dxa"/>
          </w:tcPr>
          <w:p w14:paraId="09C2AB20" w14:textId="4F484439" w:rsidR="00C35024" w:rsidRPr="009A3541" w:rsidRDefault="009A3541" w:rsidP="00C35024">
            <w:pPr>
              <w:pStyle w:val="Notes"/>
            </w:pPr>
            <w:r w:rsidRPr="009A3541">
              <w:t>Venetoclax</w:t>
            </w:r>
          </w:p>
        </w:tc>
      </w:tr>
      <w:tr w:rsidR="006B03F1" w14:paraId="562C0EF1" w14:textId="77777777" w:rsidTr="007D6D28">
        <w:tc>
          <w:tcPr>
            <w:tcW w:w="2982" w:type="dxa"/>
          </w:tcPr>
          <w:p w14:paraId="005A3D40" w14:textId="50B10342" w:rsidR="006B03F1" w:rsidRPr="009A3541" w:rsidRDefault="006B03F1" w:rsidP="006B03F1">
            <w:pPr>
              <w:pStyle w:val="Notes"/>
            </w:pPr>
            <w:r>
              <w:t xml:space="preserve">Cycle 1, Day 1 </w:t>
            </w:r>
          </w:p>
        </w:tc>
        <w:tc>
          <w:tcPr>
            <w:tcW w:w="2982" w:type="dxa"/>
          </w:tcPr>
          <w:p w14:paraId="31D6E227" w14:textId="77777777" w:rsidR="006B03F1" w:rsidRDefault="006B03F1" w:rsidP="006B03F1">
            <w:pPr>
              <w:pStyle w:val="Default"/>
              <w:rPr>
                <w:sz w:val="20"/>
                <w:szCs w:val="20"/>
              </w:rPr>
            </w:pPr>
            <w:r>
              <w:rPr>
                <w:sz w:val="20"/>
                <w:szCs w:val="20"/>
              </w:rPr>
              <w:t xml:space="preserve">Day 1: 100 mg </w:t>
            </w:r>
          </w:p>
          <w:p w14:paraId="20EC7766" w14:textId="1BAED095" w:rsidR="006B03F1" w:rsidRPr="009A3541" w:rsidRDefault="006B03F1" w:rsidP="006B03F1">
            <w:pPr>
              <w:pStyle w:val="Notes"/>
            </w:pPr>
            <w:r>
              <w:t xml:space="preserve">Followed by 900 mg which may be administered on Day 1 or Day 2. </w:t>
            </w:r>
          </w:p>
        </w:tc>
        <w:tc>
          <w:tcPr>
            <w:tcW w:w="2983" w:type="dxa"/>
          </w:tcPr>
          <w:p w14:paraId="2AAD51E9" w14:textId="77777777" w:rsidR="006B03F1" w:rsidRPr="009A3541" w:rsidRDefault="006B03F1" w:rsidP="006B03F1">
            <w:pPr>
              <w:pStyle w:val="Notes"/>
            </w:pPr>
          </w:p>
        </w:tc>
      </w:tr>
      <w:tr w:rsidR="0091508A" w14:paraId="602DC3D3" w14:textId="77777777" w:rsidTr="007D6D28">
        <w:tc>
          <w:tcPr>
            <w:tcW w:w="2982" w:type="dxa"/>
          </w:tcPr>
          <w:p w14:paraId="73460F56" w14:textId="3CE90683" w:rsidR="0091508A" w:rsidRPr="009A3541" w:rsidRDefault="0091508A" w:rsidP="0091508A">
            <w:pPr>
              <w:pStyle w:val="Notes"/>
            </w:pPr>
            <w:r w:rsidRPr="004F12E7">
              <w:t>Cycle 1, Day 8</w:t>
            </w:r>
          </w:p>
        </w:tc>
        <w:tc>
          <w:tcPr>
            <w:tcW w:w="2982" w:type="dxa"/>
          </w:tcPr>
          <w:p w14:paraId="61C743A3" w14:textId="7D0DAB8E" w:rsidR="0091508A" w:rsidRPr="009A3541" w:rsidRDefault="00153BF6" w:rsidP="0091508A">
            <w:pPr>
              <w:pStyle w:val="Notes"/>
            </w:pPr>
            <w:r>
              <w:t>1000 mg</w:t>
            </w:r>
          </w:p>
        </w:tc>
        <w:tc>
          <w:tcPr>
            <w:tcW w:w="2983" w:type="dxa"/>
          </w:tcPr>
          <w:p w14:paraId="347AA58C" w14:textId="1445B99A" w:rsidR="0091508A" w:rsidRPr="009A3541" w:rsidRDefault="0091508A" w:rsidP="0091508A">
            <w:pPr>
              <w:pStyle w:val="Notes"/>
            </w:pPr>
          </w:p>
        </w:tc>
      </w:tr>
      <w:tr w:rsidR="00153BF6" w14:paraId="4268B29C" w14:textId="77777777" w:rsidTr="007D6D28">
        <w:tc>
          <w:tcPr>
            <w:tcW w:w="2982" w:type="dxa"/>
          </w:tcPr>
          <w:p w14:paraId="56BE58EE" w14:textId="0C534CE7" w:rsidR="00153BF6" w:rsidRPr="009A3541" w:rsidRDefault="00153BF6" w:rsidP="00153BF6">
            <w:pPr>
              <w:pStyle w:val="Notes"/>
            </w:pPr>
            <w:r>
              <w:t xml:space="preserve">Cycle 1, Day 15 </w:t>
            </w:r>
          </w:p>
        </w:tc>
        <w:tc>
          <w:tcPr>
            <w:tcW w:w="2982" w:type="dxa"/>
          </w:tcPr>
          <w:p w14:paraId="5F669626" w14:textId="72B9E8E5" w:rsidR="00153BF6" w:rsidRPr="009A3541" w:rsidRDefault="00153BF6" w:rsidP="00153BF6">
            <w:pPr>
              <w:pStyle w:val="Notes"/>
            </w:pPr>
            <w:r>
              <w:t xml:space="preserve">1000 mg </w:t>
            </w:r>
          </w:p>
        </w:tc>
        <w:tc>
          <w:tcPr>
            <w:tcW w:w="2983" w:type="dxa"/>
          </w:tcPr>
          <w:p w14:paraId="7D9B1B06" w14:textId="300016C0" w:rsidR="00153BF6" w:rsidRPr="009A3541" w:rsidRDefault="00153BF6" w:rsidP="00153BF6">
            <w:pPr>
              <w:pStyle w:val="Notes"/>
            </w:pPr>
          </w:p>
        </w:tc>
      </w:tr>
      <w:tr w:rsidR="00153BF6" w14:paraId="17645176" w14:textId="77777777" w:rsidTr="007D6D28">
        <w:tc>
          <w:tcPr>
            <w:tcW w:w="2982" w:type="dxa"/>
          </w:tcPr>
          <w:p w14:paraId="4598E735" w14:textId="337FFD4C" w:rsidR="00153BF6" w:rsidRPr="009A3541" w:rsidRDefault="00153BF6" w:rsidP="00153BF6">
            <w:pPr>
              <w:pStyle w:val="Notes"/>
            </w:pPr>
            <w:r>
              <w:t xml:space="preserve">Cycle 1, Day 22 – 28 </w:t>
            </w:r>
          </w:p>
        </w:tc>
        <w:tc>
          <w:tcPr>
            <w:tcW w:w="2982" w:type="dxa"/>
          </w:tcPr>
          <w:p w14:paraId="15EAC29C" w14:textId="332D3418" w:rsidR="00153BF6" w:rsidRPr="009A3541" w:rsidRDefault="00153BF6" w:rsidP="00153BF6">
            <w:pPr>
              <w:pStyle w:val="Notes"/>
            </w:pPr>
          </w:p>
        </w:tc>
        <w:tc>
          <w:tcPr>
            <w:tcW w:w="2983" w:type="dxa"/>
          </w:tcPr>
          <w:p w14:paraId="6A3892CA" w14:textId="6FC1E6E2" w:rsidR="00153BF6" w:rsidRPr="009A3541" w:rsidRDefault="002E39EB" w:rsidP="00153BF6">
            <w:pPr>
              <w:pStyle w:val="Notes"/>
            </w:pPr>
            <w:r w:rsidRPr="002E39EB">
              <w:t>20 mg daily</w:t>
            </w:r>
            <w:r w:rsidR="0031395A" w:rsidRPr="0031395A">
              <w:rPr>
                <w:vertAlign w:val="superscript"/>
              </w:rPr>
              <w:t>a</w:t>
            </w:r>
          </w:p>
        </w:tc>
      </w:tr>
      <w:tr w:rsidR="00916F5E" w14:paraId="08B96A21" w14:textId="77777777" w:rsidTr="007D6D28">
        <w:tc>
          <w:tcPr>
            <w:tcW w:w="2982" w:type="dxa"/>
          </w:tcPr>
          <w:p w14:paraId="7E95DBED" w14:textId="6A611CEB" w:rsidR="00916F5E" w:rsidRPr="009A3541" w:rsidRDefault="00916F5E" w:rsidP="00916F5E">
            <w:pPr>
              <w:pStyle w:val="Notes"/>
            </w:pPr>
            <w:r>
              <w:t xml:space="preserve">Cycle 2, Day 1 – 7 </w:t>
            </w:r>
          </w:p>
        </w:tc>
        <w:tc>
          <w:tcPr>
            <w:tcW w:w="2982" w:type="dxa"/>
          </w:tcPr>
          <w:p w14:paraId="56231EEA" w14:textId="2A9F61C7" w:rsidR="00916F5E" w:rsidRPr="009A3541" w:rsidRDefault="00916F5E" w:rsidP="00916F5E">
            <w:pPr>
              <w:pStyle w:val="Notes"/>
            </w:pPr>
            <w:r>
              <w:t xml:space="preserve">Day 1 only: 1000 mg </w:t>
            </w:r>
          </w:p>
        </w:tc>
        <w:tc>
          <w:tcPr>
            <w:tcW w:w="2983" w:type="dxa"/>
          </w:tcPr>
          <w:p w14:paraId="1C65CEC0" w14:textId="7CC34FAE" w:rsidR="00916F5E" w:rsidRPr="009A3541" w:rsidRDefault="00916F5E" w:rsidP="00916F5E">
            <w:pPr>
              <w:pStyle w:val="Notes"/>
            </w:pPr>
            <w:r>
              <w:t>50 mg daily</w:t>
            </w:r>
            <w:r w:rsidR="0031395A" w:rsidRPr="0031395A">
              <w:rPr>
                <w:vertAlign w:val="superscript"/>
              </w:rPr>
              <w:t>a</w:t>
            </w:r>
          </w:p>
        </w:tc>
      </w:tr>
      <w:tr w:rsidR="00916F5E" w14:paraId="19D15BF9" w14:textId="77777777" w:rsidTr="007D6D28">
        <w:tc>
          <w:tcPr>
            <w:tcW w:w="2982" w:type="dxa"/>
          </w:tcPr>
          <w:p w14:paraId="72ED7082" w14:textId="5CA467AA" w:rsidR="00916F5E" w:rsidRDefault="00EA1092" w:rsidP="00EA1092">
            <w:pPr>
              <w:pStyle w:val="Default"/>
            </w:pPr>
            <w:r>
              <w:rPr>
                <w:sz w:val="20"/>
                <w:szCs w:val="20"/>
              </w:rPr>
              <w:t xml:space="preserve">Cycle 2, Day 8 – 14 </w:t>
            </w:r>
          </w:p>
        </w:tc>
        <w:tc>
          <w:tcPr>
            <w:tcW w:w="2982" w:type="dxa"/>
          </w:tcPr>
          <w:p w14:paraId="1A022F8D" w14:textId="77777777" w:rsidR="00916F5E" w:rsidRDefault="00916F5E" w:rsidP="00916F5E">
            <w:pPr>
              <w:pStyle w:val="Notes"/>
            </w:pPr>
          </w:p>
        </w:tc>
        <w:tc>
          <w:tcPr>
            <w:tcW w:w="2983" w:type="dxa"/>
          </w:tcPr>
          <w:p w14:paraId="60E705AB" w14:textId="6BD4AF7C" w:rsidR="00916F5E" w:rsidRDefault="00EA1092" w:rsidP="00916F5E">
            <w:pPr>
              <w:pStyle w:val="Notes"/>
            </w:pPr>
            <w:r w:rsidRPr="00EA1092">
              <w:t>100 mg daily</w:t>
            </w:r>
            <w:r w:rsidR="0031395A" w:rsidRPr="00FC4B72">
              <w:rPr>
                <w:vertAlign w:val="superscript"/>
              </w:rPr>
              <w:t>a</w:t>
            </w:r>
          </w:p>
        </w:tc>
      </w:tr>
      <w:tr w:rsidR="00EA1092" w14:paraId="0998963F" w14:textId="77777777" w:rsidTr="007D6D28">
        <w:tc>
          <w:tcPr>
            <w:tcW w:w="2982" w:type="dxa"/>
          </w:tcPr>
          <w:p w14:paraId="4BCB87FB" w14:textId="44C72E1D" w:rsidR="00EA1092" w:rsidRDefault="00EA1092" w:rsidP="00EA1092">
            <w:pPr>
              <w:pStyle w:val="Default"/>
              <w:rPr>
                <w:sz w:val="20"/>
                <w:szCs w:val="20"/>
              </w:rPr>
            </w:pPr>
            <w:r w:rsidRPr="00EA1092">
              <w:rPr>
                <w:sz w:val="20"/>
                <w:szCs w:val="20"/>
              </w:rPr>
              <w:t>Cycle 2, Day 15 – 21</w:t>
            </w:r>
          </w:p>
        </w:tc>
        <w:tc>
          <w:tcPr>
            <w:tcW w:w="2982" w:type="dxa"/>
          </w:tcPr>
          <w:p w14:paraId="5A2C8192" w14:textId="77777777" w:rsidR="00EA1092" w:rsidRDefault="00EA1092" w:rsidP="00916F5E">
            <w:pPr>
              <w:pStyle w:val="Notes"/>
            </w:pPr>
          </w:p>
        </w:tc>
        <w:tc>
          <w:tcPr>
            <w:tcW w:w="2983" w:type="dxa"/>
          </w:tcPr>
          <w:p w14:paraId="7873B2A0" w14:textId="595D09D4" w:rsidR="00EA1092" w:rsidRPr="00EA1092" w:rsidRDefault="00580537" w:rsidP="00916F5E">
            <w:pPr>
              <w:pStyle w:val="Notes"/>
            </w:pPr>
            <w:r w:rsidRPr="00580537">
              <w:t>200 mg daily</w:t>
            </w:r>
            <w:r w:rsidR="0031395A" w:rsidRPr="00FC4B72">
              <w:rPr>
                <w:vertAlign w:val="superscript"/>
              </w:rPr>
              <w:t>a</w:t>
            </w:r>
          </w:p>
        </w:tc>
      </w:tr>
      <w:tr w:rsidR="00580537" w14:paraId="11D83B32" w14:textId="77777777" w:rsidTr="007D6D28">
        <w:tc>
          <w:tcPr>
            <w:tcW w:w="2982" w:type="dxa"/>
          </w:tcPr>
          <w:p w14:paraId="3FA70B21" w14:textId="579CA235" w:rsidR="00580537" w:rsidRPr="00EA1092" w:rsidRDefault="00580537" w:rsidP="00EA1092">
            <w:pPr>
              <w:pStyle w:val="Default"/>
              <w:rPr>
                <w:sz w:val="20"/>
                <w:szCs w:val="20"/>
              </w:rPr>
            </w:pPr>
            <w:r w:rsidRPr="00580537">
              <w:rPr>
                <w:sz w:val="20"/>
                <w:szCs w:val="20"/>
              </w:rPr>
              <w:t>Cycle 2, Day 22 – 28</w:t>
            </w:r>
          </w:p>
        </w:tc>
        <w:tc>
          <w:tcPr>
            <w:tcW w:w="2982" w:type="dxa"/>
          </w:tcPr>
          <w:p w14:paraId="0662D326" w14:textId="77777777" w:rsidR="00580537" w:rsidRDefault="00580537" w:rsidP="00916F5E">
            <w:pPr>
              <w:pStyle w:val="Notes"/>
            </w:pPr>
          </w:p>
        </w:tc>
        <w:tc>
          <w:tcPr>
            <w:tcW w:w="2983" w:type="dxa"/>
          </w:tcPr>
          <w:p w14:paraId="184B0A56" w14:textId="614EE580" w:rsidR="00580537" w:rsidRPr="00580537" w:rsidRDefault="00580537" w:rsidP="00916F5E">
            <w:pPr>
              <w:pStyle w:val="Notes"/>
            </w:pPr>
            <w:r w:rsidRPr="00580537">
              <w:t>400 mg daily</w:t>
            </w:r>
            <w:r w:rsidR="0031395A" w:rsidRPr="0031395A">
              <w:rPr>
                <w:vertAlign w:val="superscript"/>
              </w:rPr>
              <w:t>a</w:t>
            </w:r>
          </w:p>
        </w:tc>
      </w:tr>
      <w:tr w:rsidR="00D47F7C" w14:paraId="06ED1B1F" w14:textId="77777777" w:rsidTr="007D6D28">
        <w:tc>
          <w:tcPr>
            <w:tcW w:w="2982" w:type="dxa"/>
          </w:tcPr>
          <w:p w14:paraId="1C2B32F8" w14:textId="5D010984" w:rsidR="00D47F7C" w:rsidRPr="00580537" w:rsidRDefault="00D47F7C" w:rsidP="00D47F7C">
            <w:pPr>
              <w:pStyle w:val="Default"/>
              <w:rPr>
                <w:sz w:val="20"/>
                <w:szCs w:val="20"/>
              </w:rPr>
            </w:pPr>
            <w:r>
              <w:rPr>
                <w:sz w:val="20"/>
                <w:szCs w:val="20"/>
              </w:rPr>
              <w:t xml:space="preserve">Cycles 3 - 6, Day 1 - 28 </w:t>
            </w:r>
          </w:p>
        </w:tc>
        <w:tc>
          <w:tcPr>
            <w:tcW w:w="2982" w:type="dxa"/>
          </w:tcPr>
          <w:p w14:paraId="404F09E4" w14:textId="0BD6EAFE" w:rsidR="00D47F7C" w:rsidRDefault="00D47F7C" w:rsidP="00D47F7C">
            <w:pPr>
              <w:pStyle w:val="Notes"/>
            </w:pPr>
            <w:r>
              <w:t xml:space="preserve">Day 1 only of each cycle: 1000 mg </w:t>
            </w:r>
          </w:p>
        </w:tc>
        <w:tc>
          <w:tcPr>
            <w:tcW w:w="2983" w:type="dxa"/>
          </w:tcPr>
          <w:p w14:paraId="333B59B4" w14:textId="4F01C42D" w:rsidR="00D47F7C" w:rsidRPr="00580537" w:rsidRDefault="00D47F7C" w:rsidP="00D47F7C">
            <w:pPr>
              <w:pStyle w:val="Notes"/>
            </w:pPr>
            <w:r>
              <w:t xml:space="preserve">400 mg daily </w:t>
            </w:r>
          </w:p>
        </w:tc>
      </w:tr>
      <w:tr w:rsidR="00D47F7C" w14:paraId="17D884F6" w14:textId="77777777" w:rsidTr="007D6D28">
        <w:tc>
          <w:tcPr>
            <w:tcW w:w="2982" w:type="dxa"/>
          </w:tcPr>
          <w:p w14:paraId="6A968691" w14:textId="438F5FC5" w:rsidR="00D47F7C" w:rsidRDefault="00D47F7C" w:rsidP="00D47F7C">
            <w:pPr>
              <w:pStyle w:val="Default"/>
              <w:rPr>
                <w:sz w:val="20"/>
                <w:szCs w:val="20"/>
              </w:rPr>
            </w:pPr>
            <w:r w:rsidRPr="00D47F7C">
              <w:rPr>
                <w:sz w:val="20"/>
                <w:szCs w:val="20"/>
              </w:rPr>
              <w:t>Cycles 7 - 12, Day 1 – 28</w:t>
            </w:r>
          </w:p>
        </w:tc>
        <w:tc>
          <w:tcPr>
            <w:tcW w:w="2982" w:type="dxa"/>
          </w:tcPr>
          <w:p w14:paraId="2BB54BCF" w14:textId="77777777" w:rsidR="00D47F7C" w:rsidRDefault="00D47F7C" w:rsidP="00D47F7C">
            <w:pPr>
              <w:pStyle w:val="Notes"/>
            </w:pPr>
          </w:p>
        </w:tc>
        <w:tc>
          <w:tcPr>
            <w:tcW w:w="2983" w:type="dxa"/>
          </w:tcPr>
          <w:p w14:paraId="652A0396" w14:textId="3E68EE1F" w:rsidR="00D47F7C" w:rsidRDefault="00B819BC" w:rsidP="00D47F7C">
            <w:pPr>
              <w:pStyle w:val="Notes"/>
            </w:pPr>
            <w:r w:rsidRPr="00B819BC">
              <w:t>400 mg daily</w:t>
            </w:r>
          </w:p>
        </w:tc>
      </w:tr>
    </w:tbl>
    <w:p w14:paraId="2285F35E" w14:textId="16E8F336" w:rsidR="007D6D28" w:rsidRPr="00FC4B72" w:rsidRDefault="00FC4B72" w:rsidP="00094192">
      <w:pPr>
        <w:pStyle w:val="Notes"/>
      </w:pPr>
      <w:r w:rsidRPr="00FC4B72">
        <w:rPr>
          <w:vertAlign w:val="superscript"/>
        </w:rPr>
        <w:t>a</w:t>
      </w:r>
      <w:r w:rsidRPr="00FC4B72">
        <w:t>5 week ramp-up</w:t>
      </w:r>
    </w:p>
    <w:p w14:paraId="55BCD476" w14:textId="2707FBE9" w:rsidR="001351E1" w:rsidRPr="00975BFC" w:rsidRDefault="001351E1" w:rsidP="001351E1">
      <w:pPr>
        <w:pStyle w:val="Notes"/>
        <w:rPr>
          <w:b/>
          <w:bCs/>
          <w:i/>
          <w:iCs/>
          <w:sz w:val="24"/>
          <w:szCs w:val="24"/>
        </w:rPr>
      </w:pPr>
      <w:r w:rsidRPr="00975BFC">
        <w:rPr>
          <w:b/>
          <w:bCs/>
          <w:i/>
          <w:iCs/>
          <w:sz w:val="24"/>
          <w:szCs w:val="24"/>
        </w:rPr>
        <w:t>Venetoclax in combination with ibrutinib</w:t>
      </w:r>
    </w:p>
    <w:p w14:paraId="4DCCDDAF" w14:textId="61E85E0B" w:rsidR="001351E1" w:rsidRDefault="001351E1" w:rsidP="001351E1">
      <w:pPr>
        <w:pStyle w:val="Notes"/>
        <w:rPr>
          <w:sz w:val="24"/>
          <w:szCs w:val="24"/>
        </w:rPr>
      </w:pPr>
      <w:r w:rsidRPr="001351E1">
        <w:rPr>
          <w:sz w:val="24"/>
          <w:szCs w:val="24"/>
        </w:rPr>
        <w:t xml:space="preserve">Start ibrutinib (420 mg once daily) as a single agent for 3 cycles (28 days in each cycle), followed by 12 cycles of </w:t>
      </w:r>
      <w:r w:rsidR="00D301E1">
        <w:rPr>
          <w:sz w:val="24"/>
          <w:szCs w:val="24"/>
        </w:rPr>
        <w:t>venetoclax</w:t>
      </w:r>
      <w:r w:rsidRPr="001351E1">
        <w:rPr>
          <w:sz w:val="24"/>
          <w:szCs w:val="24"/>
        </w:rPr>
        <w:t xml:space="preserve"> in combination with ibrutinib. Beginning on Cycle 4 Day 1, administer </w:t>
      </w:r>
      <w:r w:rsidR="00D301E1">
        <w:rPr>
          <w:sz w:val="24"/>
          <w:szCs w:val="24"/>
        </w:rPr>
        <w:t>venetoclax</w:t>
      </w:r>
      <w:r w:rsidRPr="001351E1">
        <w:rPr>
          <w:sz w:val="24"/>
          <w:szCs w:val="24"/>
        </w:rPr>
        <w:t xml:space="preserve"> according to the ramp-up schedule. After completing the ramp-up schedule, patients should continue </w:t>
      </w:r>
      <w:r w:rsidR="00605CB4">
        <w:rPr>
          <w:sz w:val="24"/>
          <w:szCs w:val="24"/>
        </w:rPr>
        <w:t>venetoclax</w:t>
      </w:r>
      <w:r w:rsidRPr="001351E1">
        <w:rPr>
          <w:sz w:val="24"/>
          <w:szCs w:val="24"/>
        </w:rPr>
        <w:t xml:space="preserve"> 400 mg once daily in combination with ibrutinib 420 mg orally once daily to the end of Cycle 15.</w:t>
      </w:r>
    </w:p>
    <w:p w14:paraId="3E7A5F84" w14:textId="24DF08E7" w:rsidR="00784AB0" w:rsidRPr="00784AB0" w:rsidRDefault="00784AB0" w:rsidP="00784AB0">
      <w:pPr>
        <w:pStyle w:val="Notes"/>
        <w:rPr>
          <w:sz w:val="24"/>
          <w:szCs w:val="24"/>
        </w:rPr>
      </w:pPr>
      <w:r w:rsidRPr="00975BFC">
        <w:rPr>
          <w:sz w:val="24"/>
          <w:szCs w:val="24"/>
          <w:u w:val="single"/>
        </w:rPr>
        <w:t xml:space="preserve">Previously treated </w:t>
      </w:r>
      <w:r w:rsidR="00382114" w:rsidRPr="00975BFC">
        <w:rPr>
          <w:sz w:val="24"/>
          <w:szCs w:val="24"/>
          <w:u w:val="single"/>
        </w:rPr>
        <w:t>CLL</w:t>
      </w:r>
      <w:r w:rsidR="00706686" w:rsidRPr="00975BFC">
        <w:rPr>
          <w:sz w:val="24"/>
          <w:szCs w:val="24"/>
          <w:u w:val="single"/>
        </w:rPr>
        <w:t>/</w:t>
      </w:r>
      <w:r w:rsidR="00382114" w:rsidRPr="00975BFC">
        <w:rPr>
          <w:sz w:val="24"/>
          <w:szCs w:val="24"/>
          <w:u w:val="single"/>
        </w:rPr>
        <w:t>SLL</w:t>
      </w:r>
      <w:r w:rsidRPr="00784AB0">
        <w:rPr>
          <w:sz w:val="24"/>
          <w:szCs w:val="24"/>
        </w:rPr>
        <w:t xml:space="preserve">: </w:t>
      </w:r>
    </w:p>
    <w:p w14:paraId="77AF2191" w14:textId="6ECBA79C" w:rsidR="00784AB0" w:rsidRPr="00975BFC" w:rsidRDefault="00AF1FE8" w:rsidP="00784AB0">
      <w:pPr>
        <w:pStyle w:val="Notes"/>
        <w:rPr>
          <w:b/>
          <w:bCs/>
          <w:i/>
          <w:iCs/>
          <w:sz w:val="24"/>
          <w:szCs w:val="24"/>
        </w:rPr>
      </w:pPr>
      <w:r w:rsidRPr="00975BFC">
        <w:rPr>
          <w:b/>
          <w:bCs/>
          <w:i/>
          <w:iCs/>
          <w:sz w:val="24"/>
          <w:szCs w:val="24"/>
        </w:rPr>
        <w:t>Venetoclax</w:t>
      </w:r>
      <w:r w:rsidR="00784AB0" w:rsidRPr="00975BFC">
        <w:rPr>
          <w:b/>
          <w:bCs/>
          <w:i/>
          <w:iCs/>
          <w:sz w:val="24"/>
          <w:szCs w:val="24"/>
        </w:rPr>
        <w:t xml:space="preserve"> in combination with rituximab </w:t>
      </w:r>
    </w:p>
    <w:p w14:paraId="03A1A857" w14:textId="0967D7B3" w:rsidR="00784AB0" w:rsidRDefault="00784AB0" w:rsidP="00784AB0">
      <w:pPr>
        <w:pStyle w:val="Notes"/>
        <w:rPr>
          <w:sz w:val="24"/>
          <w:szCs w:val="24"/>
        </w:rPr>
      </w:pPr>
      <w:r w:rsidRPr="00784AB0">
        <w:rPr>
          <w:sz w:val="24"/>
          <w:szCs w:val="24"/>
        </w:rPr>
        <w:t xml:space="preserve">Start rituximab administration after the patient has completed the ramp-up schedule with </w:t>
      </w:r>
      <w:r w:rsidR="00AF1FE8">
        <w:rPr>
          <w:sz w:val="24"/>
          <w:szCs w:val="24"/>
        </w:rPr>
        <w:t>venetoclax</w:t>
      </w:r>
      <w:r w:rsidRPr="00784AB0">
        <w:rPr>
          <w:sz w:val="24"/>
          <w:szCs w:val="24"/>
        </w:rPr>
        <w:t xml:space="preserve"> and has received a daily 400 mg dose of </w:t>
      </w:r>
      <w:r w:rsidR="00AF1FE8">
        <w:rPr>
          <w:sz w:val="24"/>
          <w:szCs w:val="24"/>
        </w:rPr>
        <w:t>venetoclax</w:t>
      </w:r>
      <w:r w:rsidRPr="00784AB0">
        <w:rPr>
          <w:sz w:val="24"/>
          <w:szCs w:val="24"/>
        </w:rPr>
        <w:t xml:space="preserve"> for 7 days.</w:t>
      </w:r>
    </w:p>
    <w:p w14:paraId="69ECD793" w14:textId="685DABD0" w:rsidR="00AF1FE8" w:rsidRPr="00AF1FE8" w:rsidRDefault="00AF1FE8" w:rsidP="00AF1FE8">
      <w:pPr>
        <w:pStyle w:val="Notes"/>
        <w:rPr>
          <w:sz w:val="24"/>
          <w:szCs w:val="24"/>
        </w:rPr>
      </w:pPr>
      <w:r w:rsidRPr="00AF1FE8">
        <w:rPr>
          <w:sz w:val="24"/>
          <w:szCs w:val="24"/>
        </w:rPr>
        <w:t xml:space="preserve">Patients should continue </w:t>
      </w:r>
      <w:r w:rsidR="00CE2E34">
        <w:rPr>
          <w:sz w:val="24"/>
          <w:szCs w:val="24"/>
        </w:rPr>
        <w:t>venetoclax</w:t>
      </w:r>
      <w:r w:rsidRPr="00AF1FE8">
        <w:rPr>
          <w:sz w:val="24"/>
          <w:szCs w:val="24"/>
        </w:rPr>
        <w:t xml:space="preserve"> 400 mg once daily for up to 24 months from Cycle 1 Day 1 of rituximab in the absence of disease progression or unacceptable toxicity.</w:t>
      </w:r>
    </w:p>
    <w:p w14:paraId="3E172441" w14:textId="6C7ADE9B" w:rsidR="00AF1FE8" w:rsidRPr="00975BFC" w:rsidRDefault="00AF1FE8" w:rsidP="00AF1FE8">
      <w:pPr>
        <w:pStyle w:val="Notes"/>
        <w:rPr>
          <w:b/>
          <w:bCs/>
          <w:i/>
          <w:iCs/>
          <w:sz w:val="24"/>
          <w:szCs w:val="24"/>
        </w:rPr>
      </w:pPr>
      <w:r w:rsidRPr="00975BFC">
        <w:rPr>
          <w:b/>
          <w:bCs/>
          <w:i/>
          <w:iCs/>
          <w:sz w:val="24"/>
          <w:szCs w:val="24"/>
        </w:rPr>
        <w:t>V</w:t>
      </w:r>
      <w:r w:rsidR="00CE2E34" w:rsidRPr="00975BFC">
        <w:rPr>
          <w:b/>
          <w:bCs/>
          <w:i/>
          <w:iCs/>
          <w:sz w:val="24"/>
          <w:szCs w:val="24"/>
        </w:rPr>
        <w:t>enetoclax</w:t>
      </w:r>
      <w:r w:rsidRPr="00975BFC">
        <w:rPr>
          <w:b/>
          <w:bCs/>
          <w:i/>
          <w:iCs/>
          <w:sz w:val="24"/>
          <w:szCs w:val="24"/>
        </w:rPr>
        <w:t xml:space="preserve"> as monotherapy</w:t>
      </w:r>
    </w:p>
    <w:p w14:paraId="18D6A323" w14:textId="404A39E8" w:rsidR="00AF1FE8" w:rsidRPr="00AF1FE8" w:rsidRDefault="00AF1FE8" w:rsidP="00AF1FE8">
      <w:pPr>
        <w:pStyle w:val="Notes"/>
        <w:rPr>
          <w:sz w:val="24"/>
          <w:szCs w:val="24"/>
        </w:rPr>
      </w:pPr>
      <w:r w:rsidRPr="00AF1FE8">
        <w:rPr>
          <w:sz w:val="24"/>
          <w:szCs w:val="24"/>
        </w:rPr>
        <w:t xml:space="preserve">The recommended dose of </w:t>
      </w:r>
      <w:r w:rsidR="00CE2E34">
        <w:rPr>
          <w:sz w:val="24"/>
          <w:szCs w:val="24"/>
        </w:rPr>
        <w:t>venetoclax</w:t>
      </w:r>
      <w:r w:rsidRPr="00AF1FE8">
        <w:rPr>
          <w:sz w:val="24"/>
          <w:szCs w:val="24"/>
        </w:rPr>
        <w:t xml:space="preserve"> is 400 mg once daily after the patient has completed the ramp-up schedule.</w:t>
      </w:r>
    </w:p>
    <w:p w14:paraId="232BAB15" w14:textId="2DD2C413" w:rsidR="00AF1FE8" w:rsidRDefault="00AF1FE8" w:rsidP="00AF1FE8">
      <w:pPr>
        <w:pStyle w:val="Notes"/>
        <w:rPr>
          <w:sz w:val="24"/>
          <w:szCs w:val="24"/>
        </w:rPr>
      </w:pPr>
      <w:r w:rsidRPr="00AF1FE8">
        <w:rPr>
          <w:sz w:val="24"/>
          <w:szCs w:val="24"/>
        </w:rPr>
        <w:t xml:space="preserve">Treatment should continue until disease progression or </w:t>
      </w:r>
      <w:r w:rsidR="00CE2E34">
        <w:rPr>
          <w:sz w:val="24"/>
          <w:szCs w:val="24"/>
        </w:rPr>
        <w:t>venetoclax</w:t>
      </w:r>
      <w:r w:rsidRPr="00AF1FE8">
        <w:rPr>
          <w:sz w:val="24"/>
          <w:szCs w:val="24"/>
        </w:rPr>
        <w:t xml:space="preserve"> is no longer tolerated by the patient.</w:t>
      </w:r>
    </w:p>
    <w:p w14:paraId="02A9018A" w14:textId="77777777" w:rsidR="00811485" w:rsidRDefault="00811485" w:rsidP="00AF1FE8">
      <w:pPr>
        <w:pStyle w:val="Notes"/>
        <w:rPr>
          <w:sz w:val="24"/>
          <w:szCs w:val="24"/>
        </w:rPr>
      </w:pPr>
    </w:p>
    <w:p w14:paraId="04B4D3E2" w14:textId="77777777" w:rsidR="00811485" w:rsidRDefault="00811485" w:rsidP="00AF1FE8">
      <w:pPr>
        <w:pStyle w:val="Notes"/>
        <w:rPr>
          <w:sz w:val="24"/>
          <w:szCs w:val="24"/>
        </w:rPr>
      </w:pPr>
    </w:p>
    <w:p w14:paraId="03DA016E" w14:textId="77777777" w:rsidR="00811485" w:rsidRDefault="00811485" w:rsidP="00AF1FE8">
      <w:pPr>
        <w:pStyle w:val="Notes"/>
        <w:rPr>
          <w:sz w:val="24"/>
          <w:szCs w:val="24"/>
        </w:rPr>
      </w:pPr>
    </w:p>
    <w:p w14:paraId="7EAF87EA" w14:textId="77777777" w:rsidR="00811485" w:rsidRDefault="00811485" w:rsidP="00AF1FE8">
      <w:pPr>
        <w:pStyle w:val="Notes"/>
        <w:rPr>
          <w:sz w:val="24"/>
          <w:szCs w:val="24"/>
        </w:rPr>
      </w:pPr>
    </w:p>
    <w:p w14:paraId="67A69D41" w14:textId="77777777" w:rsidR="00811485" w:rsidRPr="00784AB0" w:rsidRDefault="00811485" w:rsidP="00AF1FE8">
      <w:pPr>
        <w:pStyle w:val="Notes"/>
        <w:rPr>
          <w:sz w:val="24"/>
          <w:szCs w:val="24"/>
        </w:rPr>
      </w:pPr>
    </w:p>
    <w:p w14:paraId="46E2BB42" w14:textId="311D0446" w:rsidR="00DF0B13" w:rsidRPr="007247B9" w:rsidDel="00EE2BBB" w:rsidRDefault="00DF0B13" w:rsidP="00CF5E22">
      <w:pPr>
        <w:pStyle w:val="Heading2"/>
      </w:pPr>
      <w:r w:rsidRPr="007247B9" w:rsidDel="00EE2BBB">
        <w:lastRenderedPageBreak/>
        <w:t>PBS listing details</w:t>
      </w:r>
      <w:r w:rsidR="00D151EB" w:rsidDel="00EE2BBB">
        <w:t xml:space="preserve"> (as a</w:t>
      </w:r>
      <w:r w:rsidR="00F17971">
        <w:t>t 2 July 2025</w:t>
      </w:r>
      <w:r w:rsidR="00D151EB" w:rsidDel="00EE2BBB">
        <w:t>)</w:t>
      </w:r>
    </w:p>
    <w:p w14:paraId="1183F151" w14:textId="21A088B0" w:rsidR="007247B9" w:rsidRPr="00A35800" w:rsidDel="00EE2BBB" w:rsidRDefault="00DF0B13" w:rsidP="008E1AC4">
      <w:r w:rsidRPr="00BB263A" w:rsidDel="00EE2BBB">
        <w:t xml:space="preserve">Details of the PBS listing </w:t>
      </w:r>
      <w:r w:rsidR="008E1AC4" w:rsidRPr="00BB263A">
        <w:t>see tables A</w:t>
      </w:r>
      <w:r w:rsidR="00BB263A" w:rsidRPr="00BB263A">
        <w:t>1 to A6 at Appendix A.</w:t>
      </w:r>
    </w:p>
    <w:p w14:paraId="1AFA1485" w14:textId="3186A599" w:rsidR="004C3186" w:rsidRDefault="004C3186" w:rsidP="00CF5E22">
      <w:pPr>
        <w:pStyle w:val="Heading3"/>
      </w:pPr>
      <w:r w:rsidDel="00EE2BBB">
        <w:t>Restriction</w:t>
      </w:r>
    </w:p>
    <w:p w14:paraId="189F039A" w14:textId="62F619A0" w:rsidR="00706686" w:rsidRPr="00351F17" w:rsidDel="00EE2BBB" w:rsidRDefault="00706686" w:rsidP="00706686">
      <w:pPr>
        <w:rPr>
          <w:b/>
          <w:bCs/>
        </w:rPr>
      </w:pPr>
      <w:r w:rsidRPr="00351F17">
        <w:rPr>
          <w:b/>
          <w:bCs/>
        </w:rPr>
        <w:t>Table 6: Abridged PBS restriction for C</w:t>
      </w:r>
      <w:r w:rsidR="00351F17" w:rsidRPr="00351F17">
        <w:rPr>
          <w:b/>
          <w:bCs/>
        </w:rPr>
        <w:t>LL/SLL drugs</w:t>
      </w:r>
    </w:p>
    <w:tbl>
      <w:tblPr>
        <w:tblStyle w:val="TableGrid"/>
        <w:tblW w:w="9067" w:type="dxa"/>
        <w:tblLook w:val="04A0" w:firstRow="1" w:lastRow="0" w:firstColumn="1" w:lastColumn="0" w:noHBand="0" w:noVBand="1"/>
      </w:tblPr>
      <w:tblGrid>
        <w:gridCol w:w="1887"/>
        <w:gridCol w:w="7180"/>
      </w:tblGrid>
      <w:tr w:rsidR="00507180" w:rsidRPr="00130553" w14:paraId="75D4B574" w14:textId="77777777" w:rsidTr="00351F17">
        <w:trPr>
          <w:trHeight w:val="373"/>
        </w:trPr>
        <w:tc>
          <w:tcPr>
            <w:tcW w:w="1887" w:type="dxa"/>
            <w:shd w:val="clear" w:color="auto" w:fill="BFBFBF" w:themeFill="background1" w:themeFillShade="BF"/>
          </w:tcPr>
          <w:p w14:paraId="56E55A12" w14:textId="77777777" w:rsidR="00507180" w:rsidRPr="00351F17" w:rsidRDefault="00507180" w:rsidP="00B12867">
            <w:pPr>
              <w:rPr>
                <w:rFonts w:ascii="Calibri" w:hAnsi="Calibri" w:cs="Calibri"/>
                <w:b/>
                <w:bCs/>
                <w:sz w:val="20"/>
                <w:szCs w:val="20"/>
              </w:rPr>
            </w:pPr>
            <w:r w:rsidRPr="00351F17">
              <w:rPr>
                <w:rFonts w:ascii="Calibri" w:hAnsi="Calibri" w:cs="Calibri"/>
                <w:b/>
                <w:bCs/>
                <w:sz w:val="20"/>
                <w:szCs w:val="20"/>
              </w:rPr>
              <w:t>Drug</w:t>
            </w:r>
          </w:p>
        </w:tc>
        <w:tc>
          <w:tcPr>
            <w:tcW w:w="7180" w:type="dxa"/>
            <w:shd w:val="clear" w:color="auto" w:fill="BFBFBF" w:themeFill="background1" w:themeFillShade="BF"/>
          </w:tcPr>
          <w:p w14:paraId="37BD578E" w14:textId="785111FD" w:rsidR="00507180" w:rsidRPr="00351F17" w:rsidRDefault="00507180" w:rsidP="00B12867">
            <w:pPr>
              <w:rPr>
                <w:rFonts w:ascii="Calibri" w:hAnsi="Calibri" w:cs="Calibri"/>
                <w:b/>
                <w:bCs/>
                <w:sz w:val="20"/>
                <w:szCs w:val="20"/>
              </w:rPr>
            </w:pPr>
            <w:r w:rsidRPr="00351F17">
              <w:rPr>
                <w:rFonts w:ascii="Calibri" w:hAnsi="Calibri" w:cs="Calibri"/>
                <w:b/>
                <w:bCs/>
                <w:sz w:val="20"/>
                <w:szCs w:val="20"/>
              </w:rPr>
              <w:t xml:space="preserve">Current abridged PBS restriction for </w:t>
            </w:r>
            <w:r w:rsidR="00351F17" w:rsidRPr="00351F17">
              <w:rPr>
                <w:rFonts w:ascii="Calibri" w:hAnsi="Calibri" w:cs="Calibri"/>
                <w:b/>
                <w:bCs/>
                <w:sz w:val="20"/>
                <w:szCs w:val="20"/>
              </w:rPr>
              <w:t>CLL/SLL</w:t>
            </w:r>
          </w:p>
        </w:tc>
      </w:tr>
      <w:tr w:rsidR="00507180" w:rsidRPr="00130553" w14:paraId="0DAACED2" w14:textId="77777777" w:rsidTr="00B12867">
        <w:tc>
          <w:tcPr>
            <w:tcW w:w="1887" w:type="dxa"/>
            <w:vMerge w:val="restart"/>
          </w:tcPr>
          <w:p w14:paraId="7C421F4B"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ACALABRUTINIB</w:t>
            </w:r>
          </w:p>
        </w:tc>
        <w:tc>
          <w:tcPr>
            <w:tcW w:w="7180" w:type="dxa"/>
          </w:tcPr>
          <w:p w14:paraId="0FB77FB4"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Treatment of relapsed/refractory disease must be the sole PBS-subsidised systemic anti-cancer therapy.</w:t>
            </w:r>
          </w:p>
        </w:tc>
      </w:tr>
      <w:tr w:rsidR="00507180" w:rsidRPr="00130553" w14:paraId="1AB6582D" w14:textId="77777777" w:rsidTr="00B12867">
        <w:tc>
          <w:tcPr>
            <w:tcW w:w="1887" w:type="dxa"/>
            <w:vMerge/>
          </w:tcPr>
          <w:p w14:paraId="6CCD0B21" w14:textId="77777777" w:rsidR="00507180" w:rsidRPr="00507180" w:rsidRDefault="00507180" w:rsidP="00B12867">
            <w:pPr>
              <w:rPr>
                <w:rFonts w:ascii="Calibri" w:hAnsi="Calibri" w:cs="Calibri"/>
                <w:sz w:val="20"/>
                <w:szCs w:val="20"/>
              </w:rPr>
            </w:pPr>
          </w:p>
        </w:tc>
        <w:tc>
          <w:tcPr>
            <w:tcW w:w="7180" w:type="dxa"/>
          </w:tcPr>
          <w:p w14:paraId="1130DDB6"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First line drug treatment in combination with </w:t>
            </w:r>
            <w:r w:rsidRPr="00507180">
              <w:rPr>
                <w:rFonts w:ascii="Calibri" w:hAnsi="Calibri" w:cs="Calibri"/>
                <w:b/>
                <w:bCs/>
                <w:sz w:val="20"/>
                <w:szCs w:val="20"/>
              </w:rPr>
              <w:t>obinutuzumab</w:t>
            </w:r>
            <w:r w:rsidRPr="00507180">
              <w:rPr>
                <w:rFonts w:ascii="Calibri" w:hAnsi="Calibri" w:cs="Calibri"/>
                <w:sz w:val="20"/>
                <w:szCs w:val="20"/>
              </w:rPr>
              <w:t>.</w:t>
            </w:r>
          </w:p>
        </w:tc>
      </w:tr>
      <w:tr w:rsidR="00507180" w:rsidRPr="00130553" w14:paraId="78E582F6" w14:textId="77777777" w:rsidTr="00B12867">
        <w:tc>
          <w:tcPr>
            <w:tcW w:w="1887" w:type="dxa"/>
            <w:vMerge/>
          </w:tcPr>
          <w:p w14:paraId="60616DA5" w14:textId="77777777" w:rsidR="00507180" w:rsidRPr="00507180" w:rsidRDefault="00507180" w:rsidP="00B12867">
            <w:pPr>
              <w:rPr>
                <w:rFonts w:ascii="Calibri" w:hAnsi="Calibri" w:cs="Calibri"/>
                <w:sz w:val="20"/>
                <w:szCs w:val="20"/>
              </w:rPr>
            </w:pPr>
          </w:p>
        </w:tc>
        <w:tc>
          <w:tcPr>
            <w:tcW w:w="7180" w:type="dxa"/>
          </w:tcPr>
          <w:p w14:paraId="14B82EBB"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First line drug treatment as monotherapy.</w:t>
            </w:r>
          </w:p>
        </w:tc>
      </w:tr>
      <w:tr w:rsidR="00507180" w:rsidRPr="00130553" w14:paraId="0E0E1572" w14:textId="77777777" w:rsidTr="00B12867">
        <w:tc>
          <w:tcPr>
            <w:tcW w:w="1887" w:type="dxa"/>
            <w:vMerge w:val="restart"/>
          </w:tcPr>
          <w:p w14:paraId="17DE1F11"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IBRUTINIB</w:t>
            </w:r>
          </w:p>
        </w:tc>
        <w:tc>
          <w:tcPr>
            <w:tcW w:w="7180" w:type="dxa"/>
          </w:tcPr>
          <w:p w14:paraId="3F5A80DB"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Treatment of relapsed/refractory disease must be the sole PBS-subsidised systemic anti-cancer therapy.</w:t>
            </w:r>
          </w:p>
        </w:tc>
      </w:tr>
      <w:tr w:rsidR="00507180" w:rsidRPr="00130553" w14:paraId="7515F92E" w14:textId="77777777" w:rsidTr="00B12867">
        <w:tc>
          <w:tcPr>
            <w:tcW w:w="1887" w:type="dxa"/>
            <w:vMerge/>
          </w:tcPr>
          <w:p w14:paraId="4D597F9E" w14:textId="77777777" w:rsidR="00507180" w:rsidRPr="00507180" w:rsidRDefault="00507180" w:rsidP="00B12867">
            <w:pPr>
              <w:rPr>
                <w:rFonts w:ascii="Calibri" w:hAnsi="Calibri" w:cs="Calibri"/>
                <w:sz w:val="20"/>
                <w:szCs w:val="20"/>
              </w:rPr>
            </w:pPr>
          </w:p>
        </w:tc>
        <w:tc>
          <w:tcPr>
            <w:tcW w:w="7180" w:type="dxa"/>
          </w:tcPr>
          <w:p w14:paraId="7D81BBFE"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First-line therapy in combination with </w:t>
            </w:r>
            <w:r w:rsidRPr="00507180">
              <w:rPr>
                <w:rFonts w:ascii="Calibri" w:hAnsi="Calibri" w:cs="Calibri"/>
                <w:b/>
                <w:bCs/>
                <w:sz w:val="20"/>
                <w:szCs w:val="20"/>
              </w:rPr>
              <w:t>venetoclax</w:t>
            </w:r>
            <w:r w:rsidRPr="00507180">
              <w:rPr>
                <w:rFonts w:ascii="Calibri" w:hAnsi="Calibri" w:cs="Calibri"/>
                <w:sz w:val="20"/>
                <w:szCs w:val="20"/>
              </w:rPr>
              <w:t>.</w:t>
            </w:r>
          </w:p>
        </w:tc>
      </w:tr>
      <w:tr w:rsidR="00507180" w:rsidRPr="00130553" w14:paraId="71FF81B6" w14:textId="77777777" w:rsidTr="00B12867">
        <w:tc>
          <w:tcPr>
            <w:tcW w:w="1887" w:type="dxa"/>
          </w:tcPr>
          <w:p w14:paraId="670547EE"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IDELALISIB</w:t>
            </w:r>
          </w:p>
        </w:tc>
        <w:tc>
          <w:tcPr>
            <w:tcW w:w="7180" w:type="dxa"/>
          </w:tcPr>
          <w:p w14:paraId="50A556CB"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Treatment of relapsed/refractory disease in combination with rituximab for up to a maximum of 8 doses under this restriction, followed by monotherapy.</w:t>
            </w:r>
          </w:p>
        </w:tc>
      </w:tr>
      <w:tr w:rsidR="00507180" w:rsidRPr="00130553" w14:paraId="59290868" w14:textId="77777777" w:rsidTr="00B12867">
        <w:tc>
          <w:tcPr>
            <w:tcW w:w="1887" w:type="dxa"/>
          </w:tcPr>
          <w:p w14:paraId="72200665"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OBINUTUZUMAB</w:t>
            </w:r>
          </w:p>
        </w:tc>
        <w:tc>
          <w:tcPr>
            <w:tcW w:w="7180" w:type="dxa"/>
          </w:tcPr>
          <w:p w14:paraId="51A24474"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Previously untreated in combination use with chlorambucil.</w:t>
            </w:r>
          </w:p>
        </w:tc>
      </w:tr>
      <w:tr w:rsidR="00507180" w:rsidRPr="00130553" w14:paraId="5285259B" w14:textId="77777777" w:rsidTr="00B12867">
        <w:tc>
          <w:tcPr>
            <w:tcW w:w="1887" w:type="dxa"/>
            <w:vMerge w:val="restart"/>
          </w:tcPr>
          <w:p w14:paraId="163457B3"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VENETOCLAX</w:t>
            </w:r>
          </w:p>
        </w:tc>
        <w:tc>
          <w:tcPr>
            <w:tcW w:w="7180" w:type="dxa"/>
          </w:tcPr>
          <w:p w14:paraId="7115204D"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Patient must have previously received PBS-subsidised treatment with this drug for this condition, treatment must be in combination with rituximab for up to a maximum of 6 cycles, followed by monotherapy.</w:t>
            </w:r>
          </w:p>
        </w:tc>
      </w:tr>
      <w:tr w:rsidR="00507180" w:rsidRPr="0006543C" w14:paraId="6E2EEDE4" w14:textId="77777777" w:rsidTr="00B12867">
        <w:tc>
          <w:tcPr>
            <w:tcW w:w="1887" w:type="dxa"/>
            <w:vMerge/>
          </w:tcPr>
          <w:p w14:paraId="59007A0F" w14:textId="77777777" w:rsidR="00507180" w:rsidRPr="00507180" w:rsidRDefault="00507180" w:rsidP="00B12867">
            <w:pPr>
              <w:rPr>
                <w:rFonts w:ascii="Calibri" w:hAnsi="Calibri" w:cs="Calibri"/>
                <w:sz w:val="20"/>
                <w:szCs w:val="20"/>
              </w:rPr>
            </w:pPr>
          </w:p>
        </w:tc>
        <w:tc>
          <w:tcPr>
            <w:tcW w:w="7180" w:type="dxa"/>
          </w:tcPr>
          <w:p w14:paraId="0257679F"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Dose titration for relapsed/refractory disease, condition must have relapsed or be refractory to at least one prior therapy, treatment must be the sole PBS-subsidised therapy for this condition.</w:t>
            </w:r>
          </w:p>
        </w:tc>
      </w:tr>
      <w:tr w:rsidR="00507180" w:rsidRPr="0006543C" w14:paraId="72C9CB32" w14:textId="77777777" w:rsidTr="00B12867">
        <w:tc>
          <w:tcPr>
            <w:tcW w:w="1887" w:type="dxa"/>
            <w:vMerge/>
          </w:tcPr>
          <w:p w14:paraId="19692757" w14:textId="77777777" w:rsidR="00507180" w:rsidRPr="00507180" w:rsidRDefault="00507180" w:rsidP="00B12867">
            <w:pPr>
              <w:rPr>
                <w:rFonts w:ascii="Calibri" w:hAnsi="Calibri" w:cs="Calibri"/>
                <w:sz w:val="20"/>
                <w:szCs w:val="20"/>
              </w:rPr>
            </w:pPr>
          </w:p>
        </w:tc>
        <w:tc>
          <w:tcPr>
            <w:tcW w:w="7180" w:type="dxa"/>
          </w:tcPr>
          <w:p w14:paraId="7216E12F" w14:textId="3DA244AC"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Dose titration (weeks 1 to 4 of a 5-week ramp-up schedule), condition must be untreated with drug treatment at the time of the first dose of this drug; OR * Patient must have developed an intolerance of a severity necessitating permanent treatment withdrawal following use of another drug PBS indicated as first-line drug treatment of </w:t>
            </w:r>
            <w:r w:rsidR="002211ED">
              <w:rPr>
                <w:rFonts w:ascii="Calibri" w:hAnsi="Calibri" w:cs="Calibri"/>
                <w:sz w:val="20"/>
                <w:szCs w:val="20"/>
              </w:rPr>
              <w:t>CLL/SLL</w:t>
            </w:r>
            <w:r w:rsidRPr="00507180">
              <w:rPr>
                <w:rFonts w:ascii="Calibri" w:hAnsi="Calibri" w:cs="Calibri"/>
                <w:sz w:val="20"/>
                <w:szCs w:val="20"/>
              </w:rPr>
              <w:t xml:space="preserve">, treatment must be in combination with </w:t>
            </w:r>
            <w:r w:rsidRPr="00AF5FFB">
              <w:rPr>
                <w:rFonts w:ascii="Calibri" w:hAnsi="Calibri" w:cs="Calibri"/>
                <w:b/>
                <w:bCs/>
                <w:sz w:val="20"/>
                <w:szCs w:val="20"/>
              </w:rPr>
              <w:t>o</w:t>
            </w:r>
            <w:r w:rsidRPr="00507180">
              <w:rPr>
                <w:rFonts w:ascii="Calibri" w:hAnsi="Calibri" w:cs="Calibri"/>
                <w:b/>
                <w:bCs/>
                <w:sz w:val="20"/>
                <w:szCs w:val="20"/>
              </w:rPr>
              <w:t>binutuzumab.</w:t>
            </w:r>
          </w:p>
        </w:tc>
      </w:tr>
      <w:tr w:rsidR="00507180" w:rsidRPr="00130553" w14:paraId="7C4A888B" w14:textId="77777777" w:rsidTr="00B12867">
        <w:tc>
          <w:tcPr>
            <w:tcW w:w="1887" w:type="dxa"/>
            <w:vMerge/>
          </w:tcPr>
          <w:p w14:paraId="42853892" w14:textId="77777777" w:rsidR="00507180" w:rsidRPr="00507180" w:rsidRDefault="00507180" w:rsidP="00B12867">
            <w:pPr>
              <w:rPr>
                <w:rFonts w:ascii="Calibri" w:hAnsi="Calibri" w:cs="Calibri"/>
                <w:sz w:val="20"/>
                <w:szCs w:val="20"/>
              </w:rPr>
            </w:pPr>
          </w:p>
        </w:tc>
        <w:tc>
          <w:tcPr>
            <w:tcW w:w="7180" w:type="dxa"/>
          </w:tcPr>
          <w:p w14:paraId="0BD8192D"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First continuing treatment (treatment cycles 2 to 6 inclusive) of first-line therapy, treatment must be in combination with </w:t>
            </w:r>
            <w:r w:rsidRPr="00507180">
              <w:rPr>
                <w:rFonts w:ascii="Calibri" w:hAnsi="Calibri" w:cs="Calibri"/>
                <w:b/>
                <w:bCs/>
                <w:sz w:val="20"/>
                <w:szCs w:val="20"/>
              </w:rPr>
              <w:t>obinutuzumab.</w:t>
            </w:r>
          </w:p>
        </w:tc>
      </w:tr>
      <w:tr w:rsidR="00507180" w:rsidRPr="006D2279" w14:paraId="4CBDCA41" w14:textId="77777777" w:rsidTr="00B12867">
        <w:tc>
          <w:tcPr>
            <w:tcW w:w="1887" w:type="dxa"/>
            <w:vMerge/>
          </w:tcPr>
          <w:p w14:paraId="52653B59" w14:textId="77777777" w:rsidR="00507180" w:rsidRPr="00507180" w:rsidRDefault="00507180" w:rsidP="00B12867">
            <w:pPr>
              <w:rPr>
                <w:rFonts w:ascii="Calibri" w:hAnsi="Calibri" w:cs="Calibri"/>
                <w:sz w:val="20"/>
                <w:szCs w:val="20"/>
              </w:rPr>
            </w:pPr>
          </w:p>
        </w:tc>
        <w:tc>
          <w:tcPr>
            <w:tcW w:w="7180" w:type="dxa"/>
          </w:tcPr>
          <w:p w14:paraId="10A2B31B"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Second and final continuing treatment prescription (treatment cycles 7 to 12 inclusive) of first-line therapy, treatment must be in combination with </w:t>
            </w:r>
            <w:r w:rsidRPr="00507180">
              <w:rPr>
                <w:rFonts w:ascii="Calibri" w:hAnsi="Calibri" w:cs="Calibri"/>
                <w:b/>
                <w:bCs/>
                <w:sz w:val="20"/>
                <w:szCs w:val="20"/>
              </w:rPr>
              <w:t>obinutuzumab</w:t>
            </w:r>
            <w:r w:rsidRPr="00507180">
              <w:rPr>
                <w:rFonts w:ascii="Calibri" w:hAnsi="Calibri" w:cs="Calibri"/>
                <w:sz w:val="20"/>
                <w:szCs w:val="20"/>
              </w:rPr>
              <w:t>.</w:t>
            </w:r>
          </w:p>
        </w:tc>
      </w:tr>
      <w:tr w:rsidR="00507180" w:rsidRPr="00EC2DEB" w14:paraId="21C2BDC6" w14:textId="77777777" w:rsidTr="00B12867">
        <w:tc>
          <w:tcPr>
            <w:tcW w:w="1887" w:type="dxa"/>
            <w:vMerge/>
          </w:tcPr>
          <w:p w14:paraId="28050957" w14:textId="77777777" w:rsidR="00507180" w:rsidRPr="00507180" w:rsidRDefault="00507180" w:rsidP="00B12867">
            <w:pPr>
              <w:rPr>
                <w:rFonts w:ascii="Calibri" w:hAnsi="Calibri" w:cs="Calibri"/>
                <w:sz w:val="20"/>
                <w:szCs w:val="20"/>
              </w:rPr>
            </w:pPr>
          </w:p>
        </w:tc>
        <w:tc>
          <w:tcPr>
            <w:tcW w:w="7180" w:type="dxa"/>
          </w:tcPr>
          <w:p w14:paraId="64440D65"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Grandfather treatment - Transitioning from non-PBS to PBS-subsidised supply of first-line therapy. Patient must have received non-PBS-subsidised treatment with ibrutinib for this condition prior to 1 October 2024, in combination with </w:t>
            </w:r>
            <w:r w:rsidRPr="00507180">
              <w:rPr>
                <w:rFonts w:ascii="Calibri" w:hAnsi="Calibri" w:cs="Calibri"/>
                <w:b/>
                <w:bCs/>
                <w:sz w:val="20"/>
                <w:szCs w:val="20"/>
              </w:rPr>
              <w:t>ibrutinib</w:t>
            </w:r>
            <w:r w:rsidRPr="00507180">
              <w:rPr>
                <w:rFonts w:ascii="Calibri" w:hAnsi="Calibri" w:cs="Calibri"/>
                <w:sz w:val="20"/>
                <w:szCs w:val="20"/>
              </w:rPr>
              <w:t>. A patient may qualify for PBS-subsidised treatment under this restriction once only. For continuing PBS-subsidised treatment, a 'Grandfathered' patient must qualify under the next relevant treatment phase. A patient may also qualify for treatment under this listing if they have previously received non-PBS-subsidised treatment with venetoclax for this condition prior to 1 October 2024 from Cycle 4.</w:t>
            </w:r>
          </w:p>
        </w:tc>
      </w:tr>
      <w:tr w:rsidR="00507180" w:rsidRPr="006D2279" w14:paraId="06AF7D91" w14:textId="77777777" w:rsidTr="00B12867">
        <w:tc>
          <w:tcPr>
            <w:tcW w:w="1887" w:type="dxa"/>
            <w:vMerge/>
          </w:tcPr>
          <w:p w14:paraId="46F725DA" w14:textId="77777777" w:rsidR="00507180" w:rsidRPr="00507180" w:rsidRDefault="00507180" w:rsidP="00B12867">
            <w:pPr>
              <w:rPr>
                <w:rFonts w:ascii="Calibri" w:hAnsi="Calibri" w:cs="Calibri"/>
                <w:sz w:val="20"/>
                <w:szCs w:val="20"/>
              </w:rPr>
            </w:pPr>
          </w:p>
        </w:tc>
        <w:tc>
          <w:tcPr>
            <w:tcW w:w="7180" w:type="dxa"/>
          </w:tcPr>
          <w:p w14:paraId="1273FCA2"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Initial treatment in first-line therapy with ibrutinib - Dose titration (cycle 4), treatment must be in combination with </w:t>
            </w:r>
            <w:r w:rsidRPr="00507180">
              <w:rPr>
                <w:rFonts w:ascii="Calibri" w:hAnsi="Calibri" w:cs="Calibri"/>
                <w:b/>
                <w:bCs/>
                <w:sz w:val="20"/>
                <w:szCs w:val="20"/>
              </w:rPr>
              <w:t>ibrutinib</w:t>
            </w:r>
            <w:r w:rsidRPr="00507180">
              <w:rPr>
                <w:rFonts w:ascii="Calibri" w:hAnsi="Calibri" w:cs="Calibri"/>
                <w:sz w:val="20"/>
                <w:szCs w:val="20"/>
              </w:rPr>
              <w:t>.</w:t>
            </w:r>
          </w:p>
        </w:tc>
      </w:tr>
      <w:tr w:rsidR="00507180" w:rsidRPr="00FB7212" w14:paraId="3DE7D384" w14:textId="77777777" w:rsidTr="00B12867">
        <w:tc>
          <w:tcPr>
            <w:tcW w:w="1887" w:type="dxa"/>
            <w:vMerge/>
          </w:tcPr>
          <w:p w14:paraId="1570C552" w14:textId="77777777" w:rsidR="00507180" w:rsidRPr="00507180" w:rsidRDefault="00507180" w:rsidP="00B12867">
            <w:pPr>
              <w:rPr>
                <w:rFonts w:ascii="Calibri" w:hAnsi="Calibri" w:cs="Calibri"/>
                <w:sz w:val="20"/>
                <w:szCs w:val="20"/>
              </w:rPr>
            </w:pPr>
          </w:p>
        </w:tc>
        <w:tc>
          <w:tcPr>
            <w:tcW w:w="7180" w:type="dxa"/>
          </w:tcPr>
          <w:p w14:paraId="224EA39F"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First continuing treatment (treatment cycles 5 to 9 inclusive) of first-line therapy, treatment must be in combination with </w:t>
            </w:r>
            <w:r w:rsidRPr="00507180">
              <w:rPr>
                <w:rFonts w:ascii="Calibri" w:hAnsi="Calibri" w:cs="Calibri"/>
                <w:b/>
                <w:bCs/>
                <w:sz w:val="20"/>
                <w:szCs w:val="20"/>
              </w:rPr>
              <w:t>ibrutinib</w:t>
            </w:r>
            <w:r w:rsidRPr="00507180">
              <w:rPr>
                <w:rFonts w:ascii="Calibri" w:hAnsi="Calibri" w:cs="Calibri"/>
                <w:sz w:val="20"/>
                <w:szCs w:val="20"/>
              </w:rPr>
              <w:t>.</w:t>
            </w:r>
          </w:p>
        </w:tc>
      </w:tr>
      <w:tr w:rsidR="00507180" w:rsidRPr="006C5669" w14:paraId="69439460" w14:textId="77777777" w:rsidTr="00B12867">
        <w:tc>
          <w:tcPr>
            <w:tcW w:w="1887" w:type="dxa"/>
            <w:vMerge/>
          </w:tcPr>
          <w:p w14:paraId="01AA571C" w14:textId="77777777" w:rsidR="00507180" w:rsidRPr="00507180" w:rsidRDefault="00507180" w:rsidP="00B12867">
            <w:pPr>
              <w:rPr>
                <w:rFonts w:ascii="Calibri" w:hAnsi="Calibri" w:cs="Calibri"/>
                <w:sz w:val="20"/>
                <w:szCs w:val="20"/>
              </w:rPr>
            </w:pPr>
          </w:p>
        </w:tc>
        <w:tc>
          <w:tcPr>
            <w:tcW w:w="7180" w:type="dxa"/>
          </w:tcPr>
          <w:p w14:paraId="7EDC6CB7"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Second and final continuing treatment prescription (treatment cycles 10 to 15 inclusive) of first-line therapy, treatment must be in combination with </w:t>
            </w:r>
            <w:r w:rsidRPr="00507180">
              <w:rPr>
                <w:rFonts w:ascii="Calibri" w:hAnsi="Calibri" w:cs="Calibri"/>
                <w:b/>
                <w:bCs/>
                <w:sz w:val="20"/>
                <w:szCs w:val="20"/>
              </w:rPr>
              <w:t>ibrutinib</w:t>
            </w:r>
            <w:r w:rsidRPr="00507180">
              <w:rPr>
                <w:rFonts w:ascii="Calibri" w:hAnsi="Calibri" w:cs="Calibri"/>
                <w:sz w:val="20"/>
                <w:szCs w:val="20"/>
              </w:rPr>
              <w:t>.</w:t>
            </w:r>
          </w:p>
        </w:tc>
      </w:tr>
      <w:tr w:rsidR="00507180" w:rsidRPr="00130553" w14:paraId="55180B3B" w14:textId="77777777" w:rsidTr="00B12867">
        <w:tc>
          <w:tcPr>
            <w:tcW w:w="1887" w:type="dxa"/>
            <w:vMerge w:val="restart"/>
          </w:tcPr>
          <w:p w14:paraId="60A021D5"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ZANUBRUTINIB</w:t>
            </w:r>
          </w:p>
        </w:tc>
        <w:tc>
          <w:tcPr>
            <w:tcW w:w="7180" w:type="dxa"/>
          </w:tcPr>
          <w:p w14:paraId="7A3EC4FD" w14:textId="77777777"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First line drug treatment of this indication, condition must be untreated with drug treatment at the time of the first dose of this drug, or patient must have developed an intolerance of a severity necessitating permanent treatment withdrawal following use of another drug PBS indicated as first-line drug treatment, treatment must be the </w:t>
            </w:r>
            <w:r w:rsidRPr="00507180">
              <w:rPr>
                <w:rFonts w:ascii="Calibri" w:hAnsi="Calibri" w:cs="Calibri"/>
                <w:sz w:val="20"/>
                <w:szCs w:val="20"/>
              </w:rPr>
              <w:lastRenderedPageBreak/>
              <w:t>sole PBS-subsidised systemic anti-cancer therapy for this PBS indication, patient must be undergoing initial treatment with this drug - this is the first prescription for this drug, or patient must be undergoing continuing treatment with this drug - the condition has not progressed whilst the patient has actively been on this drug.</w:t>
            </w:r>
          </w:p>
        </w:tc>
      </w:tr>
      <w:tr w:rsidR="00507180" w:rsidRPr="00130553" w14:paraId="343AF0F6" w14:textId="77777777" w:rsidTr="00B12867">
        <w:tc>
          <w:tcPr>
            <w:tcW w:w="1887" w:type="dxa"/>
            <w:vMerge/>
          </w:tcPr>
          <w:p w14:paraId="1673B0E0" w14:textId="77777777" w:rsidR="00507180" w:rsidRPr="00507180" w:rsidRDefault="00507180" w:rsidP="00B12867">
            <w:pPr>
              <w:rPr>
                <w:rFonts w:ascii="Calibri" w:hAnsi="Calibri" w:cs="Calibri"/>
                <w:sz w:val="20"/>
                <w:szCs w:val="20"/>
              </w:rPr>
            </w:pPr>
          </w:p>
        </w:tc>
        <w:tc>
          <w:tcPr>
            <w:tcW w:w="7180" w:type="dxa"/>
          </w:tcPr>
          <w:p w14:paraId="6F553E10" w14:textId="1D972731" w:rsidR="00507180" w:rsidRPr="00507180" w:rsidRDefault="00507180" w:rsidP="00B12867">
            <w:pPr>
              <w:rPr>
                <w:rFonts w:ascii="Calibri" w:hAnsi="Calibri" w:cs="Calibri"/>
                <w:sz w:val="20"/>
                <w:szCs w:val="20"/>
              </w:rPr>
            </w:pPr>
            <w:r w:rsidRPr="00507180">
              <w:rPr>
                <w:rFonts w:ascii="Calibri" w:hAnsi="Calibri" w:cs="Calibri"/>
                <w:sz w:val="20"/>
                <w:szCs w:val="20"/>
              </w:rPr>
              <w:t xml:space="preserve">Treatment of relapsed/refractory disease, condition must have relapsed or be refractory to at least one prior therapy, treatment must be the sole PBS-subsidised systemic anti-cancer therapy for this PBS indication, patient must not be undergoing retreatment (second/subsequent treatment course) with this drug where prior treatment of </w:t>
            </w:r>
            <w:r w:rsidR="002211ED">
              <w:rPr>
                <w:rFonts w:ascii="Calibri" w:hAnsi="Calibri" w:cs="Calibri"/>
                <w:sz w:val="20"/>
                <w:szCs w:val="20"/>
              </w:rPr>
              <w:t>CLL/SLL</w:t>
            </w:r>
            <w:r w:rsidRPr="00507180">
              <w:rPr>
                <w:rFonts w:ascii="Calibri" w:hAnsi="Calibri" w:cs="Calibri"/>
                <w:sz w:val="20"/>
                <w:szCs w:val="20"/>
              </w:rPr>
              <w:t xml:space="preserve"> with this same drug was unable to prevent disease progression, patient must be undergoing treatment through this treatment phase listing for the first time (initial treatment), or patient must be undergoing continuing treatment through this treatment phase listing, with disease progression being absent.</w:t>
            </w:r>
          </w:p>
        </w:tc>
      </w:tr>
    </w:tbl>
    <w:p w14:paraId="5F618D86" w14:textId="77777777" w:rsidR="00DB4932" w:rsidRDefault="00DB4932" w:rsidP="00A35800"/>
    <w:p w14:paraId="22433632" w14:textId="429A0B23" w:rsidR="006775F1" w:rsidRDefault="006775F1" w:rsidP="00A35800">
      <w:pPr>
        <w:rPr>
          <w:rStyle w:val="Hyperlink"/>
        </w:rPr>
      </w:pPr>
      <w:r w:rsidRPr="006775F1" w:rsidDel="00EE2BBB">
        <w:t xml:space="preserve">For </w:t>
      </w:r>
      <w:r w:rsidR="00835337" w:rsidDel="00EE2BBB">
        <w:t xml:space="preserve">details of the current PBS listing refer to the </w:t>
      </w:r>
      <w:hyperlink r:id="rId16" w:history="1">
        <w:r w:rsidR="00D1488D">
          <w:rPr>
            <w:rStyle w:val="Hyperlink"/>
          </w:rPr>
          <w:t>Pharmaceutical Benefits Scheme (PBS) | Home</w:t>
        </w:r>
      </w:hyperlink>
      <w:r w:rsidR="00D1488D">
        <w:t>.</w:t>
      </w:r>
    </w:p>
    <w:p w14:paraId="7D39535E" w14:textId="51B33DE6" w:rsidR="00351F17" w:rsidRPr="00351F17" w:rsidRDefault="00351F17" w:rsidP="00A35800">
      <w:pPr>
        <w:rPr>
          <w:rStyle w:val="Hyperlink"/>
          <w:b/>
          <w:bCs/>
          <w:color w:val="auto"/>
          <w:u w:val="none"/>
        </w:rPr>
      </w:pPr>
      <w:r w:rsidRPr="00351F17">
        <w:rPr>
          <w:rStyle w:val="Hyperlink"/>
          <w:b/>
          <w:bCs/>
          <w:color w:val="auto"/>
          <w:u w:val="none"/>
        </w:rPr>
        <w:t>Table 7: PBS restricted users for CLL/SLL drugs</w:t>
      </w:r>
    </w:p>
    <w:tbl>
      <w:tblPr>
        <w:tblStyle w:val="TableGrid"/>
        <w:tblW w:w="9067" w:type="dxa"/>
        <w:tblLook w:val="04A0" w:firstRow="1" w:lastRow="0" w:firstColumn="1" w:lastColumn="0" w:noHBand="0" w:noVBand="1"/>
      </w:tblPr>
      <w:tblGrid>
        <w:gridCol w:w="2976"/>
        <w:gridCol w:w="6091"/>
      </w:tblGrid>
      <w:tr w:rsidR="00B53ED6" w:rsidRPr="00130553" w14:paraId="4F29D152" w14:textId="77777777" w:rsidTr="00351F17">
        <w:tc>
          <w:tcPr>
            <w:tcW w:w="2976" w:type="dxa"/>
            <w:shd w:val="clear" w:color="auto" w:fill="BFBFBF" w:themeFill="background1" w:themeFillShade="BF"/>
          </w:tcPr>
          <w:p w14:paraId="2B9A627C" w14:textId="77777777" w:rsidR="00B53ED6" w:rsidRPr="00351F17" w:rsidRDefault="00B53ED6" w:rsidP="00B12867">
            <w:pPr>
              <w:rPr>
                <w:rFonts w:ascii="Calibri" w:hAnsi="Calibri" w:cs="Calibri"/>
                <w:b/>
                <w:bCs/>
                <w:sz w:val="20"/>
                <w:szCs w:val="20"/>
              </w:rPr>
            </w:pPr>
            <w:r w:rsidRPr="00351F17">
              <w:rPr>
                <w:rFonts w:ascii="Calibri" w:hAnsi="Calibri" w:cs="Calibri"/>
                <w:b/>
                <w:bCs/>
                <w:sz w:val="20"/>
                <w:szCs w:val="20"/>
              </w:rPr>
              <w:t>Drug</w:t>
            </w:r>
          </w:p>
        </w:tc>
        <w:tc>
          <w:tcPr>
            <w:tcW w:w="6091" w:type="dxa"/>
            <w:shd w:val="clear" w:color="auto" w:fill="BFBFBF" w:themeFill="background1" w:themeFillShade="BF"/>
          </w:tcPr>
          <w:p w14:paraId="73C106AB" w14:textId="77777777" w:rsidR="00B53ED6" w:rsidRPr="00351F17" w:rsidRDefault="00B53ED6" w:rsidP="00B12867">
            <w:pPr>
              <w:rPr>
                <w:rFonts w:ascii="Calibri" w:hAnsi="Calibri" w:cs="Calibri"/>
                <w:b/>
                <w:bCs/>
                <w:sz w:val="20"/>
                <w:szCs w:val="20"/>
              </w:rPr>
            </w:pPr>
            <w:r w:rsidRPr="00351F17">
              <w:rPr>
                <w:rFonts w:ascii="Calibri" w:hAnsi="Calibri" w:cs="Calibri"/>
                <w:b/>
                <w:bCs/>
                <w:sz w:val="20"/>
                <w:szCs w:val="20"/>
              </w:rPr>
              <w:t>PBS Restrictions</w:t>
            </w:r>
          </w:p>
        </w:tc>
      </w:tr>
      <w:tr w:rsidR="00B53ED6" w:rsidRPr="00130553" w14:paraId="5BC71C6C" w14:textId="77777777" w:rsidTr="00B53ED6">
        <w:tc>
          <w:tcPr>
            <w:tcW w:w="2976" w:type="dxa"/>
          </w:tcPr>
          <w:p w14:paraId="125012BB" w14:textId="77777777" w:rsidR="00B53ED6" w:rsidRPr="005C6D76" w:rsidRDefault="00B53ED6" w:rsidP="00B12867">
            <w:pPr>
              <w:rPr>
                <w:rFonts w:ascii="Calibri" w:hAnsi="Calibri" w:cs="Calibri"/>
                <w:sz w:val="20"/>
                <w:szCs w:val="20"/>
              </w:rPr>
            </w:pPr>
            <w:r w:rsidRPr="005C6D76">
              <w:rPr>
                <w:rFonts w:ascii="Calibri" w:hAnsi="Calibri" w:cs="Calibri"/>
                <w:sz w:val="20"/>
                <w:szCs w:val="20"/>
              </w:rPr>
              <w:t>ACALABRUTINIB</w:t>
            </w:r>
          </w:p>
        </w:tc>
        <w:tc>
          <w:tcPr>
            <w:tcW w:w="6091" w:type="dxa"/>
          </w:tcPr>
          <w:p w14:paraId="6FCB0D38" w14:textId="5B84E4E8" w:rsidR="00B53ED6" w:rsidRPr="005C6D76" w:rsidRDefault="002211ED" w:rsidP="00B12867">
            <w:pPr>
              <w:rPr>
                <w:rFonts w:ascii="Calibri" w:hAnsi="Calibri" w:cs="Calibri"/>
                <w:sz w:val="20"/>
                <w:szCs w:val="20"/>
              </w:rPr>
            </w:pPr>
            <w:r>
              <w:rPr>
                <w:rFonts w:ascii="Calibri" w:hAnsi="Calibri" w:cs="Calibri"/>
                <w:sz w:val="20"/>
                <w:szCs w:val="20"/>
              </w:rPr>
              <w:t>CLL/SLL</w:t>
            </w:r>
            <w:r w:rsidR="00B53ED6" w:rsidRPr="005C6D76">
              <w:rPr>
                <w:rFonts w:ascii="Calibri" w:hAnsi="Calibri" w:cs="Calibri"/>
                <w:sz w:val="20"/>
                <w:szCs w:val="20"/>
              </w:rPr>
              <w:t>, Mantle cell lymphoma.</w:t>
            </w:r>
          </w:p>
        </w:tc>
      </w:tr>
      <w:tr w:rsidR="00B53ED6" w:rsidRPr="00130553" w14:paraId="5EDA2EEC" w14:textId="77777777" w:rsidTr="00B53ED6">
        <w:tc>
          <w:tcPr>
            <w:tcW w:w="2976" w:type="dxa"/>
          </w:tcPr>
          <w:p w14:paraId="009A377A" w14:textId="77777777" w:rsidR="00B53ED6" w:rsidRPr="005C6D76" w:rsidRDefault="00B53ED6" w:rsidP="00B12867">
            <w:pPr>
              <w:rPr>
                <w:rFonts w:ascii="Calibri" w:hAnsi="Calibri" w:cs="Calibri"/>
                <w:sz w:val="20"/>
                <w:szCs w:val="20"/>
              </w:rPr>
            </w:pPr>
            <w:r w:rsidRPr="005C6D76">
              <w:rPr>
                <w:rFonts w:ascii="Calibri" w:hAnsi="Calibri" w:cs="Calibri"/>
                <w:sz w:val="20"/>
                <w:szCs w:val="20"/>
              </w:rPr>
              <w:t>IBRUTINIB</w:t>
            </w:r>
          </w:p>
        </w:tc>
        <w:tc>
          <w:tcPr>
            <w:tcW w:w="6091" w:type="dxa"/>
          </w:tcPr>
          <w:p w14:paraId="69117C4B" w14:textId="224E8BFC" w:rsidR="00B53ED6" w:rsidRPr="005C6D76" w:rsidRDefault="002211ED" w:rsidP="00B12867">
            <w:pPr>
              <w:rPr>
                <w:rFonts w:ascii="Calibri" w:hAnsi="Calibri" w:cs="Calibri"/>
                <w:sz w:val="20"/>
                <w:szCs w:val="20"/>
              </w:rPr>
            </w:pPr>
            <w:r>
              <w:rPr>
                <w:rFonts w:ascii="Calibri" w:hAnsi="Calibri" w:cs="Calibri"/>
                <w:sz w:val="20"/>
                <w:szCs w:val="20"/>
              </w:rPr>
              <w:t>CLL/SLL</w:t>
            </w:r>
            <w:r w:rsidR="00B53ED6" w:rsidRPr="005C6D76">
              <w:rPr>
                <w:rFonts w:ascii="Calibri" w:hAnsi="Calibri" w:cs="Calibri"/>
                <w:sz w:val="20"/>
                <w:szCs w:val="20"/>
              </w:rPr>
              <w:t>, Mantle cell lymphoma.</w:t>
            </w:r>
          </w:p>
        </w:tc>
      </w:tr>
      <w:tr w:rsidR="00B53ED6" w:rsidRPr="00130553" w14:paraId="699099D4" w14:textId="77777777" w:rsidTr="00B53ED6">
        <w:tc>
          <w:tcPr>
            <w:tcW w:w="2976" w:type="dxa"/>
          </w:tcPr>
          <w:p w14:paraId="7347003A" w14:textId="77777777" w:rsidR="00B53ED6" w:rsidRPr="005C6D76" w:rsidRDefault="00B53ED6" w:rsidP="00B12867">
            <w:pPr>
              <w:rPr>
                <w:rFonts w:ascii="Calibri" w:hAnsi="Calibri" w:cs="Calibri"/>
                <w:sz w:val="20"/>
                <w:szCs w:val="20"/>
              </w:rPr>
            </w:pPr>
            <w:r w:rsidRPr="005C6D76">
              <w:rPr>
                <w:rFonts w:ascii="Calibri" w:hAnsi="Calibri" w:cs="Calibri"/>
                <w:sz w:val="20"/>
                <w:szCs w:val="20"/>
              </w:rPr>
              <w:t>IDELALISIB</w:t>
            </w:r>
          </w:p>
        </w:tc>
        <w:tc>
          <w:tcPr>
            <w:tcW w:w="6091" w:type="dxa"/>
          </w:tcPr>
          <w:p w14:paraId="18149B25" w14:textId="1EB56F0E" w:rsidR="00B53ED6" w:rsidRPr="005C6D76" w:rsidRDefault="002211ED" w:rsidP="00B12867">
            <w:pPr>
              <w:rPr>
                <w:rFonts w:ascii="Calibri" w:hAnsi="Calibri" w:cs="Calibri"/>
                <w:sz w:val="20"/>
                <w:szCs w:val="20"/>
              </w:rPr>
            </w:pPr>
            <w:r>
              <w:rPr>
                <w:rFonts w:ascii="Calibri" w:hAnsi="Calibri" w:cs="Calibri"/>
                <w:sz w:val="20"/>
                <w:szCs w:val="20"/>
              </w:rPr>
              <w:t>CLL/SLL</w:t>
            </w:r>
            <w:r w:rsidR="00B53ED6" w:rsidRPr="005C6D76">
              <w:rPr>
                <w:rFonts w:ascii="Calibri" w:hAnsi="Calibri" w:cs="Calibri"/>
                <w:sz w:val="20"/>
                <w:szCs w:val="20"/>
              </w:rPr>
              <w:t>, Refractory follicular B-cell non-Hodgkin's lymphoma.</w:t>
            </w:r>
          </w:p>
        </w:tc>
      </w:tr>
      <w:tr w:rsidR="00B53ED6" w:rsidRPr="00130553" w14:paraId="51377C39" w14:textId="77777777" w:rsidTr="00B53ED6">
        <w:tc>
          <w:tcPr>
            <w:tcW w:w="2976" w:type="dxa"/>
          </w:tcPr>
          <w:p w14:paraId="6B6A4D7A" w14:textId="77777777" w:rsidR="00B53ED6" w:rsidRPr="005C6D76" w:rsidRDefault="00B53ED6" w:rsidP="00B12867">
            <w:pPr>
              <w:rPr>
                <w:rFonts w:ascii="Calibri" w:hAnsi="Calibri" w:cs="Calibri"/>
                <w:sz w:val="20"/>
                <w:szCs w:val="20"/>
              </w:rPr>
            </w:pPr>
            <w:r w:rsidRPr="005C6D76">
              <w:rPr>
                <w:rFonts w:ascii="Calibri" w:hAnsi="Calibri" w:cs="Calibri"/>
                <w:sz w:val="20"/>
                <w:szCs w:val="20"/>
              </w:rPr>
              <w:t>OBINUTUZUMAB</w:t>
            </w:r>
          </w:p>
        </w:tc>
        <w:tc>
          <w:tcPr>
            <w:tcW w:w="6091" w:type="dxa"/>
          </w:tcPr>
          <w:p w14:paraId="5DF6696E" w14:textId="0692B68D" w:rsidR="00B53ED6" w:rsidRPr="005C6D76" w:rsidRDefault="002211ED" w:rsidP="00B12867">
            <w:pPr>
              <w:rPr>
                <w:rFonts w:ascii="Calibri" w:hAnsi="Calibri" w:cs="Calibri"/>
                <w:sz w:val="20"/>
                <w:szCs w:val="20"/>
              </w:rPr>
            </w:pPr>
            <w:r>
              <w:rPr>
                <w:rFonts w:ascii="Calibri" w:hAnsi="Calibri" w:cs="Calibri"/>
                <w:sz w:val="20"/>
                <w:szCs w:val="20"/>
              </w:rPr>
              <w:t>CLL/SLL</w:t>
            </w:r>
            <w:r w:rsidR="00B53ED6" w:rsidRPr="005C6D76">
              <w:rPr>
                <w:rFonts w:ascii="Calibri" w:hAnsi="Calibri" w:cs="Calibri"/>
                <w:sz w:val="20"/>
                <w:szCs w:val="20"/>
              </w:rPr>
              <w:t>, Follicular lymphoma.</w:t>
            </w:r>
          </w:p>
        </w:tc>
      </w:tr>
      <w:tr w:rsidR="00B53ED6" w:rsidRPr="00130553" w14:paraId="37180713" w14:textId="77777777" w:rsidTr="00B53ED6">
        <w:tc>
          <w:tcPr>
            <w:tcW w:w="2976" w:type="dxa"/>
          </w:tcPr>
          <w:p w14:paraId="58A579B0" w14:textId="77777777" w:rsidR="00B53ED6" w:rsidRPr="005C6D76" w:rsidRDefault="00B53ED6" w:rsidP="00B12867">
            <w:pPr>
              <w:rPr>
                <w:rFonts w:ascii="Calibri" w:hAnsi="Calibri" w:cs="Calibri"/>
                <w:sz w:val="20"/>
                <w:szCs w:val="20"/>
              </w:rPr>
            </w:pPr>
            <w:r w:rsidRPr="005C6D76">
              <w:rPr>
                <w:rFonts w:ascii="Calibri" w:hAnsi="Calibri" w:cs="Calibri"/>
                <w:sz w:val="20"/>
                <w:szCs w:val="20"/>
              </w:rPr>
              <w:t>VENETOCLAX</w:t>
            </w:r>
          </w:p>
        </w:tc>
        <w:tc>
          <w:tcPr>
            <w:tcW w:w="6091" w:type="dxa"/>
          </w:tcPr>
          <w:p w14:paraId="55D3BD75" w14:textId="4002887E" w:rsidR="00B53ED6" w:rsidRPr="005C6D76" w:rsidRDefault="002211ED" w:rsidP="00B12867">
            <w:pPr>
              <w:rPr>
                <w:rFonts w:ascii="Calibri" w:hAnsi="Calibri" w:cs="Calibri"/>
                <w:sz w:val="20"/>
                <w:szCs w:val="20"/>
              </w:rPr>
            </w:pPr>
            <w:r>
              <w:rPr>
                <w:rFonts w:ascii="Calibri" w:hAnsi="Calibri" w:cs="Calibri"/>
                <w:sz w:val="20"/>
                <w:szCs w:val="20"/>
              </w:rPr>
              <w:t>CLL/SLL</w:t>
            </w:r>
            <w:r w:rsidR="00B53ED6" w:rsidRPr="005C6D76">
              <w:rPr>
                <w:rFonts w:ascii="Calibri" w:hAnsi="Calibri" w:cs="Calibri"/>
                <w:sz w:val="20"/>
                <w:szCs w:val="20"/>
              </w:rPr>
              <w:t>, Acute Myeloid Leukaemia.</w:t>
            </w:r>
          </w:p>
        </w:tc>
      </w:tr>
      <w:tr w:rsidR="00B53ED6" w:rsidRPr="00130553" w14:paraId="24B60596" w14:textId="77777777" w:rsidTr="00B53ED6">
        <w:tc>
          <w:tcPr>
            <w:tcW w:w="2976" w:type="dxa"/>
          </w:tcPr>
          <w:p w14:paraId="2FD42803" w14:textId="77777777" w:rsidR="00B53ED6" w:rsidRPr="005C6D76" w:rsidRDefault="00B53ED6" w:rsidP="00B12867">
            <w:pPr>
              <w:rPr>
                <w:rFonts w:ascii="Calibri" w:hAnsi="Calibri" w:cs="Calibri"/>
                <w:sz w:val="20"/>
                <w:szCs w:val="20"/>
              </w:rPr>
            </w:pPr>
            <w:r w:rsidRPr="005C6D76">
              <w:rPr>
                <w:rFonts w:ascii="Calibri" w:hAnsi="Calibri" w:cs="Calibri"/>
                <w:sz w:val="20"/>
                <w:szCs w:val="20"/>
              </w:rPr>
              <w:t>ZANUBRUTINIB</w:t>
            </w:r>
          </w:p>
        </w:tc>
        <w:tc>
          <w:tcPr>
            <w:tcW w:w="6091" w:type="dxa"/>
          </w:tcPr>
          <w:p w14:paraId="700C58C2" w14:textId="42DADAD4" w:rsidR="00B53ED6" w:rsidRPr="005C6D76" w:rsidRDefault="002211ED" w:rsidP="00B12867">
            <w:pPr>
              <w:rPr>
                <w:rFonts w:ascii="Calibri" w:hAnsi="Calibri" w:cs="Calibri"/>
                <w:sz w:val="20"/>
                <w:szCs w:val="20"/>
              </w:rPr>
            </w:pPr>
            <w:r>
              <w:rPr>
                <w:rFonts w:ascii="Calibri" w:hAnsi="Calibri" w:cs="Calibri"/>
                <w:sz w:val="20"/>
                <w:szCs w:val="20"/>
              </w:rPr>
              <w:t>CLL/SLL</w:t>
            </w:r>
            <w:r w:rsidR="00B53ED6" w:rsidRPr="005C6D76">
              <w:rPr>
                <w:rFonts w:ascii="Calibri" w:hAnsi="Calibri" w:cs="Calibri"/>
                <w:sz w:val="20"/>
                <w:szCs w:val="20"/>
              </w:rPr>
              <w:t>, Mantle cell lymphoma, Waldenstrom macroglobulinaemia.</w:t>
            </w:r>
          </w:p>
        </w:tc>
      </w:tr>
    </w:tbl>
    <w:p w14:paraId="45B0A88F" w14:textId="77777777" w:rsidR="007541E1" w:rsidRPr="006775F1" w:rsidDel="00EE2BBB" w:rsidRDefault="007541E1" w:rsidP="00A35800"/>
    <w:p w14:paraId="509ADFEB" w14:textId="201634E9" w:rsidR="009C35F2" w:rsidRDefault="009C35F2" w:rsidP="00CF5E22">
      <w:pPr>
        <w:pStyle w:val="Heading3"/>
      </w:pPr>
      <w:r w:rsidRPr="00675BB1" w:rsidDel="00EE2BBB">
        <w:t>Date of listing on PBS</w:t>
      </w:r>
    </w:p>
    <w:p w14:paraId="7F133AFB" w14:textId="7532BC4A" w:rsidR="00351F17" w:rsidRPr="00351F17" w:rsidRDefault="00351F17" w:rsidP="00351F17">
      <w:pPr>
        <w:rPr>
          <w:b/>
          <w:bCs/>
        </w:rPr>
      </w:pPr>
      <w:r w:rsidRPr="00351F17">
        <w:rPr>
          <w:b/>
          <w:bCs/>
        </w:rPr>
        <w:t>Table 8: Date of PBS restrictions for CLL/SLL drugs</w:t>
      </w:r>
    </w:p>
    <w:tbl>
      <w:tblPr>
        <w:tblStyle w:val="TableGrid"/>
        <w:tblW w:w="9067" w:type="dxa"/>
        <w:tblLook w:val="04A0" w:firstRow="1" w:lastRow="0" w:firstColumn="1" w:lastColumn="0" w:noHBand="0" w:noVBand="1"/>
      </w:tblPr>
      <w:tblGrid>
        <w:gridCol w:w="2118"/>
        <w:gridCol w:w="6949"/>
      </w:tblGrid>
      <w:tr w:rsidR="007541E1" w:rsidRPr="00130553" w14:paraId="58D7E7B7" w14:textId="77777777" w:rsidTr="00351F17">
        <w:tc>
          <w:tcPr>
            <w:tcW w:w="2118" w:type="dxa"/>
            <w:shd w:val="clear" w:color="auto" w:fill="BFBFBF" w:themeFill="background1" w:themeFillShade="BF"/>
          </w:tcPr>
          <w:p w14:paraId="4319743C" w14:textId="77777777" w:rsidR="007541E1" w:rsidRPr="00351F17" w:rsidRDefault="007541E1" w:rsidP="00B12867">
            <w:pPr>
              <w:rPr>
                <w:rFonts w:ascii="Calibri" w:hAnsi="Calibri" w:cs="Calibri"/>
                <w:b/>
                <w:bCs/>
                <w:sz w:val="20"/>
                <w:szCs w:val="20"/>
              </w:rPr>
            </w:pPr>
            <w:r w:rsidRPr="00351F17">
              <w:rPr>
                <w:rFonts w:ascii="Calibri" w:hAnsi="Calibri" w:cs="Calibri"/>
                <w:b/>
                <w:bCs/>
                <w:sz w:val="20"/>
                <w:szCs w:val="20"/>
              </w:rPr>
              <w:t>Drug</w:t>
            </w:r>
          </w:p>
        </w:tc>
        <w:tc>
          <w:tcPr>
            <w:tcW w:w="6949" w:type="dxa"/>
            <w:shd w:val="clear" w:color="auto" w:fill="BFBFBF" w:themeFill="background1" w:themeFillShade="BF"/>
          </w:tcPr>
          <w:p w14:paraId="362587CF" w14:textId="2C830831" w:rsidR="007541E1" w:rsidRPr="00351F17" w:rsidRDefault="007541E1" w:rsidP="00B12867">
            <w:pPr>
              <w:rPr>
                <w:rFonts w:ascii="Calibri" w:hAnsi="Calibri" w:cs="Calibri"/>
                <w:b/>
                <w:bCs/>
                <w:sz w:val="20"/>
                <w:szCs w:val="20"/>
              </w:rPr>
            </w:pPr>
            <w:r w:rsidRPr="00351F17">
              <w:rPr>
                <w:rFonts w:ascii="Calibri" w:hAnsi="Calibri" w:cs="Calibri"/>
                <w:b/>
                <w:bCs/>
                <w:sz w:val="20"/>
                <w:szCs w:val="20"/>
              </w:rPr>
              <w:t>Date of PBS Restrictions</w:t>
            </w:r>
            <w:r w:rsidR="005C6D76" w:rsidRPr="00351F17">
              <w:rPr>
                <w:rFonts w:ascii="Calibri" w:hAnsi="Calibri" w:cs="Calibri"/>
                <w:b/>
                <w:bCs/>
                <w:sz w:val="20"/>
                <w:szCs w:val="20"/>
              </w:rPr>
              <w:t xml:space="preserve"> for </w:t>
            </w:r>
            <w:r w:rsidR="00382114" w:rsidRPr="00351F17">
              <w:rPr>
                <w:rFonts w:ascii="Calibri" w:hAnsi="Calibri" w:cs="Calibri"/>
                <w:b/>
                <w:bCs/>
                <w:sz w:val="20"/>
                <w:szCs w:val="20"/>
              </w:rPr>
              <w:t>CLL</w:t>
            </w:r>
            <w:r w:rsidR="00351F17" w:rsidRPr="00351F17">
              <w:rPr>
                <w:rFonts w:ascii="Calibri" w:hAnsi="Calibri" w:cs="Calibri"/>
                <w:b/>
                <w:bCs/>
                <w:sz w:val="20"/>
                <w:szCs w:val="20"/>
              </w:rPr>
              <w:t>/</w:t>
            </w:r>
            <w:r w:rsidR="00382114" w:rsidRPr="00351F17">
              <w:rPr>
                <w:rFonts w:ascii="Calibri" w:hAnsi="Calibri" w:cs="Calibri"/>
                <w:b/>
                <w:bCs/>
                <w:sz w:val="20"/>
                <w:szCs w:val="20"/>
              </w:rPr>
              <w:t>SLL</w:t>
            </w:r>
          </w:p>
        </w:tc>
      </w:tr>
      <w:tr w:rsidR="007541E1" w:rsidRPr="00130553" w14:paraId="5D8D444A" w14:textId="77777777" w:rsidTr="007541E1">
        <w:tc>
          <w:tcPr>
            <w:tcW w:w="2118" w:type="dxa"/>
          </w:tcPr>
          <w:p w14:paraId="6DE13750" w14:textId="77777777" w:rsidR="007541E1" w:rsidRPr="007541E1" w:rsidRDefault="007541E1" w:rsidP="00B12867">
            <w:pPr>
              <w:rPr>
                <w:rFonts w:ascii="Calibri" w:hAnsi="Calibri" w:cs="Calibri"/>
                <w:sz w:val="20"/>
                <w:szCs w:val="20"/>
              </w:rPr>
            </w:pPr>
            <w:bookmarkStart w:id="1" w:name="_Hlk203989353"/>
            <w:r w:rsidRPr="007541E1">
              <w:rPr>
                <w:rFonts w:ascii="Calibri" w:hAnsi="Calibri" w:cs="Calibri"/>
                <w:sz w:val="20"/>
                <w:szCs w:val="20"/>
              </w:rPr>
              <w:t>ACALABRUTINIB</w:t>
            </w:r>
          </w:p>
        </w:tc>
        <w:tc>
          <w:tcPr>
            <w:tcW w:w="6949" w:type="dxa"/>
          </w:tcPr>
          <w:p w14:paraId="621891D0"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September 2020 for 2</w:t>
            </w:r>
            <w:r w:rsidRPr="007541E1">
              <w:rPr>
                <w:rFonts w:ascii="Calibri" w:hAnsi="Calibri" w:cs="Calibri"/>
                <w:sz w:val="20"/>
                <w:szCs w:val="20"/>
                <w:vertAlign w:val="superscript"/>
              </w:rPr>
              <w:t>nd</w:t>
            </w:r>
            <w:r w:rsidRPr="007541E1">
              <w:rPr>
                <w:rFonts w:ascii="Calibri" w:hAnsi="Calibri" w:cs="Calibri"/>
                <w:sz w:val="20"/>
                <w:szCs w:val="20"/>
              </w:rPr>
              <w:t xml:space="preserve"> line.</w:t>
            </w:r>
          </w:p>
          <w:p w14:paraId="639EC8E1"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January 2024 for 1</w:t>
            </w:r>
            <w:r w:rsidRPr="007541E1">
              <w:rPr>
                <w:rFonts w:ascii="Calibri" w:hAnsi="Calibri" w:cs="Calibri"/>
                <w:sz w:val="20"/>
                <w:szCs w:val="20"/>
                <w:vertAlign w:val="superscript"/>
              </w:rPr>
              <w:t>st</w:t>
            </w:r>
            <w:r w:rsidRPr="007541E1">
              <w:rPr>
                <w:rFonts w:ascii="Calibri" w:hAnsi="Calibri" w:cs="Calibri"/>
                <w:sz w:val="20"/>
                <w:szCs w:val="20"/>
              </w:rPr>
              <w:t xml:space="preserve"> line as monotherapy or in combination with obinutuzumab.</w:t>
            </w:r>
          </w:p>
        </w:tc>
      </w:tr>
      <w:tr w:rsidR="007541E1" w:rsidRPr="00130553" w14:paraId="571D3283" w14:textId="77777777" w:rsidTr="007541E1">
        <w:tc>
          <w:tcPr>
            <w:tcW w:w="2118" w:type="dxa"/>
          </w:tcPr>
          <w:p w14:paraId="0F81C1F2"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IBRUTINIB</w:t>
            </w:r>
          </w:p>
        </w:tc>
        <w:tc>
          <w:tcPr>
            <w:tcW w:w="6949" w:type="dxa"/>
          </w:tcPr>
          <w:p w14:paraId="3B87C87D"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December 2017 for 2</w:t>
            </w:r>
            <w:r w:rsidRPr="007541E1">
              <w:rPr>
                <w:rFonts w:ascii="Calibri" w:hAnsi="Calibri" w:cs="Calibri"/>
                <w:sz w:val="20"/>
                <w:szCs w:val="20"/>
                <w:vertAlign w:val="superscript"/>
              </w:rPr>
              <w:t>nd</w:t>
            </w:r>
            <w:r w:rsidRPr="007541E1">
              <w:rPr>
                <w:rFonts w:ascii="Calibri" w:hAnsi="Calibri" w:cs="Calibri"/>
                <w:sz w:val="20"/>
                <w:szCs w:val="20"/>
              </w:rPr>
              <w:t xml:space="preserve"> line.</w:t>
            </w:r>
          </w:p>
          <w:p w14:paraId="63232A5E"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October 2024 for 1</w:t>
            </w:r>
            <w:r w:rsidRPr="007541E1">
              <w:rPr>
                <w:rFonts w:ascii="Calibri" w:hAnsi="Calibri" w:cs="Calibri"/>
                <w:sz w:val="20"/>
                <w:szCs w:val="20"/>
                <w:vertAlign w:val="superscript"/>
              </w:rPr>
              <w:t>st</w:t>
            </w:r>
            <w:r w:rsidRPr="007541E1">
              <w:rPr>
                <w:rFonts w:ascii="Calibri" w:hAnsi="Calibri" w:cs="Calibri"/>
                <w:sz w:val="20"/>
                <w:szCs w:val="20"/>
              </w:rPr>
              <w:t xml:space="preserve"> line in combination with venetoclax.</w:t>
            </w:r>
          </w:p>
        </w:tc>
      </w:tr>
      <w:tr w:rsidR="007541E1" w:rsidRPr="00130553" w14:paraId="22CCCCD5" w14:textId="77777777" w:rsidTr="007541E1">
        <w:tc>
          <w:tcPr>
            <w:tcW w:w="2118" w:type="dxa"/>
          </w:tcPr>
          <w:p w14:paraId="1627A7AE"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IDELALISIB</w:t>
            </w:r>
          </w:p>
        </w:tc>
        <w:tc>
          <w:tcPr>
            <w:tcW w:w="6949" w:type="dxa"/>
          </w:tcPr>
          <w:p w14:paraId="7F6A0EF5"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September 2017 for 2</w:t>
            </w:r>
            <w:r w:rsidRPr="007541E1">
              <w:rPr>
                <w:rFonts w:ascii="Calibri" w:hAnsi="Calibri" w:cs="Calibri"/>
                <w:sz w:val="20"/>
                <w:szCs w:val="20"/>
                <w:vertAlign w:val="superscript"/>
              </w:rPr>
              <w:t>nd</w:t>
            </w:r>
            <w:r w:rsidRPr="007541E1">
              <w:rPr>
                <w:rFonts w:ascii="Calibri" w:hAnsi="Calibri" w:cs="Calibri"/>
                <w:sz w:val="20"/>
                <w:szCs w:val="20"/>
              </w:rPr>
              <w:t xml:space="preserve"> line in combination with rituximab.</w:t>
            </w:r>
          </w:p>
        </w:tc>
      </w:tr>
      <w:tr w:rsidR="007541E1" w:rsidRPr="00130553" w14:paraId="7A7BE775" w14:textId="77777777" w:rsidTr="007541E1">
        <w:tc>
          <w:tcPr>
            <w:tcW w:w="2118" w:type="dxa"/>
          </w:tcPr>
          <w:p w14:paraId="25DADCB9"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OBINUTUZUMAB</w:t>
            </w:r>
          </w:p>
        </w:tc>
        <w:tc>
          <w:tcPr>
            <w:tcW w:w="6949" w:type="dxa"/>
          </w:tcPr>
          <w:p w14:paraId="6F3CE866"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August 2015 for 1</w:t>
            </w:r>
            <w:r w:rsidRPr="007541E1">
              <w:rPr>
                <w:rFonts w:ascii="Calibri" w:hAnsi="Calibri" w:cs="Calibri"/>
                <w:sz w:val="20"/>
                <w:szCs w:val="20"/>
                <w:vertAlign w:val="superscript"/>
              </w:rPr>
              <w:t>st</w:t>
            </w:r>
            <w:r w:rsidRPr="007541E1">
              <w:rPr>
                <w:rFonts w:ascii="Calibri" w:hAnsi="Calibri" w:cs="Calibri"/>
                <w:sz w:val="20"/>
                <w:szCs w:val="20"/>
              </w:rPr>
              <w:t xml:space="preserve"> line in combination with chlorambucil. </w:t>
            </w:r>
          </w:p>
          <w:p w14:paraId="0EAC9588"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December 2020 for 1</w:t>
            </w:r>
            <w:r w:rsidRPr="007541E1">
              <w:rPr>
                <w:rFonts w:ascii="Calibri" w:hAnsi="Calibri" w:cs="Calibri"/>
                <w:sz w:val="20"/>
                <w:szCs w:val="20"/>
                <w:vertAlign w:val="superscript"/>
              </w:rPr>
              <w:t>st</w:t>
            </w:r>
            <w:r w:rsidRPr="007541E1">
              <w:rPr>
                <w:rFonts w:ascii="Calibri" w:hAnsi="Calibri" w:cs="Calibri"/>
                <w:sz w:val="20"/>
                <w:szCs w:val="20"/>
              </w:rPr>
              <w:t xml:space="preserve"> line in combination with venetoclax.</w:t>
            </w:r>
          </w:p>
          <w:p w14:paraId="0DF13B48"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Jan 2024 for 1</w:t>
            </w:r>
            <w:r w:rsidRPr="007541E1">
              <w:rPr>
                <w:rFonts w:ascii="Calibri" w:hAnsi="Calibri" w:cs="Calibri"/>
                <w:sz w:val="20"/>
                <w:szCs w:val="20"/>
                <w:vertAlign w:val="superscript"/>
              </w:rPr>
              <w:t>st</w:t>
            </w:r>
            <w:r w:rsidRPr="007541E1">
              <w:rPr>
                <w:rFonts w:ascii="Calibri" w:hAnsi="Calibri" w:cs="Calibri"/>
                <w:sz w:val="20"/>
                <w:szCs w:val="20"/>
              </w:rPr>
              <w:t xml:space="preserve"> line in combination with acalabrutinib. </w:t>
            </w:r>
          </w:p>
        </w:tc>
      </w:tr>
      <w:tr w:rsidR="007541E1" w:rsidRPr="00130553" w14:paraId="29A48AF6" w14:textId="77777777" w:rsidTr="007541E1">
        <w:tc>
          <w:tcPr>
            <w:tcW w:w="2118" w:type="dxa"/>
          </w:tcPr>
          <w:p w14:paraId="7E6B7D72"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VENETOCLAX</w:t>
            </w:r>
          </w:p>
        </w:tc>
        <w:tc>
          <w:tcPr>
            <w:tcW w:w="6949" w:type="dxa"/>
          </w:tcPr>
          <w:p w14:paraId="7E3A637A" w14:textId="4DD249CA" w:rsidR="007541E1" w:rsidRDefault="007541E1" w:rsidP="00B12867">
            <w:pPr>
              <w:rPr>
                <w:rFonts w:ascii="Calibri" w:hAnsi="Calibri" w:cs="Calibri"/>
                <w:sz w:val="20"/>
                <w:szCs w:val="20"/>
              </w:rPr>
            </w:pPr>
            <w:r w:rsidRPr="007541E1">
              <w:rPr>
                <w:rFonts w:ascii="Calibri" w:hAnsi="Calibri" w:cs="Calibri"/>
                <w:sz w:val="20"/>
                <w:szCs w:val="20"/>
              </w:rPr>
              <w:t xml:space="preserve">1 March 2019 </w:t>
            </w:r>
            <w:r w:rsidR="00100AE7">
              <w:rPr>
                <w:rFonts w:ascii="Calibri" w:hAnsi="Calibri" w:cs="Calibri"/>
                <w:sz w:val="20"/>
                <w:szCs w:val="20"/>
              </w:rPr>
              <w:t xml:space="preserve">monotherapy </w:t>
            </w:r>
            <w:r w:rsidRPr="007541E1">
              <w:rPr>
                <w:rFonts w:ascii="Calibri" w:hAnsi="Calibri" w:cs="Calibri"/>
                <w:sz w:val="20"/>
                <w:szCs w:val="20"/>
              </w:rPr>
              <w:t>for 2</w:t>
            </w:r>
            <w:r w:rsidRPr="007541E1">
              <w:rPr>
                <w:rFonts w:ascii="Calibri" w:hAnsi="Calibri" w:cs="Calibri"/>
                <w:sz w:val="20"/>
                <w:szCs w:val="20"/>
                <w:vertAlign w:val="superscript"/>
              </w:rPr>
              <w:t>nd</w:t>
            </w:r>
            <w:r w:rsidRPr="007541E1">
              <w:rPr>
                <w:rFonts w:ascii="Calibri" w:hAnsi="Calibri" w:cs="Calibri"/>
                <w:sz w:val="20"/>
                <w:szCs w:val="20"/>
              </w:rPr>
              <w:t xml:space="preserve"> line.</w:t>
            </w:r>
          </w:p>
          <w:p w14:paraId="400CBABE" w14:textId="6E159001" w:rsidR="00100AE7" w:rsidRPr="007541E1" w:rsidRDefault="00100AE7" w:rsidP="00B12867">
            <w:pPr>
              <w:rPr>
                <w:rFonts w:ascii="Calibri" w:hAnsi="Calibri" w:cs="Calibri"/>
                <w:sz w:val="20"/>
                <w:szCs w:val="20"/>
              </w:rPr>
            </w:pPr>
            <w:r w:rsidRPr="007541E1">
              <w:rPr>
                <w:rFonts w:ascii="Calibri" w:hAnsi="Calibri" w:cs="Calibri"/>
                <w:sz w:val="20"/>
                <w:szCs w:val="20"/>
              </w:rPr>
              <w:t>1 March 2019 for 2</w:t>
            </w:r>
            <w:r w:rsidRPr="007541E1">
              <w:rPr>
                <w:rFonts w:ascii="Calibri" w:hAnsi="Calibri" w:cs="Calibri"/>
                <w:sz w:val="20"/>
                <w:szCs w:val="20"/>
                <w:vertAlign w:val="superscript"/>
              </w:rPr>
              <w:t>nd</w:t>
            </w:r>
            <w:r w:rsidRPr="007541E1">
              <w:rPr>
                <w:rFonts w:ascii="Calibri" w:hAnsi="Calibri" w:cs="Calibri"/>
                <w:sz w:val="20"/>
                <w:szCs w:val="20"/>
              </w:rPr>
              <w:t xml:space="preserve"> line in combination with rituximab.</w:t>
            </w:r>
          </w:p>
          <w:p w14:paraId="210730B0"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December 2020 for 1</w:t>
            </w:r>
            <w:r w:rsidRPr="007541E1">
              <w:rPr>
                <w:rFonts w:ascii="Calibri" w:hAnsi="Calibri" w:cs="Calibri"/>
                <w:sz w:val="20"/>
                <w:szCs w:val="20"/>
                <w:vertAlign w:val="superscript"/>
              </w:rPr>
              <w:t>st</w:t>
            </w:r>
            <w:r w:rsidRPr="007541E1">
              <w:rPr>
                <w:rFonts w:ascii="Calibri" w:hAnsi="Calibri" w:cs="Calibri"/>
                <w:sz w:val="20"/>
                <w:szCs w:val="20"/>
              </w:rPr>
              <w:t xml:space="preserve"> line in combination with obinutuzumab.</w:t>
            </w:r>
          </w:p>
          <w:p w14:paraId="56F2549A"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October 2024 for 1st line in combination with ibrutinib.</w:t>
            </w:r>
          </w:p>
        </w:tc>
      </w:tr>
      <w:tr w:rsidR="007541E1" w:rsidRPr="00130553" w14:paraId="7217BEC6" w14:textId="77777777" w:rsidTr="007541E1">
        <w:tc>
          <w:tcPr>
            <w:tcW w:w="2118" w:type="dxa"/>
          </w:tcPr>
          <w:p w14:paraId="2873D23D"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ZANUBRUTINIB</w:t>
            </w:r>
          </w:p>
        </w:tc>
        <w:tc>
          <w:tcPr>
            <w:tcW w:w="6949" w:type="dxa"/>
          </w:tcPr>
          <w:p w14:paraId="281CC0A8" w14:textId="77777777" w:rsidR="007541E1" w:rsidRPr="007541E1" w:rsidRDefault="007541E1" w:rsidP="00B12867">
            <w:pPr>
              <w:rPr>
                <w:rFonts w:ascii="Calibri" w:hAnsi="Calibri" w:cs="Calibri"/>
                <w:sz w:val="20"/>
                <w:szCs w:val="20"/>
              </w:rPr>
            </w:pPr>
            <w:r w:rsidRPr="007541E1">
              <w:rPr>
                <w:rFonts w:ascii="Calibri" w:hAnsi="Calibri" w:cs="Calibri"/>
                <w:sz w:val="20"/>
                <w:szCs w:val="20"/>
              </w:rPr>
              <w:t>1 September 2023 for 1</w:t>
            </w:r>
            <w:r w:rsidRPr="007541E1">
              <w:rPr>
                <w:rFonts w:ascii="Calibri" w:hAnsi="Calibri" w:cs="Calibri"/>
                <w:sz w:val="20"/>
                <w:szCs w:val="20"/>
                <w:vertAlign w:val="superscript"/>
              </w:rPr>
              <w:t>st</w:t>
            </w:r>
            <w:r w:rsidRPr="007541E1">
              <w:rPr>
                <w:rFonts w:ascii="Calibri" w:hAnsi="Calibri" w:cs="Calibri"/>
                <w:sz w:val="20"/>
                <w:szCs w:val="20"/>
              </w:rPr>
              <w:t xml:space="preserve"> and 2</w:t>
            </w:r>
            <w:r w:rsidRPr="007541E1">
              <w:rPr>
                <w:rFonts w:ascii="Calibri" w:hAnsi="Calibri" w:cs="Calibri"/>
                <w:sz w:val="20"/>
                <w:szCs w:val="20"/>
                <w:vertAlign w:val="superscript"/>
              </w:rPr>
              <w:t>nd</w:t>
            </w:r>
            <w:r w:rsidRPr="007541E1">
              <w:rPr>
                <w:rFonts w:ascii="Calibri" w:hAnsi="Calibri" w:cs="Calibri"/>
                <w:sz w:val="20"/>
                <w:szCs w:val="20"/>
              </w:rPr>
              <w:t xml:space="preserve"> line.</w:t>
            </w:r>
          </w:p>
        </w:tc>
      </w:tr>
      <w:bookmarkEnd w:id="1"/>
    </w:tbl>
    <w:p w14:paraId="14ACC54A" w14:textId="77777777" w:rsidR="007541E1" w:rsidRDefault="007541E1" w:rsidP="007541E1"/>
    <w:p w14:paraId="54FB625A" w14:textId="77777777" w:rsidR="00811485" w:rsidRDefault="00811485" w:rsidP="007541E1"/>
    <w:p w14:paraId="4DFF291C" w14:textId="77777777" w:rsidR="00811485" w:rsidRDefault="00811485" w:rsidP="007541E1"/>
    <w:p w14:paraId="2E6648F8" w14:textId="77777777" w:rsidR="00811485" w:rsidRDefault="00811485" w:rsidP="007541E1"/>
    <w:p w14:paraId="10729673" w14:textId="77777777" w:rsidR="00811485" w:rsidRPr="007541E1" w:rsidRDefault="00811485" w:rsidP="007541E1"/>
    <w:p w14:paraId="39EF75ED" w14:textId="73256AB5" w:rsidR="00675BB1" w:rsidRDefault="00675BB1" w:rsidP="00CF5E22">
      <w:pPr>
        <w:pStyle w:val="Heading3"/>
      </w:pPr>
      <w:r w:rsidRPr="00675BB1" w:rsidDel="00EE2BBB">
        <w:t>Changes to listing</w:t>
      </w:r>
    </w:p>
    <w:p w14:paraId="4E688E88" w14:textId="1AC9ECF0" w:rsidR="007C0CA7" w:rsidRPr="002C5314" w:rsidRDefault="00CA34EE" w:rsidP="007C0CA7">
      <w:pPr>
        <w:spacing w:after="0"/>
      </w:pPr>
      <w:r>
        <w:t xml:space="preserve"> At its </w:t>
      </w:r>
      <w:hyperlink r:id="rId17" w:history="1">
        <w:r w:rsidRPr="009A0DEB">
          <w:rPr>
            <w:rStyle w:val="Hyperlink"/>
          </w:rPr>
          <w:t>March 2023</w:t>
        </w:r>
      </w:hyperlink>
      <w:r>
        <w:t xml:space="preserve"> meeting the PBAC </w:t>
      </w:r>
      <w:r w:rsidRPr="00CA34EE">
        <w:t xml:space="preserve">recommended extending the listing of zanubrutinib to include treatment naïve </w:t>
      </w:r>
      <w:r>
        <w:t xml:space="preserve">and </w:t>
      </w:r>
      <w:r w:rsidRPr="00CA34EE">
        <w:t>relapsed or refractory</w:t>
      </w:r>
      <w:r>
        <w:t xml:space="preserve"> </w:t>
      </w:r>
      <w:r w:rsidRPr="00CA34EE">
        <w:t>chronic CLL or SLL.</w:t>
      </w:r>
      <w:r>
        <w:t xml:space="preserve"> The PBAC </w:t>
      </w:r>
      <w:r w:rsidRPr="00CA34EE">
        <w:t>considered that it would be appropriate to include the International Workshop on CLL (iwCLL) criteria for commencing treatment in the restriction for zanubrutinib, and to flow this change onto the restrictions for all treatments for CLL/SLL patients with both treatment naïve and relapsed/refractory disease.</w:t>
      </w:r>
      <w:r>
        <w:t xml:space="preserve"> This removed the requirement for patients to be </w:t>
      </w:r>
      <w:r w:rsidRPr="00CA34EE">
        <w:t>inappropriate for fludarabine based chemo-immunotherapy</w:t>
      </w:r>
      <w:r>
        <w:t xml:space="preserve">. </w:t>
      </w:r>
      <w:r w:rsidR="002C5314">
        <w:t>These changes were reflected in the restrictions for the other medications for CLL/SLL on 1 September 2023.</w:t>
      </w:r>
    </w:p>
    <w:p w14:paraId="13E16A63" w14:textId="77777777" w:rsidR="007C0CA7" w:rsidRPr="007C0CA7" w:rsidRDefault="007C0CA7" w:rsidP="007C0CA7">
      <w:pPr>
        <w:spacing w:after="0"/>
        <w:rPr>
          <w:sz w:val="20"/>
          <w:szCs w:val="20"/>
        </w:rPr>
      </w:pPr>
    </w:p>
    <w:p w14:paraId="64C94A85" w14:textId="2A9A050C" w:rsidR="00BF544D" w:rsidRPr="002F61CA" w:rsidDel="00EE2BBB" w:rsidRDefault="00BF544D" w:rsidP="00BF544D">
      <w:r w:rsidRPr="002F61CA" w:rsidDel="00EE2BBB">
        <w:t xml:space="preserve">Current PBS listing details are available from </w:t>
      </w:r>
      <w:r w:rsidDel="00EE2BBB">
        <w:t xml:space="preserve">the </w:t>
      </w:r>
      <w:hyperlink r:id="rId18" w:history="1">
        <w:r w:rsidR="00D1488D">
          <w:rPr>
            <w:rStyle w:val="Hyperlink"/>
          </w:rPr>
          <w:t>Pharmaceutical Benefits Scheme (PBS) | Home</w:t>
        </w:r>
      </w:hyperlink>
      <w:r w:rsidR="00D1488D">
        <w:t>.</w:t>
      </w:r>
    </w:p>
    <w:p w14:paraId="383E312E" w14:textId="724CF700" w:rsidR="00736041" w:rsidRDefault="00394AEE" w:rsidP="00CF5E22">
      <w:pPr>
        <w:pStyle w:val="Heading2"/>
      </w:pPr>
      <w:r>
        <w:t>Relevant aspects of</w:t>
      </w:r>
      <w:r w:rsidR="00736041" w:rsidRPr="005E22C2">
        <w:t xml:space="preserve"> consideration</w:t>
      </w:r>
      <w:r>
        <w:t xml:space="preserve"> by the Pharmaceutical Benefits Advisory Committee (PBAC)</w:t>
      </w:r>
    </w:p>
    <w:p w14:paraId="56FC8538" w14:textId="3E30BB41" w:rsidR="00351F17" w:rsidRPr="00351F17" w:rsidRDefault="00351F17" w:rsidP="00351F17">
      <w:pPr>
        <w:rPr>
          <w:b/>
          <w:bCs/>
        </w:rPr>
      </w:pPr>
      <w:r w:rsidRPr="00351F17">
        <w:rPr>
          <w:b/>
          <w:bCs/>
        </w:rPr>
        <w:t xml:space="preserve">Table </w:t>
      </w:r>
      <w:r w:rsidR="002C5314">
        <w:rPr>
          <w:b/>
          <w:bCs/>
        </w:rPr>
        <w:t>9</w:t>
      </w:r>
      <w:r w:rsidRPr="00351F17">
        <w:rPr>
          <w:b/>
          <w:bCs/>
        </w:rPr>
        <w:t>: Relevant PBAC considerations of CLL/SLL drugs</w:t>
      </w:r>
    </w:p>
    <w:tbl>
      <w:tblPr>
        <w:tblStyle w:val="TableGrid"/>
        <w:tblW w:w="0" w:type="auto"/>
        <w:tblLook w:val="04A0" w:firstRow="1" w:lastRow="0" w:firstColumn="1" w:lastColumn="0" w:noHBand="0" w:noVBand="1"/>
      </w:tblPr>
      <w:tblGrid>
        <w:gridCol w:w="1883"/>
        <w:gridCol w:w="1783"/>
        <w:gridCol w:w="5281"/>
      </w:tblGrid>
      <w:tr w:rsidR="00CC3B87" w:rsidRPr="00130553" w14:paraId="480228F9" w14:textId="77777777" w:rsidTr="00351F17">
        <w:tc>
          <w:tcPr>
            <w:tcW w:w="1883" w:type="dxa"/>
            <w:shd w:val="clear" w:color="auto" w:fill="BFBFBF" w:themeFill="background1" w:themeFillShade="BF"/>
          </w:tcPr>
          <w:p w14:paraId="03D6A124" w14:textId="77777777" w:rsidR="00CC3B87" w:rsidRPr="00351F17" w:rsidRDefault="00CC3B87" w:rsidP="00B12867">
            <w:pPr>
              <w:rPr>
                <w:rFonts w:cstheme="minorHAnsi"/>
                <w:b/>
                <w:bCs/>
                <w:sz w:val="20"/>
                <w:szCs w:val="20"/>
              </w:rPr>
            </w:pPr>
            <w:r w:rsidRPr="00351F17">
              <w:rPr>
                <w:rFonts w:cstheme="minorHAnsi"/>
                <w:b/>
                <w:bCs/>
                <w:sz w:val="20"/>
                <w:szCs w:val="20"/>
              </w:rPr>
              <w:t>Drug</w:t>
            </w:r>
          </w:p>
        </w:tc>
        <w:tc>
          <w:tcPr>
            <w:tcW w:w="1783" w:type="dxa"/>
            <w:shd w:val="clear" w:color="auto" w:fill="BFBFBF" w:themeFill="background1" w:themeFillShade="BF"/>
          </w:tcPr>
          <w:p w14:paraId="5BF09314" w14:textId="77777777" w:rsidR="00CC3B87" w:rsidRPr="00351F17" w:rsidRDefault="00CC3B87" w:rsidP="00B12867">
            <w:pPr>
              <w:rPr>
                <w:rFonts w:cstheme="minorHAnsi"/>
                <w:b/>
                <w:bCs/>
                <w:sz w:val="20"/>
                <w:szCs w:val="20"/>
              </w:rPr>
            </w:pPr>
            <w:r w:rsidRPr="00351F17">
              <w:rPr>
                <w:rFonts w:cstheme="minorHAnsi"/>
                <w:b/>
                <w:bCs/>
                <w:sz w:val="20"/>
                <w:szCs w:val="20"/>
              </w:rPr>
              <w:t>Date</w:t>
            </w:r>
          </w:p>
        </w:tc>
        <w:tc>
          <w:tcPr>
            <w:tcW w:w="5281" w:type="dxa"/>
            <w:shd w:val="clear" w:color="auto" w:fill="BFBFBF" w:themeFill="background1" w:themeFillShade="BF"/>
          </w:tcPr>
          <w:p w14:paraId="37475E87" w14:textId="77777777" w:rsidR="00CC3B87" w:rsidRPr="00351F17" w:rsidRDefault="00CC3B87" w:rsidP="00B12867">
            <w:pPr>
              <w:rPr>
                <w:rFonts w:cstheme="minorHAnsi"/>
                <w:b/>
                <w:bCs/>
                <w:sz w:val="20"/>
                <w:szCs w:val="20"/>
              </w:rPr>
            </w:pPr>
            <w:r w:rsidRPr="00351F17">
              <w:rPr>
                <w:rFonts w:cstheme="minorHAnsi"/>
                <w:b/>
                <w:bCs/>
                <w:sz w:val="20"/>
                <w:szCs w:val="20"/>
              </w:rPr>
              <w:t>PBAC Consideration</w:t>
            </w:r>
          </w:p>
        </w:tc>
      </w:tr>
      <w:tr w:rsidR="00367C95" w:rsidRPr="00130553" w14:paraId="1CEE3E05" w14:textId="77777777" w:rsidTr="005460B3">
        <w:tc>
          <w:tcPr>
            <w:tcW w:w="8947" w:type="dxa"/>
            <w:gridSpan w:val="3"/>
          </w:tcPr>
          <w:p w14:paraId="0840118F" w14:textId="740596FD" w:rsidR="00367C95" w:rsidRPr="00CC3B87" w:rsidRDefault="00367C95" w:rsidP="00B12867">
            <w:pPr>
              <w:rPr>
                <w:rFonts w:cstheme="minorHAnsi"/>
                <w:sz w:val="20"/>
                <w:szCs w:val="20"/>
              </w:rPr>
            </w:pPr>
            <w:r w:rsidRPr="00CC3B87">
              <w:rPr>
                <w:rFonts w:cstheme="minorHAnsi"/>
                <w:sz w:val="20"/>
                <w:szCs w:val="20"/>
              </w:rPr>
              <w:t>ACALABRUTINIB</w:t>
            </w:r>
          </w:p>
        </w:tc>
      </w:tr>
      <w:tr w:rsidR="00CC3B87" w:rsidRPr="00130553" w14:paraId="30FDB29E" w14:textId="77777777" w:rsidTr="00367C95">
        <w:tc>
          <w:tcPr>
            <w:tcW w:w="1883" w:type="dxa"/>
            <w:vMerge w:val="restart"/>
          </w:tcPr>
          <w:p w14:paraId="7ACDF997" w14:textId="77777777" w:rsidR="00CC3B87" w:rsidRPr="00CC3B87" w:rsidRDefault="00CC3B87" w:rsidP="00B12867">
            <w:pPr>
              <w:rPr>
                <w:rFonts w:cstheme="minorHAnsi"/>
                <w:sz w:val="20"/>
                <w:szCs w:val="20"/>
              </w:rPr>
            </w:pPr>
          </w:p>
        </w:tc>
        <w:tc>
          <w:tcPr>
            <w:tcW w:w="1783" w:type="dxa"/>
          </w:tcPr>
          <w:p w14:paraId="4AED0366" w14:textId="6EED8636" w:rsidR="00CC3B87" w:rsidRPr="00CC3B87" w:rsidRDefault="00CC3B87" w:rsidP="00B12867">
            <w:pPr>
              <w:rPr>
                <w:rFonts w:cstheme="minorHAnsi"/>
                <w:sz w:val="20"/>
                <w:szCs w:val="20"/>
              </w:rPr>
            </w:pPr>
            <w:hyperlink r:id="rId19" w:history="1">
              <w:r w:rsidRPr="00EB4957">
                <w:rPr>
                  <w:rStyle w:val="Hyperlink"/>
                  <w:rFonts w:cstheme="minorHAnsi"/>
                  <w:sz w:val="20"/>
                  <w:szCs w:val="20"/>
                </w:rPr>
                <w:t>March 2020</w:t>
              </w:r>
            </w:hyperlink>
          </w:p>
        </w:tc>
        <w:tc>
          <w:tcPr>
            <w:tcW w:w="5281" w:type="dxa"/>
          </w:tcPr>
          <w:p w14:paraId="01A84F7A" w14:textId="51EBA43A" w:rsidR="00CC3B87" w:rsidRPr="00CC3B87" w:rsidRDefault="00CC3B87" w:rsidP="00B12867">
            <w:pPr>
              <w:rPr>
                <w:rFonts w:cstheme="minorHAnsi"/>
                <w:sz w:val="20"/>
                <w:szCs w:val="20"/>
              </w:rPr>
            </w:pPr>
            <w:r w:rsidRPr="00CC3B87">
              <w:rPr>
                <w:rFonts w:cstheme="minorHAnsi"/>
                <w:sz w:val="20"/>
                <w:szCs w:val="20"/>
              </w:rPr>
              <w:t xml:space="preserve">The PBAC recommended the Authority Required listing of acalabrutinib, for the treatment of patients with relapsed or refractory </w:t>
            </w:r>
            <w:r w:rsidR="002211ED">
              <w:rPr>
                <w:rFonts w:cstheme="minorHAnsi"/>
                <w:sz w:val="20"/>
                <w:szCs w:val="20"/>
              </w:rPr>
              <w:t>CLL/SLL</w:t>
            </w:r>
            <w:r w:rsidRPr="00CC3B87">
              <w:rPr>
                <w:rFonts w:cstheme="minorHAnsi"/>
                <w:sz w:val="20"/>
                <w:szCs w:val="20"/>
              </w:rPr>
              <w:t xml:space="preserve"> considered unsuitable for treatment or retreatment with a purine analogue.</w:t>
            </w:r>
          </w:p>
        </w:tc>
      </w:tr>
      <w:tr w:rsidR="00CC3B87" w:rsidRPr="004A7395" w14:paraId="01877D66" w14:textId="77777777" w:rsidTr="00367C95">
        <w:tc>
          <w:tcPr>
            <w:tcW w:w="1883" w:type="dxa"/>
            <w:vMerge/>
          </w:tcPr>
          <w:p w14:paraId="0FBA3331" w14:textId="77777777" w:rsidR="00CC3B87" w:rsidRPr="00CC3B87" w:rsidRDefault="00CC3B87" w:rsidP="00B12867">
            <w:pPr>
              <w:rPr>
                <w:rFonts w:cstheme="minorHAnsi"/>
                <w:sz w:val="20"/>
                <w:szCs w:val="20"/>
              </w:rPr>
            </w:pPr>
          </w:p>
        </w:tc>
        <w:tc>
          <w:tcPr>
            <w:tcW w:w="1783" w:type="dxa"/>
          </w:tcPr>
          <w:p w14:paraId="754A8AF8" w14:textId="5B55D330" w:rsidR="00CC3B87" w:rsidRPr="00CC3B87" w:rsidRDefault="00CC3B87" w:rsidP="00B12867">
            <w:pPr>
              <w:rPr>
                <w:rFonts w:cstheme="minorHAnsi"/>
                <w:sz w:val="20"/>
                <w:szCs w:val="20"/>
              </w:rPr>
            </w:pPr>
            <w:hyperlink r:id="rId20" w:history="1">
              <w:r w:rsidRPr="00315811">
                <w:rPr>
                  <w:rStyle w:val="Hyperlink"/>
                  <w:rFonts w:cstheme="minorHAnsi"/>
                  <w:sz w:val="20"/>
                  <w:szCs w:val="20"/>
                </w:rPr>
                <w:t>July 2023</w:t>
              </w:r>
            </w:hyperlink>
          </w:p>
        </w:tc>
        <w:tc>
          <w:tcPr>
            <w:tcW w:w="5281" w:type="dxa"/>
          </w:tcPr>
          <w:p w14:paraId="47C23C13" w14:textId="4D9EBF66" w:rsidR="00CC3B87" w:rsidRPr="00CC3B87" w:rsidRDefault="00CC3B87" w:rsidP="00B12867">
            <w:pPr>
              <w:rPr>
                <w:rFonts w:cstheme="minorHAnsi"/>
                <w:sz w:val="20"/>
                <w:szCs w:val="20"/>
              </w:rPr>
            </w:pPr>
            <w:r w:rsidRPr="00CC3B87">
              <w:rPr>
                <w:rFonts w:cstheme="minorHAnsi"/>
                <w:sz w:val="20"/>
                <w:szCs w:val="20"/>
              </w:rPr>
              <w:t xml:space="preserve">The PBAC recommended extending the listing of acalabrutinib as monotherapy or in combination with obinutuzumab to include the treatment of patients with previously untreated </w:t>
            </w:r>
            <w:r w:rsidR="002211ED">
              <w:rPr>
                <w:rFonts w:cstheme="minorHAnsi"/>
                <w:sz w:val="20"/>
                <w:szCs w:val="20"/>
              </w:rPr>
              <w:t>CLL/SLL</w:t>
            </w:r>
            <w:r w:rsidRPr="00CC3B87">
              <w:rPr>
                <w:rFonts w:cstheme="minorHAnsi"/>
                <w:sz w:val="20"/>
                <w:szCs w:val="20"/>
              </w:rPr>
              <w:t>.</w:t>
            </w:r>
          </w:p>
        </w:tc>
      </w:tr>
      <w:tr w:rsidR="00367C95" w:rsidRPr="00130553" w14:paraId="7519E162" w14:textId="77777777" w:rsidTr="00C61404">
        <w:tc>
          <w:tcPr>
            <w:tcW w:w="8947" w:type="dxa"/>
            <w:gridSpan w:val="3"/>
          </w:tcPr>
          <w:p w14:paraId="5C138D20" w14:textId="08B6375F" w:rsidR="00367C95" w:rsidRPr="00CC3B87" w:rsidRDefault="00367C95" w:rsidP="00B12867">
            <w:pPr>
              <w:rPr>
                <w:rFonts w:cstheme="minorHAnsi"/>
                <w:sz w:val="20"/>
                <w:szCs w:val="20"/>
              </w:rPr>
            </w:pPr>
            <w:r w:rsidRPr="00CC3B87">
              <w:rPr>
                <w:rFonts w:cstheme="minorHAnsi"/>
                <w:sz w:val="20"/>
                <w:szCs w:val="20"/>
              </w:rPr>
              <w:t>IBRUTINIB</w:t>
            </w:r>
          </w:p>
        </w:tc>
      </w:tr>
      <w:tr w:rsidR="006C3A7C" w:rsidRPr="00130553" w14:paraId="2ABA187D" w14:textId="77777777" w:rsidTr="00367C95">
        <w:tc>
          <w:tcPr>
            <w:tcW w:w="1883" w:type="dxa"/>
            <w:vMerge w:val="restart"/>
          </w:tcPr>
          <w:p w14:paraId="7CE867DB" w14:textId="77777777" w:rsidR="006C3A7C" w:rsidRPr="00CC3B87" w:rsidRDefault="006C3A7C" w:rsidP="00B12867">
            <w:pPr>
              <w:rPr>
                <w:rFonts w:cstheme="minorHAnsi"/>
                <w:sz w:val="20"/>
                <w:szCs w:val="20"/>
              </w:rPr>
            </w:pPr>
          </w:p>
        </w:tc>
        <w:tc>
          <w:tcPr>
            <w:tcW w:w="1783" w:type="dxa"/>
          </w:tcPr>
          <w:p w14:paraId="7AE5351D" w14:textId="6BC69A22" w:rsidR="006C3A7C" w:rsidRPr="00CC3B87" w:rsidRDefault="006C3A7C" w:rsidP="00B12867">
            <w:pPr>
              <w:rPr>
                <w:rFonts w:cstheme="minorHAnsi"/>
                <w:sz w:val="20"/>
                <w:szCs w:val="20"/>
              </w:rPr>
            </w:pPr>
            <w:hyperlink r:id="rId21" w:history="1">
              <w:r w:rsidRPr="004667EE">
                <w:rPr>
                  <w:rStyle w:val="Hyperlink"/>
                  <w:rFonts w:cstheme="minorHAnsi"/>
                  <w:sz w:val="20"/>
                  <w:szCs w:val="20"/>
                </w:rPr>
                <w:t>November 2019</w:t>
              </w:r>
            </w:hyperlink>
          </w:p>
        </w:tc>
        <w:tc>
          <w:tcPr>
            <w:tcW w:w="5281" w:type="dxa"/>
          </w:tcPr>
          <w:p w14:paraId="4633A3C7" w14:textId="470374E6" w:rsidR="006C3A7C" w:rsidRPr="00CC3B87" w:rsidRDefault="006C3A7C" w:rsidP="00B12867">
            <w:pPr>
              <w:rPr>
                <w:rFonts w:cstheme="minorHAnsi"/>
                <w:sz w:val="20"/>
                <w:szCs w:val="20"/>
              </w:rPr>
            </w:pPr>
            <w:r w:rsidRPr="00CC3B87">
              <w:rPr>
                <w:rFonts w:cstheme="minorHAnsi"/>
                <w:sz w:val="20"/>
                <w:szCs w:val="20"/>
              </w:rPr>
              <w:t xml:space="preserve">The PBAC recommended the Authority Required listing of ibrutinib for first-line treatment of </w:t>
            </w:r>
            <w:r>
              <w:rPr>
                <w:rFonts w:cstheme="minorHAnsi"/>
                <w:sz w:val="20"/>
                <w:szCs w:val="20"/>
              </w:rPr>
              <w:t>CLL/SLL</w:t>
            </w:r>
            <w:r w:rsidRPr="00CC3B87">
              <w:rPr>
                <w:rFonts w:cstheme="minorHAnsi"/>
                <w:sz w:val="20"/>
                <w:szCs w:val="20"/>
              </w:rPr>
              <w:t xml:space="preserve"> </w:t>
            </w:r>
          </w:p>
          <w:p w14:paraId="461EE814" w14:textId="77777777" w:rsidR="006C3A7C" w:rsidRPr="00CC3B87" w:rsidRDefault="006C3A7C" w:rsidP="00B12867">
            <w:pPr>
              <w:rPr>
                <w:rFonts w:cstheme="minorHAnsi"/>
                <w:sz w:val="20"/>
                <w:szCs w:val="20"/>
              </w:rPr>
            </w:pPr>
            <w:r w:rsidRPr="00CC3B87">
              <w:rPr>
                <w:rFonts w:cstheme="minorHAnsi"/>
                <w:sz w:val="20"/>
                <w:szCs w:val="20"/>
              </w:rPr>
              <w:t>patients with deletion 17p (del17p).</w:t>
            </w:r>
          </w:p>
        </w:tc>
      </w:tr>
      <w:tr w:rsidR="006C3A7C" w:rsidRPr="00130553" w14:paraId="243A7362" w14:textId="77777777" w:rsidTr="00367C95">
        <w:tc>
          <w:tcPr>
            <w:tcW w:w="1883" w:type="dxa"/>
            <w:vMerge/>
          </w:tcPr>
          <w:p w14:paraId="404A495A" w14:textId="77777777" w:rsidR="006C3A7C" w:rsidRPr="00CC3B87" w:rsidRDefault="006C3A7C" w:rsidP="00B12867">
            <w:pPr>
              <w:rPr>
                <w:rFonts w:cstheme="minorHAnsi"/>
                <w:sz w:val="20"/>
                <w:szCs w:val="20"/>
              </w:rPr>
            </w:pPr>
          </w:p>
        </w:tc>
        <w:tc>
          <w:tcPr>
            <w:tcW w:w="1783" w:type="dxa"/>
          </w:tcPr>
          <w:p w14:paraId="7CECE8A5" w14:textId="1D333C77" w:rsidR="006C3A7C" w:rsidRPr="00CC3B87" w:rsidRDefault="006C3A7C" w:rsidP="00B12867">
            <w:pPr>
              <w:rPr>
                <w:rFonts w:cstheme="minorHAnsi"/>
                <w:sz w:val="20"/>
                <w:szCs w:val="20"/>
              </w:rPr>
            </w:pPr>
            <w:hyperlink r:id="rId22" w:history="1">
              <w:r w:rsidRPr="006A49EB">
                <w:rPr>
                  <w:rStyle w:val="Hyperlink"/>
                  <w:rFonts w:cstheme="minorHAnsi"/>
                  <w:sz w:val="20"/>
                  <w:szCs w:val="20"/>
                </w:rPr>
                <w:t>March 2024</w:t>
              </w:r>
            </w:hyperlink>
          </w:p>
        </w:tc>
        <w:tc>
          <w:tcPr>
            <w:tcW w:w="5281" w:type="dxa"/>
          </w:tcPr>
          <w:p w14:paraId="27A5F1D0" w14:textId="5ACC3F73" w:rsidR="006C3A7C" w:rsidRPr="00CC3B87" w:rsidRDefault="006C3A7C" w:rsidP="00B12867">
            <w:pPr>
              <w:rPr>
                <w:rFonts w:cstheme="minorHAnsi"/>
                <w:sz w:val="20"/>
                <w:szCs w:val="20"/>
              </w:rPr>
            </w:pPr>
            <w:r w:rsidRPr="00CC3B87">
              <w:rPr>
                <w:rFonts w:cstheme="minorHAnsi"/>
                <w:sz w:val="20"/>
                <w:szCs w:val="20"/>
              </w:rPr>
              <w:t xml:space="preserve">The PBAC recommended extending the listing of ibrutinib, to include use in combination with venetoclax, for the treatment of patients with previously untreated </w:t>
            </w:r>
            <w:r>
              <w:rPr>
                <w:rFonts w:cstheme="minorHAnsi"/>
                <w:sz w:val="20"/>
                <w:szCs w:val="20"/>
              </w:rPr>
              <w:t>CLL/SLL</w:t>
            </w:r>
            <w:r w:rsidRPr="00CC3B87">
              <w:rPr>
                <w:rFonts w:cstheme="minorHAnsi"/>
                <w:sz w:val="20"/>
                <w:szCs w:val="20"/>
              </w:rPr>
              <w:t>.</w:t>
            </w:r>
          </w:p>
        </w:tc>
      </w:tr>
      <w:tr w:rsidR="00CC3B87" w:rsidRPr="00130553" w14:paraId="6D0438ED" w14:textId="77777777" w:rsidTr="00367C95">
        <w:tc>
          <w:tcPr>
            <w:tcW w:w="1883" w:type="dxa"/>
          </w:tcPr>
          <w:p w14:paraId="716940A1" w14:textId="77777777" w:rsidR="00CC3B87" w:rsidRPr="00CC3B87" w:rsidRDefault="00CC3B87" w:rsidP="00B12867">
            <w:pPr>
              <w:rPr>
                <w:rFonts w:cstheme="minorHAnsi"/>
                <w:sz w:val="20"/>
                <w:szCs w:val="20"/>
              </w:rPr>
            </w:pPr>
            <w:r w:rsidRPr="00CC3B87">
              <w:rPr>
                <w:rFonts w:cstheme="minorHAnsi"/>
                <w:sz w:val="20"/>
                <w:szCs w:val="20"/>
              </w:rPr>
              <w:t>IDELALISIB</w:t>
            </w:r>
          </w:p>
        </w:tc>
        <w:tc>
          <w:tcPr>
            <w:tcW w:w="1783" w:type="dxa"/>
          </w:tcPr>
          <w:p w14:paraId="6DE14C02" w14:textId="5620DB41" w:rsidR="00CC3B87" w:rsidRPr="00CC3B87" w:rsidRDefault="00955E15" w:rsidP="00B12867">
            <w:pPr>
              <w:rPr>
                <w:rFonts w:cstheme="minorHAnsi"/>
                <w:sz w:val="20"/>
                <w:szCs w:val="20"/>
              </w:rPr>
            </w:pPr>
            <w:hyperlink r:id="rId23" w:history="1">
              <w:r w:rsidRPr="00A81364">
                <w:rPr>
                  <w:rStyle w:val="Hyperlink"/>
                  <w:rFonts w:cstheme="minorHAnsi"/>
                  <w:sz w:val="20"/>
                  <w:szCs w:val="20"/>
                </w:rPr>
                <w:t>July</w:t>
              </w:r>
              <w:r w:rsidR="00CC3B87" w:rsidRPr="00A81364">
                <w:rPr>
                  <w:rStyle w:val="Hyperlink"/>
                  <w:rFonts w:cstheme="minorHAnsi"/>
                  <w:sz w:val="20"/>
                  <w:szCs w:val="20"/>
                </w:rPr>
                <w:t xml:space="preserve"> 2016</w:t>
              </w:r>
            </w:hyperlink>
          </w:p>
        </w:tc>
        <w:tc>
          <w:tcPr>
            <w:tcW w:w="5281" w:type="dxa"/>
          </w:tcPr>
          <w:p w14:paraId="4069A3D2" w14:textId="32046CCF" w:rsidR="005D239A" w:rsidRPr="005D239A" w:rsidRDefault="00513011" w:rsidP="005D239A">
            <w:pPr>
              <w:rPr>
                <w:rFonts w:cstheme="minorHAnsi"/>
                <w:sz w:val="20"/>
                <w:szCs w:val="20"/>
              </w:rPr>
            </w:pPr>
            <w:r>
              <w:rPr>
                <w:rFonts w:cstheme="minorHAnsi"/>
                <w:sz w:val="20"/>
                <w:szCs w:val="20"/>
              </w:rPr>
              <w:t>In July 2016 t</w:t>
            </w:r>
            <w:r w:rsidRPr="00513011">
              <w:rPr>
                <w:rFonts w:cstheme="minorHAnsi"/>
                <w:sz w:val="20"/>
                <w:szCs w:val="20"/>
              </w:rPr>
              <w:t xml:space="preserve">he PBAC recommended the Authority Required listing of idelalisib in combination with rituximab for the treatment of relapsed or refractory chronic </w:t>
            </w:r>
            <w:r w:rsidR="002211ED">
              <w:rPr>
                <w:rFonts w:cstheme="minorHAnsi"/>
                <w:sz w:val="20"/>
                <w:szCs w:val="20"/>
              </w:rPr>
              <w:t>CLL/SLL</w:t>
            </w:r>
            <w:r>
              <w:rPr>
                <w:rFonts w:cstheme="minorHAnsi"/>
                <w:sz w:val="20"/>
                <w:szCs w:val="20"/>
              </w:rPr>
              <w:t xml:space="preserve">. </w:t>
            </w:r>
            <w:r w:rsidR="00687D10" w:rsidRPr="00687D10">
              <w:rPr>
                <w:rFonts w:cstheme="minorHAnsi"/>
                <w:sz w:val="20"/>
                <w:szCs w:val="20"/>
              </w:rPr>
              <w:t>At its special meeting in August 2016</w:t>
            </w:r>
            <w:r w:rsidR="00687D10">
              <w:rPr>
                <w:rFonts w:cstheme="minorHAnsi"/>
                <w:sz w:val="20"/>
                <w:szCs w:val="20"/>
              </w:rPr>
              <w:t xml:space="preserve"> t</w:t>
            </w:r>
            <w:r w:rsidR="00CC3B87" w:rsidRPr="00CC3B87">
              <w:rPr>
                <w:rFonts w:cstheme="minorHAnsi"/>
                <w:sz w:val="20"/>
                <w:szCs w:val="20"/>
              </w:rPr>
              <w:t xml:space="preserve">he PBAC recommended the PBS restriction for idelalisib for relapsed/refractory </w:t>
            </w:r>
            <w:r w:rsidR="002211ED">
              <w:rPr>
                <w:rFonts w:cstheme="minorHAnsi"/>
                <w:sz w:val="20"/>
                <w:szCs w:val="20"/>
              </w:rPr>
              <w:t>CLL/SLL</w:t>
            </w:r>
            <w:r w:rsidR="00CC3B87" w:rsidRPr="00CC3B87">
              <w:rPr>
                <w:rFonts w:cstheme="minorHAnsi"/>
                <w:sz w:val="20"/>
                <w:szCs w:val="20"/>
              </w:rPr>
              <w:t xml:space="preserve"> include the requirement for patients to have evidence of a 17p deletion.</w:t>
            </w:r>
            <w:r w:rsidR="005D239A">
              <w:rPr>
                <w:rFonts w:cstheme="minorHAnsi"/>
                <w:sz w:val="20"/>
                <w:szCs w:val="20"/>
              </w:rPr>
              <w:t xml:space="preserve"> </w:t>
            </w:r>
            <w:r w:rsidR="005D239A" w:rsidRPr="005D239A">
              <w:rPr>
                <w:rFonts w:cstheme="minorHAnsi"/>
                <w:sz w:val="20"/>
                <w:szCs w:val="20"/>
              </w:rPr>
              <w:t xml:space="preserve">The PBAC also recommended including the TP53 mutation requirement for patients testing negative for the 17p deletion, if a test for TP53 mutation is made available </w:t>
            </w:r>
          </w:p>
          <w:p w14:paraId="3553DAF8" w14:textId="2FBE8ADA" w:rsidR="00CC3B87" w:rsidRPr="00CC3B87" w:rsidRDefault="005D239A" w:rsidP="005D239A">
            <w:pPr>
              <w:rPr>
                <w:rFonts w:cstheme="minorHAnsi"/>
                <w:sz w:val="20"/>
                <w:szCs w:val="20"/>
              </w:rPr>
            </w:pPr>
            <w:r w:rsidRPr="005D239A">
              <w:rPr>
                <w:rFonts w:cstheme="minorHAnsi"/>
                <w:sz w:val="20"/>
                <w:szCs w:val="20"/>
              </w:rPr>
              <w:t>through the Medicare Benefits Schedule.</w:t>
            </w:r>
          </w:p>
        </w:tc>
      </w:tr>
      <w:tr w:rsidR="00CC3B87" w:rsidRPr="00130553" w14:paraId="5585FA5C" w14:textId="77777777" w:rsidTr="00367C95">
        <w:tc>
          <w:tcPr>
            <w:tcW w:w="1883" w:type="dxa"/>
          </w:tcPr>
          <w:p w14:paraId="5608DE52" w14:textId="77777777" w:rsidR="00CC3B87" w:rsidRPr="00CC3B87" w:rsidRDefault="00CC3B87" w:rsidP="00B12867">
            <w:pPr>
              <w:rPr>
                <w:rFonts w:cstheme="minorHAnsi"/>
                <w:sz w:val="20"/>
                <w:szCs w:val="20"/>
              </w:rPr>
            </w:pPr>
            <w:r w:rsidRPr="00CC3B87">
              <w:rPr>
                <w:rFonts w:cstheme="minorHAnsi"/>
                <w:sz w:val="20"/>
                <w:szCs w:val="20"/>
              </w:rPr>
              <w:t>OBINUTUZUMAB</w:t>
            </w:r>
          </w:p>
        </w:tc>
        <w:tc>
          <w:tcPr>
            <w:tcW w:w="1783" w:type="dxa"/>
          </w:tcPr>
          <w:p w14:paraId="2D45E44E" w14:textId="17BBA9CB" w:rsidR="00CC3B87" w:rsidRPr="00CC3B87" w:rsidRDefault="00CC3B87" w:rsidP="00B12867">
            <w:pPr>
              <w:rPr>
                <w:rFonts w:cstheme="minorHAnsi"/>
                <w:sz w:val="20"/>
                <w:szCs w:val="20"/>
              </w:rPr>
            </w:pPr>
            <w:hyperlink r:id="rId24" w:history="1">
              <w:r w:rsidRPr="00D204BF">
                <w:rPr>
                  <w:rStyle w:val="Hyperlink"/>
                  <w:rFonts w:cstheme="minorHAnsi"/>
                  <w:sz w:val="20"/>
                  <w:szCs w:val="20"/>
                </w:rPr>
                <w:t>March 2015</w:t>
              </w:r>
            </w:hyperlink>
          </w:p>
        </w:tc>
        <w:tc>
          <w:tcPr>
            <w:tcW w:w="5281" w:type="dxa"/>
          </w:tcPr>
          <w:p w14:paraId="6D54491E" w14:textId="77777777" w:rsidR="00CC3B87" w:rsidRPr="00CC3B87" w:rsidRDefault="00CC3B87" w:rsidP="00B12867">
            <w:pPr>
              <w:rPr>
                <w:rFonts w:cstheme="minorHAnsi"/>
                <w:sz w:val="20"/>
                <w:szCs w:val="20"/>
              </w:rPr>
            </w:pPr>
            <w:r w:rsidRPr="00CC3B87">
              <w:rPr>
                <w:rFonts w:cstheme="minorHAnsi"/>
                <w:sz w:val="20"/>
                <w:szCs w:val="20"/>
              </w:rPr>
              <w:t>The PBAC recommended the listing of obinutuzumab in combination with chlorambucil on the PBS for the treatment of CLL in patients with comorbidities.</w:t>
            </w:r>
          </w:p>
        </w:tc>
      </w:tr>
      <w:tr w:rsidR="00367C95" w:rsidRPr="00130553" w14:paraId="0443103D" w14:textId="77777777" w:rsidTr="00B03B57">
        <w:tc>
          <w:tcPr>
            <w:tcW w:w="8947" w:type="dxa"/>
            <w:gridSpan w:val="3"/>
          </w:tcPr>
          <w:p w14:paraId="68FF37EA" w14:textId="77777777" w:rsidR="00A82415" w:rsidRDefault="00A82415" w:rsidP="00B12867">
            <w:pPr>
              <w:rPr>
                <w:rFonts w:cstheme="minorHAnsi"/>
                <w:sz w:val="20"/>
                <w:szCs w:val="20"/>
              </w:rPr>
            </w:pPr>
          </w:p>
          <w:p w14:paraId="0FF34FA4" w14:textId="52BAF2BE" w:rsidR="00367C95" w:rsidRPr="00CC3B87" w:rsidRDefault="00367C95" w:rsidP="00B12867">
            <w:pPr>
              <w:rPr>
                <w:rFonts w:cstheme="minorHAnsi"/>
                <w:sz w:val="20"/>
                <w:szCs w:val="20"/>
              </w:rPr>
            </w:pPr>
            <w:r w:rsidRPr="00CC3B87">
              <w:rPr>
                <w:rFonts w:cstheme="minorHAnsi"/>
                <w:sz w:val="20"/>
                <w:szCs w:val="20"/>
              </w:rPr>
              <w:lastRenderedPageBreak/>
              <w:t>VENETOCLAX</w:t>
            </w:r>
          </w:p>
        </w:tc>
      </w:tr>
      <w:tr w:rsidR="00CC3B87" w:rsidRPr="00130553" w14:paraId="50571B59" w14:textId="77777777" w:rsidTr="00367C95">
        <w:tc>
          <w:tcPr>
            <w:tcW w:w="1883" w:type="dxa"/>
          </w:tcPr>
          <w:p w14:paraId="1BD2967B" w14:textId="77777777" w:rsidR="00CC3B87" w:rsidRPr="00CC3B87" w:rsidRDefault="00CC3B87" w:rsidP="00B12867">
            <w:pPr>
              <w:rPr>
                <w:rFonts w:cstheme="minorHAnsi"/>
                <w:sz w:val="20"/>
                <w:szCs w:val="20"/>
              </w:rPr>
            </w:pPr>
          </w:p>
        </w:tc>
        <w:tc>
          <w:tcPr>
            <w:tcW w:w="1783" w:type="dxa"/>
          </w:tcPr>
          <w:p w14:paraId="78E3A780" w14:textId="0837E79D" w:rsidR="00CC3B87" w:rsidRPr="00CC3B87" w:rsidRDefault="00CC3B87" w:rsidP="00B12867">
            <w:pPr>
              <w:rPr>
                <w:rFonts w:cstheme="minorHAnsi"/>
                <w:sz w:val="20"/>
                <w:szCs w:val="20"/>
              </w:rPr>
            </w:pPr>
            <w:hyperlink r:id="rId25" w:history="1">
              <w:r w:rsidRPr="000D7E04">
                <w:rPr>
                  <w:rStyle w:val="Hyperlink"/>
                  <w:rFonts w:cstheme="minorHAnsi"/>
                  <w:sz w:val="20"/>
                  <w:szCs w:val="20"/>
                </w:rPr>
                <w:t>July 2017</w:t>
              </w:r>
            </w:hyperlink>
          </w:p>
        </w:tc>
        <w:tc>
          <w:tcPr>
            <w:tcW w:w="5281" w:type="dxa"/>
          </w:tcPr>
          <w:p w14:paraId="509DC9E4" w14:textId="77777777" w:rsidR="00CC3B87" w:rsidRPr="00CC3B87" w:rsidRDefault="00CC3B87" w:rsidP="00B12867">
            <w:pPr>
              <w:rPr>
                <w:rFonts w:cstheme="minorHAnsi"/>
                <w:sz w:val="20"/>
                <w:szCs w:val="20"/>
              </w:rPr>
            </w:pPr>
            <w:r w:rsidRPr="00CC3B87">
              <w:rPr>
                <w:rFonts w:cstheme="minorHAnsi"/>
                <w:sz w:val="20"/>
                <w:szCs w:val="20"/>
              </w:rPr>
              <w:t>The PBAC recommended the listing of venetoclax for the treatment of relapsed or refractory CLL in patients who have failed a kinase inhibitor, without necessarily requiring evidence that these patients have a 17p deletion.</w:t>
            </w:r>
          </w:p>
        </w:tc>
      </w:tr>
      <w:tr w:rsidR="00CC3B87" w:rsidRPr="006B3014" w14:paraId="64892A4E" w14:textId="77777777" w:rsidTr="00367C95">
        <w:tc>
          <w:tcPr>
            <w:tcW w:w="1883" w:type="dxa"/>
          </w:tcPr>
          <w:p w14:paraId="38C11846" w14:textId="77777777" w:rsidR="00CC3B87" w:rsidRPr="00CC3B87" w:rsidRDefault="00CC3B87" w:rsidP="00B12867">
            <w:pPr>
              <w:rPr>
                <w:rFonts w:cstheme="minorHAnsi"/>
                <w:sz w:val="20"/>
                <w:szCs w:val="20"/>
              </w:rPr>
            </w:pPr>
          </w:p>
        </w:tc>
        <w:tc>
          <w:tcPr>
            <w:tcW w:w="1783" w:type="dxa"/>
          </w:tcPr>
          <w:p w14:paraId="62CD0155" w14:textId="45BD7648" w:rsidR="00CC3B87" w:rsidRPr="00CC3B87" w:rsidRDefault="00CC3B87" w:rsidP="00B12867">
            <w:pPr>
              <w:rPr>
                <w:rFonts w:cstheme="minorHAnsi"/>
                <w:sz w:val="20"/>
                <w:szCs w:val="20"/>
              </w:rPr>
            </w:pPr>
            <w:hyperlink r:id="rId26" w:history="1">
              <w:r w:rsidRPr="0027733E">
                <w:rPr>
                  <w:rStyle w:val="Hyperlink"/>
                  <w:rFonts w:cstheme="minorHAnsi"/>
                  <w:sz w:val="20"/>
                  <w:szCs w:val="20"/>
                </w:rPr>
                <w:t>November 2018</w:t>
              </w:r>
            </w:hyperlink>
          </w:p>
        </w:tc>
        <w:tc>
          <w:tcPr>
            <w:tcW w:w="5281" w:type="dxa"/>
          </w:tcPr>
          <w:p w14:paraId="6B6D8B62" w14:textId="31B36D62" w:rsidR="00CC3B87" w:rsidRPr="00CC3B87" w:rsidRDefault="00CC3B87" w:rsidP="00B12867">
            <w:pPr>
              <w:rPr>
                <w:rFonts w:cstheme="minorHAnsi"/>
                <w:sz w:val="20"/>
                <w:szCs w:val="20"/>
              </w:rPr>
            </w:pPr>
            <w:r w:rsidRPr="00CC3B87">
              <w:rPr>
                <w:rFonts w:cstheme="minorHAnsi"/>
                <w:sz w:val="20"/>
                <w:szCs w:val="20"/>
              </w:rPr>
              <w:t>The PBAC recommended the listing of venetoclax in combination with rituximab for the treatment of certain patients with relapsed or refractory CLL.</w:t>
            </w:r>
          </w:p>
        </w:tc>
      </w:tr>
      <w:tr w:rsidR="00CC3B87" w:rsidRPr="00130553" w14:paraId="37F58E7B" w14:textId="77777777" w:rsidTr="00367C95">
        <w:tc>
          <w:tcPr>
            <w:tcW w:w="1883" w:type="dxa"/>
          </w:tcPr>
          <w:p w14:paraId="7D28EE57" w14:textId="77777777" w:rsidR="00CC3B87" w:rsidRPr="00CC3B87" w:rsidRDefault="00CC3B87" w:rsidP="00B12867">
            <w:pPr>
              <w:rPr>
                <w:rFonts w:cstheme="minorHAnsi"/>
                <w:sz w:val="20"/>
                <w:szCs w:val="20"/>
              </w:rPr>
            </w:pPr>
          </w:p>
        </w:tc>
        <w:tc>
          <w:tcPr>
            <w:tcW w:w="1783" w:type="dxa"/>
          </w:tcPr>
          <w:p w14:paraId="264C710C" w14:textId="0BC77847" w:rsidR="00CC3B87" w:rsidRPr="00CC3B87" w:rsidRDefault="00CC3B87" w:rsidP="00B12867">
            <w:pPr>
              <w:rPr>
                <w:rFonts w:cstheme="minorHAnsi"/>
                <w:sz w:val="20"/>
                <w:szCs w:val="20"/>
              </w:rPr>
            </w:pPr>
            <w:hyperlink r:id="rId27" w:history="1">
              <w:r w:rsidRPr="006A5877">
                <w:rPr>
                  <w:rStyle w:val="Hyperlink"/>
                  <w:rFonts w:cstheme="minorHAnsi"/>
                  <w:sz w:val="20"/>
                  <w:szCs w:val="20"/>
                </w:rPr>
                <w:t>July 2020</w:t>
              </w:r>
            </w:hyperlink>
          </w:p>
        </w:tc>
        <w:tc>
          <w:tcPr>
            <w:tcW w:w="5281" w:type="dxa"/>
          </w:tcPr>
          <w:p w14:paraId="6C87FCAE" w14:textId="42DC8FE7" w:rsidR="00CC3B87" w:rsidRPr="00CC3B87" w:rsidRDefault="00CC3B87" w:rsidP="00B12867">
            <w:pPr>
              <w:rPr>
                <w:rFonts w:cstheme="minorHAnsi"/>
                <w:sz w:val="20"/>
                <w:szCs w:val="20"/>
              </w:rPr>
            </w:pPr>
            <w:r w:rsidRPr="00CC3B87">
              <w:rPr>
                <w:rFonts w:cstheme="minorHAnsi"/>
                <w:sz w:val="20"/>
                <w:szCs w:val="20"/>
              </w:rPr>
              <w:t>The PBAC recommended the Authority Required listing of venetoclax in combination with obinutuzumab for the first-line treatment of patients with CLL who have coexisting conditions and are unsuitable for fludarabine based chemo-immunotherapy.</w:t>
            </w:r>
          </w:p>
        </w:tc>
      </w:tr>
      <w:tr w:rsidR="00367C95" w:rsidRPr="00130553" w14:paraId="5E8D490C" w14:textId="77777777" w:rsidTr="00732592">
        <w:tc>
          <w:tcPr>
            <w:tcW w:w="8947" w:type="dxa"/>
            <w:gridSpan w:val="3"/>
          </w:tcPr>
          <w:p w14:paraId="33C9C4BD" w14:textId="2EC4C5E7" w:rsidR="00367C95" w:rsidRPr="00CC3B87" w:rsidRDefault="00367C95" w:rsidP="00B12867">
            <w:pPr>
              <w:rPr>
                <w:rFonts w:cstheme="minorHAnsi"/>
                <w:sz w:val="20"/>
                <w:szCs w:val="20"/>
              </w:rPr>
            </w:pPr>
            <w:r w:rsidRPr="00CC3B87">
              <w:rPr>
                <w:rFonts w:cstheme="minorHAnsi"/>
                <w:sz w:val="20"/>
                <w:szCs w:val="20"/>
              </w:rPr>
              <w:t>ZANUBRUTINIB</w:t>
            </w:r>
          </w:p>
        </w:tc>
      </w:tr>
      <w:tr w:rsidR="00CC3B87" w:rsidRPr="00130553" w14:paraId="68EC44B3" w14:textId="77777777" w:rsidTr="00367C95">
        <w:tc>
          <w:tcPr>
            <w:tcW w:w="1883" w:type="dxa"/>
          </w:tcPr>
          <w:p w14:paraId="6D3828A6" w14:textId="77777777" w:rsidR="00CC3B87" w:rsidRPr="00CC3B87" w:rsidRDefault="00CC3B87" w:rsidP="00B12867">
            <w:pPr>
              <w:rPr>
                <w:rFonts w:cstheme="minorHAnsi"/>
                <w:sz w:val="20"/>
                <w:szCs w:val="20"/>
              </w:rPr>
            </w:pPr>
          </w:p>
        </w:tc>
        <w:tc>
          <w:tcPr>
            <w:tcW w:w="1783" w:type="dxa"/>
          </w:tcPr>
          <w:p w14:paraId="1E7C5999" w14:textId="5E364065" w:rsidR="00CC3B87" w:rsidRPr="00CC3B87" w:rsidRDefault="00CC3B87" w:rsidP="00B12867">
            <w:pPr>
              <w:rPr>
                <w:rFonts w:cstheme="minorHAnsi"/>
                <w:sz w:val="20"/>
                <w:szCs w:val="20"/>
              </w:rPr>
            </w:pPr>
            <w:hyperlink r:id="rId28" w:history="1">
              <w:r w:rsidRPr="003C364E">
                <w:rPr>
                  <w:rStyle w:val="Hyperlink"/>
                  <w:rFonts w:cstheme="minorHAnsi"/>
                  <w:sz w:val="20"/>
                  <w:szCs w:val="20"/>
                </w:rPr>
                <w:t>March 2023</w:t>
              </w:r>
            </w:hyperlink>
          </w:p>
        </w:tc>
        <w:tc>
          <w:tcPr>
            <w:tcW w:w="5281" w:type="dxa"/>
          </w:tcPr>
          <w:p w14:paraId="23860EA3" w14:textId="16B549B1" w:rsidR="00CC3B87" w:rsidRPr="00CC3B87" w:rsidRDefault="00CC3B87" w:rsidP="00B12867">
            <w:pPr>
              <w:rPr>
                <w:rFonts w:cstheme="minorHAnsi"/>
                <w:sz w:val="20"/>
                <w:szCs w:val="20"/>
              </w:rPr>
            </w:pPr>
            <w:r w:rsidRPr="00CC3B87">
              <w:rPr>
                <w:rFonts w:cstheme="minorHAnsi"/>
                <w:sz w:val="20"/>
                <w:szCs w:val="20"/>
              </w:rPr>
              <w:t xml:space="preserve">The PBAC recommended extending the listing of zanubrutinib to include the treatment of relapsed or refractory </w:t>
            </w:r>
            <w:r w:rsidR="002211ED">
              <w:rPr>
                <w:rFonts w:cstheme="minorHAnsi"/>
                <w:sz w:val="20"/>
                <w:szCs w:val="20"/>
              </w:rPr>
              <w:t>CLL/SLL</w:t>
            </w:r>
            <w:r w:rsidRPr="00CC3B87">
              <w:rPr>
                <w:rFonts w:cstheme="minorHAnsi"/>
                <w:sz w:val="20"/>
                <w:szCs w:val="20"/>
              </w:rPr>
              <w:t>.</w:t>
            </w:r>
          </w:p>
        </w:tc>
      </w:tr>
      <w:tr w:rsidR="00CC3B87" w:rsidRPr="00130553" w14:paraId="7838523D" w14:textId="77777777" w:rsidTr="00367C95">
        <w:tc>
          <w:tcPr>
            <w:tcW w:w="1883" w:type="dxa"/>
          </w:tcPr>
          <w:p w14:paraId="4B147DCA" w14:textId="77777777" w:rsidR="00CC3B87" w:rsidRPr="00CC3B87" w:rsidRDefault="00CC3B87" w:rsidP="00B12867">
            <w:pPr>
              <w:rPr>
                <w:rFonts w:cstheme="minorHAnsi"/>
                <w:sz w:val="20"/>
                <w:szCs w:val="20"/>
              </w:rPr>
            </w:pPr>
          </w:p>
        </w:tc>
        <w:tc>
          <w:tcPr>
            <w:tcW w:w="1783" w:type="dxa"/>
          </w:tcPr>
          <w:p w14:paraId="6C2A8466" w14:textId="7EBD8153" w:rsidR="00CC3B87" w:rsidRPr="00CC3B87" w:rsidRDefault="00CC3B87" w:rsidP="00B12867">
            <w:pPr>
              <w:rPr>
                <w:rFonts w:cstheme="minorHAnsi"/>
                <w:sz w:val="20"/>
                <w:szCs w:val="20"/>
              </w:rPr>
            </w:pPr>
            <w:hyperlink r:id="rId29" w:history="1">
              <w:r w:rsidRPr="003C364E">
                <w:rPr>
                  <w:rStyle w:val="Hyperlink"/>
                  <w:rFonts w:cstheme="minorHAnsi"/>
                  <w:sz w:val="20"/>
                  <w:szCs w:val="20"/>
                </w:rPr>
                <w:t>March 2023</w:t>
              </w:r>
            </w:hyperlink>
          </w:p>
        </w:tc>
        <w:tc>
          <w:tcPr>
            <w:tcW w:w="5281" w:type="dxa"/>
          </w:tcPr>
          <w:p w14:paraId="714B7E47" w14:textId="6F3811A6" w:rsidR="00CC3B87" w:rsidRPr="00CC3B87" w:rsidRDefault="00CC3B87" w:rsidP="00B12867">
            <w:pPr>
              <w:rPr>
                <w:rFonts w:cstheme="minorHAnsi"/>
                <w:sz w:val="20"/>
                <w:szCs w:val="20"/>
              </w:rPr>
            </w:pPr>
            <w:r w:rsidRPr="00CC3B87">
              <w:rPr>
                <w:rFonts w:cstheme="minorHAnsi"/>
                <w:sz w:val="20"/>
                <w:szCs w:val="20"/>
              </w:rPr>
              <w:t xml:space="preserve">The PBAC recommended extending the listing of zanubrutinib to include treatment </w:t>
            </w:r>
            <w:r w:rsidR="004767FE" w:rsidRPr="00CC3B87">
              <w:rPr>
                <w:rFonts w:cstheme="minorHAnsi"/>
                <w:sz w:val="20"/>
                <w:szCs w:val="20"/>
              </w:rPr>
              <w:t>naïve</w:t>
            </w:r>
            <w:r w:rsidRPr="00CC3B87">
              <w:rPr>
                <w:rFonts w:cstheme="minorHAnsi"/>
                <w:sz w:val="20"/>
                <w:szCs w:val="20"/>
              </w:rPr>
              <w:t xml:space="preserve"> </w:t>
            </w:r>
            <w:r w:rsidR="002211ED">
              <w:rPr>
                <w:rFonts w:cstheme="minorHAnsi"/>
                <w:sz w:val="20"/>
                <w:szCs w:val="20"/>
              </w:rPr>
              <w:t>CLL/SLL</w:t>
            </w:r>
            <w:r w:rsidRPr="00CC3B87">
              <w:rPr>
                <w:rFonts w:cstheme="minorHAnsi"/>
                <w:sz w:val="20"/>
                <w:szCs w:val="20"/>
              </w:rPr>
              <w:t>.</w:t>
            </w:r>
          </w:p>
        </w:tc>
      </w:tr>
    </w:tbl>
    <w:p w14:paraId="0DEBD50F" w14:textId="69B931E7" w:rsidR="00094DCF" w:rsidRDefault="00ED633B" w:rsidP="00CF5E22">
      <w:pPr>
        <w:pStyle w:val="Heading2"/>
      </w:pPr>
      <w:r>
        <w:t xml:space="preserve">Previous reviews by </w:t>
      </w:r>
      <w:r w:rsidR="00177B86">
        <w:t xml:space="preserve">the </w:t>
      </w:r>
      <w:r>
        <w:t>DUSC</w:t>
      </w:r>
    </w:p>
    <w:p w14:paraId="0E8C6758" w14:textId="77777777" w:rsidR="00FA77D7" w:rsidRPr="00726B43" w:rsidRDefault="00FA77D7" w:rsidP="00FA77D7">
      <w:pPr>
        <w:rPr>
          <w:u w:val="single"/>
        </w:rPr>
      </w:pPr>
      <w:r w:rsidRPr="00726B43">
        <w:rPr>
          <w:u w:val="single"/>
        </w:rPr>
        <w:t>October 2020</w:t>
      </w:r>
    </w:p>
    <w:p w14:paraId="3B65557D" w14:textId="77777777" w:rsidR="00FA77D7" w:rsidRPr="007E62B5" w:rsidRDefault="00FA77D7" w:rsidP="00FA77D7">
      <w:pPr>
        <w:rPr>
          <w:b/>
          <w:bCs/>
          <w:i/>
          <w:iCs/>
        </w:rPr>
      </w:pPr>
      <w:r w:rsidRPr="007E62B5">
        <w:rPr>
          <w:b/>
          <w:bCs/>
          <w:i/>
          <w:iCs/>
        </w:rPr>
        <w:t>Ibrutinib for CLL and SLL: 24 month predicted versus actual analysis</w:t>
      </w:r>
    </w:p>
    <w:p w14:paraId="398D70EE" w14:textId="77777777" w:rsidR="00FA77D7" w:rsidRPr="00217906" w:rsidRDefault="00FA77D7" w:rsidP="00FA77D7">
      <w:pPr>
        <w:rPr>
          <w:b/>
          <w:bCs/>
          <w:i/>
          <w:iCs/>
        </w:rPr>
      </w:pPr>
      <w:r w:rsidRPr="00217906">
        <w:rPr>
          <w:b/>
          <w:bCs/>
          <w:i/>
          <w:iCs/>
        </w:rPr>
        <w:t>Key Findings</w:t>
      </w:r>
    </w:p>
    <w:p w14:paraId="0232301C" w14:textId="77777777" w:rsidR="00FA77D7" w:rsidRPr="00482A30" w:rsidRDefault="00FA77D7" w:rsidP="00FA77D7">
      <w:pPr>
        <w:pStyle w:val="ListParagraph"/>
        <w:numPr>
          <w:ilvl w:val="0"/>
          <w:numId w:val="4"/>
        </w:numPr>
      </w:pPr>
      <w:r w:rsidRPr="00482A30">
        <w:t xml:space="preserve">Since its listing in December 2017 the utilisation of ibrutinib had increased steadily. Data to June 2020 indicated approximately 1,000 prevalent patients and 40 incident </w:t>
      </w:r>
      <w:r w:rsidRPr="003F3F22">
        <w:t>patients</w:t>
      </w:r>
      <w:r w:rsidRPr="00482A30">
        <w:t xml:space="preserve"> were supplied ibrutinib per month.</w:t>
      </w:r>
    </w:p>
    <w:p w14:paraId="5A6C46E3" w14:textId="2B198DEE" w:rsidR="00FA77D7" w:rsidRPr="00062FF7" w:rsidRDefault="00FA77D7" w:rsidP="003453A0">
      <w:pPr>
        <w:pStyle w:val="ListParagraph"/>
        <w:numPr>
          <w:ilvl w:val="0"/>
          <w:numId w:val="4"/>
        </w:numPr>
      </w:pPr>
      <w:r w:rsidRPr="003453A0">
        <w:t xml:space="preserve">In the first year of listing, ibrutinib had 1,435 initiating patients. This was similar to the </w:t>
      </w:r>
      <w:r w:rsidRPr="003453A0">
        <w:rPr>
          <w:color w:val="000000" w:themeColor="text1"/>
          <w:shd w:val="clear" w:color="auto" w:fill="000000" w:themeFill="text1"/>
        </w:rPr>
        <w:t>XXXXX</w:t>
      </w:r>
      <w:r w:rsidRPr="003453A0">
        <w:t xml:space="preserve"> patients that was estimated in agreed estimates model. </w:t>
      </w:r>
      <w:r w:rsidRPr="003453A0">
        <w:rPr>
          <w:shd w:val="clear" w:color="auto" w:fill="FFFFFF" w:themeFill="background1"/>
        </w:rPr>
        <w:t>There was a</w:t>
      </w:r>
      <w:r w:rsidRPr="003453A0">
        <w:t xml:space="preserve"> </w:t>
      </w:r>
      <w:r w:rsidRPr="003453A0">
        <w:rPr>
          <w:color w:val="000000" w:themeColor="text1"/>
          <w:shd w:val="clear" w:color="auto" w:fill="000000" w:themeFill="text1"/>
        </w:rPr>
        <w:t>XXX</w:t>
      </w:r>
      <w:r w:rsidRPr="003F3F22">
        <w:rPr>
          <w:shd w:val="clear" w:color="auto" w:fill="000000" w:themeFill="text1"/>
        </w:rPr>
        <w:t xml:space="preserve"> </w:t>
      </w:r>
      <w:r w:rsidR="00052210" w:rsidRPr="00052210">
        <w:rPr>
          <w:highlight w:val="black"/>
        </w:rPr>
        <w:t>XXXX</w:t>
      </w:r>
      <w:r w:rsidRPr="00062FF7">
        <w:t xml:space="preserve"> in incident patients in 2019 compared to year 2 of the estimates model. </w:t>
      </w:r>
    </w:p>
    <w:p w14:paraId="06E84C76" w14:textId="77777777" w:rsidR="00FA77D7" w:rsidRPr="00062FF7" w:rsidRDefault="00FA77D7" w:rsidP="00FA77D7">
      <w:pPr>
        <w:pStyle w:val="ListParagraph"/>
        <w:numPr>
          <w:ilvl w:val="0"/>
          <w:numId w:val="4"/>
        </w:numPr>
      </w:pPr>
      <w:r w:rsidRPr="00062FF7">
        <w:t xml:space="preserve">In 2019 the number of initiating patients is </w:t>
      </w:r>
      <w:r w:rsidRPr="00AA2CE1">
        <w:t>substantially less</w:t>
      </w:r>
      <w:r w:rsidRPr="00062FF7">
        <w:t xml:space="preserve"> than predicted and due to this expenditure on ibrutinib </w:t>
      </w:r>
      <w:r w:rsidRPr="00AA2CE1">
        <w:t>was less than anticipated</w:t>
      </w:r>
      <w:r w:rsidRPr="00062FF7">
        <w:t xml:space="preserve">. </w:t>
      </w:r>
    </w:p>
    <w:p w14:paraId="18C9F4C1" w14:textId="77777777" w:rsidR="00FA77D7" w:rsidRPr="00062FF7" w:rsidRDefault="00FA77D7" w:rsidP="00FA77D7">
      <w:pPr>
        <w:pStyle w:val="ListParagraph"/>
        <w:numPr>
          <w:ilvl w:val="0"/>
          <w:numId w:val="4"/>
        </w:numPr>
      </w:pPr>
      <w:r>
        <w:t>The a</w:t>
      </w:r>
      <w:r w:rsidRPr="00062FF7">
        <w:t>ddition of venetoclax onto the PBS in March 2019 was likely to be the cause of reduction in ibrutinib incident patients.</w:t>
      </w:r>
    </w:p>
    <w:p w14:paraId="16BF5832" w14:textId="77777777" w:rsidR="00FA77D7" w:rsidRPr="00062FF7" w:rsidRDefault="00FA77D7" w:rsidP="00FA77D7">
      <w:pPr>
        <w:pStyle w:val="ListParagraph"/>
        <w:numPr>
          <w:ilvl w:val="0"/>
          <w:numId w:val="4"/>
        </w:numPr>
        <w:ind w:right="-257"/>
        <w:rPr>
          <w:rFonts w:eastAsiaTheme="majorEastAsia" w:cstheme="majorBidi"/>
          <w:bCs/>
        </w:rPr>
      </w:pPr>
      <w:r w:rsidRPr="003F3F22">
        <w:rPr>
          <w:rFonts w:eastAsiaTheme="majorEastAsia" w:cstheme="majorBidi"/>
          <w:bCs/>
          <w:color w:val="000000" w:themeColor="text1"/>
          <w:shd w:val="clear" w:color="auto" w:fill="000000" w:themeFill="text1"/>
        </w:rPr>
        <w:t>XXXXXXXXXXXXXXXXXXXXXXXXXXXXXXXXXXXXXXXXXXXX</w:t>
      </w:r>
      <w:r w:rsidRPr="00062FF7">
        <w:rPr>
          <w:rFonts w:eastAsiaTheme="majorEastAsia" w:cstheme="majorBidi"/>
          <w:bCs/>
        </w:rPr>
        <w:t xml:space="preserve"> The duration of ibrutinib was estimated to be </w:t>
      </w:r>
      <w:r w:rsidRPr="00AA2CE1">
        <w:rPr>
          <w:rFonts w:eastAsiaTheme="majorEastAsia" w:cstheme="majorBidi"/>
          <w:bCs/>
        </w:rPr>
        <w:t>23.4</w:t>
      </w:r>
      <w:r w:rsidRPr="00062FF7">
        <w:rPr>
          <w:rFonts w:eastAsiaTheme="majorEastAsia" w:cstheme="majorBidi"/>
          <w:bCs/>
        </w:rPr>
        <w:t xml:space="preserve"> months, but median time on treatment was not reached in the first 942 days (~31 months) of PBS data with a mean time on ibrutinib of 21.75 </w:t>
      </w:r>
      <w:r>
        <w:rPr>
          <w:rFonts w:eastAsiaTheme="majorEastAsia" w:cstheme="majorBidi"/>
          <w:bCs/>
        </w:rPr>
        <w:t>m</w:t>
      </w:r>
      <w:r w:rsidRPr="00062FF7">
        <w:rPr>
          <w:rFonts w:eastAsiaTheme="majorEastAsia" w:cstheme="majorBidi"/>
          <w:bCs/>
        </w:rPr>
        <w:t xml:space="preserve">onths. </w:t>
      </w:r>
    </w:p>
    <w:p w14:paraId="45A745F6" w14:textId="77777777" w:rsidR="00FA77D7" w:rsidRPr="00062FF7" w:rsidRDefault="00FA77D7" w:rsidP="00FA77D7">
      <w:pPr>
        <w:pStyle w:val="ListParagraph"/>
        <w:numPr>
          <w:ilvl w:val="0"/>
          <w:numId w:val="4"/>
        </w:numPr>
        <w:rPr>
          <w:rFonts w:eastAsiaTheme="majorEastAsia" w:cstheme="majorBidi"/>
          <w:bCs/>
        </w:rPr>
      </w:pPr>
      <w:r w:rsidRPr="00062FF7">
        <w:t>There were negligible cases detected of ibrutinib use as first</w:t>
      </w:r>
      <w:r>
        <w:t>-</w:t>
      </w:r>
      <w:r w:rsidRPr="00062FF7">
        <w:t>line therapy. However there was some evidence to suggest that ibrutinib was potentially being used in combination with rituximab or venetoclax.</w:t>
      </w:r>
    </w:p>
    <w:p w14:paraId="3D33D95E" w14:textId="77777777" w:rsidR="00FA77D7" w:rsidRPr="00062FF7" w:rsidRDefault="00FA77D7" w:rsidP="00FA77D7">
      <w:pPr>
        <w:pStyle w:val="ListParagraph"/>
        <w:numPr>
          <w:ilvl w:val="0"/>
          <w:numId w:val="4"/>
        </w:numPr>
        <w:rPr>
          <w:rFonts w:eastAsiaTheme="majorEastAsia" w:cstheme="majorBidi"/>
          <w:bCs/>
        </w:rPr>
      </w:pPr>
      <w:r w:rsidRPr="00062FF7">
        <w:t xml:space="preserve">Approximately 68% of incident patients did not have fludarabine in their dispensing history prior to starting ibrutinib, indicating that these patients may not have been suitable for treatment with a purine analogue. The sponsor estimated the number of patients who are not suitable for treatment or retreatment </w:t>
      </w:r>
      <w:r w:rsidRPr="003453A0">
        <w:t xml:space="preserve">to be </w:t>
      </w:r>
      <w:r w:rsidRPr="003453A0">
        <w:rPr>
          <w:color w:val="000000" w:themeColor="text1"/>
          <w:shd w:val="clear" w:color="auto" w:fill="000000" w:themeFill="text1"/>
        </w:rPr>
        <w:t>XXX</w:t>
      </w:r>
      <w:r w:rsidRPr="003453A0">
        <w:rPr>
          <w:shd w:val="clear" w:color="auto" w:fill="FFFFFF" w:themeFill="background1"/>
        </w:rPr>
        <w:t>.</w:t>
      </w:r>
      <w:r w:rsidRPr="003453A0">
        <w:t xml:space="preserve"> Since</w:t>
      </w:r>
      <w:r w:rsidRPr="00062FF7">
        <w:t xml:space="preserve"> 68% </w:t>
      </w:r>
      <w:r w:rsidRPr="00062FF7">
        <w:lastRenderedPageBreak/>
        <w:t xml:space="preserve">does not include those patients who are not suitable for retreatment then in practice this number could be larger.  </w:t>
      </w:r>
    </w:p>
    <w:p w14:paraId="0926AD50" w14:textId="77777777" w:rsidR="00FA77D7" w:rsidRPr="00062FF7" w:rsidRDefault="00FA77D7" w:rsidP="00FA77D7">
      <w:pPr>
        <w:pStyle w:val="ListParagraph"/>
        <w:numPr>
          <w:ilvl w:val="0"/>
          <w:numId w:val="4"/>
        </w:numPr>
      </w:pPr>
      <w:r w:rsidRPr="00062FF7">
        <w:t>A large portion of patients (19%) move</w:t>
      </w:r>
      <w:r>
        <w:t>d</w:t>
      </w:r>
      <w:r w:rsidRPr="00062FF7">
        <w:t xml:space="preserve"> on to treatment with ibrutinib within six months of ceasing their previous line medications and 68% within 42 months. The group of patients starting treatment within six months </w:t>
      </w:r>
      <w:r>
        <w:t>were</w:t>
      </w:r>
      <w:r w:rsidRPr="00062FF7">
        <w:t xml:space="preserve"> potentially refractory, followed by a consistent amount of potentially relapsing patients in the 7- 42 months group after which the rate of relapsing patients steadily decline</w:t>
      </w:r>
      <w:r>
        <w:t>d</w:t>
      </w:r>
      <w:r w:rsidRPr="00062FF7">
        <w:t>.</w:t>
      </w:r>
    </w:p>
    <w:p w14:paraId="2BD39873" w14:textId="2745560C" w:rsidR="00FA77D7" w:rsidRDefault="00FA77D7" w:rsidP="00FA77D7">
      <w:r w:rsidRPr="001C68E6">
        <w:t xml:space="preserve">For details of the DUSC consideration of Ibrutinib for CLL/SLL refer to the </w:t>
      </w:r>
      <w:hyperlink r:id="rId30" w:history="1">
        <w:r w:rsidRPr="001C68E6">
          <w:rPr>
            <w:rStyle w:val="Hyperlink"/>
          </w:rPr>
          <w:t>Public Release Document</w:t>
        </w:r>
      </w:hyperlink>
      <w:r w:rsidRPr="001C68E6" w:rsidDel="00E671B3">
        <w:t xml:space="preserve"> </w:t>
      </w:r>
      <w:r w:rsidRPr="001C68E6">
        <w:t xml:space="preserve"> from the October 2020  DUSC meeting</w:t>
      </w:r>
      <w:r w:rsidR="009B0759">
        <w:t>.</w:t>
      </w:r>
    </w:p>
    <w:p w14:paraId="48EE4D3F" w14:textId="18BA5570" w:rsidR="009B0759" w:rsidRDefault="008626DB" w:rsidP="00FA77D7">
      <w:pPr>
        <w:rPr>
          <w:u w:val="single"/>
        </w:rPr>
      </w:pPr>
      <w:r w:rsidRPr="008626DB">
        <w:rPr>
          <w:u w:val="single"/>
        </w:rPr>
        <w:t>September 2023</w:t>
      </w:r>
    </w:p>
    <w:p w14:paraId="3CD153D3" w14:textId="0B5FB38E" w:rsidR="008626DB" w:rsidRPr="00B23B42" w:rsidRDefault="00B23B42" w:rsidP="00FA77D7">
      <w:pPr>
        <w:rPr>
          <w:b/>
          <w:bCs/>
          <w:i/>
          <w:iCs/>
        </w:rPr>
      </w:pPr>
      <w:r w:rsidRPr="00B23B42">
        <w:rPr>
          <w:b/>
          <w:bCs/>
          <w:i/>
          <w:iCs/>
        </w:rPr>
        <w:t>Venetoclax for first-line treatment of chronic lymphocytic leukaemia or small lymphocytic lymphoma: predicted versus actual analysis</w:t>
      </w:r>
    </w:p>
    <w:p w14:paraId="30490B29" w14:textId="77777777" w:rsidR="009B0759" w:rsidRPr="00AF62B5" w:rsidRDefault="009B0759" w:rsidP="009B0759">
      <w:pPr>
        <w:pStyle w:val="Heading3"/>
      </w:pPr>
      <w:r>
        <w:t>Key Findings</w:t>
      </w:r>
    </w:p>
    <w:p w14:paraId="7D3DEFA5" w14:textId="77777777" w:rsidR="009B0759" w:rsidRDefault="009B0759" w:rsidP="009B0759">
      <w:pPr>
        <w:pStyle w:val="ListParagraph"/>
        <w:numPr>
          <w:ilvl w:val="0"/>
          <w:numId w:val="1"/>
        </w:numPr>
      </w:pPr>
      <w:r>
        <w:t xml:space="preserve">The actual uptake of venetoclax </w:t>
      </w:r>
      <w:r w:rsidRPr="00EE41B1">
        <w:t>in combination with obinutuzumab</w:t>
      </w:r>
      <w:r>
        <w:t xml:space="preserve"> for first-line treatment of CLL/SLL </w:t>
      </w:r>
      <w:r w:rsidRPr="003453A0">
        <w:t xml:space="preserve">was </w:t>
      </w:r>
      <w:r w:rsidRPr="003453A0">
        <w:rPr>
          <w:highlight w:val="black"/>
        </w:rPr>
        <w:t>XXXXXXX</w:t>
      </w:r>
      <w:r w:rsidRPr="003453A0">
        <w:t xml:space="preserve"> over</w:t>
      </w:r>
      <w:r>
        <w:t xml:space="preserve"> the first two years of listing than predicted. </w:t>
      </w:r>
    </w:p>
    <w:p w14:paraId="4C1F7F48" w14:textId="77777777" w:rsidR="009B0759" w:rsidRDefault="009B0759" w:rsidP="009B0759">
      <w:pPr>
        <w:pStyle w:val="ListParagraph"/>
        <w:numPr>
          <w:ilvl w:val="0"/>
          <w:numId w:val="1"/>
        </w:numPr>
      </w:pPr>
      <w:r>
        <w:t>T</w:t>
      </w:r>
      <w:r w:rsidRPr="00046964">
        <w:t xml:space="preserve">he actual substitution rate of chlorambucil </w:t>
      </w:r>
      <w:r>
        <w:t xml:space="preserve">in combination with </w:t>
      </w:r>
      <w:r w:rsidRPr="00046964">
        <w:t xml:space="preserve">obinutuzumab for venetoclax </w:t>
      </w:r>
      <w:r>
        <w:t xml:space="preserve">in first-line therapy </w:t>
      </w:r>
      <w:r w:rsidRPr="00046964">
        <w:t xml:space="preserve">is </w:t>
      </w:r>
      <w:r w:rsidRPr="003D2C09">
        <w:rPr>
          <w:highlight w:val="black"/>
          <w:shd w:val="clear" w:color="auto" w:fill="D9D9D9" w:themeFill="background1" w:themeFillShade="D9"/>
        </w:rPr>
        <w:t>XXXXX</w:t>
      </w:r>
      <w:r w:rsidRPr="00046964">
        <w:t xml:space="preserve"> than predicted over the first </w:t>
      </w:r>
      <w:r>
        <w:t>two</w:t>
      </w:r>
      <w:r w:rsidRPr="00046964">
        <w:t xml:space="preserve"> years of listing</w:t>
      </w:r>
      <w:r>
        <w:t>.</w:t>
      </w:r>
    </w:p>
    <w:p w14:paraId="6F62CE30" w14:textId="77777777" w:rsidR="009B0759" w:rsidRDefault="009B0759" w:rsidP="009B0759">
      <w:pPr>
        <w:pStyle w:val="ListParagraph"/>
        <w:numPr>
          <w:ilvl w:val="0"/>
          <w:numId w:val="1"/>
        </w:numPr>
        <w:ind w:right="-115"/>
      </w:pPr>
      <w:r>
        <w:t xml:space="preserve">The overall use of second-line therapies for CLL/SLL appears to have remained stable since the listing of venetoclax for first-line therapy. However, there appears to be a shift away from the use of ibrutinib towards venetoclax (as either monotherapy or in combination with </w:t>
      </w:r>
      <w:r w:rsidRPr="00C43290">
        <w:t>rituximab</w:t>
      </w:r>
      <w:r>
        <w:t>)</w:t>
      </w:r>
      <w:r w:rsidRPr="00C43290">
        <w:t xml:space="preserve"> </w:t>
      </w:r>
      <w:r>
        <w:t xml:space="preserve">and to a lesser extent </w:t>
      </w:r>
      <w:r w:rsidRPr="00350C0C">
        <w:t>acalabrutinib</w:t>
      </w:r>
      <w:r>
        <w:t xml:space="preserve"> for second-line therapy.</w:t>
      </w:r>
    </w:p>
    <w:p w14:paraId="3C8CE9E5" w14:textId="77777777" w:rsidR="009B0759" w:rsidRDefault="009B0759" w:rsidP="009B0759">
      <w:pPr>
        <w:pStyle w:val="ListParagraph"/>
        <w:numPr>
          <w:ilvl w:val="0"/>
          <w:numId w:val="1"/>
        </w:numPr>
      </w:pPr>
      <w:r w:rsidRPr="00960C7C">
        <w:t xml:space="preserve">The median time on treatment including breaks </w:t>
      </w:r>
      <w:r>
        <w:t xml:space="preserve">in supply </w:t>
      </w:r>
      <w:r w:rsidRPr="00960C7C">
        <w:t xml:space="preserve">was estimated to be </w:t>
      </w:r>
      <w:r>
        <w:t>360</w:t>
      </w:r>
      <w:r w:rsidRPr="00960C7C">
        <w:t xml:space="preserve"> days and excluding breaks was estimated to be</w:t>
      </w:r>
      <w:r>
        <w:t xml:space="preserve"> 315</w:t>
      </w:r>
      <w:r w:rsidRPr="00960C7C">
        <w:t xml:space="preserve"> days</w:t>
      </w:r>
      <w:r>
        <w:t xml:space="preserve">. </w:t>
      </w:r>
    </w:p>
    <w:p w14:paraId="6596469A" w14:textId="77777777" w:rsidR="00B23B42" w:rsidRPr="00AF62B5" w:rsidRDefault="00B23B42" w:rsidP="00B23B42">
      <w:pPr>
        <w:pStyle w:val="ListParagraph"/>
        <w:ind w:left="360"/>
      </w:pPr>
    </w:p>
    <w:p w14:paraId="5C143877" w14:textId="503C8B78" w:rsidR="00E371EA" w:rsidRPr="00ED633B" w:rsidRDefault="00B23B42" w:rsidP="00A35800">
      <w:r w:rsidRPr="001C68E6">
        <w:t xml:space="preserve">For details of the DUSC consideration of </w:t>
      </w:r>
      <w:r>
        <w:t>venetoclax</w:t>
      </w:r>
      <w:r w:rsidRPr="001C68E6">
        <w:t xml:space="preserve"> for CLL/SLL refer to the </w:t>
      </w:r>
      <w:hyperlink r:id="rId31" w:history="1">
        <w:hyperlink r:id="rId32" w:history="1">
          <w:r w:rsidRPr="00060C95">
            <w:rPr>
              <w:rStyle w:val="Hyperlink"/>
            </w:rPr>
            <w:t>Public Release Document</w:t>
          </w:r>
        </w:hyperlink>
      </w:hyperlink>
      <w:r w:rsidRPr="001C68E6" w:rsidDel="00E671B3">
        <w:t xml:space="preserve"> </w:t>
      </w:r>
      <w:r w:rsidRPr="001C68E6">
        <w:t xml:space="preserve"> from the </w:t>
      </w:r>
      <w:r>
        <w:t>September</w:t>
      </w:r>
      <w:r w:rsidRPr="001C68E6">
        <w:t xml:space="preserve"> 202</w:t>
      </w:r>
      <w:r>
        <w:t>3</w:t>
      </w:r>
      <w:r w:rsidRPr="001C68E6">
        <w:t xml:space="preserve"> DUSC meeting</w:t>
      </w:r>
      <w:r>
        <w:t>.</w:t>
      </w:r>
    </w:p>
    <w:p w14:paraId="0312FFEC" w14:textId="5C6A9662" w:rsidR="00E677DD" w:rsidRDefault="00E677DD" w:rsidP="00CF5E22">
      <w:pPr>
        <w:pStyle w:val="Heading1"/>
      </w:pPr>
      <w:r w:rsidRPr="005E22C2">
        <w:t>Method</w:t>
      </w:r>
      <w:r w:rsidR="001B5D37" w:rsidRPr="005E22C2">
        <w:t>s</w:t>
      </w:r>
    </w:p>
    <w:p w14:paraId="4226E0F5" w14:textId="77777777" w:rsidR="00E20590" w:rsidRPr="00B80402" w:rsidRDefault="00E20590" w:rsidP="00E20590">
      <w:pPr>
        <w:spacing w:before="240"/>
        <w:rPr>
          <w:b/>
          <w:bCs/>
          <w:i/>
          <w:iCs/>
        </w:rPr>
      </w:pPr>
      <w:r w:rsidRPr="00B80402">
        <w:rPr>
          <w:b/>
          <w:bCs/>
          <w:i/>
          <w:iCs/>
        </w:rPr>
        <w:t>Patient level analysis</w:t>
      </w:r>
    </w:p>
    <w:p w14:paraId="6890F51D" w14:textId="52BA51B9" w:rsidR="00E20590" w:rsidRDefault="00E20590" w:rsidP="00E20590">
      <w:r w:rsidRPr="00B80402">
        <w:t xml:space="preserve">The number of </w:t>
      </w:r>
      <w:r>
        <w:t xml:space="preserve">incident patients, </w:t>
      </w:r>
      <w:r w:rsidRPr="00B80402">
        <w:t>prevalent patients</w:t>
      </w:r>
      <w:r>
        <w:t>, and scripts dispensed</w:t>
      </w:r>
      <w:r w:rsidRPr="00B80402">
        <w:t xml:space="preserve"> was determined by counting the number of people supplied at least one PBS prescription using person specific numbers (non-identifying) in the data for the time period</w:t>
      </w:r>
      <w:r w:rsidR="00E179C2">
        <w:t xml:space="preserve"> </w:t>
      </w:r>
      <w:r w:rsidR="00E179C2" w:rsidRPr="00E179C2">
        <w:t>1 July 2021 and 30 June 2025</w:t>
      </w:r>
      <w:r w:rsidRPr="00B80402">
        <w:t>. Patient initiation was defined as the date of supply of the first PBS or RPBS prescription.</w:t>
      </w:r>
    </w:p>
    <w:p w14:paraId="1C1838C6" w14:textId="5DC06901" w:rsidR="00E20590" w:rsidRDefault="00E20590" w:rsidP="00E20590">
      <w:r w:rsidRPr="0015662E">
        <w:t>PBS prescription data also contains age and gender information</w:t>
      </w:r>
      <w:r w:rsidR="00373D60" w:rsidRPr="0015662E">
        <w:t xml:space="preserve"> as well as information on cost to government and supply settings</w:t>
      </w:r>
      <w:r w:rsidRPr="0015662E">
        <w:t xml:space="preserve">. Patient age was derived as the age at first supply. </w:t>
      </w:r>
      <w:r w:rsidRPr="0015662E">
        <w:lastRenderedPageBreak/>
        <w:t>This information was used to perform a breakdown of incident patients by age and gender</w:t>
      </w:r>
      <w:r w:rsidR="00373D60" w:rsidRPr="0015662E">
        <w:t>, cost to government and the setting the therapy was supplied</w:t>
      </w:r>
      <w:r w:rsidRPr="0015662E">
        <w:t>.</w:t>
      </w:r>
      <w:r>
        <w:t xml:space="preserve"> </w:t>
      </w:r>
    </w:p>
    <w:p w14:paraId="18BE0243" w14:textId="120014A5" w:rsidR="009C2710" w:rsidRDefault="009C2710" w:rsidP="00E20590">
      <w:r>
        <w:t>A</w:t>
      </w:r>
      <w:r w:rsidR="00050D66">
        <w:t>s treatments for f</w:t>
      </w:r>
      <w:r w:rsidR="00050D66" w:rsidRPr="009C2710">
        <w:t>ludarabine appropriate</w:t>
      </w:r>
      <w:r w:rsidR="00050D66">
        <w:t xml:space="preserve"> patients are unrestricted an</w:t>
      </w:r>
      <w:r>
        <w:t xml:space="preserve"> analysis of the</w:t>
      </w:r>
      <w:r w:rsidR="00050D66">
        <w:t>se</w:t>
      </w:r>
      <w:r>
        <w:t xml:space="preserve"> treatments </w:t>
      </w:r>
      <w:r w:rsidR="00050D66">
        <w:t>has</w:t>
      </w:r>
      <w:r>
        <w:t xml:space="preserve"> not </w:t>
      </w:r>
      <w:r w:rsidR="00050D66">
        <w:t xml:space="preserve">been </w:t>
      </w:r>
      <w:r>
        <w:t xml:space="preserve">included. </w:t>
      </w:r>
    </w:p>
    <w:p w14:paraId="16D0DF29" w14:textId="77777777" w:rsidR="00E20590" w:rsidRPr="00E20590" w:rsidRDefault="00E20590" w:rsidP="002F6534">
      <w:pPr>
        <w:rPr>
          <w:b/>
          <w:bCs/>
          <w:i/>
          <w:iCs/>
        </w:rPr>
      </w:pPr>
      <w:r w:rsidRPr="00E20590">
        <w:rPr>
          <w:b/>
          <w:bCs/>
          <w:i/>
          <w:iCs/>
        </w:rPr>
        <w:t xml:space="preserve">Treatment sequence </w:t>
      </w:r>
    </w:p>
    <w:p w14:paraId="74CF4CAA" w14:textId="344F2F2C" w:rsidR="002F6534" w:rsidRDefault="00E20590" w:rsidP="002F6534">
      <w:r w:rsidRPr="00E20590">
        <w:t>To determine the therapy sequence from first line to second line treatment</w:t>
      </w:r>
      <w:r>
        <w:t xml:space="preserve"> for CLL/SLL</w:t>
      </w:r>
      <w:r w:rsidRPr="00E20590">
        <w:t xml:space="preserve">, prescription data for the first line medications were extracted from the start of June 2021 to the end of </w:t>
      </w:r>
      <w:r>
        <w:t>July 2025</w:t>
      </w:r>
      <w:r w:rsidRPr="00E20590">
        <w:t xml:space="preserve">. These data were merged with patients who had been </w:t>
      </w:r>
      <w:r w:rsidR="002E54D6">
        <w:t xml:space="preserve">subsequently </w:t>
      </w:r>
      <w:r w:rsidRPr="00E20590">
        <w:t>supplied</w:t>
      </w:r>
      <w:r>
        <w:t xml:space="preserve"> </w:t>
      </w:r>
      <w:r w:rsidR="002E54D6">
        <w:t xml:space="preserve">with a </w:t>
      </w:r>
      <w:r>
        <w:t xml:space="preserve">second line medications </w:t>
      </w:r>
      <w:r w:rsidR="002E54D6">
        <w:t>during</w:t>
      </w:r>
      <w:r>
        <w:t xml:space="preserve"> the same period.</w:t>
      </w:r>
    </w:p>
    <w:p w14:paraId="35B97A3B" w14:textId="77777777" w:rsidR="00674A68" w:rsidRDefault="00674A68" w:rsidP="00674A68">
      <w:pPr>
        <w:spacing w:after="0"/>
      </w:pPr>
      <w:bookmarkStart w:id="2" w:name="_Hlk204256608"/>
      <w:r>
        <w:t xml:space="preserve">The Kaplan-Meier method was used to determine the length of treatment for patients. A </w:t>
      </w:r>
    </w:p>
    <w:p w14:paraId="2792FC15" w14:textId="77777777" w:rsidR="00674A68" w:rsidRDefault="00674A68" w:rsidP="00674A68">
      <w:pPr>
        <w:spacing w:after="0"/>
      </w:pPr>
      <w:r>
        <w:t xml:space="preserve">break in treatment was defined as a gap of more than three times the median time </w:t>
      </w:r>
    </w:p>
    <w:p w14:paraId="4CDD7284" w14:textId="39A087F9" w:rsidR="00674A68" w:rsidRDefault="00674A68" w:rsidP="00674A68">
      <w:pPr>
        <w:spacing w:after="0"/>
      </w:pPr>
      <w:r>
        <w:t xml:space="preserve">between supplies which was found to be 28-31 days depending on medication. A patient </w:t>
      </w:r>
    </w:p>
    <w:p w14:paraId="667F1754" w14:textId="77777777" w:rsidR="00674A68" w:rsidRDefault="00674A68" w:rsidP="00674A68">
      <w:pPr>
        <w:spacing w:after="0"/>
      </w:pPr>
      <w:r>
        <w:t xml:space="preserve">was deemed to be continuing treatment (classified as censored in the Kaplan-Meier </w:t>
      </w:r>
    </w:p>
    <w:p w14:paraId="34AEE881" w14:textId="534C9FC8" w:rsidR="00674A68" w:rsidRDefault="00674A68" w:rsidP="00674A68">
      <w:pPr>
        <w:spacing w:after="0"/>
      </w:pPr>
      <w:r>
        <w:t xml:space="preserve">analysis) at the end of the data period (i.e. the end of June 2025) if their last prescription </w:t>
      </w:r>
    </w:p>
    <w:p w14:paraId="351A616C" w14:textId="225B1450" w:rsidR="00674A68" w:rsidRDefault="00674A68" w:rsidP="00674A68">
      <w:pPr>
        <w:spacing w:after="0"/>
      </w:pPr>
      <w:r>
        <w:t xml:space="preserve">was within three times the median time to resupply of this end date. </w:t>
      </w:r>
      <w:r w:rsidR="002E54D6">
        <w:t>Otherwise,</w:t>
      </w:r>
      <w:r>
        <w:t xml:space="preserve"> the patient </w:t>
      </w:r>
    </w:p>
    <w:p w14:paraId="50184DCA" w14:textId="77777777" w:rsidR="00674A68" w:rsidRDefault="00674A68" w:rsidP="00674A68">
      <w:pPr>
        <w:spacing w:after="0"/>
      </w:pPr>
      <w:r>
        <w:t xml:space="preserve">was deemed to have ceased treatment with the treatment coverage end date being the </w:t>
      </w:r>
    </w:p>
    <w:p w14:paraId="4F6D2B41" w14:textId="77777777" w:rsidR="00674A68" w:rsidRDefault="00674A68" w:rsidP="00674A68">
      <w:pPr>
        <w:spacing w:after="0"/>
      </w:pPr>
      <w:r>
        <w:t xml:space="preserve">supply date of their last prescription plus a median time to resupply. If a patient’s supply </w:t>
      </w:r>
    </w:p>
    <w:p w14:paraId="2A213388" w14:textId="77777777" w:rsidR="00674A68" w:rsidRDefault="00674A68" w:rsidP="00674A68">
      <w:pPr>
        <w:spacing w:after="0"/>
      </w:pPr>
      <w:r>
        <w:t xml:space="preserve">was after a gap of more than three times the median time to resupply, then the patient was </w:t>
      </w:r>
    </w:p>
    <w:p w14:paraId="449C3029" w14:textId="56C2B6DB" w:rsidR="00674A68" w:rsidRDefault="00674A68" w:rsidP="00674A68">
      <w:pPr>
        <w:spacing w:after="0"/>
      </w:pPr>
      <w:r>
        <w:t>deemed to have been re-treated.</w:t>
      </w:r>
    </w:p>
    <w:p w14:paraId="17C65449" w14:textId="77777777" w:rsidR="00454671" w:rsidRDefault="00454671" w:rsidP="00674A68">
      <w:pPr>
        <w:spacing w:after="0"/>
      </w:pPr>
    </w:p>
    <w:p w14:paraId="12B4FE53" w14:textId="77777777" w:rsidR="00454671" w:rsidRPr="00454671" w:rsidRDefault="00454671" w:rsidP="00454671">
      <w:pPr>
        <w:rPr>
          <w:b/>
          <w:bCs/>
          <w:i/>
          <w:iCs/>
        </w:rPr>
      </w:pPr>
      <w:r w:rsidRPr="00454671">
        <w:rPr>
          <w:b/>
          <w:bCs/>
          <w:i/>
          <w:iCs/>
        </w:rPr>
        <w:t xml:space="preserve">Prescriber analysis </w:t>
      </w:r>
    </w:p>
    <w:p w14:paraId="23299401" w14:textId="17027C3E" w:rsidR="009322B6" w:rsidRDefault="00454671" w:rsidP="00674A68">
      <w:pPr>
        <w:spacing w:after="0"/>
      </w:pPr>
      <w:r w:rsidRPr="00454671">
        <w:t>Number and proportion of prescriptions dispensed by prescriber type over time was derived by specialities.</w:t>
      </w:r>
    </w:p>
    <w:p w14:paraId="340160A4" w14:textId="77777777" w:rsidR="00AE49C6" w:rsidRDefault="00AE49C6" w:rsidP="00674A68">
      <w:pPr>
        <w:spacing w:after="0"/>
      </w:pPr>
    </w:p>
    <w:p w14:paraId="145A27D7" w14:textId="77777777" w:rsidR="00AE49C6" w:rsidRDefault="00AE49C6" w:rsidP="00674A68">
      <w:pPr>
        <w:spacing w:after="0"/>
      </w:pPr>
    </w:p>
    <w:p w14:paraId="3F1C50A7" w14:textId="77777777" w:rsidR="00AE49C6" w:rsidRDefault="00AE49C6" w:rsidP="00674A68">
      <w:pPr>
        <w:spacing w:after="0"/>
      </w:pPr>
    </w:p>
    <w:p w14:paraId="1739C88A" w14:textId="77777777" w:rsidR="00AE49C6" w:rsidRDefault="00AE49C6" w:rsidP="00674A68">
      <w:pPr>
        <w:spacing w:after="0"/>
      </w:pPr>
    </w:p>
    <w:p w14:paraId="773693D0" w14:textId="77777777" w:rsidR="00AE49C6" w:rsidRDefault="00AE49C6" w:rsidP="00674A68">
      <w:pPr>
        <w:spacing w:after="0"/>
      </w:pPr>
    </w:p>
    <w:p w14:paraId="1C3F6E97" w14:textId="77777777" w:rsidR="00AE49C6" w:rsidRDefault="00AE49C6" w:rsidP="00674A68">
      <w:pPr>
        <w:spacing w:after="0"/>
      </w:pPr>
    </w:p>
    <w:p w14:paraId="6069915E" w14:textId="77777777" w:rsidR="00AE49C6" w:rsidRDefault="00AE49C6" w:rsidP="00674A68">
      <w:pPr>
        <w:spacing w:after="0"/>
      </w:pPr>
    </w:p>
    <w:p w14:paraId="40B41E57" w14:textId="77777777" w:rsidR="00AE49C6" w:rsidRDefault="00AE49C6" w:rsidP="00674A68">
      <w:pPr>
        <w:spacing w:after="0"/>
      </w:pPr>
    </w:p>
    <w:p w14:paraId="77B6C84A" w14:textId="77777777" w:rsidR="00AE49C6" w:rsidRDefault="00AE49C6" w:rsidP="00674A68">
      <w:pPr>
        <w:spacing w:after="0"/>
      </w:pPr>
    </w:p>
    <w:p w14:paraId="2F0650AB" w14:textId="77777777" w:rsidR="00AE49C6" w:rsidRDefault="00AE49C6" w:rsidP="00674A68">
      <w:pPr>
        <w:spacing w:after="0"/>
      </w:pPr>
    </w:p>
    <w:p w14:paraId="3FA02130" w14:textId="77777777" w:rsidR="00AE49C6" w:rsidRDefault="00AE49C6" w:rsidP="00674A68">
      <w:pPr>
        <w:spacing w:after="0"/>
      </w:pPr>
    </w:p>
    <w:p w14:paraId="11CC0410" w14:textId="77777777" w:rsidR="00AE49C6" w:rsidRDefault="00AE49C6" w:rsidP="00674A68">
      <w:pPr>
        <w:spacing w:after="0"/>
      </w:pPr>
    </w:p>
    <w:p w14:paraId="661CC90E" w14:textId="77777777" w:rsidR="00AE49C6" w:rsidRDefault="00AE49C6" w:rsidP="00674A68">
      <w:pPr>
        <w:spacing w:after="0"/>
      </w:pPr>
    </w:p>
    <w:p w14:paraId="6725C1CF" w14:textId="77777777" w:rsidR="00AE49C6" w:rsidRDefault="00AE49C6" w:rsidP="00674A68">
      <w:pPr>
        <w:spacing w:after="0"/>
      </w:pPr>
    </w:p>
    <w:p w14:paraId="2371FEA2" w14:textId="77777777" w:rsidR="00AE49C6" w:rsidRDefault="00AE49C6" w:rsidP="00674A68">
      <w:pPr>
        <w:spacing w:after="0"/>
      </w:pPr>
    </w:p>
    <w:bookmarkEnd w:id="2"/>
    <w:p w14:paraId="4F91A98A" w14:textId="59804279"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31F095D7" w14:textId="77777777" w:rsidR="00AE49C6" w:rsidRDefault="00736041" w:rsidP="00AE49C6">
      <w:pPr>
        <w:pStyle w:val="Heading3"/>
      </w:pPr>
      <w:r w:rsidRPr="005E22C2">
        <w:t>Overall utilisation</w:t>
      </w:r>
    </w:p>
    <w:p w14:paraId="71F3842A" w14:textId="1462EB7B" w:rsidR="00E179C2" w:rsidRDefault="003453A0" w:rsidP="00AE49C6">
      <w:pPr>
        <w:pStyle w:val="Heading3"/>
      </w:pPr>
      <w:r>
        <w:rPr>
          <w:noProof/>
        </w:rPr>
        <w:drawing>
          <wp:inline distT="0" distB="0" distL="0" distR="0" wp14:anchorId="32869641" wp14:editId="7599E67D">
            <wp:extent cx="6035675" cy="3627120"/>
            <wp:effectExtent l="0" t="0" r="3175" b="0"/>
            <wp:docPr id="1187698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5675" cy="3627120"/>
                    </a:xfrm>
                    <a:prstGeom prst="rect">
                      <a:avLst/>
                    </a:prstGeom>
                    <a:noFill/>
                  </pic:spPr>
                </pic:pic>
              </a:graphicData>
            </a:graphic>
          </wp:inline>
        </w:drawing>
      </w:r>
    </w:p>
    <w:p w14:paraId="04AFE07E" w14:textId="1AE03521" w:rsidR="00B85392" w:rsidRDefault="00B85392" w:rsidP="005F6B30">
      <w:pPr>
        <w:spacing w:after="0"/>
        <w:rPr>
          <w:b/>
          <w:bCs/>
          <w:iCs/>
        </w:rPr>
      </w:pPr>
      <w:r w:rsidRPr="005A0800">
        <w:rPr>
          <w:b/>
          <w:bCs/>
          <w:iCs/>
        </w:rPr>
        <w:t xml:space="preserve">Figure </w:t>
      </w:r>
      <w:r w:rsidR="005A0800" w:rsidRPr="005A0800">
        <w:rPr>
          <w:b/>
          <w:bCs/>
          <w:iCs/>
        </w:rPr>
        <w:t>1</w:t>
      </w:r>
      <w:r w:rsidRPr="005A0800">
        <w:rPr>
          <w:b/>
          <w:bCs/>
          <w:iCs/>
        </w:rPr>
        <w:t>: Number of treated first line incident patients by quarter</w:t>
      </w:r>
    </w:p>
    <w:p w14:paraId="7C63F9B4" w14:textId="5F813C4F" w:rsidR="005F6B30" w:rsidRPr="005F6B30" w:rsidRDefault="005F6B30" w:rsidP="005F6B30">
      <w:pPr>
        <w:spacing w:after="0"/>
        <w:rPr>
          <w:iCs/>
          <w:sz w:val="20"/>
          <w:szCs w:val="20"/>
        </w:rPr>
      </w:pPr>
      <w:r w:rsidRPr="005F6B30">
        <w:rPr>
          <w:iCs/>
          <w:sz w:val="20"/>
          <w:szCs w:val="20"/>
        </w:rPr>
        <w:t>Note:</w:t>
      </w:r>
    </w:p>
    <w:p w14:paraId="0210A0C3" w14:textId="30A88E82" w:rsidR="005F6B30" w:rsidRPr="00AA5D01" w:rsidRDefault="00DD1724" w:rsidP="005F6B30">
      <w:pPr>
        <w:spacing w:after="0"/>
        <w:rPr>
          <w:rFonts w:cstheme="minorHAnsi"/>
          <w:sz w:val="20"/>
          <w:szCs w:val="20"/>
        </w:rPr>
      </w:pPr>
      <w:r>
        <w:rPr>
          <w:rFonts w:cstheme="minorHAnsi"/>
          <w:sz w:val="20"/>
          <w:szCs w:val="20"/>
        </w:rPr>
        <w:t xml:space="preserve">Patient numbers for </w:t>
      </w:r>
      <w:r w:rsidRPr="00DD1724">
        <w:rPr>
          <w:rFonts w:cstheme="minorHAnsi"/>
          <w:sz w:val="20"/>
          <w:szCs w:val="20"/>
        </w:rPr>
        <w:t>obinutuzumab and chlorambucil</w:t>
      </w:r>
      <w:r>
        <w:rPr>
          <w:rFonts w:cstheme="minorHAnsi"/>
          <w:sz w:val="20"/>
          <w:szCs w:val="20"/>
        </w:rPr>
        <w:t xml:space="preserve"> and </w:t>
      </w:r>
      <w:r w:rsidRPr="00DD1724">
        <w:rPr>
          <w:rFonts w:cstheme="minorHAnsi"/>
          <w:sz w:val="20"/>
          <w:szCs w:val="20"/>
        </w:rPr>
        <w:t>rituximab and c</w:t>
      </w:r>
      <w:r>
        <w:rPr>
          <w:rFonts w:cstheme="minorHAnsi"/>
          <w:sz w:val="20"/>
          <w:szCs w:val="20"/>
        </w:rPr>
        <w:t>hemotherapy</w:t>
      </w:r>
      <w:r w:rsidRPr="00DD1724">
        <w:rPr>
          <w:rFonts w:cstheme="minorHAnsi"/>
          <w:sz w:val="20"/>
          <w:szCs w:val="20"/>
        </w:rPr>
        <w:t xml:space="preserve"> </w:t>
      </w:r>
      <w:r>
        <w:rPr>
          <w:rFonts w:cstheme="minorHAnsi"/>
          <w:sz w:val="20"/>
          <w:szCs w:val="20"/>
        </w:rPr>
        <w:t>(</w:t>
      </w:r>
      <w:r w:rsidR="005F6B30" w:rsidRPr="00AA5D01">
        <w:rPr>
          <w:rFonts w:cstheme="minorHAnsi"/>
          <w:sz w:val="20"/>
          <w:szCs w:val="20"/>
        </w:rPr>
        <w:t>dotted line) are marked on the secondary axis.</w:t>
      </w:r>
      <w:r w:rsidR="00210376">
        <w:rPr>
          <w:rFonts w:cstheme="minorHAnsi"/>
          <w:sz w:val="20"/>
          <w:szCs w:val="20"/>
        </w:rPr>
        <w:t xml:space="preserve"> </w:t>
      </w:r>
      <w:r w:rsidR="00210376" w:rsidRPr="00210376">
        <w:rPr>
          <w:rFonts w:cstheme="minorHAnsi"/>
          <w:sz w:val="20"/>
          <w:szCs w:val="20"/>
        </w:rPr>
        <w:t>Patient numbers have been redacted as numbers are small.</w:t>
      </w:r>
    </w:p>
    <w:p w14:paraId="306A88D8" w14:textId="6C1B20FA" w:rsidR="005F6B30" w:rsidRPr="003126B0" w:rsidRDefault="003126B0" w:rsidP="00E179C2">
      <w:pPr>
        <w:rPr>
          <w:sz w:val="20"/>
          <w:szCs w:val="20"/>
        </w:rPr>
      </w:pPr>
      <w:r>
        <w:rPr>
          <w:sz w:val="20"/>
          <w:szCs w:val="20"/>
        </w:rPr>
        <w:t>Does not include numbers for venetoclax dose modification.</w:t>
      </w:r>
    </w:p>
    <w:p w14:paraId="037A61C0" w14:textId="46F27427" w:rsidR="00E179C2" w:rsidRDefault="00AF67AB" w:rsidP="00E179C2">
      <w:r>
        <w:rPr>
          <w:noProof/>
        </w:rPr>
        <w:lastRenderedPageBreak/>
        <w:drawing>
          <wp:inline distT="0" distB="0" distL="0" distR="0" wp14:anchorId="3714E55B" wp14:editId="32642529">
            <wp:extent cx="6023610" cy="3755390"/>
            <wp:effectExtent l="0" t="0" r="0" b="0"/>
            <wp:docPr id="2110612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23610" cy="3755390"/>
                    </a:xfrm>
                    <a:prstGeom prst="rect">
                      <a:avLst/>
                    </a:prstGeom>
                    <a:noFill/>
                  </pic:spPr>
                </pic:pic>
              </a:graphicData>
            </a:graphic>
          </wp:inline>
        </w:drawing>
      </w:r>
    </w:p>
    <w:p w14:paraId="412ED46A" w14:textId="3A5E5E58" w:rsidR="00B85392" w:rsidRPr="005A0800" w:rsidRDefault="00B85392" w:rsidP="005F6B30">
      <w:pPr>
        <w:spacing w:after="0"/>
        <w:rPr>
          <w:b/>
          <w:bCs/>
        </w:rPr>
      </w:pPr>
      <w:r w:rsidRPr="005A0800">
        <w:rPr>
          <w:b/>
          <w:bCs/>
          <w:iCs/>
        </w:rPr>
        <w:t xml:space="preserve">Figure </w:t>
      </w:r>
      <w:r w:rsidR="005A0800" w:rsidRPr="005A0800">
        <w:rPr>
          <w:b/>
          <w:bCs/>
          <w:iCs/>
        </w:rPr>
        <w:t>2</w:t>
      </w:r>
      <w:r w:rsidRPr="005A0800">
        <w:rPr>
          <w:b/>
          <w:bCs/>
          <w:iCs/>
        </w:rPr>
        <w:t>: Number of treated first line prevalent patient by quarter</w:t>
      </w:r>
    </w:p>
    <w:p w14:paraId="0443AE17" w14:textId="77777777" w:rsidR="005F6B30" w:rsidRPr="005F6B30" w:rsidRDefault="005F6B30" w:rsidP="005F6B30">
      <w:pPr>
        <w:spacing w:after="0"/>
        <w:rPr>
          <w:iCs/>
          <w:sz w:val="20"/>
          <w:szCs w:val="20"/>
        </w:rPr>
      </w:pPr>
      <w:r w:rsidRPr="005F6B30">
        <w:rPr>
          <w:iCs/>
          <w:sz w:val="20"/>
          <w:szCs w:val="20"/>
        </w:rPr>
        <w:t>Note:</w:t>
      </w:r>
    </w:p>
    <w:p w14:paraId="40F384C5" w14:textId="19D53DBC" w:rsidR="00E179C2" w:rsidRDefault="00DD1724" w:rsidP="00DD1724">
      <w:pPr>
        <w:spacing w:after="0"/>
        <w:rPr>
          <w:rFonts w:cstheme="minorHAnsi"/>
          <w:sz w:val="20"/>
          <w:szCs w:val="20"/>
        </w:rPr>
      </w:pPr>
      <w:r>
        <w:rPr>
          <w:rFonts w:cstheme="minorHAnsi"/>
          <w:sz w:val="20"/>
          <w:szCs w:val="20"/>
        </w:rPr>
        <w:t xml:space="preserve">Patient numbers for </w:t>
      </w:r>
      <w:r w:rsidRPr="00DD1724">
        <w:rPr>
          <w:rFonts w:cstheme="minorHAnsi"/>
          <w:sz w:val="20"/>
          <w:szCs w:val="20"/>
        </w:rPr>
        <w:t>obinutuzumab and chlorambucil</w:t>
      </w:r>
      <w:r>
        <w:rPr>
          <w:rFonts w:cstheme="minorHAnsi"/>
          <w:sz w:val="20"/>
          <w:szCs w:val="20"/>
        </w:rPr>
        <w:t xml:space="preserve"> and </w:t>
      </w:r>
      <w:r w:rsidRPr="00DD1724">
        <w:rPr>
          <w:rFonts w:cstheme="minorHAnsi"/>
          <w:sz w:val="20"/>
          <w:szCs w:val="20"/>
        </w:rPr>
        <w:t>rituximab and c</w:t>
      </w:r>
      <w:r>
        <w:rPr>
          <w:rFonts w:cstheme="minorHAnsi"/>
          <w:sz w:val="20"/>
          <w:szCs w:val="20"/>
        </w:rPr>
        <w:t>hemotherapy</w:t>
      </w:r>
      <w:r w:rsidRPr="00DD1724">
        <w:rPr>
          <w:rFonts w:cstheme="minorHAnsi"/>
          <w:sz w:val="20"/>
          <w:szCs w:val="20"/>
        </w:rPr>
        <w:t xml:space="preserve"> </w:t>
      </w:r>
      <w:r>
        <w:rPr>
          <w:rFonts w:cstheme="minorHAnsi"/>
          <w:sz w:val="20"/>
          <w:szCs w:val="20"/>
        </w:rPr>
        <w:t>(</w:t>
      </w:r>
      <w:r w:rsidRPr="00AA5D01">
        <w:rPr>
          <w:rFonts w:cstheme="minorHAnsi"/>
          <w:sz w:val="20"/>
          <w:szCs w:val="20"/>
        </w:rPr>
        <w:t>dotted line) are marked on the secondary axis.</w:t>
      </w:r>
      <w:r w:rsidR="00210376">
        <w:rPr>
          <w:rFonts w:cstheme="minorHAnsi"/>
          <w:sz w:val="20"/>
          <w:szCs w:val="20"/>
        </w:rPr>
        <w:t xml:space="preserve"> </w:t>
      </w:r>
      <w:r w:rsidR="00210376" w:rsidRPr="00210376">
        <w:rPr>
          <w:rFonts w:cstheme="minorHAnsi"/>
          <w:sz w:val="20"/>
          <w:szCs w:val="20"/>
        </w:rPr>
        <w:t>Patient numbers have been redacted as numbers are small.</w:t>
      </w:r>
    </w:p>
    <w:p w14:paraId="2A80675B" w14:textId="77777777" w:rsidR="003126B0" w:rsidRPr="003126B0" w:rsidRDefault="003126B0" w:rsidP="003126B0">
      <w:pPr>
        <w:rPr>
          <w:sz w:val="20"/>
          <w:szCs w:val="20"/>
        </w:rPr>
      </w:pPr>
      <w:r>
        <w:rPr>
          <w:sz w:val="20"/>
          <w:szCs w:val="20"/>
        </w:rPr>
        <w:t>Does not include numbers for venetoclax dose modification.</w:t>
      </w:r>
    </w:p>
    <w:p w14:paraId="4A3E1F36" w14:textId="77777777" w:rsidR="000D0240" w:rsidRPr="00DD1724" w:rsidRDefault="000D0240" w:rsidP="00DD1724">
      <w:pPr>
        <w:spacing w:after="0"/>
        <w:rPr>
          <w:rFonts w:cstheme="minorHAnsi"/>
          <w:sz w:val="20"/>
          <w:szCs w:val="20"/>
        </w:rPr>
      </w:pPr>
    </w:p>
    <w:p w14:paraId="062D9ADF" w14:textId="5A24E5A9" w:rsidR="00E179C2" w:rsidRDefault="003453A0" w:rsidP="00E179C2">
      <w:r>
        <w:rPr>
          <w:noProof/>
        </w:rPr>
        <w:lastRenderedPageBreak/>
        <w:drawing>
          <wp:inline distT="0" distB="0" distL="0" distR="0" wp14:anchorId="258D2031" wp14:editId="6DB1D428">
            <wp:extent cx="5822315" cy="4212590"/>
            <wp:effectExtent l="0" t="0" r="6985" b="0"/>
            <wp:docPr id="3162747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22315" cy="4212590"/>
                    </a:xfrm>
                    <a:prstGeom prst="rect">
                      <a:avLst/>
                    </a:prstGeom>
                    <a:noFill/>
                  </pic:spPr>
                </pic:pic>
              </a:graphicData>
            </a:graphic>
          </wp:inline>
        </w:drawing>
      </w:r>
    </w:p>
    <w:p w14:paraId="728E4C8E" w14:textId="4F814BF2" w:rsidR="00B85392" w:rsidRDefault="00B85392" w:rsidP="005F6B30">
      <w:pPr>
        <w:spacing w:after="0"/>
        <w:rPr>
          <w:b/>
          <w:bCs/>
          <w:iCs/>
        </w:rPr>
      </w:pPr>
      <w:r w:rsidRPr="005A0800">
        <w:rPr>
          <w:b/>
          <w:bCs/>
          <w:iCs/>
        </w:rPr>
        <w:t xml:space="preserve">Figure </w:t>
      </w:r>
      <w:r w:rsidR="005A0800" w:rsidRPr="005A0800">
        <w:rPr>
          <w:b/>
          <w:bCs/>
          <w:iCs/>
        </w:rPr>
        <w:t>3</w:t>
      </w:r>
      <w:r w:rsidRPr="005A0800">
        <w:rPr>
          <w:b/>
          <w:bCs/>
          <w:iCs/>
        </w:rPr>
        <w:t xml:space="preserve">: Number of first line </w:t>
      </w:r>
      <w:r w:rsidR="003609A4">
        <w:rPr>
          <w:b/>
          <w:bCs/>
          <w:iCs/>
        </w:rPr>
        <w:t>prescriptions supplied</w:t>
      </w:r>
      <w:r w:rsidRPr="005A0800">
        <w:rPr>
          <w:b/>
          <w:bCs/>
          <w:iCs/>
        </w:rPr>
        <w:t xml:space="preserve"> by quarter</w:t>
      </w:r>
    </w:p>
    <w:p w14:paraId="54F59DAB" w14:textId="77777777" w:rsidR="005F6B30" w:rsidRPr="005F6B30" w:rsidRDefault="005F6B30" w:rsidP="005F6B30">
      <w:pPr>
        <w:spacing w:after="0"/>
        <w:rPr>
          <w:iCs/>
          <w:sz w:val="20"/>
          <w:szCs w:val="20"/>
        </w:rPr>
      </w:pPr>
      <w:r w:rsidRPr="005F6B30">
        <w:rPr>
          <w:iCs/>
          <w:sz w:val="20"/>
          <w:szCs w:val="20"/>
        </w:rPr>
        <w:t>Note:</w:t>
      </w:r>
    </w:p>
    <w:p w14:paraId="0D82B5F6" w14:textId="3440FF0D" w:rsidR="00DD1724" w:rsidRDefault="00DD1724" w:rsidP="00DD1724">
      <w:pPr>
        <w:spacing w:after="0"/>
        <w:rPr>
          <w:rFonts w:cstheme="minorHAnsi"/>
          <w:sz w:val="20"/>
          <w:szCs w:val="20"/>
        </w:rPr>
      </w:pPr>
      <w:r>
        <w:rPr>
          <w:rFonts w:cstheme="minorHAnsi"/>
          <w:sz w:val="20"/>
          <w:szCs w:val="20"/>
        </w:rPr>
        <w:t xml:space="preserve">Script numbers for </w:t>
      </w:r>
      <w:r w:rsidRPr="00DD1724">
        <w:rPr>
          <w:rFonts w:cstheme="minorHAnsi"/>
          <w:sz w:val="20"/>
          <w:szCs w:val="20"/>
        </w:rPr>
        <w:t>obinutuzumab and chlorambucil</w:t>
      </w:r>
      <w:r>
        <w:rPr>
          <w:rFonts w:cstheme="minorHAnsi"/>
          <w:sz w:val="20"/>
          <w:szCs w:val="20"/>
        </w:rPr>
        <w:t xml:space="preserve"> and </w:t>
      </w:r>
      <w:r w:rsidRPr="00DD1724">
        <w:rPr>
          <w:rFonts w:cstheme="minorHAnsi"/>
          <w:sz w:val="20"/>
          <w:szCs w:val="20"/>
        </w:rPr>
        <w:t>rituximab and c</w:t>
      </w:r>
      <w:r>
        <w:rPr>
          <w:rFonts w:cstheme="minorHAnsi"/>
          <w:sz w:val="20"/>
          <w:szCs w:val="20"/>
        </w:rPr>
        <w:t>hemotherapy</w:t>
      </w:r>
      <w:r w:rsidRPr="00DD1724">
        <w:rPr>
          <w:rFonts w:cstheme="minorHAnsi"/>
          <w:sz w:val="20"/>
          <w:szCs w:val="20"/>
        </w:rPr>
        <w:t xml:space="preserve"> </w:t>
      </w:r>
      <w:r>
        <w:rPr>
          <w:rFonts w:cstheme="minorHAnsi"/>
          <w:sz w:val="20"/>
          <w:szCs w:val="20"/>
        </w:rPr>
        <w:t>(</w:t>
      </w:r>
      <w:r w:rsidRPr="00AA5D01">
        <w:rPr>
          <w:rFonts w:cstheme="minorHAnsi"/>
          <w:sz w:val="20"/>
          <w:szCs w:val="20"/>
        </w:rPr>
        <w:t>dotted line) are marked on the secondary axis.</w:t>
      </w:r>
      <w:r w:rsidR="00210376">
        <w:rPr>
          <w:rFonts w:cstheme="minorHAnsi"/>
          <w:sz w:val="20"/>
          <w:szCs w:val="20"/>
        </w:rPr>
        <w:t xml:space="preserve"> </w:t>
      </w:r>
      <w:r w:rsidR="00210376" w:rsidRPr="00210376">
        <w:rPr>
          <w:rFonts w:cstheme="minorHAnsi"/>
          <w:sz w:val="20"/>
          <w:szCs w:val="20"/>
        </w:rPr>
        <w:t>Patient numbers have been redacted as numbers are small.</w:t>
      </w:r>
    </w:p>
    <w:p w14:paraId="1B09DC49" w14:textId="77777777" w:rsidR="003126B0" w:rsidRPr="003126B0" w:rsidRDefault="003126B0" w:rsidP="003126B0">
      <w:pPr>
        <w:rPr>
          <w:sz w:val="20"/>
          <w:szCs w:val="20"/>
        </w:rPr>
      </w:pPr>
      <w:r>
        <w:rPr>
          <w:sz w:val="20"/>
          <w:szCs w:val="20"/>
        </w:rPr>
        <w:t>Does not include numbers for venetoclax dose modification.</w:t>
      </w:r>
    </w:p>
    <w:p w14:paraId="56E4DCD2" w14:textId="77777777" w:rsidR="000D0240" w:rsidRDefault="000D0240" w:rsidP="00DD1724">
      <w:pPr>
        <w:spacing w:after="0"/>
        <w:rPr>
          <w:rFonts w:cstheme="minorHAnsi"/>
          <w:sz w:val="20"/>
          <w:szCs w:val="20"/>
        </w:rPr>
      </w:pPr>
    </w:p>
    <w:p w14:paraId="4AB75BD7" w14:textId="4688BAD7" w:rsidR="000D0240" w:rsidRDefault="000D0240" w:rsidP="00DD1724">
      <w:pPr>
        <w:spacing w:after="0"/>
        <w:rPr>
          <w:rFonts w:cstheme="minorHAnsi"/>
          <w:sz w:val="20"/>
          <w:szCs w:val="20"/>
        </w:rPr>
      </w:pPr>
      <w:r>
        <w:rPr>
          <w:noProof/>
        </w:rPr>
        <w:lastRenderedPageBreak/>
        <w:drawing>
          <wp:inline distT="0" distB="0" distL="0" distR="0" wp14:anchorId="0674A945" wp14:editId="65200354">
            <wp:extent cx="5768340" cy="3528060"/>
            <wp:effectExtent l="0" t="0" r="3810" b="15240"/>
            <wp:docPr id="984878037" name="Chart 1">
              <a:extLst xmlns:a="http://schemas.openxmlformats.org/drawingml/2006/main">
                <a:ext uri="{FF2B5EF4-FFF2-40B4-BE49-F238E27FC236}">
                  <a16:creationId xmlns:a16="http://schemas.microsoft.com/office/drawing/2014/main" id="{D3D3C47C-F7EB-D5CC-7CC4-4D04081472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3D7FBF3" w14:textId="77777777" w:rsidR="000D0240" w:rsidRDefault="000D0240" w:rsidP="00DD1724">
      <w:pPr>
        <w:spacing w:after="0"/>
        <w:rPr>
          <w:rFonts w:cstheme="minorHAnsi"/>
          <w:sz w:val="20"/>
          <w:szCs w:val="20"/>
        </w:rPr>
      </w:pPr>
    </w:p>
    <w:p w14:paraId="7D9E67BE" w14:textId="468C670D" w:rsidR="00EF28AC" w:rsidRDefault="00EF28AC" w:rsidP="00EF28AC">
      <w:pPr>
        <w:spacing w:after="0"/>
        <w:rPr>
          <w:b/>
          <w:bCs/>
          <w:iCs/>
        </w:rPr>
      </w:pPr>
      <w:r w:rsidRPr="005A0800">
        <w:rPr>
          <w:b/>
          <w:bCs/>
          <w:iCs/>
        </w:rPr>
        <w:t xml:space="preserve">Figure </w:t>
      </w:r>
      <w:r>
        <w:rPr>
          <w:b/>
          <w:bCs/>
          <w:iCs/>
        </w:rPr>
        <w:t>4</w:t>
      </w:r>
      <w:r w:rsidRPr="005A0800">
        <w:rPr>
          <w:b/>
          <w:bCs/>
          <w:iCs/>
        </w:rPr>
        <w:t xml:space="preserve">: Number of first line </w:t>
      </w:r>
      <w:r>
        <w:rPr>
          <w:b/>
          <w:bCs/>
          <w:iCs/>
        </w:rPr>
        <w:t xml:space="preserve">incident patients, prevalent patients and </w:t>
      </w:r>
      <w:r w:rsidR="008374A5">
        <w:rPr>
          <w:b/>
          <w:bCs/>
          <w:iCs/>
        </w:rPr>
        <w:t>prescriptions supplied</w:t>
      </w:r>
      <w:r w:rsidRPr="005A0800">
        <w:rPr>
          <w:b/>
          <w:bCs/>
          <w:iCs/>
        </w:rPr>
        <w:t xml:space="preserve"> by quarter</w:t>
      </w:r>
    </w:p>
    <w:p w14:paraId="4C4A2EE3" w14:textId="53142355" w:rsidR="005F6B30" w:rsidRPr="00E05952" w:rsidRDefault="005F6B30" w:rsidP="00E05952">
      <w:pPr>
        <w:spacing w:after="0"/>
        <w:rPr>
          <w:rFonts w:cstheme="minorHAnsi"/>
          <w:sz w:val="20"/>
          <w:szCs w:val="20"/>
        </w:rPr>
      </w:pPr>
    </w:p>
    <w:p w14:paraId="6548527B" w14:textId="27DE04A4" w:rsidR="00E179C2" w:rsidRDefault="003453A0" w:rsidP="00E179C2">
      <w:r>
        <w:rPr>
          <w:noProof/>
        </w:rPr>
        <w:drawing>
          <wp:inline distT="0" distB="0" distL="0" distR="0" wp14:anchorId="0EDD73A0" wp14:editId="456DFF0A">
            <wp:extent cx="5974715" cy="3469005"/>
            <wp:effectExtent l="0" t="0" r="6985" b="0"/>
            <wp:docPr id="9452444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4715" cy="3469005"/>
                    </a:xfrm>
                    <a:prstGeom prst="rect">
                      <a:avLst/>
                    </a:prstGeom>
                    <a:noFill/>
                  </pic:spPr>
                </pic:pic>
              </a:graphicData>
            </a:graphic>
          </wp:inline>
        </w:drawing>
      </w:r>
    </w:p>
    <w:p w14:paraId="4A831C98" w14:textId="28D4EBD1" w:rsidR="00B85392" w:rsidRDefault="00B85392" w:rsidP="005F6B30">
      <w:pPr>
        <w:spacing w:after="0"/>
        <w:rPr>
          <w:b/>
          <w:bCs/>
          <w:iCs/>
        </w:rPr>
      </w:pPr>
      <w:r w:rsidRPr="005A0800">
        <w:rPr>
          <w:b/>
          <w:bCs/>
          <w:iCs/>
        </w:rPr>
        <w:t xml:space="preserve">Figure </w:t>
      </w:r>
      <w:r w:rsidR="00EF28AC">
        <w:rPr>
          <w:b/>
          <w:bCs/>
          <w:iCs/>
        </w:rPr>
        <w:t>5</w:t>
      </w:r>
      <w:r w:rsidRPr="005A0800">
        <w:rPr>
          <w:b/>
          <w:bCs/>
          <w:iCs/>
        </w:rPr>
        <w:t>: Number of treated second line incident patients by quarter</w:t>
      </w:r>
    </w:p>
    <w:p w14:paraId="68A5F413" w14:textId="77777777" w:rsidR="005F6B30" w:rsidRPr="005F6B30" w:rsidRDefault="005F6B30" w:rsidP="005F6B30">
      <w:pPr>
        <w:spacing w:after="0"/>
        <w:rPr>
          <w:iCs/>
          <w:sz w:val="20"/>
          <w:szCs w:val="20"/>
        </w:rPr>
      </w:pPr>
      <w:r w:rsidRPr="005F6B30">
        <w:rPr>
          <w:iCs/>
          <w:sz w:val="20"/>
          <w:szCs w:val="20"/>
        </w:rPr>
        <w:t>Note:</w:t>
      </w:r>
    </w:p>
    <w:p w14:paraId="6B3DC20F" w14:textId="4F18AFE2" w:rsidR="00F528ED" w:rsidRPr="00F528ED" w:rsidRDefault="00DD1724" w:rsidP="00F528ED">
      <w:pPr>
        <w:spacing w:after="0"/>
        <w:rPr>
          <w:rFonts w:cstheme="minorHAnsi"/>
          <w:sz w:val="20"/>
          <w:szCs w:val="20"/>
        </w:rPr>
      </w:pPr>
      <w:r>
        <w:rPr>
          <w:rFonts w:cstheme="minorHAnsi"/>
          <w:sz w:val="20"/>
          <w:szCs w:val="20"/>
        </w:rPr>
        <w:t xml:space="preserve">Patient numbers for idelalisib and </w:t>
      </w:r>
      <w:r w:rsidRPr="00DD1724">
        <w:rPr>
          <w:rFonts w:cstheme="minorHAnsi"/>
          <w:sz w:val="20"/>
          <w:szCs w:val="20"/>
        </w:rPr>
        <w:t xml:space="preserve">rituximab </w:t>
      </w:r>
      <w:r>
        <w:rPr>
          <w:rFonts w:cstheme="minorHAnsi"/>
          <w:sz w:val="20"/>
          <w:szCs w:val="20"/>
        </w:rPr>
        <w:t>(</w:t>
      </w:r>
      <w:r w:rsidRPr="00AA5D01">
        <w:rPr>
          <w:rFonts w:cstheme="minorHAnsi"/>
          <w:sz w:val="20"/>
          <w:szCs w:val="20"/>
        </w:rPr>
        <w:t>dotted line) are marked on the secondary axis</w:t>
      </w:r>
      <w:r w:rsidR="00F528ED">
        <w:rPr>
          <w:rFonts w:cstheme="minorHAnsi"/>
          <w:sz w:val="20"/>
          <w:szCs w:val="20"/>
        </w:rPr>
        <w:t>.</w:t>
      </w:r>
      <w:r w:rsidR="00210376" w:rsidRPr="00210376">
        <w:t xml:space="preserve"> </w:t>
      </w:r>
      <w:r w:rsidR="00210376" w:rsidRPr="00210376">
        <w:rPr>
          <w:rFonts w:cstheme="minorHAnsi"/>
          <w:sz w:val="20"/>
          <w:szCs w:val="20"/>
        </w:rPr>
        <w:t>Patient numbers have been redacted as numbers are small.</w:t>
      </w:r>
    </w:p>
    <w:p w14:paraId="3B4A9C48" w14:textId="2AE89D7C" w:rsidR="00F528ED" w:rsidRPr="003126B0" w:rsidRDefault="00F528ED" w:rsidP="00F528ED">
      <w:pPr>
        <w:rPr>
          <w:sz w:val="20"/>
          <w:szCs w:val="20"/>
        </w:rPr>
      </w:pPr>
      <w:r>
        <w:rPr>
          <w:sz w:val="20"/>
          <w:szCs w:val="20"/>
        </w:rPr>
        <w:lastRenderedPageBreak/>
        <w:t>Does include numbers for venetoclax dose modification.</w:t>
      </w:r>
    </w:p>
    <w:p w14:paraId="6E770FCC" w14:textId="77777777" w:rsidR="005F6B30" w:rsidRPr="005A0800" w:rsidRDefault="005F6B30" w:rsidP="005F6B30">
      <w:pPr>
        <w:spacing w:after="0"/>
        <w:rPr>
          <w:b/>
          <w:bCs/>
        </w:rPr>
      </w:pPr>
    </w:p>
    <w:p w14:paraId="53DD78BA" w14:textId="67AFE6FC" w:rsidR="00E179C2" w:rsidRDefault="00A37CFF" w:rsidP="00E179C2">
      <w:r>
        <w:rPr>
          <w:noProof/>
        </w:rPr>
        <w:drawing>
          <wp:inline distT="0" distB="0" distL="0" distR="0" wp14:anchorId="536DA963" wp14:editId="68A04625">
            <wp:extent cx="5755005" cy="3420110"/>
            <wp:effectExtent l="0" t="0" r="0" b="8890"/>
            <wp:docPr id="737254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5005" cy="3420110"/>
                    </a:xfrm>
                    <a:prstGeom prst="rect">
                      <a:avLst/>
                    </a:prstGeom>
                    <a:noFill/>
                  </pic:spPr>
                </pic:pic>
              </a:graphicData>
            </a:graphic>
          </wp:inline>
        </w:drawing>
      </w:r>
    </w:p>
    <w:p w14:paraId="0ED9F7F6" w14:textId="1E2C53E9" w:rsidR="00B85392" w:rsidRDefault="00B85392" w:rsidP="005F6B30">
      <w:pPr>
        <w:spacing w:after="0"/>
        <w:rPr>
          <w:b/>
          <w:bCs/>
          <w:iCs/>
        </w:rPr>
      </w:pPr>
      <w:r w:rsidRPr="005A0800">
        <w:rPr>
          <w:b/>
          <w:bCs/>
          <w:iCs/>
        </w:rPr>
        <w:t xml:space="preserve">Figure </w:t>
      </w:r>
      <w:r w:rsidR="00EF28AC">
        <w:rPr>
          <w:b/>
          <w:bCs/>
          <w:iCs/>
        </w:rPr>
        <w:t>6</w:t>
      </w:r>
      <w:r w:rsidRPr="005A0800">
        <w:rPr>
          <w:b/>
          <w:bCs/>
          <w:iCs/>
        </w:rPr>
        <w:t>: Number of treated second line prevalent patients by quarter</w:t>
      </w:r>
    </w:p>
    <w:p w14:paraId="640E1E3F" w14:textId="77777777" w:rsidR="005F6B30" w:rsidRPr="005F6B30" w:rsidRDefault="005F6B30" w:rsidP="005F6B30">
      <w:pPr>
        <w:spacing w:after="0"/>
        <w:rPr>
          <w:iCs/>
          <w:sz w:val="20"/>
          <w:szCs w:val="20"/>
        </w:rPr>
      </w:pPr>
      <w:r w:rsidRPr="005F6B30">
        <w:rPr>
          <w:iCs/>
          <w:sz w:val="20"/>
          <w:szCs w:val="20"/>
        </w:rPr>
        <w:t>Note:</w:t>
      </w:r>
    </w:p>
    <w:p w14:paraId="61CD0D95" w14:textId="7F3DDCB4" w:rsidR="00F528ED" w:rsidRPr="00F528ED" w:rsidRDefault="00DD1724" w:rsidP="00F528ED">
      <w:pPr>
        <w:spacing w:after="0"/>
        <w:rPr>
          <w:rFonts w:cstheme="minorHAnsi"/>
          <w:sz w:val="20"/>
          <w:szCs w:val="20"/>
        </w:rPr>
      </w:pPr>
      <w:r>
        <w:rPr>
          <w:rFonts w:cstheme="minorHAnsi"/>
          <w:sz w:val="20"/>
          <w:szCs w:val="20"/>
        </w:rPr>
        <w:t xml:space="preserve">Patient numbers for idelalisib and </w:t>
      </w:r>
      <w:r w:rsidRPr="00DD1724">
        <w:rPr>
          <w:rFonts w:cstheme="minorHAnsi"/>
          <w:sz w:val="20"/>
          <w:szCs w:val="20"/>
        </w:rPr>
        <w:t xml:space="preserve">rituximab </w:t>
      </w:r>
      <w:r>
        <w:rPr>
          <w:rFonts w:cstheme="minorHAnsi"/>
          <w:sz w:val="20"/>
          <w:szCs w:val="20"/>
        </w:rPr>
        <w:t>(</w:t>
      </w:r>
      <w:r w:rsidRPr="00AA5D01">
        <w:rPr>
          <w:rFonts w:cstheme="minorHAnsi"/>
          <w:sz w:val="20"/>
          <w:szCs w:val="20"/>
        </w:rPr>
        <w:t>dotted line) are marked on the secondary axis.</w:t>
      </w:r>
      <w:r w:rsidR="00210376">
        <w:rPr>
          <w:rFonts w:cstheme="minorHAnsi"/>
          <w:sz w:val="20"/>
          <w:szCs w:val="20"/>
        </w:rPr>
        <w:t xml:space="preserve"> </w:t>
      </w:r>
      <w:r w:rsidR="00210376" w:rsidRPr="00210376">
        <w:rPr>
          <w:rFonts w:cstheme="minorHAnsi"/>
          <w:sz w:val="20"/>
          <w:szCs w:val="20"/>
        </w:rPr>
        <w:t>Patient numbers have been redacted as numbers are small.</w:t>
      </w:r>
    </w:p>
    <w:p w14:paraId="4D925303" w14:textId="4CDBA396" w:rsidR="00E179C2" w:rsidRDefault="00F528ED" w:rsidP="00E179C2">
      <w:pPr>
        <w:rPr>
          <w:sz w:val="20"/>
          <w:szCs w:val="20"/>
        </w:rPr>
      </w:pPr>
      <w:r>
        <w:rPr>
          <w:sz w:val="20"/>
          <w:szCs w:val="20"/>
        </w:rPr>
        <w:t>Does include numbers for venetoclax dose modification.</w:t>
      </w:r>
    </w:p>
    <w:p w14:paraId="556AB2E0" w14:textId="77777777" w:rsidR="00975BFC" w:rsidRDefault="00975BFC" w:rsidP="00E179C2">
      <w:pPr>
        <w:rPr>
          <w:sz w:val="20"/>
          <w:szCs w:val="20"/>
        </w:rPr>
      </w:pPr>
    </w:p>
    <w:p w14:paraId="0117AB4D" w14:textId="77777777" w:rsidR="00AE49C6" w:rsidRDefault="00AE49C6" w:rsidP="00E179C2">
      <w:pPr>
        <w:rPr>
          <w:sz w:val="20"/>
          <w:szCs w:val="20"/>
        </w:rPr>
      </w:pPr>
    </w:p>
    <w:p w14:paraId="01A22090" w14:textId="77777777" w:rsidR="00975BFC" w:rsidRPr="00E05952" w:rsidRDefault="00975BFC" w:rsidP="00E179C2">
      <w:pPr>
        <w:rPr>
          <w:sz w:val="20"/>
          <w:szCs w:val="20"/>
        </w:rPr>
      </w:pPr>
    </w:p>
    <w:p w14:paraId="43B0EC0E" w14:textId="597747FE" w:rsidR="00E179C2" w:rsidRDefault="00210376" w:rsidP="00E179C2">
      <w:r>
        <w:rPr>
          <w:noProof/>
        </w:rPr>
        <w:lastRenderedPageBreak/>
        <w:drawing>
          <wp:inline distT="0" distB="0" distL="0" distR="0" wp14:anchorId="56381A84" wp14:editId="7CB57C87">
            <wp:extent cx="5700395" cy="3298190"/>
            <wp:effectExtent l="0" t="0" r="0" b="0"/>
            <wp:docPr id="166955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00395" cy="3298190"/>
                    </a:xfrm>
                    <a:prstGeom prst="rect">
                      <a:avLst/>
                    </a:prstGeom>
                    <a:noFill/>
                  </pic:spPr>
                </pic:pic>
              </a:graphicData>
            </a:graphic>
          </wp:inline>
        </w:drawing>
      </w:r>
    </w:p>
    <w:p w14:paraId="19521CB5" w14:textId="135A28BB" w:rsidR="00D85BF6" w:rsidRDefault="00B85392" w:rsidP="005F6B30">
      <w:pPr>
        <w:spacing w:after="0"/>
        <w:rPr>
          <w:b/>
          <w:bCs/>
          <w:iCs/>
        </w:rPr>
      </w:pPr>
      <w:r w:rsidRPr="005A0800">
        <w:rPr>
          <w:b/>
          <w:bCs/>
          <w:iCs/>
        </w:rPr>
        <w:t xml:space="preserve">Figure </w:t>
      </w:r>
      <w:r w:rsidR="00EF28AC">
        <w:rPr>
          <w:b/>
          <w:bCs/>
          <w:iCs/>
        </w:rPr>
        <w:t>7</w:t>
      </w:r>
      <w:r w:rsidRPr="005A0800">
        <w:rPr>
          <w:b/>
          <w:bCs/>
          <w:iCs/>
        </w:rPr>
        <w:t xml:space="preserve">: Number of second line </w:t>
      </w:r>
      <w:r w:rsidR="00E24D18">
        <w:rPr>
          <w:b/>
          <w:bCs/>
          <w:iCs/>
        </w:rPr>
        <w:t>prescriptions supplied</w:t>
      </w:r>
      <w:r w:rsidR="00E24D18" w:rsidRPr="005A0800">
        <w:rPr>
          <w:b/>
          <w:bCs/>
          <w:iCs/>
        </w:rPr>
        <w:t xml:space="preserve"> </w:t>
      </w:r>
      <w:r w:rsidRPr="005A0800">
        <w:rPr>
          <w:b/>
          <w:bCs/>
          <w:iCs/>
        </w:rPr>
        <w:t>by quarter</w:t>
      </w:r>
    </w:p>
    <w:p w14:paraId="14A23CFE" w14:textId="77777777" w:rsidR="005F6B30" w:rsidRPr="005F6B30" w:rsidRDefault="005F6B30" w:rsidP="005F6B30">
      <w:pPr>
        <w:spacing w:after="0"/>
        <w:rPr>
          <w:iCs/>
          <w:sz w:val="20"/>
          <w:szCs w:val="20"/>
        </w:rPr>
      </w:pPr>
      <w:r w:rsidRPr="005F6B30">
        <w:rPr>
          <w:iCs/>
          <w:sz w:val="20"/>
          <w:szCs w:val="20"/>
        </w:rPr>
        <w:t>Note:</w:t>
      </w:r>
    </w:p>
    <w:p w14:paraId="214EFCA6" w14:textId="214CFD51" w:rsidR="00F528ED" w:rsidRPr="00F528ED" w:rsidRDefault="00DD1724" w:rsidP="00F528ED">
      <w:pPr>
        <w:spacing w:after="0"/>
        <w:rPr>
          <w:rFonts w:cstheme="minorHAnsi"/>
          <w:sz w:val="20"/>
          <w:szCs w:val="20"/>
        </w:rPr>
      </w:pPr>
      <w:r>
        <w:rPr>
          <w:rFonts w:cstheme="minorHAnsi"/>
          <w:sz w:val="20"/>
          <w:szCs w:val="20"/>
        </w:rPr>
        <w:t xml:space="preserve">Script numbers for idelalisib and </w:t>
      </w:r>
      <w:r w:rsidRPr="00DD1724">
        <w:rPr>
          <w:rFonts w:cstheme="minorHAnsi"/>
          <w:sz w:val="20"/>
          <w:szCs w:val="20"/>
        </w:rPr>
        <w:t xml:space="preserve">rituximab </w:t>
      </w:r>
      <w:r>
        <w:rPr>
          <w:rFonts w:cstheme="minorHAnsi"/>
          <w:sz w:val="20"/>
          <w:szCs w:val="20"/>
        </w:rPr>
        <w:t>(</w:t>
      </w:r>
      <w:r w:rsidRPr="00AA5D01">
        <w:rPr>
          <w:rFonts w:cstheme="minorHAnsi"/>
          <w:sz w:val="20"/>
          <w:szCs w:val="20"/>
        </w:rPr>
        <w:t>dotted line) are marked on the secondary axis.</w:t>
      </w:r>
      <w:r w:rsidR="00210376">
        <w:rPr>
          <w:rFonts w:cstheme="minorHAnsi"/>
          <w:sz w:val="20"/>
          <w:szCs w:val="20"/>
        </w:rPr>
        <w:t xml:space="preserve"> </w:t>
      </w:r>
      <w:r w:rsidR="00210376" w:rsidRPr="00AA5D01">
        <w:rPr>
          <w:rFonts w:cstheme="minorHAnsi"/>
          <w:sz w:val="20"/>
          <w:szCs w:val="20"/>
        </w:rPr>
        <w:t>.</w:t>
      </w:r>
      <w:r w:rsidR="00210376">
        <w:rPr>
          <w:rFonts w:cstheme="minorHAnsi"/>
          <w:sz w:val="20"/>
          <w:szCs w:val="20"/>
        </w:rPr>
        <w:t xml:space="preserve"> </w:t>
      </w:r>
      <w:r w:rsidR="00210376" w:rsidRPr="00210376">
        <w:rPr>
          <w:rFonts w:cstheme="minorHAnsi"/>
          <w:sz w:val="20"/>
          <w:szCs w:val="20"/>
        </w:rPr>
        <w:t>Patient numbers have been redacted as numbers are small.</w:t>
      </w:r>
    </w:p>
    <w:p w14:paraId="192335C5" w14:textId="43C7EF95" w:rsidR="003126B0" w:rsidRPr="00975BFC" w:rsidRDefault="00F528ED" w:rsidP="00975BFC">
      <w:pPr>
        <w:rPr>
          <w:sz w:val="20"/>
          <w:szCs w:val="20"/>
        </w:rPr>
      </w:pPr>
      <w:r>
        <w:rPr>
          <w:sz w:val="20"/>
          <w:szCs w:val="20"/>
        </w:rPr>
        <w:t>Does include numbers for venetoclax dose modification.</w:t>
      </w:r>
    </w:p>
    <w:p w14:paraId="4DAD0016" w14:textId="7C2FC992" w:rsidR="0055397F" w:rsidRDefault="003126B0" w:rsidP="00DD1724">
      <w:pPr>
        <w:spacing w:after="0"/>
        <w:rPr>
          <w:rFonts w:cstheme="minorHAnsi"/>
          <w:sz w:val="20"/>
          <w:szCs w:val="20"/>
        </w:rPr>
      </w:pPr>
      <w:r>
        <w:rPr>
          <w:noProof/>
        </w:rPr>
        <w:drawing>
          <wp:anchor distT="0" distB="0" distL="114300" distR="114300" simplePos="0" relativeHeight="251658240" behindDoc="0" locked="0" layoutInCell="1" allowOverlap="1" wp14:anchorId="4DD3030C" wp14:editId="6DAAE280">
            <wp:simplePos x="0" y="0"/>
            <wp:positionH relativeFrom="column">
              <wp:posOffset>-1905</wp:posOffset>
            </wp:positionH>
            <wp:positionV relativeFrom="paragraph">
              <wp:posOffset>212090</wp:posOffset>
            </wp:positionV>
            <wp:extent cx="5687695" cy="3402330"/>
            <wp:effectExtent l="0" t="0" r="8255" b="7620"/>
            <wp:wrapSquare wrapText="bothSides"/>
            <wp:docPr id="255032759" name="Chart 1">
              <a:extLst xmlns:a="http://schemas.openxmlformats.org/drawingml/2006/main">
                <a:ext uri="{FF2B5EF4-FFF2-40B4-BE49-F238E27FC236}">
                  <a16:creationId xmlns:a16="http://schemas.microsoft.com/office/drawing/2014/main" id="{AA18B0F3-E0EA-DA63-DB1E-692C5E0CE2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14:paraId="7E2AB9C2" w14:textId="115C6D72" w:rsidR="00EF28AC" w:rsidRDefault="00EF28AC" w:rsidP="00EF28AC">
      <w:pPr>
        <w:spacing w:after="0"/>
        <w:rPr>
          <w:b/>
          <w:bCs/>
          <w:iCs/>
        </w:rPr>
      </w:pPr>
      <w:r w:rsidRPr="005A0800">
        <w:rPr>
          <w:b/>
          <w:bCs/>
          <w:iCs/>
        </w:rPr>
        <w:t xml:space="preserve">Figure </w:t>
      </w:r>
      <w:r>
        <w:rPr>
          <w:b/>
          <w:bCs/>
          <w:iCs/>
        </w:rPr>
        <w:t>8</w:t>
      </w:r>
      <w:r w:rsidRPr="005A0800">
        <w:rPr>
          <w:b/>
          <w:bCs/>
          <w:iCs/>
        </w:rPr>
        <w:t xml:space="preserve">: Number of </w:t>
      </w:r>
      <w:r>
        <w:rPr>
          <w:b/>
          <w:bCs/>
          <w:iCs/>
        </w:rPr>
        <w:t>second</w:t>
      </w:r>
      <w:r w:rsidRPr="005A0800">
        <w:rPr>
          <w:b/>
          <w:bCs/>
          <w:iCs/>
        </w:rPr>
        <w:t xml:space="preserve"> line </w:t>
      </w:r>
      <w:r>
        <w:rPr>
          <w:b/>
          <w:bCs/>
          <w:iCs/>
        </w:rPr>
        <w:t xml:space="preserve">incident patients, prevalent patients and </w:t>
      </w:r>
      <w:r w:rsidR="002D10FD">
        <w:rPr>
          <w:b/>
          <w:bCs/>
          <w:iCs/>
        </w:rPr>
        <w:t>prescriptions supplied</w:t>
      </w:r>
      <w:r w:rsidR="002D10FD" w:rsidRPr="005A0800">
        <w:rPr>
          <w:b/>
          <w:bCs/>
          <w:iCs/>
        </w:rPr>
        <w:t xml:space="preserve"> </w:t>
      </w:r>
      <w:r w:rsidRPr="005A0800">
        <w:rPr>
          <w:b/>
          <w:bCs/>
          <w:iCs/>
        </w:rPr>
        <w:t>by quarter</w:t>
      </w:r>
    </w:p>
    <w:p w14:paraId="0B23B0A4" w14:textId="4760FC05" w:rsidR="0055397F" w:rsidRPr="001E5BF4" w:rsidRDefault="00EF28AC" w:rsidP="00DD1724">
      <w:pPr>
        <w:spacing w:after="0"/>
        <w:rPr>
          <w:rFonts w:cstheme="minorHAnsi"/>
          <w:b/>
          <w:bCs/>
        </w:rPr>
      </w:pPr>
      <w:r>
        <w:rPr>
          <w:rFonts w:cstheme="minorHAnsi"/>
          <w:sz w:val="20"/>
          <w:szCs w:val="20"/>
        </w:rPr>
        <w:lastRenderedPageBreak/>
        <w:br w:type="textWrapping" w:clear="all"/>
      </w:r>
      <w:r w:rsidR="003126B0" w:rsidRPr="001E5BF4">
        <w:rPr>
          <w:rFonts w:cstheme="minorHAnsi"/>
          <w:b/>
          <w:bCs/>
        </w:rPr>
        <w:t xml:space="preserve">Table </w:t>
      </w:r>
      <w:r w:rsidR="00951DDE">
        <w:rPr>
          <w:rFonts w:cstheme="minorHAnsi"/>
          <w:b/>
          <w:bCs/>
        </w:rPr>
        <w:t>1</w:t>
      </w:r>
      <w:r w:rsidR="002C5314">
        <w:rPr>
          <w:rFonts w:cstheme="minorHAnsi"/>
          <w:b/>
          <w:bCs/>
        </w:rPr>
        <w:t>0</w:t>
      </w:r>
      <w:r w:rsidR="003126B0" w:rsidRPr="001E5BF4">
        <w:rPr>
          <w:rFonts w:cstheme="minorHAnsi"/>
          <w:b/>
          <w:bCs/>
        </w:rPr>
        <w:t xml:space="preserve">: Venetoclax dose modification </w:t>
      </w:r>
      <w:r w:rsidR="00E3695F">
        <w:rPr>
          <w:rFonts w:cstheme="minorHAnsi"/>
          <w:b/>
          <w:bCs/>
        </w:rPr>
        <w:t xml:space="preserve">for first line therapy </w:t>
      </w:r>
      <w:r w:rsidR="003126B0" w:rsidRPr="001E5BF4">
        <w:rPr>
          <w:rFonts w:cstheme="minorHAnsi"/>
          <w:b/>
          <w:bCs/>
        </w:rPr>
        <w:t>incident, prevalent patients, and</w:t>
      </w:r>
      <w:r w:rsidR="003E5EFC">
        <w:rPr>
          <w:rFonts w:cstheme="minorHAnsi"/>
          <w:b/>
          <w:bCs/>
        </w:rPr>
        <w:t xml:space="preserve"> prescriptions supplied</w:t>
      </w:r>
    </w:p>
    <w:p w14:paraId="5B180B1F" w14:textId="77777777" w:rsidR="003126B0" w:rsidRDefault="003126B0" w:rsidP="00DD1724">
      <w:pPr>
        <w:spacing w:after="0"/>
        <w:rPr>
          <w:rFonts w:cstheme="minorHAnsi"/>
        </w:rPr>
      </w:pPr>
    </w:p>
    <w:tbl>
      <w:tblPr>
        <w:tblStyle w:val="TableGrid"/>
        <w:tblW w:w="0" w:type="auto"/>
        <w:tblLook w:val="04A0" w:firstRow="1" w:lastRow="0" w:firstColumn="1" w:lastColumn="0" w:noHBand="0" w:noVBand="1"/>
      </w:tblPr>
      <w:tblGrid>
        <w:gridCol w:w="1420"/>
        <w:gridCol w:w="2500"/>
        <w:gridCol w:w="2620"/>
        <w:gridCol w:w="2380"/>
      </w:tblGrid>
      <w:tr w:rsidR="001E5BF4" w:rsidRPr="001E5BF4" w14:paraId="61E7D2B2" w14:textId="77777777" w:rsidTr="001E5BF4">
        <w:trPr>
          <w:trHeight w:val="300"/>
        </w:trPr>
        <w:tc>
          <w:tcPr>
            <w:tcW w:w="1420" w:type="dxa"/>
            <w:shd w:val="clear" w:color="auto" w:fill="BFBFBF" w:themeFill="background1" w:themeFillShade="BF"/>
            <w:noWrap/>
            <w:hideMark/>
          </w:tcPr>
          <w:p w14:paraId="10C279A8" w14:textId="303342E0" w:rsidR="001E5BF4" w:rsidRPr="001E5BF4" w:rsidRDefault="00475FF6" w:rsidP="001E5BF4">
            <w:pPr>
              <w:rPr>
                <w:rFonts w:cstheme="minorHAnsi"/>
                <w:b/>
                <w:bCs/>
                <w:sz w:val="20"/>
                <w:szCs w:val="20"/>
              </w:rPr>
            </w:pPr>
            <w:r>
              <w:rPr>
                <w:rFonts w:cstheme="minorHAnsi"/>
                <w:b/>
                <w:bCs/>
                <w:sz w:val="20"/>
                <w:szCs w:val="20"/>
              </w:rPr>
              <w:t>Financial</w:t>
            </w:r>
            <w:r w:rsidR="001E5BF4" w:rsidRPr="001E5BF4">
              <w:rPr>
                <w:rFonts w:cstheme="minorHAnsi"/>
                <w:b/>
                <w:bCs/>
                <w:sz w:val="20"/>
                <w:szCs w:val="20"/>
              </w:rPr>
              <w:t xml:space="preserve"> year</w:t>
            </w:r>
          </w:p>
        </w:tc>
        <w:tc>
          <w:tcPr>
            <w:tcW w:w="2500" w:type="dxa"/>
            <w:shd w:val="clear" w:color="auto" w:fill="BFBFBF" w:themeFill="background1" w:themeFillShade="BF"/>
            <w:noWrap/>
            <w:hideMark/>
          </w:tcPr>
          <w:p w14:paraId="0FC1D9C8" w14:textId="6059216B" w:rsidR="001E5BF4" w:rsidRPr="001E5BF4" w:rsidRDefault="001E5BF4" w:rsidP="001E5BF4">
            <w:pPr>
              <w:jc w:val="center"/>
              <w:rPr>
                <w:rFonts w:cstheme="minorHAnsi"/>
                <w:b/>
                <w:bCs/>
                <w:sz w:val="20"/>
                <w:szCs w:val="20"/>
              </w:rPr>
            </w:pPr>
            <w:r w:rsidRPr="001E5BF4">
              <w:rPr>
                <w:rFonts w:cstheme="minorHAnsi"/>
                <w:b/>
                <w:bCs/>
                <w:sz w:val="20"/>
                <w:szCs w:val="20"/>
              </w:rPr>
              <w:t>Incident patients</w:t>
            </w:r>
          </w:p>
        </w:tc>
        <w:tc>
          <w:tcPr>
            <w:tcW w:w="2620" w:type="dxa"/>
            <w:shd w:val="clear" w:color="auto" w:fill="BFBFBF" w:themeFill="background1" w:themeFillShade="BF"/>
            <w:noWrap/>
            <w:hideMark/>
          </w:tcPr>
          <w:p w14:paraId="1ACC8688" w14:textId="62C3EFE7" w:rsidR="001E5BF4" w:rsidRPr="001E5BF4" w:rsidRDefault="001E5BF4" w:rsidP="001E5BF4">
            <w:pPr>
              <w:jc w:val="center"/>
              <w:rPr>
                <w:rFonts w:cstheme="minorHAnsi"/>
                <w:b/>
                <w:bCs/>
                <w:sz w:val="20"/>
                <w:szCs w:val="20"/>
              </w:rPr>
            </w:pPr>
            <w:r w:rsidRPr="001E5BF4">
              <w:rPr>
                <w:rFonts w:cstheme="minorHAnsi"/>
                <w:b/>
                <w:bCs/>
                <w:sz w:val="20"/>
                <w:szCs w:val="20"/>
              </w:rPr>
              <w:t>Prevalent patients</w:t>
            </w:r>
          </w:p>
        </w:tc>
        <w:tc>
          <w:tcPr>
            <w:tcW w:w="2380" w:type="dxa"/>
            <w:shd w:val="clear" w:color="auto" w:fill="BFBFBF" w:themeFill="background1" w:themeFillShade="BF"/>
            <w:noWrap/>
            <w:hideMark/>
          </w:tcPr>
          <w:p w14:paraId="3351BDB7" w14:textId="3DC43E30" w:rsidR="001E5BF4" w:rsidRPr="001E5BF4" w:rsidRDefault="001E5BF4" w:rsidP="001E5BF4">
            <w:pPr>
              <w:jc w:val="center"/>
              <w:rPr>
                <w:rFonts w:cstheme="minorHAnsi"/>
                <w:b/>
                <w:bCs/>
                <w:sz w:val="20"/>
                <w:szCs w:val="20"/>
              </w:rPr>
            </w:pPr>
            <w:r w:rsidRPr="001E5BF4">
              <w:rPr>
                <w:rFonts w:cstheme="minorHAnsi"/>
                <w:b/>
                <w:bCs/>
                <w:sz w:val="20"/>
                <w:szCs w:val="20"/>
              </w:rPr>
              <w:t>S</w:t>
            </w:r>
            <w:r w:rsidR="003E5EFC">
              <w:rPr>
                <w:rFonts w:cstheme="minorHAnsi"/>
                <w:b/>
                <w:bCs/>
                <w:sz w:val="20"/>
                <w:szCs w:val="20"/>
              </w:rPr>
              <w:t>upplied prescriptions</w:t>
            </w:r>
          </w:p>
        </w:tc>
      </w:tr>
      <w:tr w:rsidR="001E5BF4" w:rsidRPr="001E5BF4" w14:paraId="47F8E5A8" w14:textId="77777777" w:rsidTr="001E5BF4">
        <w:trPr>
          <w:trHeight w:val="300"/>
        </w:trPr>
        <w:tc>
          <w:tcPr>
            <w:tcW w:w="1420" w:type="dxa"/>
            <w:noWrap/>
            <w:hideMark/>
          </w:tcPr>
          <w:p w14:paraId="158ADFDE" w14:textId="77777777" w:rsidR="001E5BF4" w:rsidRPr="001E5BF4" w:rsidRDefault="001E5BF4" w:rsidP="001E5BF4">
            <w:pPr>
              <w:rPr>
                <w:rFonts w:cstheme="minorHAnsi"/>
                <w:sz w:val="20"/>
                <w:szCs w:val="20"/>
              </w:rPr>
            </w:pPr>
            <w:r w:rsidRPr="001E5BF4">
              <w:rPr>
                <w:rFonts w:cstheme="minorHAnsi"/>
                <w:sz w:val="20"/>
                <w:szCs w:val="20"/>
              </w:rPr>
              <w:t>2021-22</w:t>
            </w:r>
          </w:p>
        </w:tc>
        <w:tc>
          <w:tcPr>
            <w:tcW w:w="2500" w:type="dxa"/>
            <w:noWrap/>
            <w:hideMark/>
          </w:tcPr>
          <w:p w14:paraId="0BBAFC07" w14:textId="77777777" w:rsidR="001E5BF4" w:rsidRPr="001E5BF4" w:rsidRDefault="001E5BF4" w:rsidP="001E5BF4">
            <w:pPr>
              <w:jc w:val="center"/>
              <w:rPr>
                <w:rFonts w:cstheme="minorHAnsi"/>
                <w:sz w:val="20"/>
                <w:szCs w:val="20"/>
              </w:rPr>
            </w:pPr>
            <w:r w:rsidRPr="001E5BF4">
              <w:rPr>
                <w:rFonts w:cstheme="minorHAnsi"/>
                <w:sz w:val="20"/>
                <w:szCs w:val="20"/>
              </w:rPr>
              <w:t>27</w:t>
            </w:r>
          </w:p>
        </w:tc>
        <w:tc>
          <w:tcPr>
            <w:tcW w:w="2620" w:type="dxa"/>
            <w:noWrap/>
            <w:hideMark/>
          </w:tcPr>
          <w:p w14:paraId="1F634ABF" w14:textId="77777777" w:rsidR="001E5BF4" w:rsidRPr="001E5BF4" w:rsidRDefault="001E5BF4" w:rsidP="001E5BF4">
            <w:pPr>
              <w:jc w:val="center"/>
              <w:rPr>
                <w:rFonts w:cstheme="minorHAnsi"/>
                <w:sz w:val="20"/>
                <w:szCs w:val="20"/>
              </w:rPr>
            </w:pPr>
            <w:r w:rsidRPr="001E5BF4">
              <w:rPr>
                <w:rFonts w:cstheme="minorHAnsi"/>
                <w:sz w:val="20"/>
                <w:szCs w:val="20"/>
              </w:rPr>
              <w:t>27</w:t>
            </w:r>
          </w:p>
        </w:tc>
        <w:tc>
          <w:tcPr>
            <w:tcW w:w="2380" w:type="dxa"/>
            <w:noWrap/>
            <w:hideMark/>
          </w:tcPr>
          <w:p w14:paraId="3F374FB0" w14:textId="77777777" w:rsidR="001E5BF4" w:rsidRPr="001E5BF4" w:rsidRDefault="001E5BF4" w:rsidP="001E5BF4">
            <w:pPr>
              <w:jc w:val="center"/>
              <w:rPr>
                <w:rFonts w:cstheme="minorHAnsi"/>
                <w:sz w:val="20"/>
                <w:szCs w:val="20"/>
              </w:rPr>
            </w:pPr>
            <w:r w:rsidRPr="001E5BF4">
              <w:rPr>
                <w:rFonts w:cstheme="minorHAnsi"/>
                <w:sz w:val="20"/>
                <w:szCs w:val="20"/>
              </w:rPr>
              <w:t>37</w:t>
            </w:r>
          </w:p>
        </w:tc>
      </w:tr>
      <w:tr w:rsidR="001E5BF4" w:rsidRPr="001E5BF4" w14:paraId="6500791F" w14:textId="77777777" w:rsidTr="001E5BF4">
        <w:trPr>
          <w:trHeight w:val="300"/>
        </w:trPr>
        <w:tc>
          <w:tcPr>
            <w:tcW w:w="1420" w:type="dxa"/>
            <w:noWrap/>
            <w:hideMark/>
          </w:tcPr>
          <w:p w14:paraId="328F4C40" w14:textId="77777777" w:rsidR="001E5BF4" w:rsidRPr="001E5BF4" w:rsidRDefault="001E5BF4" w:rsidP="001E5BF4">
            <w:pPr>
              <w:rPr>
                <w:rFonts w:cstheme="minorHAnsi"/>
                <w:sz w:val="20"/>
                <w:szCs w:val="20"/>
              </w:rPr>
            </w:pPr>
            <w:r w:rsidRPr="001E5BF4">
              <w:rPr>
                <w:rFonts w:cstheme="minorHAnsi"/>
                <w:sz w:val="20"/>
                <w:szCs w:val="20"/>
              </w:rPr>
              <w:t>2022-23</w:t>
            </w:r>
          </w:p>
        </w:tc>
        <w:tc>
          <w:tcPr>
            <w:tcW w:w="2500" w:type="dxa"/>
            <w:noWrap/>
            <w:hideMark/>
          </w:tcPr>
          <w:p w14:paraId="3E6D1482" w14:textId="77777777" w:rsidR="001E5BF4" w:rsidRPr="001E5BF4" w:rsidRDefault="001E5BF4" w:rsidP="001E5BF4">
            <w:pPr>
              <w:jc w:val="center"/>
              <w:rPr>
                <w:rFonts w:cstheme="minorHAnsi"/>
                <w:sz w:val="20"/>
                <w:szCs w:val="20"/>
              </w:rPr>
            </w:pPr>
            <w:r w:rsidRPr="001E5BF4">
              <w:rPr>
                <w:rFonts w:cstheme="minorHAnsi"/>
                <w:sz w:val="20"/>
                <w:szCs w:val="20"/>
              </w:rPr>
              <w:t>50</w:t>
            </w:r>
          </w:p>
        </w:tc>
        <w:tc>
          <w:tcPr>
            <w:tcW w:w="2620" w:type="dxa"/>
            <w:noWrap/>
            <w:hideMark/>
          </w:tcPr>
          <w:p w14:paraId="79B89039" w14:textId="77777777" w:rsidR="001E5BF4" w:rsidRPr="001E5BF4" w:rsidRDefault="001E5BF4" w:rsidP="001E5BF4">
            <w:pPr>
              <w:jc w:val="center"/>
              <w:rPr>
                <w:rFonts w:cstheme="minorHAnsi"/>
                <w:sz w:val="20"/>
                <w:szCs w:val="20"/>
              </w:rPr>
            </w:pPr>
            <w:r w:rsidRPr="001E5BF4">
              <w:rPr>
                <w:rFonts w:cstheme="minorHAnsi"/>
                <w:sz w:val="20"/>
                <w:szCs w:val="20"/>
              </w:rPr>
              <w:t>52</w:t>
            </w:r>
          </w:p>
        </w:tc>
        <w:tc>
          <w:tcPr>
            <w:tcW w:w="2380" w:type="dxa"/>
            <w:noWrap/>
            <w:hideMark/>
          </w:tcPr>
          <w:p w14:paraId="3881C21C" w14:textId="77777777" w:rsidR="001E5BF4" w:rsidRPr="001E5BF4" w:rsidRDefault="001E5BF4" w:rsidP="001E5BF4">
            <w:pPr>
              <w:jc w:val="center"/>
              <w:rPr>
                <w:rFonts w:cstheme="minorHAnsi"/>
                <w:sz w:val="20"/>
                <w:szCs w:val="20"/>
              </w:rPr>
            </w:pPr>
            <w:r w:rsidRPr="001E5BF4">
              <w:rPr>
                <w:rFonts w:cstheme="minorHAnsi"/>
                <w:sz w:val="20"/>
                <w:szCs w:val="20"/>
              </w:rPr>
              <w:t>99</w:t>
            </w:r>
          </w:p>
        </w:tc>
      </w:tr>
      <w:tr w:rsidR="001E5BF4" w:rsidRPr="001E5BF4" w14:paraId="759745DF" w14:textId="77777777" w:rsidTr="001E5BF4">
        <w:trPr>
          <w:trHeight w:val="300"/>
        </w:trPr>
        <w:tc>
          <w:tcPr>
            <w:tcW w:w="1420" w:type="dxa"/>
            <w:noWrap/>
            <w:hideMark/>
          </w:tcPr>
          <w:p w14:paraId="5E338901" w14:textId="77777777" w:rsidR="001E5BF4" w:rsidRPr="001E5BF4" w:rsidRDefault="001E5BF4" w:rsidP="001E5BF4">
            <w:pPr>
              <w:rPr>
                <w:rFonts w:cstheme="minorHAnsi"/>
                <w:sz w:val="20"/>
                <w:szCs w:val="20"/>
              </w:rPr>
            </w:pPr>
            <w:r w:rsidRPr="001E5BF4">
              <w:rPr>
                <w:rFonts w:cstheme="minorHAnsi"/>
                <w:sz w:val="20"/>
                <w:szCs w:val="20"/>
              </w:rPr>
              <w:t>2023-24</w:t>
            </w:r>
          </w:p>
        </w:tc>
        <w:tc>
          <w:tcPr>
            <w:tcW w:w="2500" w:type="dxa"/>
            <w:noWrap/>
            <w:hideMark/>
          </w:tcPr>
          <w:p w14:paraId="7A1BD708" w14:textId="77777777" w:rsidR="001E5BF4" w:rsidRPr="001E5BF4" w:rsidRDefault="001E5BF4" w:rsidP="001E5BF4">
            <w:pPr>
              <w:jc w:val="center"/>
              <w:rPr>
                <w:rFonts w:cstheme="minorHAnsi"/>
                <w:sz w:val="20"/>
                <w:szCs w:val="20"/>
              </w:rPr>
            </w:pPr>
            <w:r w:rsidRPr="001E5BF4">
              <w:rPr>
                <w:rFonts w:cstheme="minorHAnsi"/>
                <w:sz w:val="20"/>
                <w:szCs w:val="20"/>
              </w:rPr>
              <w:t>55</w:t>
            </w:r>
          </w:p>
        </w:tc>
        <w:tc>
          <w:tcPr>
            <w:tcW w:w="2620" w:type="dxa"/>
            <w:noWrap/>
            <w:hideMark/>
          </w:tcPr>
          <w:p w14:paraId="19154EC9" w14:textId="77777777" w:rsidR="001E5BF4" w:rsidRPr="001E5BF4" w:rsidRDefault="001E5BF4" w:rsidP="001E5BF4">
            <w:pPr>
              <w:jc w:val="center"/>
              <w:rPr>
                <w:rFonts w:cstheme="minorHAnsi"/>
                <w:sz w:val="20"/>
                <w:szCs w:val="20"/>
              </w:rPr>
            </w:pPr>
            <w:r w:rsidRPr="001E5BF4">
              <w:rPr>
                <w:rFonts w:cstheme="minorHAnsi"/>
                <w:sz w:val="20"/>
                <w:szCs w:val="20"/>
              </w:rPr>
              <w:t>61</w:t>
            </w:r>
          </w:p>
        </w:tc>
        <w:tc>
          <w:tcPr>
            <w:tcW w:w="2380" w:type="dxa"/>
            <w:noWrap/>
            <w:hideMark/>
          </w:tcPr>
          <w:p w14:paraId="617C38AE" w14:textId="77777777" w:rsidR="001E5BF4" w:rsidRPr="001E5BF4" w:rsidRDefault="001E5BF4" w:rsidP="001E5BF4">
            <w:pPr>
              <w:jc w:val="center"/>
              <w:rPr>
                <w:rFonts w:cstheme="minorHAnsi"/>
                <w:sz w:val="20"/>
                <w:szCs w:val="20"/>
              </w:rPr>
            </w:pPr>
            <w:r w:rsidRPr="001E5BF4">
              <w:rPr>
                <w:rFonts w:cstheme="minorHAnsi"/>
                <w:sz w:val="20"/>
                <w:szCs w:val="20"/>
              </w:rPr>
              <w:t>140</w:t>
            </w:r>
          </w:p>
        </w:tc>
      </w:tr>
      <w:tr w:rsidR="001E5BF4" w:rsidRPr="001E5BF4" w14:paraId="2CA39E4A" w14:textId="77777777" w:rsidTr="001E5BF4">
        <w:trPr>
          <w:trHeight w:val="300"/>
        </w:trPr>
        <w:tc>
          <w:tcPr>
            <w:tcW w:w="1420" w:type="dxa"/>
            <w:noWrap/>
            <w:hideMark/>
          </w:tcPr>
          <w:p w14:paraId="476073F9" w14:textId="77777777" w:rsidR="001E5BF4" w:rsidRPr="001E5BF4" w:rsidRDefault="001E5BF4" w:rsidP="001E5BF4">
            <w:pPr>
              <w:rPr>
                <w:rFonts w:cstheme="minorHAnsi"/>
                <w:sz w:val="20"/>
                <w:szCs w:val="20"/>
              </w:rPr>
            </w:pPr>
            <w:r w:rsidRPr="001E5BF4">
              <w:rPr>
                <w:rFonts w:cstheme="minorHAnsi"/>
                <w:sz w:val="20"/>
                <w:szCs w:val="20"/>
              </w:rPr>
              <w:t>2024-25</w:t>
            </w:r>
          </w:p>
        </w:tc>
        <w:tc>
          <w:tcPr>
            <w:tcW w:w="2500" w:type="dxa"/>
            <w:noWrap/>
            <w:hideMark/>
          </w:tcPr>
          <w:p w14:paraId="5A4DE9F4" w14:textId="77777777" w:rsidR="001E5BF4" w:rsidRPr="001E5BF4" w:rsidRDefault="001E5BF4" w:rsidP="001E5BF4">
            <w:pPr>
              <w:jc w:val="center"/>
              <w:rPr>
                <w:rFonts w:cstheme="minorHAnsi"/>
                <w:sz w:val="20"/>
                <w:szCs w:val="20"/>
              </w:rPr>
            </w:pPr>
            <w:r w:rsidRPr="001E5BF4">
              <w:rPr>
                <w:rFonts w:cstheme="minorHAnsi"/>
                <w:sz w:val="20"/>
                <w:szCs w:val="20"/>
              </w:rPr>
              <w:t>50</w:t>
            </w:r>
          </w:p>
        </w:tc>
        <w:tc>
          <w:tcPr>
            <w:tcW w:w="2620" w:type="dxa"/>
            <w:noWrap/>
            <w:hideMark/>
          </w:tcPr>
          <w:p w14:paraId="7A150EF4" w14:textId="77777777" w:rsidR="001E5BF4" w:rsidRPr="001E5BF4" w:rsidRDefault="001E5BF4" w:rsidP="001E5BF4">
            <w:pPr>
              <w:jc w:val="center"/>
              <w:rPr>
                <w:rFonts w:cstheme="minorHAnsi"/>
                <w:sz w:val="20"/>
                <w:szCs w:val="20"/>
              </w:rPr>
            </w:pPr>
            <w:r w:rsidRPr="001E5BF4">
              <w:rPr>
                <w:rFonts w:cstheme="minorHAnsi"/>
                <w:sz w:val="20"/>
                <w:szCs w:val="20"/>
              </w:rPr>
              <w:t>56</w:t>
            </w:r>
          </w:p>
        </w:tc>
        <w:tc>
          <w:tcPr>
            <w:tcW w:w="2380" w:type="dxa"/>
            <w:noWrap/>
            <w:hideMark/>
          </w:tcPr>
          <w:p w14:paraId="14EB9444" w14:textId="77777777" w:rsidR="001E5BF4" w:rsidRPr="001E5BF4" w:rsidRDefault="001E5BF4" w:rsidP="001E5BF4">
            <w:pPr>
              <w:jc w:val="center"/>
              <w:rPr>
                <w:rFonts w:cstheme="minorHAnsi"/>
                <w:sz w:val="20"/>
                <w:szCs w:val="20"/>
              </w:rPr>
            </w:pPr>
            <w:r w:rsidRPr="001E5BF4">
              <w:rPr>
                <w:rFonts w:cstheme="minorHAnsi"/>
                <w:sz w:val="20"/>
                <w:szCs w:val="20"/>
              </w:rPr>
              <w:t>112</w:t>
            </w:r>
          </w:p>
        </w:tc>
      </w:tr>
    </w:tbl>
    <w:p w14:paraId="2EE7A4EC" w14:textId="77777777" w:rsidR="00E05952" w:rsidRPr="003126B0" w:rsidRDefault="00E05952" w:rsidP="00DD1724">
      <w:pPr>
        <w:spacing w:after="0"/>
        <w:rPr>
          <w:rFonts w:cstheme="minorHAnsi"/>
        </w:rPr>
      </w:pPr>
    </w:p>
    <w:p w14:paraId="09F9D349" w14:textId="7427B89F" w:rsidR="00736041" w:rsidRPr="005E22C2" w:rsidRDefault="00736041" w:rsidP="00CF5E22">
      <w:pPr>
        <w:pStyle w:val="Heading3"/>
      </w:pPr>
      <w:r w:rsidRPr="005E22C2">
        <w:t>Utilisation by relevant sub-populations/regions</w:t>
      </w:r>
      <w:r w:rsidR="001B5D37" w:rsidRPr="005E22C2">
        <w:t xml:space="preserve"> or patient level analysis</w:t>
      </w:r>
    </w:p>
    <w:p w14:paraId="0967C8D1" w14:textId="43AADF39" w:rsidR="007F17FF" w:rsidRDefault="00DC49E9" w:rsidP="00A35800">
      <w:r w:rsidRPr="005E22C2">
        <w:t xml:space="preserve"> </w:t>
      </w:r>
      <w:r w:rsidR="009A7FC5">
        <w:rPr>
          <w:noProof/>
        </w:rPr>
        <w:drawing>
          <wp:inline distT="0" distB="0" distL="0" distR="0" wp14:anchorId="6D5D8E4E" wp14:editId="7283C1B3">
            <wp:extent cx="5487035" cy="3548380"/>
            <wp:effectExtent l="0" t="0" r="0" b="0"/>
            <wp:docPr id="1743919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87035" cy="3548380"/>
                    </a:xfrm>
                    <a:prstGeom prst="rect">
                      <a:avLst/>
                    </a:prstGeom>
                    <a:noFill/>
                  </pic:spPr>
                </pic:pic>
              </a:graphicData>
            </a:graphic>
          </wp:inline>
        </w:drawing>
      </w:r>
    </w:p>
    <w:p w14:paraId="34E83671" w14:textId="1BBC38B5" w:rsidR="00D85BF6" w:rsidRPr="005A0800" w:rsidRDefault="00D85BF6" w:rsidP="00A35800">
      <w:pPr>
        <w:rPr>
          <w:b/>
          <w:bCs/>
        </w:rPr>
      </w:pPr>
      <w:r w:rsidRPr="005A0800">
        <w:rPr>
          <w:b/>
          <w:bCs/>
        </w:rPr>
        <w:t xml:space="preserve">Figure </w:t>
      </w:r>
      <w:r w:rsidR="00EF28AC">
        <w:rPr>
          <w:b/>
          <w:bCs/>
        </w:rPr>
        <w:t>9</w:t>
      </w:r>
      <w:r w:rsidRPr="005A0800">
        <w:rPr>
          <w:b/>
          <w:bCs/>
        </w:rPr>
        <w:t xml:space="preserve">: Incident patients </w:t>
      </w:r>
      <w:r w:rsidR="00697682">
        <w:rPr>
          <w:b/>
          <w:bCs/>
        </w:rPr>
        <w:t>supplied</w:t>
      </w:r>
      <w:r w:rsidRPr="005A0800">
        <w:rPr>
          <w:b/>
          <w:bCs/>
        </w:rPr>
        <w:t xml:space="preserve"> first line CLL/SLL drugs by gender and 10-year age group for the period 1 July 2021 to 30 June 2025</w:t>
      </w:r>
    </w:p>
    <w:p w14:paraId="037C2D6A" w14:textId="58F7F8D4" w:rsidR="00D85BF6" w:rsidRDefault="009A7FC5" w:rsidP="00A35800">
      <w:r>
        <w:rPr>
          <w:noProof/>
        </w:rPr>
        <w:lastRenderedPageBreak/>
        <w:drawing>
          <wp:inline distT="0" distB="0" distL="0" distR="0" wp14:anchorId="42F4A4C4" wp14:editId="7958A67D">
            <wp:extent cx="5566410" cy="3462655"/>
            <wp:effectExtent l="0" t="0" r="0" b="4445"/>
            <wp:docPr id="2109013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66410" cy="3462655"/>
                    </a:xfrm>
                    <a:prstGeom prst="rect">
                      <a:avLst/>
                    </a:prstGeom>
                    <a:noFill/>
                  </pic:spPr>
                </pic:pic>
              </a:graphicData>
            </a:graphic>
          </wp:inline>
        </w:drawing>
      </w:r>
    </w:p>
    <w:p w14:paraId="0A18E85F" w14:textId="20636227" w:rsidR="00D85BF6" w:rsidRDefault="00D85BF6" w:rsidP="00D85BF6">
      <w:pPr>
        <w:rPr>
          <w:b/>
          <w:bCs/>
        </w:rPr>
      </w:pPr>
      <w:r w:rsidRPr="005A0800">
        <w:rPr>
          <w:b/>
          <w:bCs/>
        </w:rPr>
        <w:t xml:space="preserve">Figure </w:t>
      </w:r>
      <w:r w:rsidR="00EF28AC">
        <w:rPr>
          <w:b/>
          <w:bCs/>
        </w:rPr>
        <w:t>10</w:t>
      </w:r>
      <w:r w:rsidRPr="005A0800">
        <w:rPr>
          <w:b/>
          <w:bCs/>
        </w:rPr>
        <w:t xml:space="preserve">: Incident patients </w:t>
      </w:r>
      <w:r w:rsidR="00426DE3">
        <w:rPr>
          <w:b/>
          <w:bCs/>
        </w:rPr>
        <w:t>supplied</w:t>
      </w:r>
      <w:r w:rsidR="00815857">
        <w:rPr>
          <w:b/>
          <w:bCs/>
        </w:rPr>
        <w:t xml:space="preserve"> </w:t>
      </w:r>
      <w:r w:rsidRPr="005A0800">
        <w:rPr>
          <w:b/>
          <w:bCs/>
        </w:rPr>
        <w:t>second line CLL/SLL drugs by gender and 10-year age group for the period 1 July 2021 to 30 June 2025</w:t>
      </w:r>
    </w:p>
    <w:p w14:paraId="523ABC91" w14:textId="77777777" w:rsidR="00975BFC" w:rsidRDefault="00975BFC" w:rsidP="00D85BF6">
      <w:pPr>
        <w:rPr>
          <w:b/>
          <w:bCs/>
        </w:rPr>
      </w:pPr>
    </w:p>
    <w:p w14:paraId="4C779842" w14:textId="77777777" w:rsidR="00975BFC" w:rsidRDefault="00975BFC" w:rsidP="00D85BF6">
      <w:pPr>
        <w:rPr>
          <w:b/>
          <w:bCs/>
        </w:rPr>
      </w:pPr>
    </w:p>
    <w:p w14:paraId="112D927F" w14:textId="77777777" w:rsidR="00975BFC" w:rsidRPr="005A0800" w:rsidRDefault="00975BFC" w:rsidP="00D85BF6">
      <w:pPr>
        <w:rPr>
          <w:b/>
          <w:bCs/>
        </w:rPr>
      </w:pPr>
    </w:p>
    <w:p w14:paraId="36191916" w14:textId="77777777" w:rsidR="00D85BF6" w:rsidRDefault="00D85BF6" w:rsidP="00A35800"/>
    <w:p w14:paraId="7C77C532" w14:textId="6CA64AEA" w:rsidR="00D85BF6" w:rsidRDefault="00D85BF6" w:rsidP="00A35800">
      <w:r>
        <w:rPr>
          <w:noProof/>
        </w:rPr>
        <w:lastRenderedPageBreak/>
        <w:drawing>
          <wp:inline distT="0" distB="0" distL="0" distR="0" wp14:anchorId="4294E43A" wp14:editId="6BAF88AE">
            <wp:extent cx="5600700" cy="3571875"/>
            <wp:effectExtent l="0" t="0" r="0" b="9525"/>
            <wp:docPr id="1945120477" name="Chart 1">
              <a:extLst xmlns:a="http://schemas.openxmlformats.org/drawingml/2006/main">
                <a:ext uri="{FF2B5EF4-FFF2-40B4-BE49-F238E27FC236}">
                  <a16:creationId xmlns:a16="http://schemas.microsoft.com/office/drawing/2014/main" id="{7D9EA2BB-9ACA-8D72-301F-442ED61E3A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8CC95A0" w14:textId="17F7A7F8" w:rsidR="00D85BF6" w:rsidRDefault="00D85BF6" w:rsidP="00D85BF6">
      <w:pPr>
        <w:rPr>
          <w:b/>
          <w:bCs/>
        </w:rPr>
      </w:pPr>
      <w:r w:rsidRPr="005A0800">
        <w:rPr>
          <w:b/>
          <w:bCs/>
        </w:rPr>
        <w:t xml:space="preserve">Figure </w:t>
      </w:r>
      <w:r w:rsidR="00EF28AC">
        <w:rPr>
          <w:b/>
          <w:bCs/>
        </w:rPr>
        <w:t>11</w:t>
      </w:r>
      <w:r w:rsidRPr="005A0800">
        <w:rPr>
          <w:b/>
          <w:bCs/>
        </w:rPr>
        <w:t>: Incident patients for CLL/SLL by gender and 10-year age group for 2020</w:t>
      </w:r>
      <w:r w:rsidR="00B85392" w:rsidRPr="005A0800">
        <w:rPr>
          <w:rStyle w:val="FootnoteReference"/>
          <w:b/>
          <w:bCs/>
        </w:rPr>
        <w:footnoteReference w:id="6"/>
      </w:r>
    </w:p>
    <w:p w14:paraId="109D7D6D" w14:textId="40A06B6D" w:rsidR="005A0800" w:rsidRDefault="00056133" w:rsidP="00D85BF6">
      <w:r>
        <w:t xml:space="preserve">Age and gender structure for first- and second-line therapies match that for the disease, with the ratio of male to female incident patients (approx. 2:1) </w:t>
      </w:r>
      <w:r w:rsidR="002E54D6">
        <w:t xml:space="preserve">also </w:t>
      </w:r>
      <w:r>
        <w:t>matching that of the disease.</w:t>
      </w:r>
    </w:p>
    <w:p w14:paraId="63F85C6E" w14:textId="77777777" w:rsidR="00E05952" w:rsidRDefault="00E05952" w:rsidP="00D85BF6"/>
    <w:p w14:paraId="50ADA0FE" w14:textId="77777777" w:rsidR="00E05952" w:rsidRDefault="00E05952" w:rsidP="00D85BF6"/>
    <w:p w14:paraId="5CABD02F" w14:textId="65CC5142" w:rsidR="00D85BF6" w:rsidRDefault="00747E61" w:rsidP="00A35800">
      <w:r>
        <w:rPr>
          <w:noProof/>
        </w:rPr>
        <w:lastRenderedPageBreak/>
        <w:drawing>
          <wp:inline distT="0" distB="0" distL="0" distR="0" wp14:anchorId="6A5634DB" wp14:editId="2C0E1406">
            <wp:extent cx="5687695" cy="3402330"/>
            <wp:effectExtent l="0" t="0" r="8255" b="7620"/>
            <wp:docPr id="102622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28239" name=""/>
                    <pic:cNvPicPr/>
                  </pic:nvPicPr>
                  <pic:blipFill>
                    <a:blip r:embed="rId44"/>
                    <a:stretch>
                      <a:fillRect/>
                    </a:stretch>
                  </pic:blipFill>
                  <pic:spPr>
                    <a:xfrm>
                      <a:off x="0" y="0"/>
                      <a:ext cx="5687695" cy="3402330"/>
                    </a:xfrm>
                    <a:prstGeom prst="rect">
                      <a:avLst/>
                    </a:prstGeom>
                  </pic:spPr>
                </pic:pic>
              </a:graphicData>
            </a:graphic>
          </wp:inline>
        </w:drawing>
      </w:r>
    </w:p>
    <w:p w14:paraId="609627BB" w14:textId="28B50557" w:rsidR="002E4160" w:rsidRDefault="005C4A13" w:rsidP="005C4A13">
      <w:pPr>
        <w:rPr>
          <w:b/>
          <w:bCs/>
        </w:rPr>
      </w:pPr>
      <w:r w:rsidRPr="005C4A13">
        <w:rPr>
          <w:b/>
          <w:bCs/>
        </w:rPr>
        <w:t xml:space="preserve">Figure </w:t>
      </w:r>
      <w:r w:rsidR="005A0800">
        <w:rPr>
          <w:b/>
          <w:bCs/>
        </w:rPr>
        <w:t>1</w:t>
      </w:r>
      <w:r w:rsidR="00EF28AC">
        <w:rPr>
          <w:b/>
          <w:bCs/>
        </w:rPr>
        <w:t>2</w:t>
      </w:r>
      <w:r w:rsidRPr="005C4A13">
        <w:rPr>
          <w:b/>
          <w:bCs/>
        </w:rPr>
        <w:t xml:space="preserve">: Sankey diagram of patient pathways following initiation on first line to second line therapy for CLL/SLL </w:t>
      </w:r>
    </w:p>
    <w:p w14:paraId="3AB42D12" w14:textId="77777777" w:rsidR="00975BFC" w:rsidRDefault="00975BFC" w:rsidP="005C4A13"/>
    <w:p w14:paraId="71097C6A" w14:textId="3154B519" w:rsidR="00674A68" w:rsidRDefault="00712B92" w:rsidP="005C4A13">
      <w:r>
        <w:rPr>
          <w:noProof/>
        </w:rPr>
        <w:lastRenderedPageBreak/>
        <w:drawing>
          <wp:inline distT="0" distB="0" distL="0" distR="0" wp14:anchorId="19B44CF6" wp14:editId="5DC04D86">
            <wp:extent cx="5687695" cy="4270375"/>
            <wp:effectExtent l="0" t="0" r="8255" b="0"/>
            <wp:docPr id="1270025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25974" name=""/>
                    <pic:cNvPicPr/>
                  </pic:nvPicPr>
                  <pic:blipFill>
                    <a:blip r:embed="rId45"/>
                    <a:stretch>
                      <a:fillRect/>
                    </a:stretch>
                  </pic:blipFill>
                  <pic:spPr>
                    <a:xfrm>
                      <a:off x="0" y="0"/>
                      <a:ext cx="5687695" cy="4270375"/>
                    </a:xfrm>
                    <a:prstGeom prst="rect">
                      <a:avLst/>
                    </a:prstGeom>
                  </pic:spPr>
                </pic:pic>
              </a:graphicData>
            </a:graphic>
          </wp:inline>
        </w:drawing>
      </w:r>
    </w:p>
    <w:p w14:paraId="06460720" w14:textId="575702A5" w:rsidR="00495A93" w:rsidRPr="00EF28AC" w:rsidRDefault="00495A93" w:rsidP="007A2A88">
      <w:pPr>
        <w:spacing w:after="0"/>
        <w:rPr>
          <w:b/>
          <w:bCs/>
        </w:rPr>
      </w:pPr>
      <w:r w:rsidRPr="00EF28AC">
        <w:rPr>
          <w:b/>
          <w:bCs/>
        </w:rPr>
        <w:t>Figure 1</w:t>
      </w:r>
      <w:r w:rsidR="00EF28AC" w:rsidRPr="00EF28AC">
        <w:rPr>
          <w:b/>
          <w:bCs/>
        </w:rPr>
        <w:t>3</w:t>
      </w:r>
      <w:r w:rsidRPr="00EF28AC">
        <w:rPr>
          <w:b/>
          <w:bCs/>
        </w:rPr>
        <w:t>: Time on treatment for CLL/SLL drugs in days including breaks</w:t>
      </w:r>
      <w:r w:rsidR="00405A20">
        <w:rPr>
          <w:b/>
          <w:bCs/>
        </w:rPr>
        <w:t xml:space="preserve"> in treatment</w:t>
      </w:r>
    </w:p>
    <w:p w14:paraId="4E1EED19" w14:textId="77777777" w:rsidR="00495A93" w:rsidRDefault="00495A93" w:rsidP="007A2A88">
      <w:pPr>
        <w:spacing w:after="0"/>
      </w:pPr>
    </w:p>
    <w:p w14:paraId="777EFFF3" w14:textId="24B12446" w:rsidR="007A2A88" w:rsidRDefault="007A2A88" w:rsidP="007A2A88">
      <w:pPr>
        <w:spacing w:after="0"/>
      </w:pPr>
      <w:r>
        <w:t xml:space="preserve">Figure </w:t>
      </w:r>
      <w:r w:rsidR="00495A93">
        <w:t>1</w:t>
      </w:r>
      <w:r w:rsidR="00EF28AC">
        <w:t>3</w:t>
      </w:r>
      <w:r>
        <w:t xml:space="preserve"> shows the time on treatment in days for CLL/SLL drugs including treatment breaks. This analysis used prescription data at any line of therapy. The median treatment duration for </w:t>
      </w:r>
      <w:r w:rsidR="00674A68">
        <w:t>acalabrutinib</w:t>
      </w:r>
      <w:r>
        <w:t xml:space="preserve"> was </w:t>
      </w:r>
      <w:r w:rsidR="00674A68">
        <w:t>979</w:t>
      </w:r>
      <w:r>
        <w:t xml:space="preserve"> days with </w:t>
      </w:r>
      <w:r w:rsidR="00495A93">
        <w:t>57.3</w:t>
      </w:r>
      <w:r>
        <w:t>% of patients censored. For i</w:t>
      </w:r>
      <w:r w:rsidR="00674A68">
        <w:t>brutinib</w:t>
      </w:r>
      <w:r>
        <w:t xml:space="preserve"> the median was </w:t>
      </w:r>
      <w:r w:rsidR="00674A68">
        <w:t>896</w:t>
      </w:r>
      <w:r>
        <w:t xml:space="preserve"> days wit</w:t>
      </w:r>
      <w:r w:rsidR="00674A68">
        <w:t xml:space="preserve">h </w:t>
      </w:r>
      <w:r w:rsidR="00495A93">
        <w:t>24.5</w:t>
      </w:r>
      <w:r>
        <w:t xml:space="preserve">% censored. For </w:t>
      </w:r>
      <w:r w:rsidR="00674A68">
        <w:t>idelalisib</w:t>
      </w:r>
      <w:r>
        <w:t xml:space="preserve"> it was </w:t>
      </w:r>
      <w:r w:rsidR="00674A68">
        <w:t>126</w:t>
      </w:r>
      <w:r>
        <w:t xml:space="preserve"> days with </w:t>
      </w:r>
      <w:r w:rsidR="00495A93">
        <w:t>7.3</w:t>
      </w:r>
      <w:r>
        <w:t xml:space="preserve">% censored and for </w:t>
      </w:r>
      <w:r w:rsidR="00674A68">
        <w:t>obinutuzumab</w:t>
      </w:r>
      <w:r>
        <w:t xml:space="preserve"> it was </w:t>
      </w:r>
      <w:r w:rsidR="00674A68">
        <w:t>140</w:t>
      </w:r>
      <w:r>
        <w:t xml:space="preserve"> days with </w:t>
      </w:r>
      <w:r w:rsidR="00495A93">
        <w:t>7.8</w:t>
      </w:r>
      <w:r>
        <w:t>% censored.</w:t>
      </w:r>
      <w:r w:rsidR="00674A68">
        <w:t xml:space="preserve"> For venetoclax it was 333 days with </w:t>
      </w:r>
      <w:r w:rsidR="00495A93">
        <w:t>23.9</w:t>
      </w:r>
      <w:r w:rsidR="00674A68">
        <w:t xml:space="preserve">% censored and for zanubrutinib it was 567 days with </w:t>
      </w:r>
      <w:r w:rsidR="00495A93">
        <w:t>64.4</w:t>
      </w:r>
      <w:r w:rsidR="00674A68">
        <w:t xml:space="preserve">% </w:t>
      </w:r>
      <w:r w:rsidR="00495A93">
        <w:t>censored.</w:t>
      </w:r>
    </w:p>
    <w:p w14:paraId="3284EC13" w14:textId="77777777" w:rsidR="00495A93" w:rsidRDefault="00495A93" w:rsidP="007A2A88">
      <w:pPr>
        <w:spacing w:after="0"/>
      </w:pPr>
    </w:p>
    <w:p w14:paraId="20DA4F20" w14:textId="61DB585E" w:rsidR="00495A93" w:rsidRDefault="00712B92" w:rsidP="007A2A88">
      <w:pPr>
        <w:spacing w:after="0"/>
      </w:pPr>
      <w:r>
        <w:rPr>
          <w:noProof/>
        </w:rPr>
        <w:lastRenderedPageBreak/>
        <w:drawing>
          <wp:inline distT="0" distB="0" distL="0" distR="0" wp14:anchorId="36D9FC38" wp14:editId="57EBE75D">
            <wp:extent cx="5687695" cy="4243070"/>
            <wp:effectExtent l="0" t="0" r="8255" b="5080"/>
            <wp:docPr id="1437234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34496" name=""/>
                    <pic:cNvPicPr/>
                  </pic:nvPicPr>
                  <pic:blipFill>
                    <a:blip r:embed="rId46"/>
                    <a:stretch>
                      <a:fillRect/>
                    </a:stretch>
                  </pic:blipFill>
                  <pic:spPr>
                    <a:xfrm>
                      <a:off x="0" y="0"/>
                      <a:ext cx="5687695" cy="4243070"/>
                    </a:xfrm>
                    <a:prstGeom prst="rect">
                      <a:avLst/>
                    </a:prstGeom>
                  </pic:spPr>
                </pic:pic>
              </a:graphicData>
            </a:graphic>
          </wp:inline>
        </w:drawing>
      </w:r>
    </w:p>
    <w:p w14:paraId="1BF226A2" w14:textId="77777777" w:rsidR="00495A93" w:rsidRDefault="00495A93" w:rsidP="007A2A88">
      <w:pPr>
        <w:spacing w:after="0"/>
      </w:pPr>
    </w:p>
    <w:p w14:paraId="22B15700" w14:textId="7D7666CA" w:rsidR="00495A93" w:rsidRPr="00EF28AC" w:rsidRDefault="00495A93" w:rsidP="00495A93">
      <w:pPr>
        <w:spacing w:after="0"/>
        <w:rPr>
          <w:b/>
          <w:bCs/>
        </w:rPr>
      </w:pPr>
      <w:r w:rsidRPr="00EF28AC">
        <w:rPr>
          <w:b/>
          <w:bCs/>
        </w:rPr>
        <w:t>Figure 1</w:t>
      </w:r>
      <w:r w:rsidR="00EF28AC" w:rsidRPr="00EF28AC">
        <w:rPr>
          <w:b/>
          <w:bCs/>
        </w:rPr>
        <w:t>4</w:t>
      </w:r>
      <w:r w:rsidRPr="00EF28AC">
        <w:rPr>
          <w:b/>
          <w:bCs/>
        </w:rPr>
        <w:t xml:space="preserve">: Time on treatment for CLL/SLL drugs in days without </w:t>
      </w:r>
      <w:r w:rsidR="00376693">
        <w:rPr>
          <w:b/>
          <w:bCs/>
        </w:rPr>
        <w:t xml:space="preserve">treatment </w:t>
      </w:r>
      <w:r w:rsidRPr="00EF28AC">
        <w:rPr>
          <w:b/>
          <w:bCs/>
        </w:rPr>
        <w:t>breaks</w:t>
      </w:r>
    </w:p>
    <w:p w14:paraId="08636868" w14:textId="77777777" w:rsidR="00495A93" w:rsidRDefault="00495A93" w:rsidP="00495A93">
      <w:pPr>
        <w:spacing w:after="0"/>
      </w:pPr>
    </w:p>
    <w:p w14:paraId="076D1DB3" w14:textId="129A4904" w:rsidR="00495A93" w:rsidRDefault="00495A93" w:rsidP="007A2A88">
      <w:pPr>
        <w:spacing w:after="0"/>
      </w:pPr>
      <w:r>
        <w:t>Figure 1</w:t>
      </w:r>
      <w:r w:rsidR="00EF28AC">
        <w:t>4</w:t>
      </w:r>
      <w:r>
        <w:t xml:space="preserve"> shows the time on treatment in days for CLL/SLL drugs without treatment breaks. This analysis used prescription data at any line of therapy. The median treatment duration for acalabrutinib was </w:t>
      </w:r>
      <w:r w:rsidR="00712B92">
        <w:t>452</w:t>
      </w:r>
      <w:r>
        <w:t xml:space="preserve"> days with 43.4% of patients censored. For ibrutinib the median was </w:t>
      </w:r>
      <w:r w:rsidR="00712B92">
        <w:t>423</w:t>
      </w:r>
      <w:r>
        <w:t xml:space="preserve"> days with 15.0% censored. For idelalisib it was 1</w:t>
      </w:r>
      <w:r w:rsidR="00712B92">
        <w:t>03</w:t>
      </w:r>
      <w:r>
        <w:t xml:space="preserve"> days with 5.5% censored and for obinutuzumab it was 140 days with 7.</w:t>
      </w:r>
      <w:r w:rsidR="00712B92">
        <w:t>5</w:t>
      </w:r>
      <w:r>
        <w:t>% censored. For venetoclax it was 3</w:t>
      </w:r>
      <w:r w:rsidR="00712B92">
        <w:t>09</w:t>
      </w:r>
      <w:r>
        <w:t xml:space="preserve"> days with 2</w:t>
      </w:r>
      <w:r w:rsidR="00712B92">
        <w:t>1.2</w:t>
      </w:r>
      <w:r>
        <w:t xml:space="preserve">% censored and for zanubrutinib it was </w:t>
      </w:r>
      <w:r w:rsidR="00712B92">
        <w:t>291</w:t>
      </w:r>
      <w:r>
        <w:t xml:space="preserve"> days with </w:t>
      </w:r>
      <w:r w:rsidR="00712B92">
        <w:t>52.2</w:t>
      </w:r>
      <w:r>
        <w:t>% censored.</w:t>
      </w:r>
    </w:p>
    <w:p w14:paraId="11627AB8" w14:textId="77777777" w:rsidR="00DD616A" w:rsidRDefault="00DD616A" w:rsidP="007A2A88">
      <w:pPr>
        <w:spacing w:after="0"/>
      </w:pPr>
    </w:p>
    <w:p w14:paraId="5BCC530F" w14:textId="1F56EC67" w:rsidR="00747741" w:rsidRDefault="00747741" w:rsidP="007A2A88">
      <w:pPr>
        <w:spacing w:after="0"/>
      </w:pPr>
      <w:r>
        <w:t xml:space="preserve">Additional time sequence analysis based on </w:t>
      </w:r>
      <w:r w:rsidR="008B591E">
        <w:t xml:space="preserve">the </w:t>
      </w:r>
      <w:r>
        <w:t>line of therapy is provided at Addendum 1.</w:t>
      </w:r>
    </w:p>
    <w:p w14:paraId="1A5CAEEB" w14:textId="77777777" w:rsidR="00557F15" w:rsidRDefault="00557F15" w:rsidP="007A2A88">
      <w:pPr>
        <w:spacing w:after="0"/>
      </w:pPr>
    </w:p>
    <w:p w14:paraId="50F551CC" w14:textId="3280739B" w:rsidR="00557F15" w:rsidRDefault="007C2505" w:rsidP="007A2A88">
      <w:pPr>
        <w:spacing w:after="0"/>
      </w:pPr>
      <w:r>
        <w:t>W</w:t>
      </w:r>
      <w:r w:rsidR="00557F15">
        <w:t>hen analysing the time on treatment data it should be noted that therapy with Bruton's tyrosine kinase inhibitors (acalabrutinib, zanubrutinib, and ibrutinib) and Phosphatidylinositol-3-kinase inhibitor (idelalisib) is continuous until progression or intolerance. While therapy with CD20 (Clusters of Differentiation 20) inhibitors (obinutuzumab, rituximab) or B-cell lymphoma-2 inhibitor (venetoclax) containing regimens are time limited.</w:t>
      </w:r>
    </w:p>
    <w:p w14:paraId="51C7BE61" w14:textId="431F26AA" w:rsidR="00DD616A" w:rsidRDefault="00E42106" w:rsidP="007A2A88">
      <w:pPr>
        <w:spacing w:after="0"/>
      </w:pPr>
      <w:r>
        <w:rPr>
          <w:noProof/>
        </w:rPr>
        <w:lastRenderedPageBreak/>
        <w:drawing>
          <wp:inline distT="0" distB="0" distL="0" distR="0" wp14:anchorId="1D1B0F3E" wp14:editId="189374C3">
            <wp:extent cx="5705475" cy="3581400"/>
            <wp:effectExtent l="0" t="0" r="9525" b="0"/>
            <wp:docPr id="1840966370" name="Chart 1">
              <a:extLst xmlns:a="http://schemas.openxmlformats.org/drawingml/2006/main">
                <a:ext uri="{FF2B5EF4-FFF2-40B4-BE49-F238E27FC236}">
                  <a16:creationId xmlns:a16="http://schemas.microsoft.com/office/drawing/2014/main" id="{7E719E58-3A91-4603-8424-B21B6D9DC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618BE19" w14:textId="77777777" w:rsidR="00DD616A" w:rsidRDefault="00DD616A" w:rsidP="007A2A88">
      <w:pPr>
        <w:spacing w:after="0"/>
      </w:pPr>
    </w:p>
    <w:p w14:paraId="79F33E2C" w14:textId="64B7FBAA" w:rsidR="00DD616A" w:rsidRDefault="00DD616A" w:rsidP="00F528ED">
      <w:pPr>
        <w:spacing w:after="0"/>
        <w:rPr>
          <w:rStyle w:val="TabletitleChar"/>
        </w:rPr>
      </w:pPr>
      <w:r w:rsidRPr="00AF60A4">
        <w:rPr>
          <w:rStyle w:val="TabletitleChar"/>
        </w:rPr>
        <w:t xml:space="preserve">Figure </w:t>
      </w:r>
      <w:r>
        <w:rPr>
          <w:rStyle w:val="TabletitleChar"/>
        </w:rPr>
        <w:t>15</w:t>
      </w:r>
      <w:r w:rsidRPr="00AF60A4">
        <w:rPr>
          <w:rStyle w:val="TabletitleChar"/>
        </w:rPr>
        <w:t xml:space="preserve">: </w:t>
      </w:r>
      <w:r>
        <w:rPr>
          <w:rStyle w:val="TabletitleChar"/>
        </w:rPr>
        <w:t>Cost to government for first line therapies for CLL/SLL</w:t>
      </w:r>
    </w:p>
    <w:p w14:paraId="08F40E98" w14:textId="78A2DD68" w:rsidR="00F528ED" w:rsidRDefault="00F528ED" w:rsidP="00F528ED">
      <w:pPr>
        <w:spacing w:after="0"/>
        <w:rPr>
          <w:sz w:val="20"/>
          <w:szCs w:val="20"/>
        </w:rPr>
      </w:pPr>
      <w:r>
        <w:rPr>
          <w:sz w:val="20"/>
          <w:szCs w:val="20"/>
        </w:rPr>
        <w:t>Note:</w:t>
      </w:r>
    </w:p>
    <w:p w14:paraId="0773FDF7" w14:textId="439AB292" w:rsidR="00D07F48" w:rsidRDefault="00F528ED" w:rsidP="007C5090">
      <w:pPr>
        <w:spacing w:after="0"/>
        <w:contextualSpacing/>
        <w:rPr>
          <w:sz w:val="20"/>
          <w:szCs w:val="20"/>
        </w:rPr>
      </w:pPr>
      <w:r>
        <w:rPr>
          <w:sz w:val="20"/>
          <w:szCs w:val="20"/>
        </w:rPr>
        <w:t>Does not include costs for venetoclax dose modification.</w:t>
      </w:r>
    </w:p>
    <w:p w14:paraId="10487AC7" w14:textId="06014976" w:rsidR="007C5090" w:rsidRDefault="007C5090" w:rsidP="007C5090">
      <w:pPr>
        <w:spacing w:after="0"/>
        <w:contextualSpacing/>
        <w:rPr>
          <w:sz w:val="20"/>
          <w:szCs w:val="20"/>
        </w:rPr>
      </w:pPr>
      <w:r>
        <w:rPr>
          <w:sz w:val="20"/>
          <w:szCs w:val="20"/>
        </w:rPr>
        <w:t>The cost to government is based on the published list prices of the medicines.</w:t>
      </w:r>
      <w:r w:rsidR="00684297">
        <w:rPr>
          <w:sz w:val="20"/>
          <w:szCs w:val="20"/>
        </w:rPr>
        <w:t xml:space="preserve"> Where Special Pricing Arrangements apply (See Appendix 1) the actual cost to government </w:t>
      </w:r>
      <w:r w:rsidR="00CE085E">
        <w:rPr>
          <w:sz w:val="20"/>
          <w:szCs w:val="20"/>
        </w:rPr>
        <w:t>may</w:t>
      </w:r>
      <w:r w:rsidR="00684297">
        <w:rPr>
          <w:sz w:val="20"/>
          <w:szCs w:val="20"/>
        </w:rPr>
        <w:t xml:space="preserve"> be lower than indicated.</w:t>
      </w:r>
    </w:p>
    <w:p w14:paraId="18116F59" w14:textId="77777777" w:rsidR="007A2FF4" w:rsidRDefault="007A2FF4" w:rsidP="007C5090">
      <w:pPr>
        <w:spacing w:after="0"/>
        <w:contextualSpacing/>
        <w:rPr>
          <w:sz w:val="20"/>
          <w:szCs w:val="20"/>
        </w:rPr>
      </w:pPr>
    </w:p>
    <w:p w14:paraId="6B1AEF02" w14:textId="77777777" w:rsidR="007A2FF4" w:rsidRDefault="007A2FF4" w:rsidP="007C5090">
      <w:pPr>
        <w:spacing w:after="0"/>
        <w:contextualSpacing/>
        <w:rPr>
          <w:sz w:val="20"/>
          <w:szCs w:val="20"/>
        </w:rPr>
      </w:pPr>
    </w:p>
    <w:p w14:paraId="336744E6" w14:textId="77777777" w:rsidR="007A2FF4" w:rsidRDefault="007A2FF4" w:rsidP="007C5090">
      <w:pPr>
        <w:spacing w:after="0"/>
        <w:contextualSpacing/>
        <w:rPr>
          <w:sz w:val="20"/>
          <w:szCs w:val="20"/>
        </w:rPr>
      </w:pPr>
    </w:p>
    <w:p w14:paraId="56028338" w14:textId="77777777" w:rsidR="007A2FF4" w:rsidRDefault="007A2FF4" w:rsidP="007C5090">
      <w:pPr>
        <w:spacing w:after="0"/>
        <w:contextualSpacing/>
        <w:rPr>
          <w:sz w:val="20"/>
          <w:szCs w:val="20"/>
        </w:rPr>
      </w:pPr>
    </w:p>
    <w:p w14:paraId="4F1BB1B9" w14:textId="77777777" w:rsidR="007C5090" w:rsidRPr="00E05952" w:rsidRDefault="007C5090" w:rsidP="007C5090">
      <w:pPr>
        <w:spacing w:after="0"/>
        <w:contextualSpacing/>
        <w:rPr>
          <w:sz w:val="20"/>
          <w:szCs w:val="20"/>
        </w:rPr>
      </w:pPr>
    </w:p>
    <w:p w14:paraId="1D81D369" w14:textId="09A11356" w:rsidR="00D07F48" w:rsidRDefault="00F76F07" w:rsidP="00DD616A">
      <w:pPr>
        <w:spacing w:after="0"/>
      </w:pPr>
      <w:r>
        <w:rPr>
          <w:noProof/>
        </w:rPr>
        <w:lastRenderedPageBreak/>
        <w:drawing>
          <wp:inline distT="0" distB="0" distL="0" distR="0" wp14:anchorId="036F8404" wp14:editId="07D2FB59">
            <wp:extent cx="5781675" cy="3552825"/>
            <wp:effectExtent l="0" t="0" r="9525" b="9525"/>
            <wp:docPr id="1801301218" name="Chart 1">
              <a:extLst xmlns:a="http://schemas.openxmlformats.org/drawingml/2006/main">
                <a:ext uri="{FF2B5EF4-FFF2-40B4-BE49-F238E27FC236}">
                  <a16:creationId xmlns:a16="http://schemas.microsoft.com/office/drawing/2014/main" id="{096FAC86-D139-8FED-234B-5FFE328376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B4E7703" w14:textId="16CEBC6D" w:rsidR="00FA47BE" w:rsidRDefault="00FA47BE" w:rsidP="00F528ED">
      <w:pPr>
        <w:spacing w:after="0"/>
        <w:rPr>
          <w:rStyle w:val="TabletitleChar"/>
        </w:rPr>
      </w:pPr>
      <w:r w:rsidRPr="00AF60A4">
        <w:rPr>
          <w:rStyle w:val="TabletitleChar"/>
        </w:rPr>
        <w:t xml:space="preserve">Figure </w:t>
      </w:r>
      <w:r>
        <w:rPr>
          <w:rStyle w:val="TabletitleChar"/>
        </w:rPr>
        <w:t>16</w:t>
      </w:r>
      <w:r w:rsidRPr="00AF60A4">
        <w:rPr>
          <w:rStyle w:val="TabletitleChar"/>
        </w:rPr>
        <w:t xml:space="preserve">: </w:t>
      </w:r>
      <w:r>
        <w:rPr>
          <w:rStyle w:val="TabletitleChar"/>
        </w:rPr>
        <w:t>Cost to government for second line therapies for CLL/SLL.</w:t>
      </w:r>
    </w:p>
    <w:p w14:paraId="6E412C19" w14:textId="77777777" w:rsidR="00F528ED" w:rsidRDefault="00F528ED" w:rsidP="00F528ED">
      <w:pPr>
        <w:spacing w:after="0"/>
        <w:rPr>
          <w:sz w:val="20"/>
          <w:szCs w:val="20"/>
        </w:rPr>
      </w:pPr>
      <w:r>
        <w:rPr>
          <w:sz w:val="20"/>
          <w:szCs w:val="20"/>
        </w:rPr>
        <w:t>Note:</w:t>
      </w:r>
    </w:p>
    <w:p w14:paraId="37B20D1E" w14:textId="62544CC1" w:rsidR="00E05952" w:rsidRDefault="00F528ED" w:rsidP="00205E9F">
      <w:pPr>
        <w:spacing w:after="0"/>
        <w:contextualSpacing/>
        <w:rPr>
          <w:sz w:val="20"/>
          <w:szCs w:val="20"/>
        </w:rPr>
      </w:pPr>
      <w:r>
        <w:rPr>
          <w:sz w:val="20"/>
          <w:szCs w:val="20"/>
        </w:rPr>
        <w:t>Includes costs for venetoclax dose modification.</w:t>
      </w:r>
    </w:p>
    <w:p w14:paraId="388D93BB" w14:textId="7A6BE7DD" w:rsidR="00684297" w:rsidRDefault="00205E9F" w:rsidP="00684297">
      <w:pPr>
        <w:spacing w:after="0"/>
        <w:contextualSpacing/>
        <w:rPr>
          <w:sz w:val="20"/>
          <w:szCs w:val="20"/>
        </w:rPr>
      </w:pPr>
      <w:r>
        <w:rPr>
          <w:sz w:val="20"/>
          <w:szCs w:val="20"/>
        </w:rPr>
        <w:t>The cost to government is based on the published list prices of the medicines.</w:t>
      </w:r>
      <w:r w:rsidR="00684297" w:rsidRPr="00684297">
        <w:rPr>
          <w:sz w:val="20"/>
          <w:szCs w:val="20"/>
        </w:rPr>
        <w:t xml:space="preserve"> </w:t>
      </w:r>
      <w:r w:rsidR="00684297">
        <w:rPr>
          <w:sz w:val="20"/>
          <w:szCs w:val="20"/>
        </w:rPr>
        <w:t xml:space="preserve">Where Special Pricing Arrangements apply (See Appendix 1) the actual cost to government </w:t>
      </w:r>
      <w:r w:rsidR="00CE085E">
        <w:rPr>
          <w:sz w:val="20"/>
          <w:szCs w:val="20"/>
        </w:rPr>
        <w:t>may</w:t>
      </w:r>
      <w:r w:rsidR="00684297">
        <w:rPr>
          <w:sz w:val="20"/>
          <w:szCs w:val="20"/>
        </w:rPr>
        <w:t xml:space="preserve"> be lower than indicated.</w:t>
      </w:r>
    </w:p>
    <w:p w14:paraId="3C0A4FEE" w14:textId="77777777" w:rsidR="00205E9F" w:rsidRPr="00472AEC" w:rsidRDefault="00205E9F" w:rsidP="00FA47BE">
      <w:pPr>
        <w:rPr>
          <w:rStyle w:val="TabletitleChar"/>
          <w:b w:val="0"/>
          <w:sz w:val="20"/>
          <w:szCs w:val="20"/>
        </w:rPr>
      </w:pPr>
    </w:p>
    <w:p w14:paraId="2C8F1903" w14:textId="66F2B9F0" w:rsidR="003428B2" w:rsidRDefault="003428B2" w:rsidP="00FA47BE">
      <w:pPr>
        <w:rPr>
          <w:rStyle w:val="TabletitleChar"/>
        </w:rPr>
      </w:pPr>
      <w:r>
        <w:rPr>
          <w:rStyle w:val="TabletitleChar"/>
        </w:rPr>
        <w:t>Table 1</w:t>
      </w:r>
      <w:r w:rsidR="002C5314">
        <w:rPr>
          <w:rStyle w:val="TabletitleChar"/>
        </w:rPr>
        <w:t>1</w:t>
      </w:r>
      <w:r>
        <w:rPr>
          <w:rStyle w:val="TabletitleChar"/>
        </w:rPr>
        <w:t>: Cost to Government Dose Modification in First Line Therapy</w:t>
      </w:r>
    </w:p>
    <w:tbl>
      <w:tblPr>
        <w:tblStyle w:val="TableGrid"/>
        <w:tblW w:w="0" w:type="auto"/>
        <w:tblLook w:val="04A0" w:firstRow="1" w:lastRow="0" w:firstColumn="1" w:lastColumn="0" w:noHBand="0" w:noVBand="1"/>
      </w:tblPr>
      <w:tblGrid>
        <w:gridCol w:w="2982"/>
        <w:gridCol w:w="2982"/>
      </w:tblGrid>
      <w:tr w:rsidR="003428B2" w14:paraId="30148E2A" w14:textId="77777777" w:rsidTr="003428B2">
        <w:tc>
          <w:tcPr>
            <w:tcW w:w="2982" w:type="dxa"/>
            <w:shd w:val="clear" w:color="auto" w:fill="BFBFBF" w:themeFill="background1" w:themeFillShade="BF"/>
          </w:tcPr>
          <w:p w14:paraId="634C47B0" w14:textId="56CCA16E" w:rsidR="003428B2" w:rsidRDefault="00C61AF1" w:rsidP="00FA47BE">
            <w:pPr>
              <w:rPr>
                <w:b/>
              </w:rPr>
            </w:pPr>
            <w:r>
              <w:rPr>
                <w:b/>
              </w:rPr>
              <w:t xml:space="preserve">Financial </w:t>
            </w:r>
            <w:r w:rsidR="003428B2">
              <w:rPr>
                <w:b/>
              </w:rPr>
              <w:t>Year</w:t>
            </w:r>
          </w:p>
        </w:tc>
        <w:tc>
          <w:tcPr>
            <w:tcW w:w="2982" w:type="dxa"/>
            <w:shd w:val="clear" w:color="auto" w:fill="BFBFBF" w:themeFill="background1" w:themeFillShade="BF"/>
          </w:tcPr>
          <w:p w14:paraId="00671950" w14:textId="01017135" w:rsidR="003428B2" w:rsidRDefault="003428B2" w:rsidP="00FA47BE">
            <w:pPr>
              <w:rPr>
                <w:b/>
              </w:rPr>
            </w:pPr>
            <w:r>
              <w:rPr>
                <w:b/>
              </w:rPr>
              <w:t>Cost to Government</w:t>
            </w:r>
          </w:p>
        </w:tc>
      </w:tr>
      <w:tr w:rsidR="003428B2" w14:paraId="2957875B" w14:textId="77777777" w:rsidTr="003428B2">
        <w:tc>
          <w:tcPr>
            <w:tcW w:w="2982" w:type="dxa"/>
          </w:tcPr>
          <w:p w14:paraId="1F9EB16A" w14:textId="38D24155" w:rsidR="003428B2" w:rsidRPr="00811485" w:rsidRDefault="003428B2" w:rsidP="00FA47BE">
            <w:pPr>
              <w:rPr>
                <w:rFonts w:cstheme="minorHAnsi"/>
                <w:bCs/>
                <w:sz w:val="20"/>
                <w:szCs w:val="20"/>
              </w:rPr>
            </w:pPr>
            <w:r w:rsidRPr="00811485">
              <w:rPr>
                <w:rFonts w:cstheme="minorHAnsi"/>
                <w:bCs/>
                <w:sz w:val="20"/>
                <w:szCs w:val="20"/>
              </w:rPr>
              <w:t>202</w:t>
            </w:r>
            <w:r w:rsidR="00C61AF1" w:rsidRPr="00811485">
              <w:rPr>
                <w:rFonts w:cstheme="minorHAnsi"/>
                <w:bCs/>
                <w:sz w:val="20"/>
                <w:szCs w:val="20"/>
              </w:rPr>
              <w:t>0-21</w:t>
            </w:r>
          </w:p>
        </w:tc>
        <w:tc>
          <w:tcPr>
            <w:tcW w:w="2982" w:type="dxa"/>
          </w:tcPr>
          <w:p w14:paraId="2608F87D" w14:textId="4D78C706" w:rsidR="003428B2" w:rsidRPr="00811485" w:rsidRDefault="009402C4" w:rsidP="00FA47BE">
            <w:pPr>
              <w:rPr>
                <w:rFonts w:cstheme="minorHAnsi"/>
                <w:color w:val="000000"/>
                <w:sz w:val="20"/>
                <w:szCs w:val="20"/>
              </w:rPr>
            </w:pPr>
            <w:r w:rsidRPr="00811485">
              <w:rPr>
                <w:rFonts w:cstheme="minorHAnsi"/>
                <w:color w:val="000000"/>
                <w:sz w:val="20"/>
                <w:szCs w:val="20"/>
              </w:rPr>
              <w:t>$4,680</w:t>
            </w:r>
          </w:p>
        </w:tc>
      </w:tr>
      <w:tr w:rsidR="003428B2" w14:paraId="544D5F2F" w14:textId="77777777" w:rsidTr="003428B2">
        <w:tc>
          <w:tcPr>
            <w:tcW w:w="2982" w:type="dxa"/>
          </w:tcPr>
          <w:p w14:paraId="1DF074B8" w14:textId="5B189B19" w:rsidR="003428B2" w:rsidRPr="00811485" w:rsidRDefault="003428B2" w:rsidP="00FA47BE">
            <w:pPr>
              <w:rPr>
                <w:rFonts w:cstheme="minorHAnsi"/>
                <w:bCs/>
                <w:sz w:val="20"/>
                <w:szCs w:val="20"/>
              </w:rPr>
            </w:pPr>
            <w:r w:rsidRPr="00811485">
              <w:rPr>
                <w:rFonts w:cstheme="minorHAnsi"/>
                <w:bCs/>
                <w:sz w:val="20"/>
                <w:szCs w:val="20"/>
              </w:rPr>
              <w:t>202</w:t>
            </w:r>
            <w:r w:rsidR="00C61AF1" w:rsidRPr="00811485">
              <w:rPr>
                <w:rFonts w:cstheme="minorHAnsi"/>
                <w:bCs/>
                <w:sz w:val="20"/>
                <w:szCs w:val="20"/>
              </w:rPr>
              <w:t>1-22</w:t>
            </w:r>
          </w:p>
        </w:tc>
        <w:tc>
          <w:tcPr>
            <w:tcW w:w="2982" w:type="dxa"/>
          </w:tcPr>
          <w:p w14:paraId="2CBA7556" w14:textId="394EEB49" w:rsidR="003428B2" w:rsidRPr="00811485" w:rsidRDefault="009402C4" w:rsidP="00FA47BE">
            <w:pPr>
              <w:rPr>
                <w:rFonts w:cstheme="minorHAnsi"/>
                <w:bCs/>
                <w:sz w:val="20"/>
                <w:szCs w:val="20"/>
              </w:rPr>
            </w:pPr>
            <w:r w:rsidRPr="00811485">
              <w:rPr>
                <w:rFonts w:cstheme="minorHAnsi"/>
                <w:bCs/>
                <w:sz w:val="20"/>
                <w:szCs w:val="20"/>
              </w:rPr>
              <w:t>$27,331</w:t>
            </w:r>
          </w:p>
        </w:tc>
      </w:tr>
      <w:tr w:rsidR="003428B2" w14:paraId="41EE60F5" w14:textId="77777777" w:rsidTr="003428B2">
        <w:tc>
          <w:tcPr>
            <w:tcW w:w="2982" w:type="dxa"/>
          </w:tcPr>
          <w:p w14:paraId="37496D02" w14:textId="2D1DB6CA" w:rsidR="003428B2" w:rsidRPr="00811485" w:rsidRDefault="003428B2" w:rsidP="00FA47BE">
            <w:pPr>
              <w:rPr>
                <w:rFonts w:cstheme="minorHAnsi"/>
                <w:bCs/>
                <w:sz w:val="20"/>
                <w:szCs w:val="20"/>
              </w:rPr>
            </w:pPr>
            <w:r w:rsidRPr="00811485">
              <w:rPr>
                <w:rFonts w:cstheme="minorHAnsi"/>
                <w:bCs/>
                <w:sz w:val="20"/>
                <w:szCs w:val="20"/>
              </w:rPr>
              <w:t>202</w:t>
            </w:r>
            <w:r w:rsidR="00C61AF1" w:rsidRPr="00811485">
              <w:rPr>
                <w:rFonts w:cstheme="minorHAnsi"/>
                <w:bCs/>
                <w:sz w:val="20"/>
                <w:szCs w:val="20"/>
              </w:rPr>
              <w:t>2-23</w:t>
            </w:r>
          </w:p>
        </w:tc>
        <w:tc>
          <w:tcPr>
            <w:tcW w:w="2982" w:type="dxa"/>
          </w:tcPr>
          <w:p w14:paraId="16E7C4E3" w14:textId="13484C28" w:rsidR="003428B2" w:rsidRPr="00811485" w:rsidRDefault="009402C4" w:rsidP="00FA47BE">
            <w:pPr>
              <w:rPr>
                <w:rFonts w:cstheme="minorHAnsi"/>
                <w:bCs/>
                <w:sz w:val="20"/>
                <w:szCs w:val="20"/>
              </w:rPr>
            </w:pPr>
            <w:r w:rsidRPr="00811485">
              <w:rPr>
                <w:rFonts w:cstheme="minorHAnsi"/>
                <w:bCs/>
                <w:sz w:val="20"/>
                <w:szCs w:val="20"/>
              </w:rPr>
              <w:t>$66,716</w:t>
            </w:r>
          </w:p>
        </w:tc>
      </w:tr>
      <w:tr w:rsidR="003428B2" w14:paraId="6936981D" w14:textId="77777777" w:rsidTr="003428B2">
        <w:tc>
          <w:tcPr>
            <w:tcW w:w="2982" w:type="dxa"/>
          </w:tcPr>
          <w:p w14:paraId="710A7FD3" w14:textId="545F3296" w:rsidR="003428B2" w:rsidRPr="00811485" w:rsidRDefault="003428B2" w:rsidP="00FA47BE">
            <w:pPr>
              <w:rPr>
                <w:rFonts w:cstheme="minorHAnsi"/>
                <w:bCs/>
                <w:sz w:val="20"/>
                <w:szCs w:val="20"/>
              </w:rPr>
            </w:pPr>
            <w:r w:rsidRPr="00811485">
              <w:rPr>
                <w:rFonts w:cstheme="minorHAnsi"/>
                <w:bCs/>
                <w:sz w:val="20"/>
                <w:szCs w:val="20"/>
              </w:rPr>
              <w:t>202</w:t>
            </w:r>
            <w:r w:rsidR="00C61AF1" w:rsidRPr="00811485">
              <w:rPr>
                <w:rFonts w:cstheme="minorHAnsi"/>
                <w:bCs/>
                <w:sz w:val="20"/>
                <w:szCs w:val="20"/>
              </w:rPr>
              <w:t>3-24</w:t>
            </w:r>
          </w:p>
        </w:tc>
        <w:tc>
          <w:tcPr>
            <w:tcW w:w="2982" w:type="dxa"/>
          </w:tcPr>
          <w:p w14:paraId="3AD6C647" w14:textId="7193C0D2" w:rsidR="003428B2" w:rsidRPr="00811485" w:rsidRDefault="009402C4" w:rsidP="00FA47BE">
            <w:pPr>
              <w:rPr>
                <w:rFonts w:cstheme="minorHAnsi"/>
                <w:bCs/>
                <w:sz w:val="20"/>
                <w:szCs w:val="20"/>
              </w:rPr>
            </w:pPr>
            <w:r w:rsidRPr="00811485">
              <w:rPr>
                <w:rFonts w:cstheme="minorHAnsi"/>
                <w:bCs/>
                <w:sz w:val="20"/>
                <w:szCs w:val="20"/>
              </w:rPr>
              <w:t>$70,843</w:t>
            </w:r>
          </w:p>
        </w:tc>
      </w:tr>
      <w:tr w:rsidR="003428B2" w14:paraId="11A9B590" w14:textId="77777777" w:rsidTr="003428B2">
        <w:tc>
          <w:tcPr>
            <w:tcW w:w="2982" w:type="dxa"/>
          </w:tcPr>
          <w:p w14:paraId="6E766C9F" w14:textId="730B4B81" w:rsidR="003428B2" w:rsidRPr="00811485" w:rsidRDefault="003428B2" w:rsidP="00FA47BE">
            <w:pPr>
              <w:rPr>
                <w:rFonts w:cstheme="minorHAnsi"/>
                <w:bCs/>
                <w:sz w:val="20"/>
                <w:szCs w:val="20"/>
              </w:rPr>
            </w:pPr>
            <w:r w:rsidRPr="00811485">
              <w:rPr>
                <w:rFonts w:cstheme="minorHAnsi"/>
                <w:bCs/>
                <w:sz w:val="20"/>
                <w:szCs w:val="20"/>
              </w:rPr>
              <w:t>202</w:t>
            </w:r>
            <w:r w:rsidR="00C61AF1" w:rsidRPr="00811485">
              <w:rPr>
                <w:rFonts w:cstheme="minorHAnsi"/>
                <w:bCs/>
                <w:sz w:val="20"/>
                <w:szCs w:val="20"/>
              </w:rPr>
              <w:t>4-25</w:t>
            </w:r>
          </w:p>
        </w:tc>
        <w:tc>
          <w:tcPr>
            <w:tcW w:w="2982" w:type="dxa"/>
          </w:tcPr>
          <w:p w14:paraId="5031F2AB" w14:textId="1B0D5569" w:rsidR="003428B2" w:rsidRPr="00811485" w:rsidRDefault="009402C4" w:rsidP="00FA47BE">
            <w:pPr>
              <w:rPr>
                <w:rFonts w:cstheme="minorHAnsi"/>
                <w:bCs/>
                <w:sz w:val="20"/>
                <w:szCs w:val="20"/>
              </w:rPr>
            </w:pPr>
            <w:r w:rsidRPr="00811485">
              <w:rPr>
                <w:rFonts w:cstheme="minorHAnsi"/>
                <w:bCs/>
                <w:sz w:val="20"/>
                <w:szCs w:val="20"/>
              </w:rPr>
              <w:t>$47,158</w:t>
            </w:r>
          </w:p>
        </w:tc>
      </w:tr>
    </w:tbl>
    <w:p w14:paraId="5C2BE088" w14:textId="77777777" w:rsidR="00583E7B" w:rsidRDefault="00684297" w:rsidP="00684297">
      <w:pPr>
        <w:spacing w:after="0"/>
        <w:rPr>
          <w:sz w:val="20"/>
          <w:szCs w:val="20"/>
        </w:rPr>
      </w:pPr>
      <w:r>
        <w:rPr>
          <w:sz w:val="20"/>
          <w:szCs w:val="20"/>
        </w:rPr>
        <w:t xml:space="preserve">Note: </w:t>
      </w:r>
    </w:p>
    <w:p w14:paraId="4C4C17E2" w14:textId="491F1DA7" w:rsidR="00583E7B" w:rsidRDefault="00ED08E2" w:rsidP="00684297">
      <w:pPr>
        <w:spacing w:after="0"/>
        <w:rPr>
          <w:sz w:val="20"/>
          <w:szCs w:val="20"/>
        </w:rPr>
      </w:pPr>
      <w:r>
        <w:rPr>
          <w:sz w:val="20"/>
          <w:szCs w:val="20"/>
        </w:rPr>
        <w:t>Treatment is for dose titration purposes were d</w:t>
      </w:r>
      <w:r w:rsidRPr="00ED08E2">
        <w:rPr>
          <w:sz w:val="20"/>
          <w:szCs w:val="20"/>
        </w:rPr>
        <w:t>osing interruption and/or dose reduction for adverse reactions may be required.</w:t>
      </w:r>
    </w:p>
    <w:p w14:paraId="055C4E06" w14:textId="18AB0BBD" w:rsidR="00684297" w:rsidRDefault="00684297" w:rsidP="00684297">
      <w:pPr>
        <w:spacing w:after="0"/>
        <w:rPr>
          <w:sz w:val="20"/>
          <w:szCs w:val="20"/>
        </w:rPr>
      </w:pPr>
      <w:r>
        <w:rPr>
          <w:sz w:val="20"/>
          <w:szCs w:val="20"/>
        </w:rPr>
        <w:t>The cost to government is based on the published list prices of the medicine.</w:t>
      </w:r>
      <w:r w:rsidRPr="00684297">
        <w:rPr>
          <w:sz w:val="20"/>
          <w:szCs w:val="20"/>
        </w:rPr>
        <w:t xml:space="preserve"> </w:t>
      </w:r>
      <w:r>
        <w:rPr>
          <w:sz w:val="20"/>
          <w:szCs w:val="20"/>
        </w:rPr>
        <w:t xml:space="preserve">Where Special Pricing Arrangements apply (See Appendix 1) the actual cost to government </w:t>
      </w:r>
      <w:r w:rsidR="00CE085E">
        <w:rPr>
          <w:sz w:val="20"/>
          <w:szCs w:val="20"/>
        </w:rPr>
        <w:t>may</w:t>
      </w:r>
      <w:r>
        <w:rPr>
          <w:sz w:val="20"/>
          <w:szCs w:val="20"/>
        </w:rPr>
        <w:t xml:space="preserve"> be lower than indicated.</w:t>
      </w:r>
    </w:p>
    <w:p w14:paraId="5637B6E3" w14:textId="77777777" w:rsidR="00373D60" w:rsidRDefault="00373D60" w:rsidP="00373D60"/>
    <w:p w14:paraId="0F0F186A" w14:textId="0451D14E" w:rsidR="00373D60" w:rsidRDefault="00E34700" w:rsidP="00373D60">
      <w:r>
        <w:rPr>
          <w:noProof/>
        </w:rPr>
        <w:lastRenderedPageBreak/>
        <w:drawing>
          <wp:inline distT="0" distB="0" distL="0" distR="0" wp14:anchorId="51D746D8" wp14:editId="0D1D6AF4">
            <wp:extent cx="6116320" cy="3171825"/>
            <wp:effectExtent l="0" t="0" r="17780" b="9525"/>
            <wp:docPr id="363506380" name="Chart 1">
              <a:extLst xmlns:a="http://schemas.openxmlformats.org/drawingml/2006/main">
                <a:ext uri="{FF2B5EF4-FFF2-40B4-BE49-F238E27FC236}">
                  <a16:creationId xmlns:a16="http://schemas.microsoft.com/office/drawing/2014/main" id="{ACEE2494-7B05-10CC-021C-051819D397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750415B" w14:textId="2171A4C8" w:rsidR="00E34700" w:rsidRPr="00975BFC" w:rsidRDefault="00E34700" w:rsidP="00E34700">
      <w:pPr>
        <w:spacing w:after="0"/>
        <w:rPr>
          <w:b/>
          <w:bCs/>
        </w:rPr>
      </w:pPr>
      <w:r>
        <w:rPr>
          <w:b/>
          <w:bCs/>
        </w:rPr>
        <w:t>Figure 17: Supply settings for first line therapies</w:t>
      </w:r>
    </w:p>
    <w:p w14:paraId="4F723811" w14:textId="77777777" w:rsidR="00E34700" w:rsidRDefault="00E34700" w:rsidP="00E34700">
      <w:pPr>
        <w:spacing w:after="0"/>
        <w:rPr>
          <w:sz w:val="20"/>
          <w:szCs w:val="20"/>
        </w:rPr>
      </w:pPr>
    </w:p>
    <w:p w14:paraId="366A7EA2" w14:textId="295043D9" w:rsidR="00E34700" w:rsidRDefault="00372DAE" w:rsidP="00E34700">
      <w:pPr>
        <w:spacing w:after="0"/>
        <w:rPr>
          <w:sz w:val="20"/>
          <w:szCs w:val="20"/>
        </w:rPr>
      </w:pPr>
      <w:r>
        <w:rPr>
          <w:noProof/>
        </w:rPr>
        <w:drawing>
          <wp:inline distT="0" distB="0" distL="0" distR="0" wp14:anchorId="0747A783" wp14:editId="454704A0">
            <wp:extent cx="6116320" cy="3228975"/>
            <wp:effectExtent l="0" t="0" r="17780" b="9525"/>
            <wp:docPr id="54824267" name="Chart 1">
              <a:extLst xmlns:a="http://schemas.openxmlformats.org/drawingml/2006/main">
                <a:ext uri="{FF2B5EF4-FFF2-40B4-BE49-F238E27FC236}">
                  <a16:creationId xmlns:a16="http://schemas.microsoft.com/office/drawing/2014/main" id="{3E3421EE-02B4-7BFF-5457-C9A16FA6EB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CCFA7C5" w14:textId="55EBC628" w:rsidR="00372DAE" w:rsidRDefault="00372DAE" w:rsidP="00372DAE">
      <w:pPr>
        <w:spacing w:after="0"/>
        <w:rPr>
          <w:b/>
          <w:bCs/>
        </w:rPr>
      </w:pPr>
      <w:r>
        <w:rPr>
          <w:b/>
          <w:bCs/>
        </w:rPr>
        <w:t>Figure 18: Supply settings for second line therapies</w:t>
      </w:r>
    </w:p>
    <w:p w14:paraId="030B2E90" w14:textId="77777777" w:rsidR="00E419EC" w:rsidRDefault="00E419EC" w:rsidP="00372DAE">
      <w:pPr>
        <w:spacing w:after="0"/>
        <w:rPr>
          <w:b/>
          <w:bCs/>
        </w:rPr>
      </w:pPr>
    </w:p>
    <w:p w14:paraId="3B3EA043" w14:textId="77777777" w:rsidR="007A2FF4" w:rsidRDefault="007A2FF4" w:rsidP="00372DAE">
      <w:pPr>
        <w:spacing w:after="0"/>
        <w:rPr>
          <w:b/>
          <w:bCs/>
        </w:rPr>
      </w:pPr>
    </w:p>
    <w:p w14:paraId="75A28BBF" w14:textId="77777777" w:rsidR="007A2FF4" w:rsidRDefault="007A2FF4" w:rsidP="00372DAE">
      <w:pPr>
        <w:spacing w:after="0"/>
        <w:rPr>
          <w:b/>
          <w:bCs/>
        </w:rPr>
      </w:pPr>
    </w:p>
    <w:p w14:paraId="37656C43" w14:textId="77777777" w:rsidR="007A2FF4" w:rsidRDefault="007A2FF4" w:rsidP="00372DAE">
      <w:pPr>
        <w:spacing w:after="0"/>
        <w:rPr>
          <w:b/>
          <w:bCs/>
        </w:rPr>
      </w:pPr>
    </w:p>
    <w:p w14:paraId="48BA777D" w14:textId="77777777" w:rsidR="007A2FF4" w:rsidRDefault="007A2FF4" w:rsidP="00372DAE">
      <w:pPr>
        <w:spacing w:after="0"/>
        <w:rPr>
          <w:b/>
          <w:bCs/>
        </w:rPr>
      </w:pPr>
    </w:p>
    <w:p w14:paraId="35BE9897" w14:textId="77777777" w:rsidR="007A2FF4" w:rsidRDefault="007A2FF4" w:rsidP="00372DAE">
      <w:pPr>
        <w:spacing w:after="0"/>
        <w:rPr>
          <w:b/>
          <w:bCs/>
        </w:rPr>
      </w:pPr>
    </w:p>
    <w:p w14:paraId="0CC79F8C" w14:textId="77777777" w:rsidR="007A2FF4" w:rsidRDefault="007A2FF4" w:rsidP="00372DAE">
      <w:pPr>
        <w:spacing w:after="0"/>
        <w:rPr>
          <w:b/>
          <w:bCs/>
        </w:rPr>
      </w:pPr>
    </w:p>
    <w:p w14:paraId="7E7CD69A" w14:textId="77777777" w:rsidR="007A2FF4" w:rsidRDefault="007A2FF4" w:rsidP="00372DAE">
      <w:pPr>
        <w:spacing w:after="0"/>
        <w:rPr>
          <w:b/>
          <w:bCs/>
        </w:rPr>
      </w:pPr>
    </w:p>
    <w:p w14:paraId="448E588E" w14:textId="4CB26147" w:rsidR="00E419EC" w:rsidRDefault="00E419EC" w:rsidP="00372DAE">
      <w:pPr>
        <w:spacing w:after="0"/>
        <w:rPr>
          <w:b/>
          <w:bCs/>
        </w:rPr>
      </w:pPr>
      <w:r>
        <w:rPr>
          <w:b/>
          <w:bCs/>
        </w:rPr>
        <w:lastRenderedPageBreak/>
        <w:t>Table 1</w:t>
      </w:r>
      <w:r w:rsidR="002C5314">
        <w:rPr>
          <w:b/>
          <w:bCs/>
        </w:rPr>
        <w:t>2</w:t>
      </w:r>
      <w:r>
        <w:rPr>
          <w:b/>
          <w:bCs/>
        </w:rPr>
        <w:t xml:space="preserve">: </w:t>
      </w:r>
      <w:r w:rsidRPr="00E419EC">
        <w:rPr>
          <w:b/>
          <w:bCs/>
        </w:rPr>
        <w:t>Percentage of prescriptions supplied by prescriber type</w:t>
      </w:r>
    </w:p>
    <w:tbl>
      <w:tblPr>
        <w:tblStyle w:val="TableGrid"/>
        <w:tblW w:w="0" w:type="auto"/>
        <w:tblLook w:val="04A0" w:firstRow="1" w:lastRow="0" w:firstColumn="1" w:lastColumn="0" w:noHBand="0" w:noVBand="1"/>
      </w:tblPr>
      <w:tblGrid>
        <w:gridCol w:w="2982"/>
        <w:gridCol w:w="2982"/>
        <w:gridCol w:w="2983"/>
      </w:tblGrid>
      <w:tr w:rsidR="00E419EC" w14:paraId="57701279" w14:textId="77777777" w:rsidTr="00E419EC">
        <w:tc>
          <w:tcPr>
            <w:tcW w:w="2982" w:type="dxa"/>
            <w:shd w:val="clear" w:color="auto" w:fill="BFBFBF" w:themeFill="background1" w:themeFillShade="BF"/>
          </w:tcPr>
          <w:p w14:paraId="47BB9393" w14:textId="595F37BF" w:rsidR="00E419EC" w:rsidRPr="00811485" w:rsidRDefault="00E419EC" w:rsidP="00372DAE">
            <w:pPr>
              <w:rPr>
                <w:rFonts w:cstheme="minorHAnsi"/>
                <w:b/>
                <w:bCs/>
              </w:rPr>
            </w:pPr>
            <w:r w:rsidRPr="00811485">
              <w:rPr>
                <w:rFonts w:cstheme="minorHAnsi"/>
                <w:b/>
                <w:bCs/>
              </w:rPr>
              <w:t>Speciality</w:t>
            </w:r>
          </w:p>
        </w:tc>
        <w:tc>
          <w:tcPr>
            <w:tcW w:w="2982" w:type="dxa"/>
            <w:shd w:val="clear" w:color="auto" w:fill="BFBFBF" w:themeFill="background1" w:themeFillShade="BF"/>
          </w:tcPr>
          <w:p w14:paraId="02195C2D" w14:textId="006D8B7E" w:rsidR="00E419EC" w:rsidRPr="00811485" w:rsidRDefault="00E419EC" w:rsidP="00E419EC">
            <w:pPr>
              <w:jc w:val="center"/>
              <w:rPr>
                <w:rFonts w:cstheme="minorHAnsi"/>
                <w:b/>
                <w:bCs/>
              </w:rPr>
            </w:pPr>
            <w:r w:rsidRPr="00811485">
              <w:rPr>
                <w:rFonts w:cstheme="minorHAnsi"/>
                <w:b/>
                <w:bCs/>
              </w:rPr>
              <w:t>First line</w:t>
            </w:r>
          </w:p>
        </w:tc>
        <w:tc>
          <w:tcPr>
            <w:tcW w:w="2983" w:type="dxa"/>
            <w:shd w:val="clear" w:color="auto" w:fill="BFBFBF" w:themeFill="background1" w:themeFillShade="BF"/>
          </w:tcPr>
          <w:p w14:paraId="21F1E1CC" w14:textId="6FAC36AC" w:rsidR="00E419EC" w:rsidRPr="00811485" w:rsidRDefault="00E419EC" w:rsidP="00E419EC">
            <w:pPr>
              <w:jc w:val="center"/>
              <w:rPr>
                <w:rFonts w:cstheme="minorHAnsi"/>
                <w:b/>
                <w:bCs/>
              </w:rPr>
            </w:pPr>
            <w:r w:rsidRPr="00811485">
              <w:rPr>
                <w:rFonts w:cstheme="minorHAnsi"/>
                <w:b/>
                <w:bCs/>
              </w:rPr>
              <w:t>Second</w:t>
            </w:r>
          </w:p>
        </w:tc>
      </w:tr>
      <w:tr w:rsidR="00E419EC" w14:paraId="3347591A" w14:textId="77777777" w:rsidTr="00C8465B">
        <w:tc>
          <w:tcPr>
            <w:tcW w:w="2982" w:type="dxa"/>
          </w:tcPr>
          <w:p w14:paraId="018181C1" w14:textId="1FCCAF5B" w:rsidR="00E419EC" w:rsidRPr="00811485" w:rsidRDefault="00E419EC" w:rsidP="00E419EC">
            <w:pPr>
              <w:rPr>
                <w:rFonts w:cstheme="minorHAnsi"/>
                <w:sz w:val="20"/>
                <w:szCs w:val="20"/>
              </w:rPr>
            </w:pPr>
            <w:r w:rsidRPr="00811485">
              <w:rPr>
                <w:rFonts w:cstheme="minorHAnsi"/>
                <w:sz w:val="20"/>
                <w:szCs w:val="20"/>
              </w:rPr>
              <w:t>Haematology</w:t>
            </w:r>
          </w:p>
        </w:tc>
        <w:tc>
          <w:tcPr>
            <w:tcW w:w="2982" w:type="dxa"/>
            <w:vAlign w:val="bottom"/>
          </w:tcPr>
          <w:p w14:paraId="605B7BC3" w14:textId="25FFF1AD" w:rsidR="00E419EC" w:rsidRPr="00811485" w:rsidRDefault="00E419EC" w:rsidP="00E419EC">
            <w:pPr>
              <w:jc w:val="center"/>
              <w:rPr>
                <w:rFonts w:cstheme="minorHAnsi"/>
                <w:sz w:val="20"/>
                <w:szCs w:val="20"/>
              </w:rPr>
            </w:pPr>
            <w:r w:rsidRPr="00811485">
              <w:rPr>
                <w:rFonts w:cstheme="minorHAnsi"/>
                <w:color w:val="000000"/>
                <w:sz w:val="20"/>
                <w:szCs w:val="20"/>
              </w:rPr>
              <w:t>61.9%</w:t>
            </w:r>
          </w:p>
        </w:tc>
        <w:tc>
          <w:tcPr>
            <w:tcW w:w="2983" w:type="dxa"/>
          </w:tcPr>
          <w:p w14:paraId="30A7DFF4" w14:textId="43A30BAF" w:rsidR="00E419EC" w:rsidRPr="00811485" w:rsidRDefault="00E419EC" w:rsidP="00E419EC">
            <w:pPr>
              <w:jc w:val="center"/>
              <w:rPr>
                <w:rFonts w:cstheme="minorHAnsi"/>
                <w:sz w:val="20"/>
                <w:szCs w:val="20"/>
              </w:rPr>
            </w:pPr>
            <w:r w:rsidRPr="00811485">
              <w:rPr>
                <w:rFonts w:cstheme="minorHAnsi"/>
                <w:sz w:val="20"/>
                <w:szCs w:val="20"/>
              </w:rPr>
              <w:t>59.5%</w:t>
            </w:r>
          </w:p>
        </w:tc>
      </w:tr>
      <w:tr w:rsidR="00E419EC" w14:paraId="24AC58C0" w14:textId="77777777" w:rsidTr="00C8465B">
        <w:tc>
          <w:tcPr>
            <w:tcW w:w="2982" w:type="dxa"/>
          </w:tcPr>
          <w:p w14:paraId="5331FC88" w14:textId="0A6FE98A" w:rsidR="00E419EC" w:rsidRPr="00811485" w:rsidRDefault="00E419EC" w:rsidP="00E419EC">
            <w:pPr>
              <w:rPr>
                <w:rFonts w:cstheme="minorHAnsi"/>
                <w:sz w:val="20"/>
                <w:szCs w:val="20"/>
              </w:rPr>
            </w:pPr>
            <w:r w:rsidRPr="00811485">
              <w:rPr>
                <w:rFonts w:cstheme="minorHAnsi"/>
                <w:sz w:val="20"/>
                <w:szCs w:val="20"/>
              </w:rPr>
              <w:t>Pathology</w:t>
            </w:r>
          </w:p>
        </w:tc>
        <w:tc>
          <w:tcPr>
            <w:tcW w:w="2982" w:type="dxa"/>
            <w:vAlign w:val="bottom"/>
          </w:tcPr>
          <w:p w14:paraId="3FB1CF30" w14:textId="66E75183" w:rsidR="00E419EC" w:rsidRPr="00811485" w:rsidRDefault="00E419EC" w:rsidP="00E419EC">
            <w:pPr>
              <w:jc w:val="center"/>
              <w:rPr>
                <w:rFonts w:cstheme="minorHAnsi"/>
                <w:sz w:val="20"/>
                <w:szCs w:val="20"/>
              </w:rPr>
            </w:pPr>
            <w:r w:rsidRPr="00811485">
              <w:rPr>
                <w:rFonts w:cstheme="minorHAnsi"/>
                <w:color w:val="000000"/>
                <w:sz w:val="20"/>
                <w:szCs w:val="20"/>
              </w:rPr>
              <w:t>15.2%</w:t>
            </w:r>
          </w:p>
        </w:tc>
        <w:tc>
          <w:tcPr>
            <w:tcW w:w="2983" w:type="dxa"/>
          </w:tcPr>
          <w:p w14:paraId="23663FDA" w14:textId="61041ACE" w:rsidR="00E419EC" w:rsidRPr="00811485" w:rsidRDefault="00E419EC" w:rsidP="00E419EC">
            <w:pPr>
              <w:jc w:val="center"/>
              <w:rPr>
                <w:rFonts w:cstheme="minorHAnsi"/>
                <w:sz w:val="20"/>
                <w:szCs w:val="20"/>
              </w:rPr>
            </w:pPr>
            <w:r w:rsidRPr="00811485">
              <w:rPr>
                <w:rFonts w:cstheme="minorHAnsi"/>
                <w:sz w:val="20"/>
                <w:szCs w:val="20"/>
              </w:rPr>
              <w:t>15.0%</w:t>
            </w:r>
          </w:p>
        </w:tc>
      </w:tr>
      <w:tr w:rsidR="00E419EC" w14:paraId="046554C7" w14:textId="77777777" w:rsidTr="00C8465B">
        <w:tc>
          <w:tcPr>
            <w:tcW w:w="2982" w:type="dxa"/>
          </w:tcPr>
          <w:p w14:paraId="02D58D54" w14:textId="025EFE72" w:rsidR="00E419EC" w:rsidRPr="00811485" w:rsidRDefault="00E419EC" w:rsidP="00E419EC">
            <w:pPr>
              <w:rPr>
                <w:rFonts w:cstheme="minorHAnsi"/>
                <w:sz w:val="20"/>
                <w:szCs w:val="20"/>
              </w:rPr>
            </w:pPr>
            <w:r w:rsidRPr="00811485">
              <w:rPr>
                <w:rFonts w:cstheme="minorHAnsi"/>
                <w:sz w:val="20"/>
                <w:szCs w:val="20"/>
              </w:rPr>
              <w:t>NONVRGP</w:t>
            </w:r>
          </w:p>
        </w:tc>
        <w:tc>
          <w:tcPr>
            <w:tcW w:w="2982" w:type="dxa"/>
            <w:vAlign w:val="bottom"/>
          </w:tcPr>
          <w:p w14:paraId="559B7F3E" w14:textId="532EFC5C" w:rsidR="00E419EC" w:rsidRPr="00811485" w:rsidRDefault="00E419EC" w:rsidP="00E419EC">
            <w:pPr>
              <w:jc w:val="center"/>
              <w:rPr>
                <w:rFonts w:cstheme="minorHAnsi"/>
                <w:sz w:val="20"/>
                <w:szCs w:val="20"/>
              </w:rPr>
            </w:pPr>
            <w:r w:rsidRPr="00811485">
              <w:rPr>
                <w:rFonts w:cstheme="minorHAnsi"/>
                <w:color w:val="000000"/>
                <w:sz w:val="20"/>
                <w:szCs w:val="20"/>
              </w:rPr>
              <w:t>14.3%</w:t>
            </w:r>
          </w:p>
        </w:tc>
        <w:tc>
          <w:tcPr>
            <w:tcW w:w="2983" w:type="dxa"/>
          </w:tcPr>
          <w:p w14:paraId="496D626A" w14:textId="75852FB1" w:rsidR="00E419EC" w:rsidRPr="00811485" w:rsidRDefault="00E419EC" w:rsidP="00E419EC">
            <w:pPr>
              <w:jc w:val="center"/>
              <w:rPr>
                <w:rFonts w:cstheme="minorHAnsi"/>
                <w:sz w:val="20"/>
                <w:szCs w:val="20"/>
              </w:rPr>
            </w:pPr>
            <w:r w:rsidRPr="00811485">
              <w:rPr>
                <w:rFonts w:cstheme="minorHAnsi"/>
                <w:sz w:val="20"/>
                <w:szCs w:val="20"/>
              </w:rPr>
              <w:t>9.7%</w:t>
            </w:r>
          </w:p>
        </w:tc>
      </w:tr>
      <w:tr w:rsidR="00E419EC" w14:paraId="413BF19C" w14:textId="77777777" w:rsidTr="00C8465B">
        <w:tc>
          <w:tcPr>
            <w:tcW w:w="2982" w:type="dxa"/>
          </w:tcPr>
          <w:p w14:paraId="3E7208B8" w14:textId="11540E72" w:rsidR="00E419EC" w:rsidRPr="00811485" w:rsidRDefault="00E419EC" w:rsidP="00E419EC">
            <w:pPr>
              <w:rPr>
                <w:rFonts w:cstheme="minorHAnsi"/>
                <w:sz w:val="20"/>
                <w:szCs w:val="20"/>
              </w:rPr>
            </w:pPr>
            <w:r w:rsidRPr="00811485">
              <w:rPr>
                <w:rFonts w:cstheme="minorHAnsi"/>
                <w:sz w:val="20"/>
                <w:szCs w:val="20"/>
              </w:rPr>
              <w:t>Internal Medicine</w:t>
            </w:r>
          </w:p>
        </w:tc>
        <w:tc>
          <w:tcPr>
            <w:tcW w:w="2982" w:type="dxa"/>
            <w:vAlign w:val="bottom"/>
          </w:tcPr>
          <w:p w14:paraId="37C55E0D" w14:textId="4C94333B" w:rsidR="00E419EC" w:rsidRPr="00811485" w:rsidRDefault="00E419EC" w:rsidP="00E419EC">
            <w:pPr>
              <w:jc w:val="center"/>
              <w:rPr>
                <w:rFonts w:cstheme="minorHAnsi"/>
                <w:sz w:val="20"/>
                <w:szCs w:val="20"/>
              </w:rPr>
            </w:pPr>
            <w:r w:rsidRPr="00811485">
              <w:rPr>
                <w:rFonts w:cstheme="minorHAnsi"/>
                <w:color w:val="000000"/>
                <w:sz w:val="20"/>
                <w:szCs w:val="20"/>
              </w:rPr>
              <w:t>3.2%</w:t>
            </w:r>
          </w:p>
        </w:tc>
        <w:tc>
          <w:tcPr>
            <w:tcW w:w="2983" w:type="dxa"/>
          </w:tcPr>
          <w:p w14:paraId="29B5DF15" w14:textId="118397DC" w:rsidR="00E419EC" w:rsidRPr="00811485" w:rsidRDefault="00E419EC" w:rsidP="00E419EC">
            <w:pPr>
              <w:jc w:val="center"/>
              <w:rPr>
                <w:rFonts w:cstheme="minorHAnsi"/>
                <w:sz w:val="20"/>
                <w:szCs w:val="20"/>
              </w:rPr>
            </w:pPr>
            <w:r w:rsidRPr="00811485">
              <w:rPr>
                <w:rFonts w:cstheme="minorHAnsi"/>
                <w:sz w:val="20"/>
                <w:szCs w:val="20"/>
              </w:rPr>
              <w:t>4.9%</w:t>
            </w:r>
          </w:p>
        </w:tc>
      </w:tr>
      <w:tr w:rsidR="00E419EC" w14:paraId="7EF350A4" w14:textId="77777777">
        <w:tc>
          <w:tcPr>
            <w:tcW w:w="2982" w:type="dxa"/>
          </w:tcPr>
          <w:p w14:paraId="33B0C45D" w14:textId="6836AAC3" w:rsidR="00E419EC" w:rsidRPr="00811485" w:rsidRDefault="00E419EC" w:rsidP="00372DAE">
            <w:pPr>
              <w:rPr>
                <w:rFonts w:cstheme="minorHAnsi"/>
                <w:sz w:val="20"/>
                <w:szCs w:val="20"/>
              </w:rPr>
            </w:pPr>
            <w:r w:rsidRPr="00811485">
              <w:rPr>
                <w:rFonts w:cstheme="minorHAnsi"/>
                <w:sz w:val="20"/>
                <w:szCs w:val="20"/>
              </w:rPr>
              <w:t>Other</w:t>
            </w:r>
          </w:p>
        </w:tc>
        <w:tc>
          <w:tcPr>
            <w:tcW w:w="2982" w:type="dxa"/>
          </w:tcPr>
          <w:p w14:paraId="1F6A03B2" w14:textId="6C7E4828" w:rsidR="00E419EC" w:rsidRPr="00811485" w:rsidRDefault="00E419EC" w:rsidP="00E419EC">
            <w:pPr>
              <w:jc w:val="center"/>
              <w:rPr>
                <w:rFonts w:cstheme="minorHAnsi"/>
                <w:sz w:val="20"/>
                <w:szCs w:val="20"/>
              </w:rPr>
            </w:pPr>
            <w:r w:rsidRPr="00811485">
              <w:rPr>
                <w:rFonts w:cstheme="minorHAnsi"/>
                <w:sz w:val="20"/>
                <w:szCs w:val="20"/>
              </w:rPr>
              <w:t>5.5%</w:t>
            </w:r>
          </w:p>
        </w:tc>
        <w:tc>
          <w:tcPr>
            <w:tcW w:w="2983" w:type="dxa"/>
          </w:tcPr>
          <w:p w14:paraId="411C8A52" w14:textId="00657E76" w:rsidR="00E419EC" w:rsidRPr="00811485" w:rsidRDefault="00E419EC" w:rsidP="00E419EC">
            <w:pPr>
              <w:jc w:val="center"/>
              <w:rPr>
                <w:rFonts w:cstheme="minorHAnsi"/>
                <w:sz w:val="20"/>
                <w:szCs w:val="20"/>
              </w:rPr>
            </w:pPr>
            <w:r w:rsidRPr="00811485">
              <w:rPr>
                <w:rFonts w:cstheme="minorHAnsi"/>
                <w:sz w:val="20"/>
                <w:szCs w:val="20"/>
              </w:rPr>
              <w:t>10.9%</w:t>
            </w:r>
          </w:p>
        </w:tc>
      </w:tr>
    </w:tbl>
    <w:p w14:paraId="04813914" w14:textId="43D8005C" w:rsidR="00E419EC" w:rsidRPr="00E419EC" w:rsidRDefault="00E419EC" w:rsidP="00372DAE">
      <w:pPr>
        <w:spacing w:after="0"/>
        <w:rPr>
          <w:sz w:val="20"/>
          <w:szCs w:val="20"/>
        </w:rPr>
      </w:pPr>
      <w:r w:rsidRPr="00E419EC">
        <w:rPr>
          <w:sz w:val="20"/>
          <w:szCs w:val="20"/>
        </w:rPr>
        <w:t>Note:</w:t>
      </w:r>
    </w:p>
    <w:p w14:paraId="23E19AC6" w14:textId="554170A3" w:rsidR="00E419EC" w:rsidRPr="00E419EC" w:rsidRDefault="00E419EC" w:rsidP="00372DAE">
      <w:pPr>
        <w:spacing w:after="0"/>
        <w:rPr>
          <w:sz w:val="20"/>
          <w:szCs w:val="20"/>
        </w:rPr>
      </w:pPr>
      <w:r w:rsidRPr="00E419EC">
        <w:rPr>
          <w:sz w:val="20"/>
          <w:szCs w:val="20"/>
        </w:rPr>
        <w:t xml:space="preserve">NONVRGP </w:t>
      </w:r>
      <w:r w:rsidR="00A96A1D">
        <w:rPr>
          <w:sz w:val="20"/>
          <w:szCs w:val="20"/>
        </w:rPr>
        <w:t>=</w:t>
      </w:r>
      <w:r w:rsidRPr="00E419EC">
        <w:rPr>
          <w:sz w:val="20"/>
          <w:szCs w:val="20"/>
        </w:rPr>
        <w:t xml:space="preserve"> Non-vocationally registered GP</w:t>
      </w:r>
    </w:p>
    <w:p w14:paraId="3555DFBA" w14:textId="39893769" w:rsidR="00591512" w:rsidRDefault="00AB3733" w:rsidP="00F73113">
      <w:pPr>
        <w:pStyle w:val="Heading1"/>
      </w:pPr>
      <w:r>
        <w:t>D</w:t>
      </w:r>
      <w:r w:rsidR="007346C7" w:rsidRPr="005E22C2">
        <w:t>iscussion</w:t>
      </w:r>
    </w:p>
    <w:p w14:paraId="0A43A292" w14:textId="01830D7A" w:rsidR="00BD48C3" w:rsidRDefault="009765CF" w:rsidP="00BD48C3">
      <w:r>
        <w:t>Over the analysis period t</w:t>
      </w:r>
      <w:r w:rsidR="00BD48C3">
        <w:t xml:space="preserve">here has been an increase in the number of first-line incident </w:t>
      </w:r>
      <w:r>
        <w:t xml:space="preserve">and prevalent </w:t>
      </w:r>
      <w:r w:rsidR="00BD48C3">
        <w:t xml:space="preserve">patients treated since the third quarter (Q3) of 2023 (Figure 4) particularly since the PBS listing of zanubrutinib, acalabrutinib, and venetoclax in combination with ibrutinib with a lessor contribution from acalabrutinib in combination with obinutuzumab (Figure 1). This has to some extent been counterbalanced by a decrease in the use of obinutuzumab in combination with chlorambucil. However, the </w:t>
      </w:r>
      <w:r w:rsidR="00B372FE">
        <w:t xml:space="preserve">growth </w:t>
      </w:r>
      <w:r w:rsidR="00BD48C3">
        <w:t xml:space="preserve">in incident patients since the PBS listing of the above therapies </w:t>
      </w:r>
      <w:r w:rsidR="00B372FE">
        <w:t>is</w:t>
      </w:r>
      <w:r w:rsidR="00BD48C3">
        <w:t xml:space="preserve"> slowing suggesting that the increase seen since Q3 of 2023 is likely to plateau in the near future. </w:t>
      </w:r>
      <w:r w:rsidR="00FB1F2D">
        <w:t>O</w:t>
      </w:r>
      <w:r w:rsidR="00BD48C3">
        <w:t>binutuzumab in combination with chlorambucil and rituximab in combination with chemotherapy (which does not appear to be currently used in therapy) was replaced with venetoclax in combination with obinutuzumab</w:t>
      </w:r>
      <w:r w:rsidR="00441A49">
        <w:t>.</w:t>
      </w:r>
      <w:r w:rsidR="00BD48C3">
        <w:t xml:space="preserve"> </w:t>
      </w:r>
      <w:r w:rsidR="00441A49">
        <w:t>T</w:t>
      </w:r>
      <w:r w:rsidR="00637036">
        <w:t xml:space="preserve">he number of incident patients </w:t>
      </w:r>
      <w:r w:rsidR="00825E63">
        <w:t>increased</w:t>
      </w:r>
      <w:r w:rsidR="00BD48C3">
        <w:t xml:space="preserve"> with the PBS listings of zanubrutinib, acalabrutinib, venetoclax in combination with ibrutinib, and acalabrutinib in combination with obinutuzumab.</w:t>
      </w:r>
    </w:p>
    <w:p w14:paraId="5FC0715C" w14:textId="303B8EF5" w:rsidR="00BD48C3" w:rsidRDefault="009765CF" w:rsidP="00BD48C3">
      <w:r>
        <w:t>The n</w:t>
      </w:r>
      <w:r w:rsidR="00BD48C3">
        <w:t xml:space="preserve">umber of second-line incident and prevalent patients treated has remained constant </w:t>
      </w:r>
      <w:r>
        <w:t xml:space="preserve">over the analysis period </w:t>
      </w:r>
      <w:r w:rsidR="00BD48C3">
        <w:t>(Figure 8). This is most likely due to the declining use of ibrutinib and to a smaller ext</w:t>
      </w:r>
      <w:r w:rsidR="00786E27">
        <w:t>e</w:t>
      </w:r>
      <w:r w:rsidR="00BD48C3">
        <w:t>nt venetoclax in combination with rituximab being counter balanced by the increasing use of acalabrutinib and zanubrutinib (Figure 5).</w:t>
      </w:r>
    </w:p>
    <w:p w14:paraId="4C9B4ED2" w14:textId="140A2E07" w:rsidR="00BD48C3" w:rsidRDefault="00BD48C3" w:rsidP="00BD48C3">
      <w:r>
        <w:t xml:space="preserve">When analysing </w:t>
      </w:r>
      <w:r w:rsidR="00557F15">
        <w:t>the number of prevalent patients</w:t>
      </w:r>
      <w:r w:rsidR="002C27F0">
        <w:t xml:space="preserve"> </w:t>
      </w:r>
      <w:r>
        <w:t>it should be noted that therapy with Bruton's tyrosine kinase inhibitors (acalabrutinib, zanubrutinib, and ibrutinib) and Phosphatidylinositol-3-kinase inhibitor (idelalisib) is continuous until progression or intolerance. While therapy with CD20 (Clusters of Differentiation 20) inhibitors (obinutuzumab, rituximab) or B-cell lymphoma-2 inhibitor (venetoclax) containing regime</w:t>
      </w:r>
      <w:r w:rsidR="00F1519D">
        <w:t>n</w:t>
      </w:r>
      <w:r>
        <w:t>s are time limited.</w:t>
      </w:r>
      <w:r w:rsidR="009D410B">
        <w:t xml:space="preserve"> This affect</w:t>
      </w:r>
      <w:r w:rsidR="009B0DCC">
        <w:t>s</w:t>
      </w:r>
      <w:r w:rsidR="009D410B">
        <w:t xml:space="preserve"> the number of prevalent patients on these therapies as continuous therapies will have a larger prevalent pool than time limited therapies</w:t>
      </w:r>
    </w:p>
    <w:p w14:paraId="1841CC0E" w14:textId="5C50FA0B" w:rsidR="00F04A69" w:rsidRDefault="00F04A69" w:rsidP="00BD48C3">
      <w:r>
        <w:t xml:space="preserve">Similar median times on treatment with idelalisib were seen in the treatment of </w:t>
      </w:r>
      <w:r w:rsidRPr="00F04A69">
        <w:t>refractory follicular B-cell non-Hodgkin's lymphoma</w:t>
      </w:r>
      <w:r>
        <w:t xml:space="preserve">, with breaks </w:t>
      </w:r>
      <w:r w:rsidR="00FD5D60">
        <w:t xml:space="preserve">being </w:t>
      </w:r>
      <w:r>
        <w:t>130 days</w:t>
      </w:r>
      <w:r w:rsidR="00FD5D60">
        <w:t xml:space="preserve"> and</w:t>
      </w:r>
      <w:r>
        <w:t xml:space="preserve"> without breaks 89 days.</w:t>
      </w:r>
      <w:r>
        <w:rPr>
          <w:rStyle w:val="FootnoteReference"/>
        </w:rPr>
        <w:footnoteReference w:id="7"/>
      </w:r>
    </w:p>
    <w:p w14:paraId="740C0C8D" w14:textId="00C39D9B" w:rsidR="00BD48C3" w:rsidRDefault="009765CF" w:rsidP="00BD48C3">
      <w:r>
        <w:lastRenderedPageBreak/>
        <w:t>The c</w:t>
      </w:r>
      <w:r w:rsidR="00BD48C3">
        <w:t xml:space="preserve">ost to </w:t>
      </w:r>
      <w:r>
        <w:t>g</w:t>
      </w:r>
      <w:r w:rsidR="00BD48C3">
        <w:t xml:space="preserve">overnment for first line therapy (Figure 15) has increased largely as a result of the introduction of zanubrutinib, and to a lesser extent </w:t>
      </w:r>
      <w:r w:rsidR="00BD48C3" w:rsidRPr="00C60785">
        <w:t>acalabrutinib</w:t>
      </w:r>
      <w:r w:rsidR="00BD48C3">
        <w:t xml:space="preserve"> and venetoclax in combination with ibrutinib and </w:t>
      </w:r>
      <w:r w:rsidR="00BD48C3" w:rsidRPr="0071098F">
        <w:t>acalabrutinib</w:t>
      </w:r>
      <w:r w:rsidR="00BD48C3">
        <w:t xml:space="preserve"> in combination with </w:t>
      </w:r>
      <w:r w:rsidR="00BD48C3" w:rsidRPr="0071098F">
        <w:t>obinutuzumab</w:t>
      </w:r>
      <w:r w:rsidR="00BD48C3">
        <w:t>. As suggested by the increased number of incident patients</w:t>
      </w:r>
      <w:r w:rsidR="00FD5D60">
        <w:t>,</w:t>
      </w:r>
      <w:r w:rsidR="00BD48C3">
        <w:t xml:space="preserve"> the cost to </w:t>
      </w:r>
      <w:r w:rsidR="009D410B">
        <w:t>g</w:t>
      </w:r>
      <w:r w:rsidR="00BD48C3">
        <w:t>overnment of first line therapy is likely to continue to increase at least in the short term.</w:t>
      </w:r>
    </w:p>
    <w:p w14:paraId="0D4A6D2B" w14:textId="021B5001" w:rsidR="00BD48C3" w:rsidRDefault="009765CF" w:rsidP="00BD48C3">
      <w:r>
        <w:t>The c</w:t>
      </w:r>
      <w:r w:rsidR="00BD48C3">
        <w:t xml:space="preserve">ost to </w:t>
      </w:r>
      <w:r>
        <w:t>g</w:t>
      </w:r>
      <w:r w:rsidR="00BD48C3">
        <w:t xml:space="preserve">overnment for second line therapy (Figure 16) has generally been stable largely driven by the decreased use of ibrutinib, counterbalanced to some extent with the increased use of </w:t>
      </w:r>
      <w:r>
        <w:t>zanubrutinib and acalabrutinib</w:t>
      </w:r>
      <w:r w:rsidR="00BD48C3">
        <w:t>. However, with the increased use of first line therapies</w:t>
      </w:r>
      <w:r w:rsidR="00A1555D">
        <w:t>,</w:t>
      </w:r>
      <w:r w:rsidR="00BD48C3">
        <w:t xml:space="preserve"> the cost of second line therapies is likely to increase in the near term as additional patients transition to second line therapy. </w:t>
      </w:r>
      <w:r w:rsidR="008570B7">
        <w:t>It should be note</w:t>
      </w:r>
      <w:r w:rsidR="00A1555D">
        <w:t>d</w:t>
      </w:r>
      <w:r w:rsidR="008570B7">
        <w:t xml:space="preserve"> that t</w:t>
      </w:r>
      <w:r w:rsidR="00BD48C3">
        <w:t xml:space="preserve">he cost to </w:t>
      </w:r>
      <w:r w:rsidR="009D410B">
        <w:t>g</w:t>
      </w:r>
      <w:r w:rsidR="00BD48C3">
        <w:t>overnment for 2024-25 may be actually higher than that indicated as data was extracted in early July 2025 so not all claims’ data may have been processed.</w:t>
      </w:r>
    </w:p>
    <w:p w14:paraId="31BCAA4C" w14:textId="64FD0F59" w:rsidR="00F9315A" w:rsidRDefault="00F9315A" w:rsidP="00BD48C3">
      <w:pPr>
        <w:rPr>
          <w:b/>
          <w:bCs/>
          <w:sz w:val="32"/>
          <w:szCs w:val="32"/>
        </w:rPr>
      </w:pPr>
      <w:r w:rsidRPr="003A63D6">
        <w:rPr>
          <w:b/>
          <w:bCs/>
          <w:sz w:val="32"/>
          <w:szCs w:val="32"/>
        </w:rPr>
        <w:t>DUSC consideration</w:t>
      </w:r>
    </w:p>
    <w:p w14:paraId="31E1BE01" w14:textId="49B942D2" w:rsidR="003A63D6" w:rsidRDefault="003A63D6" w:rsidP="009A7FC5">
      <w:r>
        <w:t xml:space="preserve">DUSC noted that there was an increase in first-line incident and prevalent patients, and scripts dispensed in the third quarter of 2023 which coincided with the PBS listing of zanubrutinub on 1 September of 2023, and by the listing of acalabrutinib and acalabrutinib in combination with obinutuzumab on 1 January 2024. DUSC considered that there was a decreasing use of chemoimmunotherapy but noted that fludarabine use is difficult to capture. DUSC considered that this change was due, in part, to the new drugs having an easier route of administration (oral vs IV). DUSC considered that the decrease in the use of rituximab in combination with chemotherapy and obinutuzumab in combination with chlorambucil is likely due to the increase in uptake of venetoclax. DUSC considered that the incident patients in first-line therapy appears to be plateauing with the prevalent pool increasing over time due the Bruton's tyrosine kinase inhibitor (BTKi) therapies being continuous until disease progression. In their Pre-Sub-Committee Response (PSCR) the </w:t>
      </w:r>
      <w:r w:rsidR="009A7FC5" w:rsidRPr="00052210">
        <w:rPr>
          <w:color w:val="000000" w:themeColor="text1"/>
          <w:shd w:val="clear" w:color="auto" w:fill="000000" w:themeFill="text1"/>
        </w:rPr>
        <w:t>XXXXXXXXXXXXXXXXX</w:t>
      </w:r>
      <w:r w:rsidRPr="00052210">
        <w:rPr>
          <w:shd w:val="clear" w:color="auto" w:fill="000000" w:themeFill="text1"/>
        </w:rPr>
        <w:t xml:space="preserve"> </w:t>
      </w:r>
      <w:r w:rsidRPr="00052210">
        <w:t>noted</w:t>
      </w:r>
      <w:r>
        <w:t xml:space="preserve"> that frontline prescribing has shifted rapidly towards novel agents following the PBS listing expansions in 2023–24, with chemoimmunotherapy use now minimal, with treatment choice being guided by TP53 status, comorbidities, and patient preference, with BTKi and venetoclax-based regimens both central to practice. In their </w:t>
      </w:r>
      <w:r w:rsidRPr="00B00329">
        <w:t xml:space="preserve">PSCR, </w:t>
      </w:r>
      <w:r w:rsidR="009A7FC5" w:rsidRPr="00B00329">
        <w:rPr>
          <w:color w:val="000000" w:themeColor="text1"/>
          <w:highlight w:val="black"/>
        </w:rPr>
        <w:t>XXXXXXXXXXXXXXXXXX</w:t>
      </w:r>
      <w:r w:rsidRPr="00B00329">
        <w:t xml:space="preserve"> considered</w:t>
      </w:r>
      <w:r>
        <w:t xml:space="preserve"> that if the number of first-line incident and prevalent patients has increased and second-line has not increased, then this may mean that the first-line treatment is working giving an extension to the remission period.</w:t>
      </w:r>
    </w:p>
    <w:p w14:paraId="6E60D7F4" w14:textId="3498F9A3" w:rsidR="003A63D6" w:rsidRDefault="003A63D6" w:rsidP="003A63D6">
      <w:r>
        <w:t xml:space="preserve">DUSC noted that the number of second-line incident and prevalent patients treated, and scripts dispensed has remained constant over the analysis period. DUSC noted that second-line therapy options are to switch between venetoclax based and BTKi based regimes. DUSC considered that there is no clear preferred second-line therapy and that some of the variability was due to patient and physician preferences (such as preference for fixed vs. continuous treatment regimens) and the development of intolerance. DUSC considered that the decrease in ibrutinib was due to the PBS listing and uptake of zanubrutinib, with the fluctuating use of idelalisib in combination with rituximab likely being due to the small numbers of patients being treated with this combination. DUSC considered that the overall prevalence of second-line therapies is stable, however DUSC also considered that given the uptake in first-line therapy and the potential for resistance to appear there will likely be an </w:t>
      </w:r>
      <w:r>
        <w:lastRenderedPageBreak/>
        <w:t xml:space="preserve">increase in second-line therapy in the future. In their PSCR, </w:t>
      </w:r>
      <w:r w:rsidR="009A7FC5" w:rsidRPr="009A7FC5">
        <w:rPr>
          <w:highlight w:val="black"/>
        </w:rPr>
        <w:t>XXXXX</w:t>
      </w:r>
      <w:r>
        <w:t xml:space="preserve"> noted that second-line prescribing remains stable, reflecting durable responses to novel agents in the first-line setting, but considered that this will likely increase in coming years.</w:t>
      </w:r>
    </w:p>
    <w:p w14:paraId="547360A7" w14:textId="53351992" w:rsidR="003A63D6" w:rsidRPr="003A63D6" w:rsidRDefault="003A63D6" w:rsidP="003A63D6">
      <w:r>
        <w:t xml:space="preserve">DUSC considered that, overall, the increase in first-line therapies likely reflects new drugs having easier routes of administration and that the change in restrictions to include the International Workshop on CLL (iwCLL) guidelines to guide initiation in September 2023 was unlikely to have led to large increase in incidence. In their </w:t>
      </w:r>
      <w:r w:rsidRPr="00052210">
        <w:rPr>
          <w:shd w:val="clear" w:color="auto" w:fill="FFFFFF" w:themeFill="background1"/>
        </w:rPr>
        <w:t xml:space="preserve">PSCR </w:t>
      </w:r>
      <w:r w:rsidR="009A7FC5" w:rsidRPr="00052210">
        <w:rPr>
          <w:highlight w:val="black"/>
          <w:shd w:val="clear" w:color="auto" w:fill="FFFFFF" w:themeFill="background1"/>
        </w:rPr>
        <w:t>XXXXXXXXXXXX</w:t>
      </w:r>
      <w:r>
        <w:t xml:space="preserve"> considered that that the removal of the criteria for a patient to be considered inappropriate for fludarabine based chemo-immunotherapy (September 2023) significantly contributed to the increase in first-line incident and prevalent patients, while </w:t>
      </w:r>
      <w:r w:rsidR="009A7FC5" w:rsidRPr="009A7FC5">
        <w:rPr>
          <w:highlight w:val="black"/>
        </w:rPr>
        <w:t>XXX</w:t>
      </w:r>
      <w:r>
        <w:t xml:space="preserve"> considered that the increase in the first-line incident and prevalent patients treated since Q3 2023 was partly a result of the availability of new therapies and how they are prescribed.</w:t>
      </w:r>
    </w:p>
    <w:p w14:paraId="6396A247" w14:textId="77777777" w:rsidR="00F9315A" w:rsidRDefault="00F9315A" w:rsidP="00F9315A">
      <w:pPr>
        <w:pStyle w:val="Heading1"/>
        <w:spacing w:before="0" w:after="200"/>
      </w:pPr>
      <w:r>
        <w:t xml:space="preserve">DUSC Actions </w:t>
      </w:r>
    </w:p>
    <w:p w14:paraId="27F1D96B" w14:textId="77777777" w:rsidR="00F9315A" w:rsidRDefault="00F9315A" w:rsidP="00F9315A">
      <w:pPr>
        <w:pStyle w:val="Heading1"/>
        <w:spacing w:before="0" w:after="200"/>
        <w:rPr>
          <w:b w:val="0"/>
          <w:bCs w:val="0"/>
          <w:sz w:val="24"/>
          <w:szCs w:val="24"/>
        </w:rPr>
      </w:pPr>
      <w:r w:rsidRPr="003A63D6">
        <w:rPr>
          <w:b w:val="0"/>
          <w:bCs w:val="0"/>
          <w:sz w:val="24"/>
          <w:szCs w:val="24"/>
        </w:rPr>
        <w:t>DUSC considered that the utilisation of the reviewed therapies for CLL/SLL was in line with expectations and that no restriction changes were required.</w:t>
      </w:r>
    </w:p>
    <w:p w14:paraId="2B1F7899" w14:textId="71140432" w:rsidR="00F20965" w:rsidRDefault="00F9315A" w:rsidP="00F9315A">
      <w:pPr>
        <w:pStyle w:val="Heading1"/>
        <w:spacing w:before="0" w:after="200"/>
        <w:rPr>
          <w:b w:val="0"/>
          <w:bCs w:val="0"/>
          <w:sz w:val="24"/>
          <w:szCs w:val="24"/>
        </w:rPr>
      </w:pPr>
      <w:r w:rsidRPr="003A63D6">
        <w:rPr>
          <w:b w:val="0"/>
          <w:bCs w:val="0"/>
          <w:sz w:val="24"/>
          <w:szCs w:val="24"/>
        </w:rPr>
        <w:t>DUSC requested that the report be provided to the PBAC for consideration.</w:t>
      </w:r>
    </w:p>
    <w:p w14:paraId="574059F2" w14:textId="77777777" w:rsidR="00F9315A" w:rsidRPr="00F9315A" w:rsidRDefault="00F9315A" w:rsidP="00F9315A">
      <w:pPr>
        <w:rPr>
          <w:b/>
          <w:bCs/>
          <w:sz w:val="32"/>
          <w:szCs w:val="32"/>
        </w:rPr>
      </w:pPr>
      <w:r w:rsidRPr="00F9315A">
        <w:rPr>
          <w:b/>
          <w:bCs/>
          <w:sz w:val="32"/>
          <w:szCs w:val="32"/>
        </w:rPr>
        <w:t>Context for analysis</w:t>
      </w:r>
    </w:p>
    <w:p w14:paraId="5AC77D77" w14:textId="77777777" w:rsidR="00F9315A" w:rsidRPr="00F9315A" w:rsidRDefault="00F9315A" w:rsidP="00F9315A">
      <w:r w:rsidRPr="00F9315A">
        <w:t>The DUSC is a Sub Committee of the Pharmaceutical Benefits Advisory Committee (PBAC). The DUSC assesses estimates on projected usage and financial cost of medicines.</w:t>
      </w:r>
    </w:p>
    <w:p w14:paraId="3225354B" w14:textId="77777777" w:rsidR="00F9315A" w:rsidRPr="00F9315A" w:rsidRDefault="00F9315A" w:rsidP="00F9315A">
      <w:r w:rsidRPr="00F9315A">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587A49C6" w14:textId="77777777" w:rsidR="00F9315A" w:rsidRPr="00F9315A" w:rsidRDefault="00F9315A" w:rsidP="00F9315A">
      <w:r w:rsidRPr="00F9315A">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666D0E5D" w14:textId="77777777" w:rsidR="00F9315A" w:rsidRPr="00F9315A" w:rsidRDefault="00F9315A" w:rsidP="00F9315A">
      <w:r w:rsidRPr="00F9315A">
        <w:t>The utilisation analysis report was provided to the pharmaceutical sponsors of each drug and comments on the report were provided to DUSC prior to its consideration of the analysis.</w:t>
      </w:r>
    </w:p>
    <w:p w14:paraId="00CCF309" w14:textId="77777777" w:rsidR="00F9315A" w:rsidRDefault="00F9315A" w:rsidP="00F9315A">
      <w:pPr>
        <w:rPr>
          <w:b/>
          <w:bCs/>
          <w:sz w:val="32"/>
          <w:szCs w:val="32"/>
        </w:rPr>
      </w:pPr>
      <w:r w:rsidRPr="00F9315A">
        <w:rPr>
          <w:b/>
          <w:bCs/>
          <w:sz w:val="32"/>
          <w:szCs w:val="32"/>
        </w:rPr>
        <w:t>Sponsors’ comments</w:t>
      </w:r>
    </w:p>
    <w:p w14:paraId="68CA2C2E" w14:textId="4AD1743C" w:rsidR="00F9315A" w:rsidRDefault="00D176F9" w:rsidP="00F9315A">
      <w:r w:rsidRPr="00D176F9">
        <w:t>Roche Products Pty Ltd: The sponsor has no comment.</w:t>
      </w:r>
    </w:p>
    <w:p w14:paraId="5BFEC84F" w14:textId="1E8330A9" w:rsidR="00C93030" w:rsidRDefault="00C93030" w:rsidP="00F9315A">
      <w:r w:rsidRPr="00C93030">
        <w:t>BeOne Medicines AUS Pty Ltd</w:t>
      </w:r>
      <w:r>
        <w:t>: The sponsor has no comment.</w:t>
      </w:r>
    </w:p>
    <w:p w14:paraId="2494A3BD" w14:textId="16FB12BA" w:rsidR="009F1514" w:rsidRDefault="00F02802" w:rsidP="00F9315A">
      <w:r w:rsidRPr="00F02802">
        <w:t>Janssen-Cilag Pty Ltd</w:t>
      </w:r>
      <w:r w:rsidRPr="00F02802">
        <w:rPr>
          <w:b/>
          <w:bCs/>
        </w:rPr>
        <w:t> </w:t>
      </w:r>
      <w:r w:rsidR="009F1514">
        <w:t>: The sponsor has no comment.</w:t>
      </w:r>
    </w:p>
    <w:p w14:paraId="2301746F" w14:textId="61EF1560" w:rsidR="00657A86" w:rsidRDefault="00657A86" w:rsidP="00F9315A">
      <w:r>
        <w:t>AbbVie Pty Ltd: The sponsor has no comment.</w:t>
      </w:r>
    </w:p>
    <w:p w14:paraId="4DD5A512" w14:textId="281E58BD" w:rsidR="00F02802" w:rsidRDefault="00F02802" w:rsidP="00F9315A">
      <w:r w:rsidRPr="00F02802">
        <w:lastRenderedPageBreak/>
        <w:t>AstraZeneca Pty Ltd</w:t>
      </w:r>
      <w:r>
        <w:t>: The sponsor has no comment.</w:t>
      </w:r>
    </w:p>
    <w:p w14:paraId="0BF538C2" w14:textId="63637AB8" w:rsidR="00F02802" w:rsidRDefault="00F02802" w:rsidP="00F9315A">
      <w:r w:rsidRPr="00F02802">
        <w:t>Gilead Sciences Pty Limited</w:t>
      </w:r>
      <w:r>
        <w:t>: The sponsor has no comment.</w:t>
      </w:r>
    </w:p>
    <w:p w14:paraId="64C702B2" w14:textId="34A86107" w:rsidR="00F02802" w:rsidRDefault="00F02802" w:rsidP="00F9315A">
      <w:r w:rsidRPr="00F02802">
        <w:t>Sandoz Pty Ltd</w:t>
      </w:r>
      <w:r>
        <w:t>: The sponsor has no comment.</w:t>
      </w:r>
    </w:p>
    <w:p w14:paraId="4ACCC915" w14:textId="05DAAC3E" w:rsidR="00F02802" w:rsidRDefault="00F02802" w:rsidP="00F9315A">
      <w:r w:rsidRPr="00F02802">
        <w:t>Celltrion Healthcare Australia Pty Ltd</w:t>
      </w:r>
      <w:r>
        <w:t>: The sponsor has no comment.</w:t>
      </w:r>
    </w:p>
    <w:p w14:paraId="42C99932" w14:textId="65947DE2" w:rsidR="00F9315A" w:rsidRPr="00F9315A" w:rsidRDefault="00F02802" w:rsidP="00F9315A">
      <w:r w:rsidRPr="00F02802">
        <w:t>Pfizer Australia Pty Ltd</w:t>
      </w:r>
      <w:r>
        <w:t>: The sponsor has no comment.</w:t>
      </w:r>
    </w:p>
    <w:p w14:paraId="0FF7C9B5" w14:textId="77777777" w:rsidR="00F9315A" w:rsidRPr="00F9315A" w:rsidRDefault="00F9315A" w:rsidP="00F9315A">
      <w:pPr>
        <w:rPr>
          <w:b/>
          <w:bCs/>
          <w:sz w:val="32"/>
          <w:szCs w:val="32"/>
        </w:rPr>
      </w:pPr>
      <w:r w:rsidRPr="00F9315A">
        <w:rPr>
          <w:b/>
          <w:bCs/>
          <w:sz w:val="32"/>
          <w:szCs w:val="32"/>
        </w:rPr>
        <w:t>Disclaimer</w:t>
      </w:r>
    </w:p>
    <w:p w14:paraId="3001F11B" w14:textId="77777777" w:rsidR="00F9315A" w:rsidRPr="00F9315A" w:rsidRDefault="00F9315A" w:rsidP="00F9315A">
      <w:r w:rsidRPr="00F9315A">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558B762B" w14:textId="77777777" w:rsidR="00F9315A" w:rsidRPr="00F9315A" w:rsidRDefault="00F9315A" w:rsidP="00F9315A">
      <w:r w:rsidRPr="00F9315A">
        <w:t>The Department of Health, Disability and Ageing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624135E5" w14:textId="77777777" w:rsidR="00F9315A" w:rsidRPr="00F9315A" w:rsidRDefault="00F9315A" w:rsidP="00F9315A">
      <w:r w:rsidRPr="00F9315A">
        <w:t xml:space="preserve">To the extent provided by law, the Department of Health, Disability and Ageing makes no warranties or representations as to accuracy or completeness of information contained in this report. </w:t>
      </w:r>
    </w:p>
    <w:p w14:paraId="7ABD9011" w14:textId="77777777" w:rsidR="00F9315A" w:rsidRPr="00F9315A" w:rsidRDefault="00F9315A" w:rsidP="00F9315A">
      <w:r w:rsidRPr="00F9315A">
        <w:t>To the fullest extent permitted by law, neither the Department of Health, Disability and Ageing nor any Department of Health, Disability and Ageing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120A51DF" w14:textId="77777777" w:rsidR="00F9315A" w:rsidRPr="00F9315A" w:rsidRDefault="00F9315A" w:rsidP="003A63D6"/>
    <w:p w14:paraId="61C6758B" w14:textId="77777777" w:rsidR="00E05952" w:rsidRDefault="00E05952" w:rsidP="00E05952"/>
    <w:p w14:paraId="0ABE8385" w14:textId="77777777" w:rsidR="00E05952" w:rsidRDefault="00E05952" w:rsidP="00E05952"/>
    <w:p w14:paraId="2325FF2D" w14:textId="77777777" w:rsidR="00E05952" w:rsidRDefault="00E05952" w:rsidP="00E05952"/>
    <w:p w14:paraId="3E0BD271" w14:textId="77777777" w:rsidR="00E05952" w:rsidRDefault="00E05952" w:rsidP="00E05952"/>
    <w:p w14:paraId="55D70255" w14:textId="77777777" w:rsidR="00E05952" w:rsidRDefault="00E05952" w:rsidP="00E05952"/>
    <w:p w14:paraId="4507C722" w14:textId="77777777" w:rsidR="007A2FF4" w:rsidRDefault="007A2FF4" w:rsidP="00E05952"/>
    <w:p w14:paraId="7C4E4AB9" w14:textId="1C762F59" w:rsidR="002C6E0C" w:rsidRDefault="002C6E0C" w:rsidP="00F73113">
      <w:pPr>
        <w:pStyle w:val="Heading1"/>
      </w:pPr>
      <w:r>
        <w:lastRenderedPageBreak/>
        <w:t>Appendi</w:t>
      </w:r>
      <w:r w:rsidR="009A4422">
        <w:t>x A</w:t>
      </w:r>
    </w:p>
    <w:p w14:paraId="288F8A3D" w14:textId="5A9412A5" w:rsidR="00437AC5" w:rsidRDefault="00437AC5" w:rsidP="00437AC5">
      <w:pPr>
        <w:pStyle w:val="Tabletitle"/>
        <w:rPr>
          <w:rFonts w:ascii="Calibri" w:hAnsi="Calibri" w:cs="Calibri"/>
          <w:sz w:val="28"/>
          <w:szCs w:val="28"/>
        </w:rPr>
      </w:pPr>
      <w:r w:rsidRPr="00682916" w:rsidDel="00EE2BBB">
        <w:rPr>
          <w:rFonts w:ascii="Calibri" w:hAnsi="Calibri" w:cs="Calibri"/>
          <w:sz w:val="28"/>
          <w:szCs w:val="28"/>
        </w:rPr>
        <w:t>PBS listing</w:t>
      </w:r>
      <w:r w:rsidRPr="00682916">
        <w:rPr>
          <w:rFonts w:ascii="Calibri" w:hAnsi="Calibri" w:cs="Calibri"/>
          <w:sz w:val="28"/>
          <w:szCs w:val="28"/>
        </w:rPr>
        <w:t>s</w:t>
      </w:r>
      <w:r w:rsidR="00C405E0">
        <w:rPr>
          <w:rFonts w:ascii="Calibri" w:hAnsi="Calibri" w:cs="Calibri"/>
          <w:sz w:val="28"/>
          <w:szCs w:val="28"/>
        </w:rPr>
        <w:t xml:space="preserve"> details (as of 2 July 2025)</w:t>
      </w:r>
    </w:p>
    <w:p w14:paraId="0D6429EF" w14:textId="56A96660" w:rsidR="00364461" w:rsidRPr="00364461" w:rsidRDefault="00364461" w:rsidP="00437AC5">
      <w:pPr>
        <w:pStyle w:val="Tabletitle"/>
        <w:rPr>
          <w:rFonts w:ascii="Calibri" w:hAnsi="Calibri" w:cs="Calibri"/>
          <w:b w:val="0"/>
          <w:bCs/>
          <w:sz w:val="28"/>
          <w:szCs w:val="28"/>
        </w:rPr>
      </w:pPr>
      <w:r w:rsidRPr="00364461" w:rsidDel="00EE2BBB">
        <w:rPr>
          <w:b w:val="0"/>
          <w:bCs/>
        </w:rPr>
        <w:t xml:space="preserve">Source: the </w:t>
      </w:r>
      <w:hyperlink r:id="rId51" w:history="1">
        <w:r w:rsidRPr="00364461" w:rsidDel="00EE2BBB">
          <w:rPr>
            <w:rStyle w:val="Hyperlink"/>
            <w:b w:val="0"/>
            <w:bCs/>
          </w:rPr>
          <w:t>PBS website</w:t>
        </w:r>
      </w:hyperlink>
      <w:r w:rsidRPr="00364461" w:rsidDel="00EE2BBB">
        <w:rPr>
          <w:b w:val="0"/>
          <w:bCs/>
        </w:rPr>
        <w:t xml:space="preserve">.  </w:t>
      </w:r>
    </w:p>
    <w:p w14:paraId="6A0CA95E" w14:textId="4CBE0A1B" w:rsidR="00C405E0" w:rsidRPr="00682916" w:rsidDel="00EE2BBB" w:rsidRDefault="005D50D2" w:rsidP="00437AC5">
      <w:pPr>
        <w:pStyle w:val="Tabletitle"/>
        <w:rPr>
          <w:rFonts w:ascii="Calibri" w:hAnsi="Calibri" w:cs="Calibri"/>
          <w:sz w:val="28"/>
          <w:szCs w:val="28"/>
        </w:rPr>
      </w:pPr>
      <w:r w:rsidRPr="001420B3" w:rsidDel="00EE2BBB">
        <w:t xml:space="preserve">Table </w:t>
      </w:r>
      <w:r>
        <w:t>A1</w:t>
      </w:r>
      <w:r w:rsidRPr="001420B3" w:rsidDel="00EE2BBB">
        <w:t xml:space="preserve">: </w:t>
      </w:r>
      <w:r w:rsidDel="00EE2BBB">
        <w:t>PBS listing of</w:t>
      </w:r>
      <w:r>
        <w:t xml:space="preserve"> </w:t>
      </w:r>
      <w:r>
        <w:rPr>
          <w:rFonts w:ascii="Calibri" w:hAnsi="Calibri"/>
        </w:rPr>
        <w:t>A</w:t>
      </w:r>
      <w:r w:rsidRPr="00E21CA1">
        <w:rPr>
          <w:rFonts w:ascii="Calibri" w:hAnsi="Calibri"/>
        </w:rPr>
        <w:t>calabrutinib</w:t>
      </w:r>
      <w:r w:rsidRPr="003318A6">
        <w:t xml:space="preserve"> for</w:t>
      </w:r>
      <w:r>
        <w:t xml:space="preserve"> CLL/SLL</w:t>
      </w:r>
    </w:p>
    <w:tbl>
      <w:tblPr>
        <w:tblStyle w:val="TableGrid"/>
        <w:tblW w:w="9064" w:type="dxa"/>
        <w:tblLayout w:type="fixed"/>
        <w:tblLook w:val="04A0" w:firstRow="1" w:lastRow="0" w:firstColumn="1" w:lastColumn="0" w:noHBand="0" w:noVBand="1"/>
      </w:tblPr>
      <w:tblGrid>
        <w:gridCol w:w="969"/>
        <w:gridCol w:w="2995"/>
        <w:gridCol w:w="1106"/>
        <w:gridCol w:w="850"/>
        <w:gridCol w:w="1040"/>
        <w:gridCol w:w="2104"/>
      </w:tblGrid>
      <w:tr w:rsidR="00437AC5" w:rsidRPr="00130553" w:rsidDel="00EE2BBB" w14:paraId="488D3FEF" w14:textId="77777777" w:rsidTr="00540491">
        <w:trPr>
          <w:trHeight w:val="694"/>
          <w:tblHeader/>
        </w:trPr>
        <w:tc>
          <w:tcPr>
            <w:tcW w:w="969" w:type="dxa"/>
            <w:shd w:val="clear" w:color="auto" w:fill="BFBFBF" w:themeFill="background1" w:themeFillShade="BF"/>
          </w:tcPr>
          <w:p w14:paraId="25B70C72"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Item</w:t>
            </w:r>
          </w:p>
        </w:tc>
        <w:tc>
          <w:tcPr>
            <w:tcW w:w="2995" w:type="dxa"/>
            <w:shd w:val="clear" w:color="auto" w:fill="BFBFBF" w:themeFill="background1" w:themeFillShade="BF"/>
          </w:tcPr>
          <w:p w14:paraId="7A65336C"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Name, form &amp; strength, pack size</w:t>
            </w:r>
          </w:p>
        </w:tc>
        <w:tc>
          <w:tcPr>
            <w:tcW w:w="1106" w:type="dxa"/>
            <w:shd w:val="clear" w:color="auto" w:fill="BFBFBF" w:themeFill="background1" w:themeFillShade="BF"/>
          </w:tcPr>
          <w:p w14:paraId="1772B76A" w14:textId="1FB62B8E"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Max. quant</w:t>
            </w:r>
            <w:r w:rsidR="00815857">
              <w:rPr>
                <w:rFonts w:ascii="Calibri" w:hAnsi="Calibri"/>
                <w:sz w:val="20"/>
                <w:szCs w:val="20"/>
              </w:rPr>
              <w:t xml:space="preserve"> packs</w:t>
            </w:r>
            <w:r w:rsidRPr="00130553" w:rsidDel="00EE2BBB">
              <w:rPr>
                <w:rFonts w:ascii="Calibri" w:hAnsi="Calibri"/>
                <w:sz w:val="20"/>
                <w:szCs w:val="20"/>
              </w:rPr>
              <w:t xml:space="preserve">. </w:t>
            </w:r>
          </w:p>
        </w:tc>
        <w:tc>
          <w:tcPr>
            <w:tcW w:w="850" w:type="dxa"/>
            <w:shd w:val="clear" w:color="auto" w:fill="BFBFBF" w:themeFill="background1" w:themeFillShade="BF"/>
          </w:tcPr>
          <w:p w14:paraId="26F316AE"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 xml:space="preserve">Rpts </w:t>
            </w:r>
          </w:p>
        </w:tc>
        <w:tc>
          <w:tcPr>
            <w:tcW w:w="1040" w:type="dxa"/>
            <w:shd w:val="clear" w:color="auto" w:fill="BFBFBF" w:themeFill="background1" w:themeFillShade="BF"/>
          </w:tcPr>
          <w:p w14:paraId="56B9DB64"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DPMQ</w:t>
            </w:r>
          </w:p>
        </w:tc>
        <w:tc>
          <w:tcPr>
            <w:tcW w:w="2104" w:type="dxa"/>
            <w:shd w:val="clear" w:color="auto" w:fill="BFBFBF" w:themeFill="background1" w:themeFillShade="BF"/>
          </w:tcPr>
          <w:p w14:paraId="33225E6D"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Brand name and manufacturer</w:t>
            </w:r>
          </w:p>
        </w:tc>
      </w:tr>
      <w:bookmarkStart w:id="3" w:name="_Hlk170389136"/>
      <w:tr w:rsidR="00437AC5" w:rsidRPr="00130553" w:rsidDel="00EE2BBB" w14:paraId="7CE0E19A" w14:textId="77777777" w:rsidTr="00540491">
        <w:trPr>
          <w:trHeight w:val="546"/>
          <w:tblHeader/>
        </w:trPr>
        <w:tc>
          <w:tcPr>
            <w:tcW w:w="969" w:type="dxa"/>
          </w:tcPr>
          <w:p w14:paraId="6DDA8079" w14:textId="77777777" w:rsidR="00437AC5" w:rsidRPr="00130553" w:rsidDel="00EE2BBB" w:rsidRDefault="00437AC5" w:rsidP="00540491">
            <w:pPr>
              <w:pStyle w:val="Tablewriting"/>
              <w:rPr>
                <w:rFonts w:ascii="Calibri" w:hAnsi="Calibri"/>
              </w:rPr>
            </w:pPr>
            <w:r w:rsidRPr="003739D0">
              <w:rPr>
                <w:rFonts w:ascii="Calibri" w:hAnsi="Calibri"/>
              </w:rPr>
              <w:fldChar w:fldCharType="begin"/>
            </w:r>
            <w:r w:rsidRPr="003739D0">
              <w:rPr>
                <w:rFonts w:ascii="Calibri" w:hAnsi="Calibri"/>
              </w:rPr>
              <w:instrText>HYPERLINK "https://www.pbs.gov.au/medicine/item/13318y" \o "13318y"</w:instrText>
            </w:r>
            <w:r w:rsidRPr="003739D0">
              <w:rPr>
                <w:rFonts w:ascii="Calibri" w:hAnsi="Calibri"/>
              </w:rPr>
            </w:r>
            <w:r w:rsidRPr="003739D0">
              <w:rPr>
                <w:rFonts w:ascii="Calibri" w:hAnsi="Calibri"/>
              </w:rPr>
              <w:fldChar w:fldCharType="separate"/>
            </w:r>
            <w:r w:rsidRPr="003739D0">
              <w:rPr>
                <w:rStyle w:val="Hyperlink"/>
                <w:rFonts w:ascii="Calibri" w:hAnsi="Calibri"/>
              </w:rPr>
              <w:t>13318Y</w:t>
            </w:r>
            <w:r w:rsidRPr="003739D0">
              <w:rPr>
                <w:rFonts w:ascii="Calibri" w:hAnsi="Calibri"/>
              </w:rPr>
              <w:fldChar w:fldCharType="end"/>
            </w:r>
          </w:p>
        </w:tc>
        <w:tc>
          <w:tcPr>
            <w:tcW w:w="2995" w:type="dxa"/>
          </w:tcPr>
          <w:p w14:paraId="727F9B30" w14:textId="77777777" w:rsidR="00437AC5" w:rsidRPr="00130553" w:rsidDel="00EE2BBB" w:rsidRDefault="00437AC5" w:rsidP="00540491">
            <w:pPr>
              <w:pStyle w:val="Tablewriting"/>
              <w:rPr>
                <w:rFonts w:ascii="Calibri" w:hAnsi="Calibri"/>
              </w:rPr>
            </w:pPr>
            <w:r>
              <w:rPr>
                <w:rFonts w:ascii="Calibri" w:hAnsi="Calibri"/>
              </w:rPr>
              <w:t>A</w:t>
            </w:r>
            <w:r w:rsidRPr="00E21CA1">
              <w:rPr>
                <w:rFonts w:ascii="Calibri" w:hAnsi="Calibri"/>
              </w:rPr>
              <w:t>calabrutinib 100 mg tablet, 56</w:t>
            </w:r>
          </w:p>
        </w:tc>
        <w:tc>
          <w:tcPr>
            <w:tcW w:w="1106" w:type="dxa"/>
          </w:tcPr>
          <w:p w14:paraId="24717CBF" w14:textId="77777777" w:rsidR="00437AC5" w:rsidRPr="00130553" w:rsidDel="00EE2BBB" w:rsidRDefault="00437AC5" w:rsidP="00540491">
            <w:pPr>
              <w:pStyle w:val="Tablewriting"/>
              <w:rPr>
                <w:rFonts w:ascii="Calibri" w:hAnsi="Calibri"/>
              </w:rPr>
            </w:pPr>
            <w:r>
              <w:rPr>
                <w:rFonts w:ascii="Calibri" w:hAnsi="Calibri"/>
              </w:rPr>
              <w:t>1</w:t>
            </w:r>
          </w:p>
        </w:tc>
        <w:tc>
          <w:tcPr>
            <w:tcW w:w="850" w:type="dxa"/>
          </w:tcPr>
          <w:p w14:paraId="30CB6C0D" w14:textId="77777777" w:rsidR="00437AC5" w:rsidRPr="00130553" w:rsidDel="00EE2BBB" w:rsidRDefault="00437AC5" w:rsidP="00540491">
            <w:pPr>
              <w:pStyle w:val="Tablewriting"/>
              <w:rPr>
                <w:rFonts w:ascii="Calibri" w:hAnsi="Calibri"/>
              </w:rPr>
            </w:pPr>
            <w:r>
              <w:rPr>
                <w:rFonts w:ascii="Calibri" w:hAnsi="Calibri"/>
              </w:rPr>
              <w:t>5</w:t>
            </w:r>
          </w:p>
        </w:tc>
        <w:tc>
          <w:tcPr>
            <w:tcW w:w="1040" w:type="dxa"/>
          </w:tcPr>
          <w:p w14:paraId="06FCFF33" w14:textId="77777777" w:rsidR="00437AC5" w:rsidRPr="00130553" w:rsidDel="00EE2BBB" w:rsidRDefault="00437AC5" w:rsidP="00540491">
            <w:pPr>
              <w:pStyle w:val="Tablewriting"/>
              <w:rPr>
                <w:rFonts w:ascii="Calibri" w:hAnsi="Calibri"/>
              </w:rPr>
            </w:pPr>
            <w:r w:rsidRPr="005707EE">
              <w:rPr>
                <w:rFonts w:ascii="Calibri" w:hAnsi="Calibri"/>
              </w:rPr>
              <w:t>$7414.90</w:t>
            </w:r>
          </w:p>
        </w:tc>
        <w:tc>
          <w:tcPr>
            <w:tcW w:w="2104" w:type="dxa"/>
          </w:tcPr>
          <w:p w14:paraId="32D6FE27" w14:textId="77777777" w:rsidR="00437AC5" w:rsidRPr="00130553" w:rsidDel="00EE2BBB" w:rsidRDefault="00437AC5" w:rsidP="00540491">
            <w:pPr>
              <w:pStyle w:val="Tablewriting"/>
              <w:rPr>
                <w:rFonts w:ascii="Calibri" w:hAnsi="Calibri"/>
              </w:rPr>
            </w:pPr>
            <w:r w:rsidRPr="00762E88">
              <w:rPr>
                <w:rFonts w:ascii="Calibri" w:hAnsi="Calibri"/>
              </w:rPr>
              <w:t>CALQUENCE</w:t>
            </w:r>
            <w:r>
              <w:rPr>
                <w:rFonts w:ascii="Calibri" w:hAnsi="Calibri"/>
              </w:rPr>
              <w:t xml:space="preserve">, </w:t>
            </w:r>
            <w:r w:rsidRPr="00F220A3">
              <w:rPr>
                <w:rFonts w:ascii="Calibri" w:hAnsi="Calibri"/>
              </w:rPr>
              <w:t>AstraZeneca Pty Ltd</w:t>
            </w:r>
          </w:p>
        </w:tc>
      </w:tr>
      <w:tr w:rsidR="00437AC5" w:rsidRPr="00130553" w:rsidDel="00EE2BBB" w14:paraId="75046E77" w14:textId="77777777" w:rsidTr="00540491">
        <w:trPr>
          <w:trHeight w:val="546"/>
          <w:tblHeader/>
        </w:trPr>
        <w:tc>
          <w:tcPr>
            <w:tcW w:w="969" w:type="dxa"/>
          </w:tcPr>
          <w:p w14:paraId="5A3BBD11" w14:textId="77777777" w:rsidR="00437AC5" w:rsidRPr="003739D0" w:rsidRDefault="00437AC5" w:rsidP="00540491">
            <w:pPr>
              <w:pStyle w:val="Tablewriting"/>
              <w:rPr>
                <w:rFonts w:ascii="Calibri" w:hAnsi="Calibri"/>
              </w:rPr>
            </w:pPr>
            <w:hyperlink r:id="rId52" w:tooltip="13792x" w:history="1">
              <w:r w:rsidRPr="007F317C">
                <w:rPr>
                  <w:rStyle w:val="Hyperlink"/>
                  <w:rFonts w:ascii="Calibri" w:hAnsi="Calibri"/>
                </w:rPr>
                <w:t>13792X</w:t>
              </w:r>
            </w:hyperlink>
          </w:p>
        </w:tc>
        <w:tc>
          <w:tcPr>
            <w:tcW w:w="2995" w:type="dxa"/>
          </w:tcPr>
          <w:p w14:paraId="40D11336" w14:textId="77777777" w:rsidR="00437AC5" w:rsidRDefault="00437AC5" w:rsidP="00540491">
            <w:pPr>
              <w:pStyle w:val="Tablewriting"/>
              <w:rPr>
                <w:rFonts w:ascii="Calibri" w:hAnsi="Calibri"/>
              </w:rPr>
            </w:pPr>
            <w:r>
              <w:rPr>
                <w:rFonts w:ascii="Calibri" w:hAnsi="Calibri"/>
              </w:rPr>
              <w:t>A</w:t>
            </w:r>
            <w:r w:rsidRPr="007F317C">
              <w:rPr>
                <w:rFonts w:ascii="Calibri" w:hAnsi="Calibri"/>
              </w:rPr>
              <w:t>calabrutinib 100 mg tablet, 56</w:t>
            </w:r>
          </w:p>
        </w:tc>
        <w:tc>
          <w:tcPr>
            <w:tcW w:w="1106" w:type="dxa"/>
          </w:tcPr>
          <w:p w14:paraId="2FDAD6E2" w14:textId="77777777" w:rsidR="00437AC5" w:rsidRDefault="00437AC5" w:rsidP="00540491">
            <w:pPr>
              <w:pStyle w:val="Tablewriting"/>
              <w:rPr>
                <w:rFonts w:ascii="Calibri" w:hAnsi="Calibri"/>
              </w:rPr>
            </w:pPr>
            <w:r>
              <w:rPr>
                <w:rFonts w:ascii="Calibri" w:hAnsi="Calibri"/>
              </w:rPr>
              <w:t>1</w:t>
            </w:r>
          </w:p>
        </w:tc>
        <w:tc>
          <w:tcPr>
            <w:tcW w:w="850" w:type="dxa"/>
          </w:tcPr>
          <w:p w14:paraId="797274E3" w14:textId="77777777" w:rsidR="00437AC5" w:rsidRDefault="00437AC5" w:rsidP="00540491">
            <w:pPr>
              <w:pStyle w:val="Tablewriting"/>
              <w:rPr>
                <w:rFonts w:ascii="Calibri" w:hAnsi="Calibri"/>
              </w:rPr>
            </w:pPr>
            <w:r>
              <w:rPr>
                <w:rFonts w:ascii="Calibri" w:hAnsi="Calibri"/>
              </w:rPr>
              <w:t>5</w:t>
            </w:r>
          </w:p>
        </w:tc>
        <w:tc>
          <w:tcPr>
            <w:tcW w:w="1040" w:type="dxa"/>
          </w:tcPr>
          <w:p w14:paraId="36FB3209" w14:textId="77777777" w:rsidR="00437AC5" w:rsidRPr="005707EE" w:rsidRDefault="00437AC5" w:rsidP="00540491">
            <w:pPr>
              <w:pStyle w:val="Tablewriting"/>
              <w:rPr>
                <w:rFonts w:ascii="Calibri" w:hAnsi="Calibri"/>
              </w:rPr>
            </w:pPr>
            <w:r w:rsidRPr="00320577">
              <w:rPr>
                <w:rFonts w:ascii="Calibri" w:hAnsi="Calibri"/>
              </w:rPr>
              <w:t>$7414.90</w:t>
            </w:r>
          </w:p>
        </w:tc>
        <w:tc>
          <w:tcPr>
            <w:tcW w:w="2104" w:type="dxa"/>
          </w:tcPr>
          <w:p w14:paraId="5DBB49A0" w14:textId="77777777" w:rsidR="00437AC5" w:rsidRPr="00762E88" w:rsidRDefault="00437AC5" w:rsidP="00540491">
            <w:pPr>
              <w:pStyle w:val="Tablewriting"/>
              <w:rPr>
                <w:rFonts w:ascii="Calibri" w:hAnsi="Calibri"/>
              </w:rPr>
            </w:pPr>
            <w:r w:rsidRPr="00762E88">
              <w:rPr>
                <w:rFonts w:ascii="Calibri" w:hAnsi="Calibri"/>
              </w:rPr>
              <w:t>CALQUENCE</w:t>
            </w:r>
            <w:r>
              <w:rPr>
                <w:rFonts w:ascii="Calibri" w:hAnsi="Calibri"/>
              </w:rPr>
              <w:t xml:space="preserve">, </w:t>
            </w:r>
            <w:r w:rsidRPr="00F220A3">
              <w:rPr>
                <w:rFonts w:ascii="Calibri" w:hAnsi="Calibri"/>
              </w:rPr>
              <w:t>AstraZeneca Pty Ltd</w:t>
            </w:r>
          </w:p>
        </w:tc>
      </w:tr>
      <w:tr w:rsidR="00437AC5" w:rsidRPr="00130553" w:rsidDel="00EE2BBB" w14:paraId="4438D281" w14:textId="77777777" w:rsidTr="00540491">
        <w:trPr>
          <w:trHeight w:val="546"/>
          <w:tblHeader/>
        </w:trPr>
        <w:tc>
          <w:tcPr>
            <w:tcW w:w="969" w:type="dxa"/>
          </w:tcPr>
          <w:p w14:paraId="460EC849" w14:textId="77777777" w:rsidR="00437AC5" w:rsidRPr="007F317C" w:rsidRDefault="00437AC5" w:rsidP="00540491">
            <w:pPr>
              <w:pStyle w:val="Tablewriting"/>
              <w:rPr>
                <w:rFonts w:ascii="Calibri" w:hAnsi="Calibri"/>
              </w:rPr>
            </w:pPr>
            <w:hyperlink r:id="rId53" w:tooltip="13810w" w:history="1">
              <w:r w:rsidRPr="00C64811">
                <w:rPr>
                  <w:rStyle w:val="Hyperlink"/>
                  <w:rFonts w:ascii="Calibri" w:hAnsi="Calibri"/>
                </w:rPr>
                <w:t>13810W</w:t>
              </w:r>
            </w:hyperlink>
          </w:p>
        </w:tc>
        <w:tc>
          <w:tcPr>
            <w:tcW w:w="2995" w:type="dxa"/>
          </w:tcPr>
          <w:p w14:paraId="40267881" w14:textId="77777777" w:rsidR="00437AC5" w:rsidRDefault="00437AC5" w:rsidP="00540491">
            <w:pPr>
              <w:pStyle w:val="Tablewriting"/>
              <w:rPr>
                <w:rFonts w:ascii="Calibri" w:hAnsi="Calibri"/>
              </w:rPr>
            </w:pPr>
            <w:r w:rsidRPr="00C64811">
              <w:rPr>
                <w:rFonts w:ascii="Calibri" w:hAnsi="Calibri"/>
              </w:rPr>
              <w:t>acalabrutinib 100 mg tablet, 56</w:t>
            </w:r>
          </w:p>
        </w:tc>
        <w:tc>
          <w:tcPr>
            <w:tcW w:w="1106" w:type="dxa"/>
          </w:tcPr>
          <w:p w14:paraId="1EE9BA7E" w14:textId="77777777" w:rsidR="00437AC5" w:rsidRDefault="00437AC5" w:rsidP="00540491">
            <w:pPr>
              <w:pStyle w:val="Tablewriting"/>
              <w:rPr>
                <w:rFonts w:ascii="Calibri" w:hAnsi="Calibri"/>
              </w:rPr>
            </w:pPr>
            <w:r>
              <w:rPr>
                <w:rFonts w:ascii="Calibri" w:hAnsi="Calibri"/>
              </w:rPr>
              <w:t>1</w:t>
            </w:r>
          </w:p>
        </w:tc>
        <w:tc>
          <w:tcPr>
            <w:tcW w:w="850" w:type="dxa"/>
          </w:tcPr>
          <w:p w14:paraId="07A42E25" w14:textId="77777777" w:rsidR="00437AC5" w:rsidRDefault="00437AC5" w:rsidP="00540491">
            <w:pPr>
              <w:pStyle w:val="Tablewriting"/>
              <w:rPr>
                <w:rFonts w:ascii="Calibri" w:hAnsi="Calibri"/>
              </w:rPr>
            </w:pPr>
            <w:r>
              <w:rPr>
                <w:rFonts w:ascii="Calibri" w:hAnsi="Calibri"/>
              </w:rPr>
              <w:t>6</w:t>
            </w:r>
          </w:p>
        </w:tc>
        <w:tc>
          <w:tcPr>
            <w:tcW w:w="1040" w:type="dxa"/>
          </w:tcPr>
          <w:p w14:paraId="408B0806" w14:textId="77777777" w:rsidR="00437AC5" w:rsidRPr="00320577" w:rsidRDefault="00437AC5" w:rsidP="00540491">
            <w:pPr>
              <w:pStyle w:val="Tablewriting"/>
              <w:rPr>
                <w:rFonts w:ascii="Calibri" w:hAnsi="Calibri"/>
              </w:rPr>
            </w:pPr>
            <w:r w:rsidRPr="00730970">
              <w:rPr>
                <w:rFonts w:ascii="Calibri" w:hAnsi="Calibri"/>
              </w:rPr>
              <w:t>$7414.90</w:t>
            </w:r>
          </w:p>
        </w:tc>
        <w:tc>
          <w:tcPr>
            <w:tcW w:w="2104" w:type="dxa"/>
          </w:tcPr>
          <w:p w14:paraId="30BFAC11" w14:textId="77777777" w:rsidR="00437AC5" w:rsidRPr="00762E88" w:rsidRDefault="00437AC5" w:rsidP="00540491">
            <w:pPr>
              <w:pStyle w:val="Tablewriting"/>
              <w:rPr>
                <w:rFonts w:ascii="Calibri" w:hAnsi="Calibri"/>
              </w:rPr>
            </w:pPr>
            <w:r w:rsidRPr="00762E88">
              <w:rPr>
                <w:rFonts w:ascii="Calibri" w:hAnsi="Calibri"/>
              </w:rPr>
              <w:t>CALQUENCE</w:t>
            </w:r>
            <w:r>
              <w:rPr>
                <w:rFonts w:ascii="Calibri" w:hAnsi="Calibri"/>
              </w:rPr>
              <w:t xml:space="preserve">, </w:t>
            </w:r>
            <w:r w:rsidRPr="00F220A3">
              <w:rPr>
                <w:rFonts w:ascii="Calibri" w:hAnsi="Calibri"/>
              </w:rPr>
              <w:t>AstraZeneca Pty Ltd</w:t>
            </w:r>
          </w:p>
        </w:tc>
      </w:tr>
    </w:tbl>
    <w:bookmarkEnd w:id="3"/>
    <w:p w14:paraId="52F07FE5" w14:textId="77777777" w:rsidR="00437AC5" w:rsidRDefault="00437AC5" w:rsidP="00437AC5">
      <w:pPr>
        <w:rPr>
          <w:rFonts w:ascii="Calibri" w:hAnsi="Calibri" w:cs="Calibri"/>
          <w:sz w:val="20"/>
          <w:szCs w:val="20"/>
        </w:rPr>
      </w:pPr>
      <w:r w:rsidRPr="005D50D2">
        <w:rPr>
          <w:rFonts w:ascii="Calibri" w:hAnsi="Calibri" w:cs="Calibri"/>
          <w:sz w:val="20"/>
          <w:szCs w:val="20"/>
        </w:rPr>
        <w:t>Special Pricing Arrangements apply.</w:t>
      </w:r>
    </w:p>
    <w:p w14:paraId="213AB0B2" w14:textId="77777777" w:rsidR="00D6549C" w:rsidRDefault="00D6549C" w:rsidP="00437AC5">
      <w:pPr>
        <w:rPr>
          <w:rFonts w:ascii="Calibri" w:hAnsi="Calibri" w:cs="Calibri"/>
          <w:sz w:val="20"/>
          <w:szCs w:val="20"/>
        </w:rPr>
      </w:pPr>
    </w:p>
    <w:p w14:paraId="0C50BEFE" w14:textId="77777777" w:rsidR="00D6549C" w:rsidRDefault="00D6549C" w:rsidP="00437AC5">
      <w:pPr>
        <w:rPr>
          <w:rFonts w:ascii="Calibri" w:hAnsi="Calibri" w:cs="Calibri"/>
          <w:sz w:val="20"/>
          <w:szCs w:val="20"/>
        </w:rPr>
      </w:pPr>
    </w:p>
    <w:p w14:paraId="1256B879" w14:textId="77777777" w:rsidR="00D6549C" w:rsidRDefault="00D6549C" w:rsidP="00437AC5">
      <w:pPr>
        <w:rPr>
          <w:rFonts w:ascii="Calibri" w:hAnsi="Calibri" w:cs="Calibri"/>
          <w:sz w:val="20"/>
          <w:szCs w:val="20"/>
        </w:rPr>
      </w:pPr>
    </w:p>
    <w:p w14:paraId="3D9544B8" w14:textId="77777777" w:rsidR="00D6549C" w:rsidRDefault="00D6549C" w:rsidP="00437AC5">
      <w:pPr>
        <w:rPr>
          <w:rFonts w:ascii="Calibri" w:hAnsi="Calibri" w:cs="Calibri"/>
          <w:sz w:val="20"/>
          <w:szCs w:val="20"/>
        </w:rPr>
      </w:pPr>
    </w:p>
    <w:p w14:paraId="42EB63BF" w14:textId="77777777" w:rsidR="00D6549C" w:rsidRDefault="00D6549C" w:rsidP="00437AC5">
      <w:pPr>
        <w:rPr>
          <w:rFonts w:ascii="Calibri" w:hAnsi="Calibri" w:cs="Calibri"/>
          <w:sz w:val="20"/>
          <w:szCs w:val="20"/>
        </w:rPr>
      </w:pPr>
    </w:p>
    <w:p w14:paraId="4F9FC2C7" w14:textId="77777777" w:rsidR="00D6549C" w:rsidRDefault="00D6549C" w:rsidP="00437AC5">
      <w:pPr>
        <w:rPr>
          <w:rFonts w:ascii="Calibri" w:hAnsi="Calibri" w:cs="Calibri"/>
          <w:sz w:val="20"/>
          <w:szCs w:val="20"/>
        </w:rPr>
      </w:pPr>
    </w:p>
    <w:p w14:paraId="0589E398" w14:textId="77777777" w:rsidR="00D6549C" w:rsidRDefault="00D6549C" w:rsidP="00437AC5">
      <w:pPr>
        <w:rPr>
          <w:rFonts w:ascii="Calibri" w:hAnsi="Calibri" w:cs="Calibri"/>
          <w:sz w:val="20"/>
          <w:szCs w:val="20"/>
        </w:rPr>
      </w:pPr>
    </w:p>
    <w:p w14:paraId="3E180A4D" w14:textId="77777777" w:rsidR="00D6549C" w:rsidRDefault="00D6549C" w:rsidP="00437AC5">
      <w:pPr>
        <w:rPr>
          <w:rFonts w:ascii="Calibri" w:hAnsi="Calibri" w:cs="Calibri"/>
          <w:sz w:val="20"/>
          <w:szCs w:val="20"/>
        </w:rPr>
      </w:pPr>
    </w:p>
    <w:p w14:paraId="08B985B4" w14:textId="77777777" w:rsidR="00D6549C" w:rsidRDefault="00D6549C" w:rsidP="00437AC5">
      <w:pPr>
        <w:rPr>
          <w:rFonts w:ascii="Calibri" w:hAnsi="Calibri" w:cs="Calibri"/>
          <w:sz w:val="20"/>
          <w:szCs w:val="20"/>
        </w:rPr>
      </w:pPr>
    </w:p>
    <w:p w14:paraId="6764860B" w14:textId="77777777" w:rsidR="00D6549C" w:rsidRDefault="00D6549C" w:rsidP="00437AC5">
      <w:pPr>
        <w:rPr>
          <w:rFonts w:ascii="Calibri" w:hAnsi="Calibri" w:cs="Calibri"/>
          <w:sz w:val="20"/>
          <w:szCs w:val="20"/>
        </w:rPr>
      </w:pPr>
    </w:p>
    <w:p w14:paraId="78735664" w14:textId="77777777" w:rsidR="00D6549C" w:rsidRDefault="00D6549C" w:rsidP="00437AC5">
      <w:pPr>
        <w:rPr>
          <w:rFonts w:ascii="Calibri" w:hAnsi="Calibri" w:cs="Calibri"/>
          <w:sz w:val="20"/>
          <w:szCs w:val="20"/>
        </w:rPr>
      </w:pPr>
    </w:p>
    <w:p w14:paraId="7B566C77" w14:textId="77777777" w:rsidR="00D6549C" w:rsidRDefault="00D6549C" w:rsidP="00437AC5">
      <w:pPr>
        <w:rPr>
          <w:rFonts w:ascii="Calibri" w:hAnsi="Calibri" w:cs="Calibri"/>
          <w:sz w:val="20"/>
          <w:szCs w:val="20"/>
        </w:rPr>
      </w:pPr>
    </w:p>
    <w:p w14:paraId="41A9972C" w14:textId="77777777" w:rsidR="007A2FF4" w:rsidRDefault="007A2FF4" w:rsidP="00437AC5">
      <w:pPr>
        <w:rPr>
          <w:rFonts w:ascii="Calibri" w:hAnsi="Calibri" w:cs="Calibri"/>
          <w:sz w:val="20"/>
          <w:szCs w:val="20"/>
        </w:rPr>
      </w:pPr>
    </w:p>
    <w:p w14:paraId="4088AC74" w14:textId="77777777" w:rsidR="00D6549C" w:rsidRDefault="00D6549C" w:rsidP="00437AC5">
      <w:pPr>
        <w:rPr>
          <w:rFonts w:ascii="Calibri" w:hAnsi="Calibri" w:cs="Calibri"/>
          <w:sz w:val="20"/>
          <w:szCs w:val="20"/>
        </w:rPr>
      </w:pPr>
    </w:p>
    <w:p w14:paraId="129B104E" w14:textId="77777777" w:rsidR="00D6549C" w:rsidRDefault="00D6549C" w:rsidP="00437AC5">
      <w:pPr>
        <w:rPr>
          <w:rFonts w:ascii="Calibri" w:hAnsi="Calibri" w:cs="Calibri"/>
          <w:sz w:val="20"/>
          <w:szCs w:val="20"/>
        </w:rPr>
      </w:pPr>
    </w:p>
    <w:p w14:paraId="02AE1630" w14:textId="77777777" w:rsidR="00D6549C" w:rsidRDefault="00D6549C" w:rsidP="00437AC5">
      <w:pPr>
        <w:rPr>
          <w:rFonts w:ascii="Calibri" w:hAnsi="Calibri" w:cs="Calibri"/>
          <w:sz w:val="20"/>
          <w:szCs w:val="20"/>
        </w:rPr>
      </w:pPr>
    </w:p>
    <w:p w14:paraId="41291ADE" w14:textId="77777777" w:rsidR="007A2FF4" w:rsidRDefault="007A2FF4" w:rsidP="00437AC5">
      <w:pPr>
        <w:rPr>
          <w:rFonts w:ascii="Calibri" w:hAnsi="Calibri" w:cs="Calibri"/>
          <w:sz w:val="20"/>
          <w:szCs w:val="20"/>
        </w:rPr>
      </w:pPr>
    </w:p>
    <w:p w14:paraId="37D7DF18" w14:textId="77777777" w:rsidR="007A2FF4" w:rsidRDefault="007A2FF4" w:rsidP="00437AC5">
      <w:pPr>
        <w:rPr>
          <w:rFonts w:ascii="Calibri" w:hAnsi="Calibri" w:cs="Calibri"/>
          <w:sz w:val="20"/>
          <w:szCs w:val="20"/>
        </w:rPr>
      </w:pPr>
    </w:p>
    <w:p w14:paraId="7B8A50B6" w14:textId="77777777" w:rsidR="007A2FF4" w:rsidRDefault="007A2FF4" w:rsidP="00437AC5">
      <w:pPr>
        <w:rPr>
          <w:rFonts w:ascii="Calibri" w:hAnsi="Calibri" w:cs="Calibri"/>
          <w:sz w:val="20"/>
          <w:szCs w:val="20"/>
        </w:rPr>
      </w:pPr>
    </w:p>
    <w:p w14:paraId="0CFA8335" w14:textId="7DF240FA" w:rsidR="00D6549C" w:rsidRPr="00D6549C" w:rsidRDefault="00D6549C" w:rsidP="00D6549C">
      <w:pPr>
        <w:pStyle w:val="Tabletitle"/>
        <w:rPr>
          <w:rFonts w:ascii="Calibri" w:hAnsi="Calibri" w:cs="Calibri"/>
          <w:sz w:val="28"/>
          <w:szCs w:val="28"/>
        </w:rPr>
      </w:pPr>
      <w:r w:rsidRPr="001420B3" w:rsidDel="00EE2BBB">
        <w:lastRenderedPageBreak/>
        <w:t xml:space="preserve">Table </w:t>
      </w:r>
      <w:r>
        <w:t>A2</w:t>
      </w:r>
      <w:r w:rsidRPr="001420B3" w:rsidDel="00EE2BBB">
        <w:t xml:space="preserve">: </w:t>
      </w:r>
      <w:r w:rsidDel="00EE2BBB">
        <w:t>PBS listing of</w:t>
      </w:r>
      <w:r>
        <w:t xml:space="preserve"> </w:t>
      </w:r>
      <w:r>
        <w:rPr>
          <w:rFonts w:ascii="Calibri" w:hAnsi="Calibri"/>
        </w:rPr>
        <w:t>I</w:t>
      </w:r>
      <w:r w:rsidRPr="006533CD">
        <w:rPr>
          <w:rFonts w:ascii="Calibri" w:hAnsi="Calibri"/>
        </w:rPr>
        <w:t>brutinib</w:t>
      </w:r>
      <w:r w:rsidRPr="003318A6">
        <w:t xml:space="preserve"> for</w:t>
      </w:r>
      <w:r>
        <w:t xml:space="preserve"> CLL/SLL</w:t>
      </w:r>
    </w:p>
    <w:tbl>
      <w:tblPr>
        <w:tblStyle w:val="TableGrid"/>
        <w:tblW w:w="9064" w:type="dxa"/>
        <w:tblLayout w:type="fixed"/>
        <w:tblLook w:val="04A0" w:firstRow="1" w:lastRow="0" w:firstColumn="1" w:lastColumn="0" w:noHBand="0" w:noVBand="1"/>
      </w:tblPr>
      <w:tblGrid>
        <w:gridCol w:w="969"/>
        <w:gridCol w:w="2995"/>
        <w:gridCol w:w="1106"/>
        <w:gridCol w:w="850"/>
        <w:gridCol w:w="1040"/>
        <w:gridCol w:w="2104"/>
      </w:tblGrid>
      <w:tr w:rsidR="00437AC5" w:rsidRPr="00130553" w:rsidDel="00EE2BBB" w14:paraId="2AEEFD34" w14:textId="77777777" w:rsidTr="00540491">
        <w:trPr>
          <w:trHeight w:val="694"/>
          <w:tblHeader/>
        </w:trPr>
        <w:tc>
          <w:tcPr>
            <w:tcW w:w="969" w:type="dxa"/>
            <w:shd w:val="clear" w:color="auto" w:fill="BFBFBF" w:themeFill="background1" w:themeFillShade="BF"/>
          </w:tcPr>
          <w:p w14:paraId="6A73EBB4"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Item</w:t>
            </w:r>
          </w:p>
        </w:tc>
        <w:tc>
          <w:tcPr>
            <w:tcW w:w="2995" w:type="dxa"/>
            <w:shd w:val="clear" w:color="auto" w:fill="BFBFBF" w:themeFill="background1" w:themeFillShade="BF"/>
          </w:tcPr>
          <w:p w14:paraId="7C264AA7"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Name, form &amp; strength, pack size</w:t>
            </w:r>
          </w:p>
        </w:tc>
        <w:tc>
          <w:tcPr>
            <w:tcW w:w="1106" w:type="dxa"/>
            <w:shd w:val="clear" w:color="auto" w:fill="BFBFBF" w:themeFill="background1" w:themeFillShade="BF"/>
          </w:tcPr>
          <w:p w14:paraId="640AE8F1" w14:textId="3D3A3C69"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Max. quant</w:t>
            </w:r>
            <w:r w:rsidR="00815857">
              <w:rPr>
                <w:rFonts w:ascii="Calibri" w:hAnsi="Calibri"/>
                <w:sz w:val="20"/>
                <w:szCs w:val="20"/>
              </w:rPr>
              <w:t xml:space="preserve"> packs</w:t>
            </w:r>
            <w:r w:rsidRPr="00130553" w:rsidDel="00EE2BBB">
              <w:rPr>
                <w:rFonts w:ascii="Calibri" w:hAnsi="Calibri"/>
                <w:sz w:val="20"/>
                <w:szCs w:val="20"/>
              </w:rPr>
              <w:t xml:space="preserve">. </w:t>
            </w:r>
          </w:p>
        </w:tc>
        <w:tc>
          <w:tcPr>
            <w:tcW w:w="850" w:type="dxa"/>
            <w:shd w:val="clear" w:color="auto" w:fill="BFBFBF" w:themeFill="background1" w:themeFillShade="BF"/>
          </w:tcPr>
          <w:p w14:paraId="1197648F"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 xml:space="preserve">Rpts </w:t>
            </w:r>
          </w:p>
        </w:tc>
        <w:tc>
          <w:tcPr>
            <w:tcW w:w="1040" w:type="dxa"/>
            <w:shd w:val="clear" w:color="auto" w:fill="BFBFBF" w:themeFill="background1" w:themeFillShade="BF"/>
          </w:tcPr>
          <w:p w14:paraId="77F970DA"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DPMQ</w:t>
            </w:r>
          </w:p>
        </w:tc>
        <w:tc>
          <w:tcPr>
            <w:tcW w:w="2104" w:type="dxa"/>
            <w:shd w:val="clear" w:color="auto" w:fill="BFBFBF" w:themeFill="background1" w:themeFillShade="BF"/>
          </w:tcPr>
          <w:p w14:paraId="376B5029"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Brand name and manufacturer</w:t>
            </w:r>
          </w:p>
        </w:tc>
      </w:tr>
      <w:tr w:rsidR="00437AC5" w:rsidRPr="00130553" w:rsidDel="00EE2BBB" w14:paraId="02C456D3" w14:textId="77777777" w:rsidTr="00540491">
        <w:trPr>
          <w:trHeight w:val="546"/>
          <w:tblHeader/>
        </w:trPr>
        <w:tc>
          <w:tcPr>
            <w:tcW w:w="969" w:type="dxa"/>
          </w:tcPr>
          <w:p w14:paraId="2D74723C" w14:textId="77777777" w:rsidR="00437AC5" w:rsidRPr="00130553" w:rsidDel="00EE2BBB" w:rsidRDefault="00437AC5" w:rsidP="00540491">
            <w:pPr>
              <w:pStyle w:val="Tablewriting"/>
              <w:rPr>
                <w:rFonts w:ascii="Calibri" w:hAnsi="Calibri"/>
              </w:rPr>
            </w:pPr>
            <w:hyperlink r:id="rId54" w:tooltip="11213e" w:history="1">
              <w:r w:rsidRPr="00CF6991">
                <w:rPr>
                  <w:rStyle w:val="Hyperlink"/>
                  <w:rFonts w:ascii="Calibri" w:hAnsi="Calibri"/>
                </w:rPr>
                <w:t>11213E</w:t>
              </w:r>
            </w:hyperlink>
          </w:p>
        </w:tc>
        <w:tc>
          <w:tcPr>
            <w:tcW w:w="2995" w:type="dxa"/>
          </w:tcPr>
          <w:p w14:paraId="674F2011" w14:textId="77777777" w:rsidR="00437AC5" w:rsidRPr="00130553" w:rsidDel="00EE2BBB" w:rsidRDefault="00437AC5" w:rsidP="00540491">
            <w:pPr>
              <w:pStyle w:val="Tablewriting"/>
              <w:rPr>
                <w:rFonts w:ascii="Calibri" w:hAnsi="Calibri"/>
              </w:rPr>
            </w:pPr>
            <w:r>
              <w:rPr>
                <w:rFonts w:ascii="Calibri" w:hAnsi="Calibri"/>
              </w:rPr>
              <w:t>I</w:t>
            </w:r>
            <w:r w:rsidRPr="006533CD">
              <w:rPr>
                <w:rFonts w:ascii="Calibri" w:hAnsi="Calibri"/>
              </w:rPr>
              <w:t>brutinib 140 mg capsule, 90</w:t>
            </w:r>
          </w:p>
        </w:tc>
        <w:tc>
          <w:tcPr>
            <w:tcW w:w="1106" w:type="dxa"/>
          </w:tcPr>
          <w:p w14:paraId="618E15D3" w14:textId="77777777" w:rsidR="00437AC5" w:rsidRPr="00130553" w:rsidDel="00EE2BBB" w:rsidRDefault="00437AC5" w:rsidP="00540491">
            <w:pPr>
              <w:pStyle w:val="Tablewriting"/>
              <w:rPr>
                <w:rFonts w:ascii="Calibri" w:hAnsi="Calibri"/>
              </w:rPr>
            </w:pPr>
            <w:r>
              <w:rPr>
                <w:rFonts w:ascii="Calibri" w:hAnsi="Calibri"/>
              </w:rPr>
              <w:t>1</w:t>
            </w:r>
          </w:p>
        </w:tc>
        <w:tc>
          <w:tcPr>
            <w:tcW w:w="850" w:type="dxa"/>
          </w:tcPr>
          <w:p w14:paraId="22E81DD7" w14:textId="77777777" w:rsidR="00437AC5" w:rsidRPr="00130553" w:rsidDel="00EE2BBB" w:rsidRDefault="00437AC5" w:rsidP="00540491">
            <w:pPr>
              <w:pStyle w:val="Tablewriting"/>
              <w:rPr>
                <w:rFonts w:ascii="Calibri" w:hAnsi="Calibri"/>
              </w:rPr>
            </w:pPr>
            <w:r>
              <w:rPr>
                <w:rFonts w:ascii="Calibri" w:hAnsi="Calibri"/>
              </w:rPr>
              <w:t>5</w:t>
            </w:r>
          </w:p>
        </w:tc>
        <w:tc>
          <w:tcPr>
            <w:tcW w:w="1040" w:type="dxa"/>
          </w:tcPr>
          <w:p w14:paraId="3DCD80F2" w14:textId="77777777" w:rsidR="00437AC5" w:rsidRPr="00130553" w:rsidDel="00EE2BBB" w:rsidRDefault="00437AC5" w:rsidP="00540491">
            <w:pPr>
              <w:pStyle w:val="Tablewriting"/>
              <w:rPr>
                <w:rFonts w:ascii="Calibri" w:hAnsi="Calibri"/>
              </w:rPr>
            </w:pPr>
            <w:r w:rsidRPr="006533CD">
              <w:rPr>
                <w:rFonts w:ascii="Calibri" w:hAnsi="Calibri"/>
              </w:rPr>
              <w:t>$7954.48</w:t>
            </w:r>
          </w:p>
        </w:tc>
        <w:tc>
          <w:tcPr>
            <w:tcW w:w="2104" w:type="dxa"/>
          </w:tcPr>
          <w:p w14:paraId="0FD89477" w14:textId="77777777" w:rsidR="00437AC5" w:rsidRPr="00130553" w:rsidDel="00EE2BBB"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075CCA28" w14:textId="77777777" w:rsidTr="00540491">
        <w:trPr>
          <w:trHeight w:val="546"/>
          <w:tblHeader/>
        </w:trPr>
        <w:tc>
          <w:tcPr>
            <w:tcW w:w="969" w:type="dxa"/>
          </w:tcPr>
          <w:p w14:paraId="41439BF8" w14:textId="77777777" w:rsidR="00437AC5" w:rsidRPr="003739D0" w:rsidRDefault="00437AC5" w:rsidP="00540491">
            <w:pPr>
              <w:pStyle w:val="Tablewriting"/>
              <w:rPr>
                <w:rFonts w:ascii="Calibri" w:hAnsi="Calibri"/>
              </w:rPr>
            </w:pPr>
            <w:hyperlink r:id="rId55" w:tooltip="14074r" w:history="1">
              <w:r w:rsidRPr="008308E4">
                <w:rPr>
                  <w:rStyle w:val="Hyperlink"/>
                  <w:rFonts w:ascii="Calibri" w:hAnsi="Calibri"/>
                </w:rPr>
                <w:t>14074R</w:t>
              </w:r>
            </w:hyperlink>
          </w:p>
        </w:tc>
        <w:tc>
          <w:tcPr>
            <w:tcW w:w="2995" w:type="dxa"/>
          </w:tcPr>
          <w:p w14:paraId="59C33F3A" w14:textId="77777777" w:rsidR="00437AC5" w:rsidRDefault="00437AC5" w:rsidP="00540491">
            <w:pPr>
              <w:pStyle w:val="Tablewriting"/>
              <w:rPr>
                <w:rFonts w:ascii="Calibri" w:hAnsi="Calibri"/>
              </w:rPr>
            </w:pPr>
            <w:r>
              <w:rPr>
                <w:rFonts w:ascii="Calibri" w:hAnsi="Calibri"/>
              </w:rPr>
              <w:t>I</w:t>
            </w:r>
            <w:r w:rsidRPr="008308E4">
              <w:rPr>
                <w:rFonts w:ascii="Calibri" w:hAnsi="Calibri"/>
              </w:rPr>
              <w:t>brutinib 280 mg tablet, 30</w:t>
            </w:r>
          </w:p>
        </w:tc>
        <w:tc>
          <w:tcPr>
            <w:tcW w:w="1106" w:type="dxa"/>
          </w:tcPr>
          <w:p w14:paraId="325D8583" w14:textId="77777777" w:rsidR="00437AC5" w:rsidRDefault="00437AC5" w:rsidP="00540491">
            <w:pPr>
              <w:pStyle w:val="Tablewriting"/>
              <w:rPr>
                <w:rFonts w:ascii="Calibri" w:hAnsi="Calibri"/>
              </w:rPr>
            </w:pPr>
            <w:r>
              <w:rPr>
                <w:rFonts w:ascii="Calibri" w:hAnsi="Calibri"/>
              </w:rPr>
              <w:t>1</w:t>
            </w:r>
          </w:p>
        </w:tc>
        <w:tc>
          <w:tcPr>
            <w:tcW w:w="850" w:type="dxa"/>
          </w:tcPr>
          <w:p w14:paraId="48D7CC94" w14:textId="77777777" w:rsidR="00437AC5" w:rsidRDefault="00437AC5" w:rsidP="00540491">
            <w:pPr>
              <w:pStyle w:val="Tablewriting"/>
              <w:rPr>
                <w:rFonts w:ascii="Calibri" w:hAnsi="Calibri"/>
              </w:rPr>
            </w:pPr>
            <w:r>
              <w:rPr>
                <w:rFonts w:ascii="Calibri" w:hAnsi="Calibri"/>
              </w:rPr>
              <w:t>5</w:t>
            </w:r>
          </w:p>
        </w:tc>
        <w:tc>
          <w:tcPr>
            <w:tcW w:w="1040" w:type="dxa"/>
          </w:tcPr>
          <w:p w14:paraId="19D02960" w14:textId="77777777" w:rsidR="00437AC5" w:rsidRPr="005707EE" w:rsidRDefault="00437AC5" w:rsidP="00540491">
            <w:pPr>
              <w:pStyle w:val="Tablewriting"/>
              <w:rPr>
                <w:rFonts w:ascii="Calibri" w:hAnsi="Calibri"/>
              </w:rPr>
            </w:pPr>
            <w:r w:rsidRPr="00467718">
              <w:rPr>
                <w:rFonts w:ascii="Calibri" w:hAnsi="Calibri"/>
              </w:rPr>
              <w:t>$5357.30</w:t>
            </w:r>
          </w:p>
        </w:tc>
        <w:tc>
          <w:tcPr>
            <w:tcW w:w="2104" w:type="dxa"/>
          </w:tcPr>
          <w:p w14:paraId="61D01905"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427613BF" w14:textId="77777777" w:rsidTr="00540491">
        <w:trPr>
          <w:trHeight w:val="546"/>
          <w:tblHeader/>
        </w:trPr>
        <w:tc>
          <w:tcPr>
            <w:tcW w:w="969" w:type="dxa"/>
          </w:tcPr>
          <w:p w14:paraId="0DC4253E" w14:textId="77777777" w:rsidR="00437AC5" w:rsidRPr="007F317C" w:rsidRDefault="00437AC5" w:rsidP="00540491">
            <w:pPr>
              <w:pStyle w:val="Tablewriting"/>
              <w:rPr>
                <w:rFonts w:ascii="Calibri" w:hAnsi="Calibri"/>
              </w:rPr>
            </w:pPr>
            <w:hyperlink r:id="rId56" w:tooltip="14085h" w:history="1">
              <w:r w:rsidRPr="00467718">
                <w:rPr>
                  <w:rStyle w:val="Hyperlink"/>
                  <w:rFonts w:ascii="Calibri" w:hAnsi="Calibri"/>
                </w:rPr>
                <w:t>14085H</w:t>
              </w:r>
            </w:hyperlink>
          </w:p>
        </w:tc>
        <w:tc>
          <w:tcPr>
            <w:tcW w:w="2995" w:type="dxa"/>
          </w:tcPr>
          <w:p w14:paraId="38D584A7" w14:textId="77777777" w:rsidR="00437AC5" w:rsidRDefault="00437AC5" w:rsidP="00540491">
            <w:pPr>
              <w:pStyle w:val="Tablewriting"/>
              <w:rPr>
                <w:rFonts w:ascii="Calibri" w:hAnsi="Calibri"/>
              </w:rPr>
            </w:pPr>
            <w:r>
              <w:rPr>
                <w:rFonts w:ascii="Calibri" w:hAnsi="Calibri"/>
              </w:rPr>
              <w:t>I</w:t>
            </w:r>
            <w:r w:rsidRPr="00192A66">
              <w:rPr>
                <w:rFonts w:ascii="Calibri" w:hAnsi="Calibri"/>
              </w:rPr>
              <w:t>brutinib 420 mg tablet, 30</w:t>
            </w:r>
          </w:p>
        </w:tc>
        <w:tc>
          <w:tcPr>
            <w:tcW w:w="1106" w:type="dxa"/>
          </w:tcPr>
          <w:p w14:paraId="724EDF4B" w14:textId="77777777" w:rsidR="00437AC5" w:rsidRDefault="00437AC5" w:rsidP="00540491">
            <w:pPr>
              <w:pStyle w:val="Tablewriting"/>
              <w:rPr>
                <w:rFonts w:ascii="Calibri" w:hAnsi="Calibri"/>
              </w:rPr>
            </w:pPr>
            <w:r>
              <w:rPr>
                <w:rFonts w:ascii="Calibri" w:hAnsi="Calibri"/>
              </w:rPr>
              <w:t>1</w:t>
            </w:r>
          </w:p>
        </w:tc>
        <w:tc>
          <w:tcPr>
            <w:tcW w:w="850" w:type="dxa"/>
          </w:tcPr>
          <w:p w14:paraId="56D93E46" w14:textId="77777777" w:rsidR="00437AC5" w:rsidRDefault="00437AC5" w:rsidP="00540491">
            <w:pPr>
              <w:pStyle w:val="Tablewriting"/>
              <w:rPr>
                <w:rFonts w:ascii="Calibri" w:hAnsi="Calibri"/>
              </w:rPr>
            </w:pPr>
            <w:r>
              <w:rPr>
                <w:rFonts w:ascii="Calibri" w:hAnsi="Calibri"/>
              </w:rPr>
              <w:t>5</w:t>
            </w:r>
          </w:p>
        </w:tc>
        <w:tc>
          <w:tcPr>
            <w:tcW w:w="1040" w:type="dxa"/>
          </w:tcPr>
          <w:p w14:paraId="6736F159" w14:textId="77777777" w:rsidR="00437AC5" w:rsidRPr="00320577" w:rsidRDefault="00437AC5" w:rsidP="00540491">
            <w:pPr>
              <w:pStyle w:val="Tablewriting"/>
              <w:rPr>
                <w:rFonts w:ascii="Calibri" w:hAnsi="Calibri"/>
              </w:rPr>
            </w:pPr>
            <w:r w:rsidRPr="00192A66">
              <w:rPr>
                <w:rFonts w:ascii="Calibri" w:hAnsi="Calibri"/>
              </w:rPr>
              <w:t>$7954.48</w:t>
            </w:r>
          </w:p>
        </w:tc>
        <w:tc>
          <w:tcPr>
            <w:tcW w:w="2104" w:type="dxa"/>
          </w:tcPr>
          <w:p w14:paraId="41D5CF14"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041A66C8" w14:textId="77777777" w:rsidTr="00540491">
        <w:trPr>
          <w:trHeight w:val="546"/>
          <w:tblHeader/>
        </w:trPr>
        <w:tc>
          <w:tcPr>
            <w:tcW w:w="969" w:type="dxa"/>
          </w:tcPr>
          <w:p w14:paraId="46E06C4A" w14:textId="77777777" w:rsidR="00437AC5" w:rsidRPr="00467718" w:rsidRDefault="00437AC5" w:rsidP="00540491">
            <w:pPr>
              <w:pStyle w:val="Tablewriting"/>
              <w:rPr>
                <w:rFonts w:ascii="Calibri" w:hAnsi="Calibri"/>
              </w:rPr>
            </w:pPr>
            <w:hyperlink r:id="rId57" w:tooltip="14579h" w:history="1">
              <w:r w:rsidRPr="00BD37B7">
                <w:rPr>
                  <w:rStyle w:val="Hyperlink"/>
                  <w:rFonts w:ascii="Calibri" w:hAnsi="Calibri"/>
                </w:rPr>
                <w:t>14579H</w:t>
              </w:r>
            </w:hyperlink>
          </w:p>
        </w:tc>
        <w:tc>
          <w:tcPr>
            <w:tcW w:w="2995" w:type="dxa"/>
          </w:tcPr>
          <w:p w14:paraId="2AA72DEC" w14:textId="77777777" w:rsidR="00437AC5" w:rsidRPr="00192A66" w:rsidRDefault="00437AC5" w:rsidP="00540491">
            <w:pPr>
              <w:pStyle w:val="Tablewriting"/>
              <w:rPr>
                <w:rFonts w:ascii="Calibri" w:hAnsi="Calibri"/>
              </w:rPr>
            </w:pPr>
            <w:r>
              <w:rPr>
                <w:rFonts w:ascii="Calibri" w:hAnsi="Calibri"/>
              </w:rPr>
              <w:t>I</w:t>
            </w:r>
            <w:r w:rsidRPr="00BD37B7">
              <w:rPr>
                <w:rFonts w:ascii="Calibri" w:hAnsi="Calibri"/>
              </w:rPr>
              <w:t>brutinib 280 mg tablet, 30</w:t>
            </w:r>
          </w:p>
        </w:tc>
        <w:tc>
          <w:tcPr>
            <w:tcW w:w="1106" w:type="dxa"/>
          </w:tcPr>
          <w:p w14:paraId="6A9984CF" w14:textId="77777777" w:rsidR="00437AC5" w:rsidRDefault="00437AC5" w:rsidP="00540491">
            <w:pPr>
              <w:pStyle w:val="Tablewriting"/>
              <w:rPr>
                <w:rFonts w:ascii="Calibri" w:hAnsi="Calibri"/>
              </w:rPr>
            </w:pPr>
            <w:r>
              <w:rPr>
                <w:rFonts w:ascii="Calibri" w:hAnsi="Calibri"/>
              </w:rPr>
              <w:t>1</w:t>
            </w:r>
          </w:p>
        </w:tc>
        <w:tc>
          <w:tcPr>
            <w:tcW w:w="850" w:type="dxa"/>
          </w:tcPr>
          <w:p w14:paraId="1E88DD61" w14:textId="77777777" w:rsidR="00437AC5" w:rsidRDefault="00437AC5" w:rsidP="00540491">
            <w:pPr>
              <w:pStyle w:val="Tablewriting"/>
              <w:rPr>
                <w:rFonts w:ascii="Calibri" w:hAnsi="Calibri"/>
              </w:rPr>
            </w:pPr>
            <w:r>
              <w:rPr>
                <w:rFonts w:ascii="Calibri" w:hAnsi="Calibri"/>
              </w:rPr>
              <w:t>5</w:t>
            </w:r>
          </w:p>
        </w:tc>
        <w:tc>
          <w:tcPr>
            <w:tcW w:w="1040" w:type="dxa"/>
          </w:tcPr>
          <w:p w14:paraId="03A1A676" w14:textId="77777777" w:rsidR="00437AC5" w:rsidRPr="00192A66" w:rsidRDefault="00437AC5" w:rsidP="00540491">
            <w:pPr>
              <w:pStyle w:val="Tablewriting"/>
              <w:rPr>
                <w:rFonts w:ascii="Calibri" w:hAnsi="Calibri"/>
              </w:rPr>
            </w:pPr>
            <w:r w:rsidRPr="00BD37B7">
              <w:rPr>
                <w:rFonts w:ascii="Calibri" w:hAnsi="Calibri"/>
              </w:rPr>
              <w:t>$5357.30</w:t>
            </w:r>
          </w:p>
        </w:tc>
        <w:tc>
          <w:tcPr>
            <w:tcW w:w="2104" w:type="dxa"/>
          </w:tcPr>
          <w:p w14:paraId="6B7BB6A2"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4EDBD318" w14:textId="77777777" w:rsidTr="00540491">
        <w:trPr>
          <w:trHeight w:val="546"/>
          <w:tblHeader/>
        </w:trPr>
        <w:tc>
          <w:tcPr>
            <w:tcW w:w="969" w:type="dxa"/>
          </w:tcPr>
          <w:p w14:paraId="03E5B8F0" w14:textId="77777777" w:rsidR="00437AC5" w:rsidRPr="00BD37B7" w:rsidRDefault="00437AC5" w:rsidP="00540491">
            <w:pPr>
              <w:pStyle w:val="Tablewriting"/>
              <w:rPr>
                <w:rFonts w:ascii="Calibri" w:hAnsi="Calibri"/>
              </w:rPr>
            </w:pPr>
            <w:hyperlink r:id="rId58" w:tooltip="14580j" w:history="1">
              <w:r w:rsidRPr="00C322D8">
                <w:rPr>
                  <w:rStyle w:val="Hyperlink"/>
                  <w:rFonts w:ascii="Calibri" w:hAnsi="Calibri"/>
                </w:rPr>
                <w:t>14580J</w:t>
              </w:r>
            </w:hyperlink>
          </w:p>
        </w:tc>
        <w:tc>
          <w:tcPr>
            <w:tcW w:w="2995" w:type="dxa"/>
          </w:tcPr>
          <w:p w14:paraId="1EF47E18" w14:textId="77777777" w:rsidR="00437AC5" w:rsidRPr="00BD37B7" w:rsidRDefault="00437AC5" w:rsidP="00540491">
            <w:pPr>
              <w:pStyle w:val="Tablewriting"/>
              <w:rPr>
                <w:rFonts w:ascii="Calibri" w:hAnsi="Calibri"/>
              </w:rPr>
            </w:pPr>
            <w:r>
              <w:rPr>
                <w:rFonts w:ascii="Calibri" w:hAnsi="Calibri"/>
              </w:rPr>
              <w:t>I</w:t>
            </w:r>
            <w:r w:rsidRPr="00C322D8">
              <w:rPr>
                <w:rFonts w:ascii="Calibri" w:hAnsi="Calibri"/>
              </w:rPr>
              <w:t>brutinib 280 mg tablet, 30</w:t>
            </w:r>
          </w:p>
        </w:tc>
        <w:tc>
          <w:tcPr>
            <w:tcW w:w="1106" w:type="dxa"/>
          </w:tcPr>
          <w:p w14:paraId="24962D52" w14:textId="77777777" w:rsidR="00437AC5" w:rsidRDefault="00437AC5" w:rsidP="00540491">
            <w:pPr>
              <w:pStyle w:val="Tablewriting"/>
              <w:rPr>
                <w:rFonts w:ascii="Calibri" w:hAnsi="Calibri"/>
              </w:rPr>
            </w:pPr>
            <w:r>
              <w:rPr>
                <w:rFonts w:ascii="Calibri" w:hAnsi="Calibri"/>
              </w:rPr>
              <w:t>1</w:t>
            </w:r>
          </w:p>
        </w:tc>
        <w:tc>
          <w:tcPr>
            <w:tcW w:w="850" w:type="dxa"/>
          </w:tcPr>
          <w:p w14:paraId="30556B05" w14:textId="77777777" w:rsidR="00437AC5" w:rsidRDefault="00437AC5" w:rsidP="00540491">
            <w:pPr>
              <w:pStyle w:val="Tablewriting"/>
              <w:rPr>
                <w:rFonts w:ascii="Calibri" w:hAnsi="Calibri"/>
              </w:rPr>
            </w:pPr>
            <w:r>
              <w:rPr>
                <w:rFonts w:ascii="Calibri" w:hAnsi="Calibri"/>
              </w:rPr>
              <w:t>2</w:t>
            </w:r>
          </w:p>
        </w:tc>
        <w:tc>
          <w:tcPr>
            <w:tcW w:w="1040" w:type="dxa"/>
          </w:tcPr>
          <w:p w14:paraId="57F77C8D" w14:textId="77777777" w:rsidR="00437AC5" w:rsidRPr="00BD37B7" w:rsidRDefault="00437AC5" w:rsidP="00540491">
            <w:pPr>
              <w:pStyle w:val="Tablewriting"/>
              <w:rPr>
                <w:rFonts w:ascii="Calibri" w:hAnsi="Calibri"/>
              </w:rPr>
            </w:pPr>
            <w:r w:rsidRPr="00EF2611">
              <w:rPr>
                <w:rFonts w:ascii="Calibri" w:hAnsi="Calibri"/>
              </w:rPr>
              <w:t>$5357.30</w:t>
            </w:r>
          </w:p>
        </w:tc>
        <w:tc>
          <w:tcPr>
            <w:tcW w:w="2104" w:type="dxa"/>
          </w:tcPr>
          <w:p w14:paraId="4C720FFA"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6F75876D" w14:textId="77777777" w:rsidTr="00540491">
        <w:trPr>
          <w:trHeight w:val="546"/>
          <w:tblHeader/>
        </w:trPr>
        <w:tc>
          <w:tcPr>
            <w:tcW w:w="969" w:type="dxa"/>
          </w:tcPr>
          <w:p w14:paraId="623E216C" w14:textId="77777777" w:rsidR="00437AC5" w:rsidRPr="00C322D8" w:rsidRDefault="00437AC5" w:rsidP="00540491">
            <w:pPr>
              <w:pStyle w:val="Tablewriting"/>
              <w:rPr>
                <w:rFonts w:ascii="Calibri" w:hAnsi="Calibri"/>
              </w:rPr>
            </w:pPr>
            <w:hyperlink r:id="rId59" w:tooltip="14596f" w:history="1">
              <w:r w:rsidRPr="00EF2611">
                <w:rPr>
                  <w:rStyle w:val="Hyperlink"/>
                  <w:rFonts w:ascii="Calibri" w:hAnsi="Calibri"/>
                </w:rPr>
                <w:t>14596F</w:t>
              </w:r>
            </w:hyperlink>
          </w:p>
        </w:tc>
        <w:tc>
          <w:tcPr>
            <w:tcW w:w="2995" w:type="dxa"/>
          </w:tcPr>
          <w:p w14:paraId="0495270C" w14:textId="77777777" w:rsidR="00437AC5" w:rsidRPr="00C322D8" w:rsidRDefault="00437AC5" w:rsidP="00540491">
            <w:pPr>
              <w:pStyle w:val="Tablewriting"/>
              <w:rPr>
                <w:rFonts w:ascii="Calibri" w:hAnsi="Calibri"/>
              </w:rPr>
            </w:pPr>
            <w:r>
              <w:rPr>
                <w:rFonts w:ascii="Calibri" w:hAnsi="Calibri"/>
              </w:rPr>
              <w:t>I</w:t>
            </w:r>
            <w:r w:rsidRPr="00EF2611">
              <w:rPr>
                <w:rFonts w:ascii="Calibri" w:hAnsi="Calibri"/>
              </w:rPr>
              <w:t>brutinib 140 mg capsule, 90</w:t>
            </w:r>
          </w:p>
        </w:tc>
        <w:tc>
          <w:tcPr>
            <w:tcW w:w="1106" w:type="dxa"/>
          </w:tcPr>
          <w:p w14:paraId="69079FAB" w14:textId="77777777" w:rsidR="00437AC5" w:rsidRDefault="00437AC5" w:rsidP="00540491">
            <w:pPr>
              <w:pStyle w:val="Tablewriting"/>
              <w:rPr>
                <w:rFonts w:ascii="Calibri" w:hAnsi="Calibri"/>
              </w:rPr>
            </w:pPr>
            <w:r>
              <w:rPr>
                <w:rFonts w:ascii="Calibri" w:hAnsi="Calibri"/>
              </w:rPr>
              <w:t>1</w:t>
            </w:r>
          </w:p>
        </w:tc>
        <w:tc>
          <w:tcPr>
            <w:tcW w:w="850" w:type="dxa"/>
          </w:tcPr>
          <w:p w14:paraId="648558AF" w14:textId="77777777" w:rsidR="00437AC5" w:rsidRDefault="00437AC5" w:rsidP="00540491">
            <w:pPr>
              <w:pStyle w:val="Tablewriting"/>
              <w:rPr>
                <w:rFonts w:ascii="Calibri" w:hAnsi="Calibri"/>
              </w:rPr>
            </w:pPr>
            <w:r>
              <w:rPr>
                <w:rFonts w:ascii="Calibri" w:hAnsi="Calibri"/>
              </w:rPr>
              <w:t>4</w:t>
            </w:r>
          </w:p>
        </w:tc>
        <w:tc>
          <w:tcPr>
            <w:tcW w:w="1040" w:type="dxa"/>
          </w:tcPr>
          <w:p w14:paraId="6AA80B30" w14:textId="77777777" w:rsidR="00437AC5" w:rsidRPr="00EF2611" w:rsidRDefault="00437AC5" w:rsidP="00540491">
            <w:pPr>
              <w:pStyle w:val="Tablewriting"/>
              <w:rPr>
                <w:rFonts w:ascii="Calibri" w:hAnsi="Calibri"/>
              </w:rPr>
            </w:pPr>
            <w:r w:rsidRPr="00C47781">
              <w:rPr>
                <w:rFonts w:ascii="Calibri" w:hAnsi="Calibri"/>
              </w:rPr>
              <w:t>$7954.48</w:t>
            </w:r>
          </w:p>
        </w:tc>
        <w:tc>
          <w:tcPr>
            <w:tcW w:w="2104" w:type="dxa"/>
          </w:tcPr>
          <w:p w14:paraId="4BC21391"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0CD3CBEC" w14:textId="77777777" w:rsidTr="00540491">
        <w:trPr>
          <w:trHeight w:val="546"/>
          <w:tblHeader/>
        </w:trPr>
        <w:tc>
          <w:tcPr>
            <w:tcW w:w="969" w:type="dxa"/>
          </w:tcPr>
          <w:p w14:paraId="0AD95411" w14:textId="77777777" w:rsidR="00437AC5" w:rsidRPr="00EF2611" w:rsidRDefault="00437AC5" w:rsidP="00540491">
            <w:pPr>
              <w:pStyle w:val="Tablewriting"/>
              <w:rPr>
                <w:rFonts w:ascii="Calibri" w:hAnsi="Calibri"/>
              </w:rPr>
            </w:pPr>
            <w:hyperlink r:id="rId60" w:tooltip="14597g" w:history="1">
              <w:r w:rsidRPr="00C47781">
                <w:rPr>
                  <w:rStyle w:val="Hyperlink"/>
                  <w:rFonts w:ascii="Calibri" w:hAnsi="Calibri"/>
                </w:rPr>
                <w:t>14597G</w:t>
              </w:r>
            </w:hyperlink>
          </w:p>
        </w:tc>
        <w:tc>
          <w:tcPr>
            <w:tcW w:w="2995" w:type="dxa"/>
          </w:tcPr>
          <w:p w14:paraId="4E7AC034" w14:textId="77777777" w:rsidR="00437AC5" w:rsidRPr="00EF2611" w:rsidRDefault="00437AC5" w:rsidP="00540491">
            <w:pPr>
              <w:pStyle w:val="Tablewriting"/>
              <w:rPr>
                <w:rFonts w:ascii="Calibri" w:hAnsi="Calibri"/>
              </w:rPr>
            </w:pPr>
            <w:r>
              <w:rPr>
                <w:rFonts w:ascii="Calibri" w:hAnsi="Calibri"/>
              </w:rPr>
              <w:t>I</w:t>
            </w:r>
            <w:r w:rsidRPr="00C47781">
              <w:rPr>
                <w:rFonts w:ascii="Calibri" w:hAnsi="Calibri"/>
              </w:rPr>
              <w:t>brutinib 140 mg capsule, 90</w:t>
            </w:r>
          </w:p>
        </w:tc>
        <w:tc>
          <w:tcPr>
            <w:tcW w:w="1106" w:type="dxa"/>
          </w:tcPr>
          <w:p w14:paraId="562C754A" w14:textId="77777777" w:rsidR="00437AC5" w:rsidRDefault="00437AC5" w:rsidP="00540491">
            <w:pPr>
              <w:pStyle w:val="Tablewriting"/>
              <w:rPr>
                <w:rFonts w:ascii="Calibri" w:hAnsi="Calibri"/>
              </w:rPr>
            </w:pPr>
            <w:r>
              <w:rPr>
                <w:rFonts w:ascii="Calibri" w:hAnsi="Calibri"/>
              </w:rPr>
              <w:t>1</w:t>
            </w:r>
          </w:p>
        </w:tc>
        <w:tc>
          <w:tcPr>
            <w:tcW w:w="850" w:type="dxa"/>
          </w:tcPr>
          <w:p w14:paraId="029C6F07" w14:textId="77777777" w:rsidR="00437AC5" w:rsidRDefault="00437AC5" w:rsidP="00540491">
            <w:pPr>
              <w:pStyle w:val="Tablewriting"/>
              <w:rPr>
                <w:rFonts w:ascii="Calibri" w:hAnsi="Calibri"/>
              </w:rPr>
            </w:pPr>
            <w:r>
              <w:rPr>
                <w:rFonts w:ascii="Calibri" w:hAnsi="Calibri"/>
              </w:rPr>
              <w:t>2</w:t>
            </w:r>
          </w:p>
        </w:tc>
        <w:tc>
          <w:tcPr>
            <w:tcW w:w="1040" w:type="dxa"/>
          </w:tcPr>
          <w:p w14:paraId="465C1C89" w14:textId="77777777" w:rsidR="00437AC5" w:rsidRPr="00C47781" w:rsidRDefault="00437AC5" w:rsidP="00540491">
            <w:pPr>
              <w:pStyle w:val="Tablewriting"/>
              <w:rPr>
                <w:rFonts w:ascii="Calibri" w:hAnsi="Calibri"/>
              </w:rPr>
            </w:pPr>
            <w:r w:rsidRPr="00B4738F">
              <w:rPr>
                <w:rFonts w:ascii="Calibri" w:hAnsi="Calibri"/>
              </w:rPr>
              <w:t>$7954.48</w:t>
            </w:r>
          </w:p>
        </w:tc>
        <w:tc>
          <w:tcPr>
            <w:tcW w:w="2104" w:type="dxa"/>
          </w:tcPr>
          <w:p w14:paraId="56BF8811"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5363742B" w14:textId="77777777" w:rsidTr="00540491">
        <w:trPr>
          <w:trHeight w:val="546"/>
          <w:tblHeader/>
        </w:trPr>
        <w:tc>
          <w:tcPr>
            <w:tcW w:w="969" w:type="dxa"/>
          </w:tcPr>
          <w:p w14:paraId="3442C4BF" w14:textId="77777777" w:rsidR="00437AC5" w:rsidRPr="00C47781" w:rsidRDefault="00437AC5" w:rsidP="00540491">
            <w:pPr>
              <w:pStyle w:val="Tablewriting"/>
              <w:rPr>
                <w:rFonts w:ascii="Calibri" w:hAnsi="Calibri"/>
              </w:rPr>
            </w:pPr>
            <w:hyperlink r:id="rId61" w:tooltip="14598h" w:history="1">
              <w:r w:rsidRPr="00B4738F">
                <w:rPr>
                  <w:rStyle w:val="Hyperlink"/>
                  <w:rFonts w:ascii="Calibri" w:hAnsi="Calibri"/>
                </w:rPr>
                <w:t>14598H</w:t>
              </w:r>
            </w:hyperlink>
          </w:p>
        </w:tc>
        <w:tc>
          <w:tcPr>
            <w:tcW w:w="2995" w:type="dxa"/>
          </w:tcPr>
          <w:p w14:paraId="0082AD15" w14:textId="77777777" w:rsidR="00437AC5" w:rsidRPr="00C47781" w:rsidRDefault="00437AC5" w:rsidP="00540491">
            <w:pPr>
              <w:pStyle w:val="Tablewriting"/>
              <w:rPr>
                <w:rFonts w:ascii="Calibri" w:hAnsi="Calibri"/>
              </w:rPr>
            </w:pPr>
            <w:r>
              <w:rPr>
                <w:rFonts w:ascii="Calibri" w:hAnsi="Calibri"/>
              </w:rPr>
              <w:t>I</w:t>
            </w:r>
            <w:r w:rsidRPr="00B4738F">
              <w:rPr>
                <w:rFonts w:ascii="Calibri" w:hAnsi="Calibri"/>
              </w:rPr>
              <w:t>brutinib 420 mg tablet, 30</w:t>
            </w:r>
          </w:p>
        </w:tc>
        <w:tc>
          <w:tcPr>
            <w:tcW w:w="1106" w:type="dxa"/>
          </w:tcPr>
          <w:p w14:paraId="30369C01" w14:textId="77777777" w:rsidR="00437AC5" w:rsidRDefault="00437AC5" w:rsidP="00540491">
            <w:pPr>
              <w:pStyle w:val="Tablewriting"/>
              <w:rPr>
                <w:rFonts w:ascii="Calibri" w:hAnsi="Calibri"/>
              </w:rPr>
            </w:pPr>
            <w:r>
              <w:rPr>
                <w:rFonts w:ascii="Calibri" w:hAnsi="Calibri"/>
              </w:rPr>
              <w:t>1</w:t>
            </w:r>
          </w:p>
        </w:tc>
        <w:tc>
          <w:tcPr>
            <w:tcW w:w="850" w:type="dxa"/>
          </w:tcPr>
          <w:p w14:paraId="3A0B8DA2" w14:textId="77777777" w:rsidR="00437AC5" w:rsidRDefault="00437AC5" w:rsidP="00540491">
            <w:pPr>
              <w:pStyle w:val="Tablewriting"/>
              <w:rPr>
                <w:rFonts w:ascii="Calibri" w:hAnsi="Calibri"/>
              </w:rPr>
            </w:pPr>
            <w:r>
              <w:rPr>
                <w:rFonts w:ascii="Calibri" w:hAnsi="Calibri"/>
              </w:rPr>
              <w:t>2</w:t>
            </w:r>
          </w:p>
        </w:tc>
        <w:tc>
          <w:tcPr>
            <w:tcW w:w="1040" w:type="dxa"/>
          </w:tcPr>
          <w:p w14:paraId="684558D4" w14:textId="77777777" w:rsidR="00437AC5" w:rsidRPr="00B4738F" w:rsidRDefault="00437AC5" w:rsidP="00540491">
            <w:pPr>
              <w:pStyle w:val="Tablewriting"/>
              <w:rPr>
                <w:rFonts w:ascii="Calibri" w:hAnsi="Calibri"/>
              </w:rPr>
            </w:pPr>
            <w:r w:rsidRPr="00280707">
              <w:rPr>
                <w:rFonts w:ascii="Calibri" w:hAnsi="Calibri"/>
              </w:rPr>
              <w:t>$7954.48</w:t>
            </w:r>
          </w:p>
        </w:tc>
        <w:tc>
          <w:tcPr>
            <w:tcW w:w="2104" w:type="dxa"/>
          </w:tcPr>
          <w:p w14:paraId="476D9E6C"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534F7FA0" w14:textId="77777777" w:rsidTr="00540491">
        <w:trPr>
          <w:trHeight w:val="546"/>
          <w:tblHeader/>
        </w:trPr>
        <w:tc>
          <w:tcPr>
            <w:tcW w:w="969" w:type="dxa"/>
          </w:tcPr>
          <w:p w14:paraId="296C74C8" w14:textId="77777777" w:rsidR="00437AC5" w:rsidRPr="00B4738F" w:rsidRDefault="00437AC5" w:rsidP="00540491">
            <w:pPr>
              <w:pStyle w:val="Tablewriting"/>
              <w:rPr>
                <w:rFonts w:ascii="Calibri" w:hAnsi="Calibri"/>
              </w:rPr>
            </w:pPr>
            <w:hyperlink r:id="rId62" w:tooltip="14603n" w:history="1">
              <w:r w:rsidRPr="00280707">
                <w:rPr>
                  <w:rStyle w:val="Hyperlink"/>
                  <w:rFonts w:ascii="Calibri" w:hAnsi="Calibri"/>
                </w:rPr>
                <w:t>14603N</w:t>
              </w:r>
            </w:hyperlink>
          </w:p>
        </w:tc>
        <w:tc>
          <w:tcPr>
            <w:tcW w:w="2995" w:type="dxa"/>
          </w:tcPr>
          <w:p w14:paraId="40C8EA5B" w14:textId="77777777" w:rsidR="00437AC5" w:rsidRPr="00B4738F" w:rsidRDefault="00437AC5" w:rsidP="00540491">
            <w:pPr>
              <w:pStyle w:val="Tablewriting"/>
              <w:rPr>
                <w:rFonts w:ascii="Calibri" w:hAnsi="Calibri"/>
              </w:rPr>
            </w:pPr>
            <w:r>
              <w:rPr>
                <w:rFonts w:ascii="Calibri" w:hAnsi="Calibri"/>
              </w:rPr>
              <w:t>I</w:t>
            </w:r>
            <w:r w:rsidRPr="00280707">
              <w:rPr>
                <w:rFonts w:ascii="Calibri" w:hAnsi="Calibri"/>
              </w:rPr>
              <w:t>brutinib 420 mg tablet, 30</w:t>
            </w:r>
          </w:p>
        </w:tc>
        <w:tc>
          <w:tcPr>
            <w:tcW w:w="1106" w:type="dxa"/>
          </w:tcPr>
          <w:p w14:paraId="76D38CC2" w14:textId="77777777" w:rsidR="00437AC5" w:rsidRDefault="00437AC5" w:rsidP="00540491">
            <w:pPr>
              <w:pStyle w:val="Tablewriting"/>
              <w:rPr>
                <w:rFonts w:ascii="Calibri" w:hAnsi="Calibri"/>
              </w:rPr>
            </w:pPr>
            <w:r>
              <w:rPr>
                <w:rFonts w:ascii="Calibri" w:hAnsi="Calibri"/>
              </w:rPr>
              <w:t>1</w:t>
            </w:r>
          </w:p>
        </w:tc>
        <w:tc>
          <w:tcPr>
            <w:tcW w:w="850" w:type="dxa"/>
          </w:tcPr>
          <w:p w14:paraId="2CCBD74E" w14:textId="77777777" w:rsidR="00437AC5" w:rsidRDefault="00437AC5" w:rsidP="00540491">
            <w:pPr>
              <w:pStyle w:val="Tablewriting"/>
              <w:rPr>
                <w:rFonts w:ascii="Calibri" w:hAnsi="Calibri"/>
              </w:rPr>
            </w:pPr>
            <w:r>
              <w:rPr>
                <w:rFonts w:ascii="Calibri" w:hAnsi="Calibri"/>
              </w:rPr>
              <w:t>5</w:t>
            </w:r>
          </w:p>
        </w:tc>
        <w:tc>
          <w:tcPr>
            <w:tcW w:w="1040" w:type="dxa"/>
          </w:tcPr>
          <w:p w14:paraId="230F834F" w14:textId="77777777" w:rsidR="00437AC5" w:rsidRPr="00280707" w:rsidRDefault="00437AC5" w:rsidP="00540491">
            <w:pPr>
              <w:pStyle w:val="Tablewriting"/>
              <w:rPr>
                <w:rFonts w:ascii="Calibri" w:hAnsi="Calibri"/>
              </w:rPr>
            </w:pPr>
            <w:r w:rsidRPr="00C5635D">
              <w:rPr>
                <w:rFonts w:ascii="Calibri" w:hAnsi="Calibri"/>
              </w:rPr>
              <w:t>$7954.48</w:t>
            </w:r>
          </w:p>
        </w:tc>
        <w:tc>
          <w:tcPr>
            <w:tcW w:w="2104" w:type="dxa"/>
          </w:tcPr>
          <w:p w14:paraId="252D3B7A"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466EACC3" w14:textId="77777777" w:rsidTr="00540491">
        <w:trPr>
          <w:trHeight w:val="546"/>
          <w:tblHeader/>
        </w:trPr>
        <w:tc>
          <w:tcPr>
            <w:tcW w:w="969" w:type="dxa"/>
          </w:tcPr>
          <w:p w14:paraId="2BE001D5" w14:textId="77777777" w:rsidR="00437AC5" w:rsidRPr="00280707" w:rsidRDefault="00437AC5" w:rsidP="00540491">
            <w:pPr>
              <w:pStyle w:val="Tablewriting"/>
              <w:rPr>
                <w:rFonts w:ascii="Calibri" w:hAnsi="Calibri"/>
              </w:rPr>
            </w:pPr>
            <w:hyperlink r:id="rId63" w:tooltip="14604p" w:history="1">
              <w:r w:rsidRPr="00C5635D">
                <w:rPr>
                  <w:rStyle w:val="Hyperlink"/>
                  <w:rFonts w:ascii="Calibri" w:hAnsi="Calibri"/>
                </w:rPr>
                <w:t>14604P</w:t>
              </w:r>
            </w:hyperlink>
          </w:p>
        </w:tc>
        <w:tc>
          <w:tcPr>
            <w:tcW w:w="2995" w:type="dxa"/>
          </w:tcPr>
          <w:p w14:paraId="4BB300A6" w14:textId="77777777" w:rsidR="00437AC5" w:rsidRPr="00280707" w:rsidRDefault="00437AC5" w:rsidP="00540491">
            <w:pPr>
              <w:pStyle w:val="Tablewriting"/>
              <w:rPr>
                <w:rFonts w:ascii="Calibri" w:hAnsi="Calibri"/>
              </w:rPr>
            </w:pPr>
            <w:r>
              <w:rPr>
                <w:rFonts w:ascii="Calibri" w:hAnsi="Calibri"/>
              </w:rPr>
              <w:t>I</w:t>
            </w:r>
            <w:r w:rsidRPr="00C5635D">
              <w:rPr>
                <w:rFonts w:ascii="Calibri" w:hAnsi="Calibri"/>
              </w:rPr>
              <w:t>brutinib 140 mg capsule, 90</w:t>
            </w:r>
          </w:p>
        </w:tc>
        <w:tc>
          <w:tcPr>
            <w:tcW w:w="1106" w:type="dxa"/>
          </w:tcPr>
          <w:p w14:paraId="2D2CC9F4" w14:textId="77777777" w:rsidR="00437AC5" w:rsidRDefault="00437AC5" w:rsidP="00540491">
            <w:pPr>
              <w:pStyle w:val="Tablewriting"/>
              <w:rPr>
                <w:rFonts w:ascii="Calibri" w:hAnsi="Calibri"/>
              </w:rPr>
            </w:pPr>
            <w:r>
              <w:rPr>
                <w:rFonts w:ascii="Calibri" w:hAnsi="Calibri"/>
              </w:rPr>
              <w:t>1</w:t>
            </w:r>
          </w:p>
        </w:tc>
        <w:tc>
          <w:tcPr>
            <w:tcW w:w="850" w:type="dxa"/>
          </w:tcPr>
          <w:p w14:paraId="2A4C73D4" w14:textId="77777777" w:rsidR="00437AC5" w:rsidRDefault="00437AC5" w:rsidP="00540491">
            <w:pPr>
              <w:pStyle w:val="Tablewriting"/>
              <w:rPr>
                <w:rFonts w:ascii="Calibri" w:hAnsi="Calibri"/>
              </w:rPr>
            </w:pPr>
            <w:r>
              <w:rPr>
                <w:rFonts w:ascii="Calibri" w:hAnsi="Calibri"/>
              </w:rPr>
              <w:t>5</w:t>
            </w:r>
          </w:p>
        </w:tc>
        <w:tc>
          <w:tcPr>
            <w:tcW w:w="1040" w:type="dxa"/>
          </w:tcPr>
          <w:p w14:paraId="52044BDB" w14:textId="77777777" w:rsidR="00437AC5" w:rsidRPr="00C5635D" w:rsidRDefault="00437AC5" w:rsidP="00540491">
            <w:pPr>
              <w:pStyle w:val="Tablewriting"/>
              <w:rPr>
                <w:rFonts w:ascii="Calibri" w:hAnsi="Calibri"/>
              </w:rPr>
            </w:pPr>
            <w:r w:rsidRPr="008E40C8">
              <w:rPr>
                <w:rFonts w:ascii="Calibri" w:hAnsi="Calibri"/>
              </w:rPr>
              <w:t>$7954.48</w:t>
            </w:r>
          </w:p>
        </w:tc>
        <w:tc>
          <w:tcPr>
            <w:tcW w:w="2104" w:type="dxa"/>
          </w:tcPr>
          <w:p w14:paraId="09DEE11C"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4378EFA4" w14:textId="77777777" w:rsidTr="00540491">
        <w:trPr>
          <w:trHeight w:val="546"/>
          <w:tblHeader/>
        </w:trPr>
        <w:tc>
          <w:tcPr>
            <w:tcW w:w="969" w:type="dxa"/>
          </w:tcPr>
          <w:p w14:paraId="1EE69A85" w14:textId="77777777" w:rsidR="00437AC5" w:rsidRPr="00C5635D" w:rsidRDefault="00437AC5" w:rsidP="00540491">
            <w:pPr>
              <w:pStyle w:val="Tablewriting"/>
              <w:rPr>
                <w:rFonts w:ascii="Calibri" w:hAnsi="Calibri"/>
              </w:rPr>
            </w:pPr>
            <w:hyperlink r:id="rId64" w:tooltip="14612c" w:history="1">
              <w:r w:rsidRPr="008E40C8">
                <w:rPr>
                  <w:rStyle w:val="Hyperlink"/>
                  <w:rFonts w:ascii="Calibri" w:hAnsi="Calibri"/>
                </w:rPr>
                <w:t>14612C</w:t>
              </w:r>
            </w:hyperlink>
          </w:p>
        </w:tc>
        <w:tc>
          <w:tcPr>
            <w:tcW w:w="2995" w:type="dxa"/>
          </w:tcPr>
          <w:p w14:paraId="0FC2A674" w14:textId="77777777" w:rsidR="00437AC5" w:rsidRPr="00C5635D" w:rsidRDefault="00437AC5" w:rsidP="00540491">
            <w:pPr>
              <w:pStyle w:val="Tablewriting"/>
              <w:rPr>
                <w:rFonts w:ascii="Calibri" w:hAnsi="Calibri"/>
              </w:rPr>
            </w:pPr>
            <w:r>
              <w:rPr>
                <w:rFonts w:ascii="Calibri" w:hAnsi="Calibri"/>
              </w:rPr>
              <w:t>I</w:t>
            </w:r>
            <w:r w:rsidRPr="00112966">
              <w:rPr>
                <w:rFonts w:ascii="Calibri" w:hAnsi="Calibri"/>
              </w:rPr>
              <w:t>brutinib 280 mg tablet, 30</w:t>
            </w:r>
          </w:p>
        </w:tc>
        <w:tc>
          <w:tcPr>
            <w:tcW w:w="1106" w:type="dxa"/>
          </w:tcPr>
          <w:p w14:paraId="39786437" w14:textId="77777777" w:rsidR="00437AC5" w:rsidRDefault="00437AC5" w:rsidP="00540491">
            <w:pPr>
              <w:pStyle w:val="Tablewriting"/>
              <w:rPr>
                <w:rFonts w:ascii="Calibri" w:hAnsi="Calibri"/>
              </w:rPr>
            </w:pPr>
            <w:r>
              <w:rPr>
                <w:rFonts w:ascii="Calibri" w:hAnsi="Calibri"/>
              </w:rPr>
              <w:t>1</w:t>
            </w:r>
          </w:p>
        </w:tc>
        <w:tc>
          <w:tcPr>
            <w:tcW w:w="850" w:type="dxa"/>
          </w:tcPr>
          <w:p w14:paraId="5AA97509" w14:textId="77777777" w:rsidR="00437AC5" w:rsidRDefault="00437AC5" w:rsidP="00540491">
            <w:pPr>
              <w:pStyle w:val="Tablewriting"/>
              <w:rPr>
                <w:rFonts w:ascii="Calibri" w:hAnsi="Calibri"/>
              </w:rPr>
            </w:pPr>
            <w:r>
              <w:rPr>
                <w:rFonts w:ascii="Calibri" w:hAnsi="Calibri"/>
              </w:rPr>
              <w:t>4</w:t>
            </w:r>
          </w:p>
        </w:tc>
        <w:tc>
          <w:tcPr>
            <w:tcW w:w="1040" w:type="dxa"/>
          </w:tcPr>
          <w:p w14:paraId="31FBB90E" w14:textId="77777777" w:rsidR="00437AC5" w:rsidRPr="008E40C8" w:rsidRDefault="00437AC5" w:rsidP="00540491">
            <w:pPr>
              <w:pStyle w:val="Tablewriting"/>
              <w:rPr>
                <w:rFonts w:ascii="Calibri" w:hAnsi="Calibri"/>
              </w:rPr>
            </w:pPr>
            <w:r w:rsidRPr="00112966">
              <w:rPr>
                <w:rFonts w:ascii="Calibri" w:hAnsi="Calibri"/>
              </w:rPr>
              <w:t>$5357.30</w:t>
            </w:r>
          </w:p>
        </w:tc>
        <w:tc>
          <w:tcPr>
            <w:tcW w:w="2104" w:type="dxa"/>
          </w:tcPr>
          <w:p w14:paraId="20F71F4F"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55D49DB9" w14:textId="77777777" w:rsidTr="00540491">
        <w:trPr>
          <w:trHeight w:val="546"/>
          <w:tblHeader/>
        </w:trPr>
        <w:tc>
          <w:tcPr>
            <w:tcW w:w="969" w:type="dxa"/>
          </w:tcPr>
          <w:p w14:paraId="118E4D88" w14:textId="77777777" w:rsidR="00437AC5" w:rsidRPr="008E40C8" w:rsidRDefault="00437AC5" w:rsidP="00540491">
            <w:pPr>
              <w:pStyle w:val="Tablewriting"/>
              <w:rPr>
                <w:rFonts w:ascii="Calibri" w:hAnsi="Calibri"/>
              </w:rPr>
            </w:pPr>
            <w:hyperlink r:id="rId65" w:tooltip="14613d" w:history="1">
              <w:r w:rsidRPr="00112966">
                <w:rPr>
                  <w:rStyle w:val="Hyperlink"/>
                  <w:rFonts w:ascii="Calibri" w:hAnsi="Calibri"/>
                </w:rPr>
                <w:t>14613D</w:t>
              </w:r>
            </w:hyperlink>
          </w:p>
        </w:tc>
        <w:tc>
          <w:tcPr>
            <w:tcW w:w="2995" w:type="dxa"/>
          </w:tcPr>
          <w:p w14:paraId="1B4123EA" w14:textId="77777777" w:rsidR="00437AC5" w:rsidRPr="00C5635D" w:rsidRDefault="00437AC5" w:rsidP="00540491">
            <w:pPr>
              <w:pStyle w:val="Tablewriting"/>
              <w:rPr>
                <w:rFonts w:ascii="Calibri" w:hAnsi="Calibri"/>
              </w:rPr>
            </w:pPr>
            <w:r>
              <w:rPr>
                <w:rFonts w:ascii="Calibri" w:hAnsi="Calibri"/>
              </w:rPr>
              <w:t>I</w:t>
            </w:r>
            <w:r w:rsidRPr="008D0108">
              <w:rPr>
                <w:rFonts w:ascii="Calibri" w:hAnsi="Calibri"/>
              </w:rPr>
              <w:t>brutinib 140 mg capsule, 90</w:t>
            </w:r>
          </w:p>
        </w:tc>
        <w:tc>
          <w:tcPr>
            <w:tcW w:w="1106" w:type="dxa"/>
          </w:tcPr>
          <w:p w14:paraId="2D0B82C1" w14:textId="77777777" w:rsidR="00437AC5" w:rsidRDefault="00437AC5" w:rsidP="00540491">
            <w:pPr>
              <w:pStyle w:val="Tablewriting"/>
              <w:rPr>
                <w:rFonts w:ascii="Calibri" w:hAnsi="Calibri"/>
              </w:rPr>
            </w:pPr>
            <w:r>
              <w:rPr>
                <w:rFonts w:ascii="Calibri" w:hAnsi="Calibri"/>
              </w:rPr>
              <w:t>1</w:t>
            </w:r>
          </w:p>
        </w:tc>
        <w:tc>
          <w:tcPr>
            <w:tcW w:w="850" w:type="dxa"/>
          </w:tcPr>
          <w:p w14:paraId="2DA3E92D" w14:textId="77777777" w:rsidR="00437AC5" w:rsidRDefault="00437AC5" w:rsidP="00540491">
            <w:pPr>
              <w:pStyle w:val="Tablewriting"/>
              <w:rPr>
                <w:rFonts w:ascii="Calibri" w:hAnsi="Calibri"/>
              </w:rPr>
            </w:pPr>
            <w:r>
              <w:rPr>
                <w:rFonts w:ascii="Calibri" w:hAnsi="Calibri"/>
              </w:rPr>
              <w:t>5</w:t>
            </w:r>
          </w:p>
        </w:tc>
        <w:tc>
          <w:tcPr>
            <w:tcW w:w="1040" w:type="dxa"/>
          </w:tcPr>
          <w:p w14:paraId="04352CA2" w14:textId="77777777" w:rsidR="00437AC5" w:rsidRPr="008E40C8" w:rsidRDefault="00437AC5" w:rsidP="00540491">
            <w:pPr>
              <w:pStyle w:val="Tablewriting"/>
              <w:rPr>
                <w:rFonts w:ascii="Calibri" w:hAnsi="Calibri"/>
              </w:rPr>
            </w:pPr>
            <w:r w:rsidRPr="008D0108">
              <w:rPr>
                <w:rFonts w:ascii="Calibri" w:hAnsi="Calibri"/>
              </w:rPr>
              <w:t>$7954.48</w:t>
            </w:r>
          </w:p>
        </w:tc>
        <w:tc>
          <w:tcPr>
            <w:tcW w:w="2104" w:type="dxa"/>
          </w:tcPr>
          <w:p w14:paraId="06FDE8B2"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37FAAE44" w14:textId="77777777" w:rsidTr="00540491">
        <w:trPr>
          <w:trHeight w:val="546"/>
          <w:tblHeader/>
        </w:trPr>
        <w:tc>
          <w:tcPr>
            <w:tcW w:w="969" w:type="dxa"/>
          </w:tcPr>
          <w:p w14:paraId="58B3B0BA" w14:textId="77777777" w:rsidR="00437AC5" w:rsidRPr="00112966" w:rsidRDefault="00437AC5" w:rsidP="00540491">
            <w:pPr>
              <w:pStyle w:val="Tablewriting"/>
              <w:rPr>
                <w:rFonts w:ascii="Calibri" w:hAnsi="Calibri"/>
              </w:rPr>
            </w:pPr>
            <w:hyperlink r:id="rId66" w:tooltip="14619k" w:history="1">
              <w:r w:rsidRPr="001D6514">
                <w:rPr>
                  <w:rStyle w:val="Hyperlink"/>
                  <w:rFonts w:ascii="Calibri" w:hAnsi="Calibri"/>
                </w:rPr>
                <w:t>14619K</w:t>
              </w:r>
            </w:hyperlink>
          </w:p>
        </w:tc>
        <w:tc>
          <w:tcPr>
            <w:tcW w:w="2995" w:type="dxa"/>
          </w:tcPr>
          <w:p w14:paraId="008FA657" w14:textId="77777777" w:rsidR="00437AC5" w:rsidRPr="008D0108" w:rsidRDefault="00437AC5" w:rsidP="00540491">
            <w:pPr>
              <w:pStyle w:val="Tablewriting"/>
              <w:rPr>
                <w:rFonts w:ascii="Calibri" w:hAnsi="Calibri"/>
              </w:rPr>
            </w:pPr>
            <w:r>
              <w:rPr>
                <w:rFonts w:ascii="Calibri" w:hAnsi="Calibri"/>
              </w:rPr>
              <w:t>I</w:t>
            </w:r>
            <w:r w:rsidRPr="001D6514">
              <w:rPr>
                <w:rFonts w:ascii="Calibri" w:hAnsi="Calibri"/>
              </w:rPr>
              <w:t>brutinib 420 mg tablet, 30</w:t>
            </w:r>
          </w:p>
        </w:tc>
        <w:tc>
          <w:tcPr>
            <w:tcW w:w="1106" w:type="dxa"/>
          </w:tcPr>
          <w:p w14:paraId="21ED181F" w14:textId="77777777" w:rsidR="00437AC5" w:rsidRDefault="00437AC5" w:rsidP="00540491">
            <w:pPr>
              <w:pStyle w:val="Tablewriting"/>
              <w:rPr>
                <w:rFonts w:ascii="Calibri" w:hAnsi="Calibri"/>
              </w:rPr>
            </w:pPr>
            <w:r>
              <w:rPr>
                <w:rFonts w:ascii="Calibri" w:hAnsi="Calibri"/>
              </w:rPr>
              <w:t>1</w:t>
            </w:r>
          </w:p>
        </w:tc>
        <w:tc>
          <w:tcPr>
            <w:tcW w:w="850" w:type="dxa"/>
          </w:tcPr>
          <w:p w14:paraId="1FC31FCD" w14:textId="77777777" w:rsidR="00437AC5" w:rsidRDefault="00437AC5" w:rsidP="00540491">
            <w:pPr>
              <w:pStyle w:val="Tablewriting"/>
              <w:rPr>
                <w:rFonts w:ascii="Calibri" w:hAnsi="Calibri"/>
              </w:rPr>
            </w:pPr>
            <w:r>
              <w:rPr>
                <w:rFonts w:ascii="Calibri" w:hAnsi="Calibri"/>
              </w:rPr>
              <w:t>5</w:t>
            </w:r>
          </w:p>
        </w:tc>
        <w:tc>
          <w:tcPr>
            <w:tcW w:w="1040" w:type="dxa"/>
          </w:tcPr>
          <w:p w14:paraId="1BA7C5D7" w14:textId="77777777" w:rsidR="00437AC5" w:rsidRPr="008D0108" w:rsidRDefault="00437AC5" w:rsidP="00540491">
            <w:pPr>
              <w:pStyle w:val="Tablewriting"/>
              <w:rPr>
                <w:rFonts w:ascii="Calibri" w:hAnsi="Calibri"/>
              </w:rPr>
            </w:pPr>
            <w:r w:rsidRPr="001D6514">
              <w:rPr>
                <w:rFonts w:ascii="Calibri" w:hAnsi="Calibri"/>
              </w:rPr>
              <w:t>$7954.48</w:t>
            </w:r>
          </w:p>
        </w:tc>
        <w:tc>
          <w:tcPr>
            <w:tcW w:w="2104" w:type="dxa"/>
          </w:tcPr>
          <w:p w14:paraId="0E5D9A72"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7B296B1C" w14:textId="77777777" w:rsidTr="00540491">
        <w:trPr>
          <w:trHeight w:val="546"/>
          <w:tblHeader/>
        </w:trPr>
        <w:tc>
          <w:tcPr>
            <w:tcW w:w="969" w:type="dxa"/>
          </w:tcPr>
          <w:p w14:paraId="26FC344B" w14:textId="77777777" w:rsidR="00437AC5" w:rsidRPr="001D6514" w:rsidRDefault="00437AC5" w:rsidP="00540491">
            <w:pPr>
              <w:pStyle w:val="Tablewriting"/>
              <w:rPr>
                <w:rFonts w:ascii="Calibri" w:hAnsi="Calibri"/>
              </w:rPr>
            </w:pPr>
            <w:hyperlink r:id="rId67" w:tooltip="14620l" w:history="1">
              <w:r w:rsidRPr="00DA6F1B">
                <w:rPr>
                  <w:rStyle w:val="Hyperlink"/>
                  <w:rFonts w:ascii="Calibri" w:hAnsi="Calibri"/>
                </w:rPr>
                <w:t>14620L</w:t>
              </w:r>
            </w:hyperlink>
          </w:p>
        </w:tc>
        <w:tc>
          <w:tcPr>
            <w:tcW w:w="2995" w:type="dxa"/>
          </w:tcPr>
          <w:p w14:paraId="346EEB47" w14:textId="77777777" w:rsidR="00437AC5" w:rsidRPr="001D6514" w:rsidRDefault="00437AC5" w:rsidP="00540491">
            <w:pPr>
              <w:pStyle w:val="Tablewriting"/>
              <w:rPr>
                <w:rFonts w:ascii="Calibri" w:hAnsi="Calibri"/>
              </w:rPr>
            </w:pPr>
            <w:r>
              <w:rPr>
                <w:rFonts w:ascii="Calibri" w:hAnsi="Calibri"/>
              </w:rPr>
              <w:t>I</w:t>
            </w:r>
            <w:r w:rsidRPr="00DA6F1B">
              <w:rPr>
                <w:rFonts w:ascii="Calibri" w:hAnsi="Calibri"/>
              </w:rPr>
              <w:t>brutinib 280 mg tablet, 30</w:t>
            </w:r>
          </w:p>
        </w:tc>
        <w:tc>
          <w:tcPr>
            <w:tcW w:w="1106" w:type="dxa"/>
          </w:tcPr>
          <w:p w14:paraId="1E44C7F4" w14:textId="77777777" w:rsidR="00437AC5" w:rsidRDefault="00437AC5" w:rsidP="00540491">
            <w:pPr>
              <w:pStyle w:val="Tablewriting"/>
              <w:rPr>
                <w:rFonts w:ascii="Calibri" w:hAnsi="Calibri"/>
              </w:rPr>
            </w:pPr>
            <w:r>
              <w:rPr>
                <w:rFonts w:ascii="Calibri" w:hAnsi="Calibri"/>
              </w:rPr>
              <w:t>1</w:t>
            </w:r>
          </w:p>
        </w:tc>
        <w:tc>
          <w:tcPr>
            <w:tcW w:w="850" w:type="dxa"/>
          </w:tcPr>
          <w:p w14:paraId="4FB7A837" w14:textId="77777777" w:rsidR="00437AC5" w:rsidRDefault="00437AC5" w:rsidP="00540491">
            <w:pPr>
              <w:pStyle w:val="Tablewriting"/>
              <w:rPr>
                <w:rFonts w:ascii="Calibri" w:hAnsi="Calibri"/>
              </w:rPr>
            </w:pPr>
            <w:r>
              <w:rPr>
                <w:rFonts w:ascii="Calibri" w:hAnsi="Calibri"/>
              </w:rPr>
              <w:t>5</w:t>
            </w:r>
          </w:p>
        </w:tc>
        <w:tc>
          <w:tcPr>
            <w:tcW w:w="1040" w:type="dxa"/>
          </w:tcPr>
          <w:p w14:paraId="53BD383F" w14:textId="77777777" w:rsidR="00437AC5" w:rsidRPr="001D6514" w:rsidRDefault="00437AC5" w:rsidP="00540491">
            <w:pPr>
              <w:pStyle w:val="Tablewriting"/>
              <w:rPr>
                <w:rFonts w:ascii="Calibri" w:hAnsi="Calibri"/>
              </w:rPr>
            </w:pPr>
            <w:r w:rsidRPr="00DA6F1B">
              <w:rPr>
                <w:rFonts w:ascii="Calibri" w:hAnsi="Calibri"/>
              </w:rPr>
              <w:t>$5357.30</w:t>
            </w:r>
          </w:p>
        </w:tc>
        <w:tc>
          <w:tcPr>
            <w:tcW w:w="2104" w:type="dxa"/>
          </w:tcPr>
          <w:p w14:paraId="1D23A2CE"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r w:rsidR="00437AC5" w:rsidRPr="00762E88" w14:paraId="77C50208" w14:textId="77777777" w:rsidTr="00540491">
        <w:trPr>
          <w:trHeight w:val="546"/>
          <w:tblHeader/>
        </w:trPr>
        <w:tc>
          <w:tcPr>
            <w:tcW w:w="969" w:type="dxa"/>
          </w:tcPr>
          <w:p w14:paraId="7EFF0CCD" w14:textId="77777777" w:rsidR="00437AC5" w:rsidRPr="00DA6F1B" w:rsidRDefault="00437AC5" w:rsidP="00540491">
            <w:pPr>
              <w:pStyle w:val="Tablewriting"/>
              <w:rPr>
                <w:rFonts w:ascii="Calibri" w:hAnsi="Calibri"/>
              </w:rPr>
            </w:pPr>
            <w:hyperlink r:id="rId68" w:tooltip="14621m" w:history="1">
              <w:r w:rsidRPr="00B629C1">
                <w:rPr>
                  <w:rStyle w:val="Hyperlink"/>
                  <w:rFonts w:ascii="Calibri" w:hAnsi="Calibri"/>
                </w:rPr>
                <w:t>14621M</w:t>
              </w:r>
            </w:hyperlink>
          </w:p>
        </w:tc>
        <w:tc>
          <w:tcPr>
            <w:tcW w:w="2995" w:type="dxa"/>
          </w:tcPr>
          <w:p w14:paraId="199B0997" w14:textId="77777777" w:rsidR="00437AC5" w:rsidRPr="00DA6F1B" w:rsidRDefault="00437AC5" w:rsidP="00540491">
            <w:pPr>
              <w:pStyle w:val="Tablewriting"/>
              <w:rPr>
                <w:rFonts w:ascii="Calibri" w:hAnsi="Calibri"/>
              </w:rPr>
            </w:pPr>
            <w:r>
              <w:rPr>
                <w:rFonts w:ascii="Calibri" w:hAnsi="Calibri"/>
              </w:rPr>
              <w:t>I</w:t>
            </w:r>
            <w:r w:rsidRPr="00B629C1">
              <w:rPr>
                <w:rFonts w:ascii="Calibri" w:hAnsi="Calibri"/>
              </w:rPr>
              <w:t>brutinib 420 mg tablet, 30</w:t>
            </w:r>
          </w:p>
        </w:tc>
        <w:tc>
          <w:tcPr>
            <w:tcW w:w="1106" w:type="dxa"/>
          </w:tcPr>
          <w:p w14:paraId="6BCB95BB" w14:textId="77777777" w:rsidR="00437AC5" w:rsidRDefault="00437AC5" w:rsidP="00540491">
            <w:pPr>
              <w:pStyle w:val="Tablewriting"/>
              <w:rPr>
                <w:rFonts w:ascii="Calibri" w:hAnsi="Calibri"/>
              </w:rPr>
            </w:pPr>
            <w:r>
              <w:rPr>
                <w:rFonts w:ascii="Calibri" w:hAnsi="Calibri"/>
              </w:rPr>
              <w:t>1</w:t>
            </w:r>
          </w:p>
        </w:tc>
        <w:tc>
          <w:tcPr>
            <w:tcW w:w="850" w:type="dxa"/>
          </w:tcPr>
          <w:p w14:paraId="7C3C29C1" w14:textId="77777777" w:rsidR="00437AC5" w:rsidRDefault="00437AC5" w:rsidP="00540491">
            <w:pPr>
              <w:pStyle w:val="Tablewriting"/>
              <w:rPr>
                <w:rFonts w:ascii="Calibri" w:hAnsi="Calibri"/>
              </w:rPr>
            </w:pPr>
            <w:r>
              <w:rPr>
                <w:rFonts w:ascii="Calibri" w:hAnsi="Calibri"/>
              </w:rPr>
              <w:t>4</w:t>
            </w:r>
          </w:p>
        </w:tc>
        <w:tc>
          <w:tcPr>
            <w:tcW w:w="1040" w:type="dxa"/>
          </w:tcPr>
          <w:p w14:paraId="2B1AD703" w14:textId="77777777" w:rsidR="00437AC5" w:rsidRPr="00DA6F1B" w:rsidRDefault="00437AC5" w:rsidP="00540491">
            <w:pPr>
              <w:pStyle w:val="Tablewriting"/>
              <w:rPr>
                <w:rFonts w:ascii="Calibri" w:hAnsi="Calibri"/>
              </w:rPr>
            </w:pPr>
            <w:r w:rsidRPr="00B629C1">
              <w:rPr>
                <w:rFonts w:ascii="Calibri" w:hAnsi="Calibri"/>
              </w:rPr>
              <w:t>$7954.48</w:t>
            </w:r>
          </w:p>
        </w:tc>
        <w:tc>
          <w:tcPr>
            <w:tcW w:w="2104" w:type="dxa"/>
          </w:tcPr>
          <w:p w14:paraId="3FB75858" w14:textId="77777777" w:rsidR="00437AC5" w:rsidRPr="00762E88" w:rsidRDefault="00437AC5" w:rsidP="00540491">
            <w:pPr>
              <w:pStyle w:val="Tablewriting"/>
              <w:rPr>
                <w:rFonts w:ascii="Calibri" w:hAnsi="Calibri"/>
              </w:rPr>
            </w:pPr>
            <w:r w:rsidRPr="00EF25B1">
              <w:rPr>
                <w:rFonts w:ascii="Calibri" w:hAnsi="Calibri"/>
              </w:rPr>
              <w:t>Imbruvica</w:t>
            </w:r>
            <w:r>
              <w:rPr>
                <w:rFonts w:ascii="Calibri" w:hAnsi="Calibri"/>
              </w:rPr>
              <w:t xml:space="preserve">, </w:t>
            </w:r>
            <w:r w:rsidRPr="00EF25B1">
              <w:rPr>
                <w:rFonts w:ascii="Calibri" w:hAnsi="Calibri"/>
              </w:rPr>
              <w:t>Janssen-Cilag Pty Ltd</w:t>
            </w:r>
          </w:p>
        </w:tc>
      </w:tr>
    </w:tbl>
    <w:p w14:paraId="1F8E9231" w14:textId="3B8B1EDE" w:rsidR="00BD48C3" w:rsidRDefault="00437AC5" w:rsidP="00437AC5">
      <w:pPr>
        <w:rPr>
          <w:rFonts w:ascii="Calibri" w:hAnsi="Calibri" w:cs="Calibri"/>
          <w:sz w:val="20"/>
          <w:szCs w:val="20"/>
        </w:rPr>
      </w:pPr>
      <w:r w:rsidRPr="00D6549C">
        <w:rPr>
          <w:rFonts w:ascii="Calibri" w:hAnsi="Calibri" w:cs="Calibri"/>
          <w:sz w:val="20"/>
          <w:szCs w:val="20"/>
        </w:rPr>
        <w:t>Special Pricing Arrangements apply.</w:t>
      </w:r>
    </w:p>
    <w:p w14:paraId="6404A2CD" w14:textId="77777777" w:rsidR="00E05952" w:rsidRDefault="00E05952" w:rsidP="00437AC5">
      <w:pPr>
        <w:rPr>
          <w:rFonts w:ascii="Calibri" w:hAnsi="Calibri" w:cs="Calibri"/>
          <w:sz w:val="20"/>
          <w:szCs w:val="20"/>
        </w:rPr>
      </w:pPr>
    </w:p>
    <w:p w14:paraId="43E3E15E" w14:textId="77777777" w:rsidR="00C7199E" w:rsidRDefault="00C7199E" w:rsidP="00437AC5">
      <w:pPr>
        <w:rPr>
          <w:rFonts w:ascii="Calibri" w:hAnsi="Calibri" w:cs="Calibri"/>
          <w:sz w:val="20"/>
          <w:szCs w:val="20"/>
        </w:rPr>
      </w:pPr>
    </w:p>
    <w:p w14:paraId="5F0AE5BC" w14:textId="77777777" w:rsidR="00C7199E" w:rsidRDefault="00C7199E" w:rsidP="00437AC5">
      <w:pPr>
        <w:rPr>
          <w:rFonts w:ascii="Calibri" w:hAnsi="Calibri" w:cs="Calibri"/>
          <w:sz w:val="20"/>
          <w:szCs w:val="20"/>
        </w:rPr>
      </w:pPr>
    </w:p>
    <w:p w14:paraId="166D8087" w14:textId="77777777" w:rsidR="00C7199E" w:rsidRDefault="00C7199E" w:rsidP="00437AC5">
      <w:pPr>
        <w:rPr>
          <w:rFonts w:ascii="Calibri" w:hAnsi="Calibri" w:cs="Calibri"/>
          <w:sz w:val="20"/>
          <w:szCs w:val="20"/>
        </w:rPr>
      </w:pPr>
    </w:p>
    <w:p w14:paraId="4CB0F851" w14:textId="77777777" w:rsidR="00C7199E" w:rsidRDefault="00C7199E" w:rsidP="00437AC5">
      <w:pPr>
        <w:rPr>
          <w:rFonts w:ascii="Calibri" w:hAnsi="Calibri" w:cs="Calibri"/>
          <w:sz w:val="20"/>
          <w:szCs w:val="20"/>
        </w:rPr>
      </w:pPr>
    </w:p>
    <w:p w14:paraId="0E50BF8E" w14:textId="77777777" w:rsidR="00C7199E" w:rsidRPr="00D6549C" w:rsidRDefault="00C7199E" w:rsidP="00437AC5">
      <w:pPr>
        <w:rPr>
          <w:rFonts w:ascii="Calibri" w:hAnsi="Calibri" w:cs="Calibri"/>
          <w:sz w:val="20"/>
          <w:szCs w:val="20"/>
        </w:rPr>
      </w:pPr>
    </w:p>
    <w:p w14:paraId="011D0927" w14:textId="6602EB37" w:rsidR="00437AC5" w:rsidRPr="00D6549C" w:rsidRDefault="00D6549C" w:rsidP="00D6549C">
      <w:pPr>
        <w:pStyle w:val="Tabletitle"/>
        <w:rPr>
          <w:rFonts w:ascii="Calibri" w:hAnsi="Calibri" w:cs="Calibri"/>
          <w:sz w:val="28"/>
          <w:szCs w:val="28"/>
        </w:rPr>
      </w:pPr>
      <w:r w:rsidRPr="001420B3" w:rsidDel="00EE2BBB">
        <w:lastRenderedPageBreak/>
        <w:t xml:space="preserve">Table </w:t>
      </w:r>
      <w:r>
        <w:t>A3</w:t>
      </w:r>
      <w:r w:rsidRPr="001420B3" w:rsidDel="00EE2BBB">
        <w:t xml:space="preserve">: </w:t>
      </w:r>
      <w:r w:rsidDel="00EE2BBB">
        <w:t>PBS listing of</w:t>
      </w:r>
      <w:r>
        <w:t xml:space="preserve"> </w:t>
      </w:r>
      <w:r w:rsidR="008E00B8">
        <w:rPr>
          <w:rFonts w:ascii="Calibri" w:hAnsi="Calibri"/>
        </w:rPr>
        <w:t>I</w:t>
      </w:r>
      <w:r w:rsidR="008E00B8" w:rsidRPr="00CE77A8">
        <w:rPr>
          <w:rFonts w:ascii="Calibri" w:hAnsi="Calibri"/>
        </w:rPr>
        <w:t>delalisib</w:t>
      </w:r>
      <w:r w:rsidRPr="003318A6">
        <w:t xml:space="preserve"> for</w:t>
      </w:r>
      <w:r>
        <w:t xml:space="preserve"> CLL/SLL</w:t>
      </w:r>
    </w:p>
    <w:tbl>
      <w:tblPr>
        <w:tblStyle w:val="TableGrid"/>
        <w:tblW w:w="9064" w:type="dxa"/>
        <w:tblLayout w:type="fixed"/>
        <w:tblLook w:val="04A0" w:firstRow="1" w:lastRow="0" w:firstColumn="1" w:lastColumn="0" w:noHBand="0" w:noVBand="1"/>
      </w:tblPr>
      <w:tblGrid>
        <w:gridCol w:w="969"/>
        <w:gridCol w:w="2995"/>
        <w:gridCol w:w="1106"/>
        <w:gridCol w:w="850"/>
        <w:gridCol w:w="1040"/>
        <w:gridCol w:w="2104"/>
      </w:tblGrid>
      <w:tr w:rsidR="00437AC5" w:rsidRPr="00130553" w:rsidDel="00EE2BBB" w14:paraId="554BE88E" w14:textId="77777777" w:rsidTr="00540491">
        <w:trPr>
          <w:trHeight w:val="694"/>
          <w:tblHeader/>
        </w:trPr>
        <w:tc>
          <w:tcPr>
            <w:tcW w:w="969" w:type="dxa"/>
            <w:shd w:val="clear" w:color="auto" w:fill="BFBFBF" w:themeFill="background1" w:themeFillShade="BF"/>
          </w:tcPr>
          <w:p w14:paraId="51F4CD1F"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Item</w:t>
            </w:r>
          </w:p>
        </w:tc>
        <w:tc>
          <w:tcPr>
            <w:tcW w:w="2995" w:type="dxa"/>
            <w:shd w:val="clear" w:color="auto" w:fill="BFBFBF" w:themeFill="background1" w:themeFillShade="BF"/>
          </w:tcPr>
          <w:p w14:paraId="376E01B2"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Name, form &amp; strength, pack size</w:t>
            </w:r>
          </w:p>
        </w:tc>
        <w:tc>
          <w:tcPr>
            <w:tcW w:w="1106" w:type="dxa"/>
            <w:shd w:val="clear" w:color="auto" w:fill="BFBFBF" w:themeFill="background1" w:themeFillShade="BF"/>
          </w:tcPr>
          <w:p w14:paraId="1243CA08" w14:textId="2F527B7A"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Max. quant</w:t>
            </w:r>
            <w:r w:rsidR="00815857">
              <w:rPr>
                <w:rFonts w:ascii="Calibri" w:hAnsi="Calibri"/>
                <w:sz w:val="20"/>
                <w:szCs w:val="20"/>
              </w:rPr>
              <w:t xml:space="preserve"> packs</w:t>
            </w:r>
            <w:r w:rsidRPr="00130553" w:rsidDel="00EE2BBB">
              <w:rPr>
                <w:rFonts w:ascii="Calibri" w:hAnsi="Calibri"/>
                <w:sz w:val="20"/>
                <w:szCs w:val="20"/>
              </w:rPr>
              <w:t xml:space="preserve">. </w:t>
            </w:r>
          </w:p>
        </w:tc>
        <w:tc>
          <w:tcPr>
            <w:tcW w:w="850" w:type="dxa"/>
            <w:shd w:val="clear" w:color="auto" w:fill="BFBFBF" w:themeFill="background1" w:themeFillShade="BF"/>
          </w:tcPr>
          <w:p w14:paraId="4DAA4981"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 xml:space="preserve">Rpts </w:t>
            </w:r>
          </w:p>
        </w:tc>
        <w:tc>
          <w:tcPr>
            <w:tcW w:w="1040" w:type="dxa"/>
            <w:shd w:val="clear" w:color="auto" w:fill="BFBFBF" w:themeFill="background1" w:themeFillShade="BF"/>
          </w:tcPr>
          <w:p w14:paraId="18D2C756"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DPMQ</w:t>
            </w:r>
          </w:p>
        </w:tc>
        <w:tc>
          <w:tcPr>
            <w:tcW w:w="2104" w:type="dxa"/>
            <w:shd w:val="clear" w:color="auto" w:fill="BFBFBF" w:themeFill="background1" w:themeFillShade="BF"/>
          </w:tcPr>
          <w:p w14:paraId="6935F02D"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Brand name and manufacturer</w:t>
            </w:r>
          </w:p>
        </w:tc>
      </w:tr>
      <w:tr w:rsidR="00437AC5" w:rsidRPr="00130553" w:rsidDel="00EE2BBB" w14:paraId="2E623820" w14:textId="77777777" w:rsidTr="00540491">
        <w:trPr>
          <w:trHeight w:val="546"/>
          <w:tblHeader/>
        </w:trPr>
        <w:tc>
          <w:tcPr>
            <w:tcW w:w="969" w:type="dxa"/>
          </w:tcPr>
          <w:p w14:paraId="5C25733D" w14:textId="77777777" w:rsidR="00437AC5" w:rsidRPr="00130553" w:rsidDel="00EE2BBB" w:rsidRDefault="00437AC5" w:rsidP="00540491">
            <w:pPr>
              <w:pStyle w:val="Tablewriting"/>
              <w:rPr>
                <w:rFonts w:ascii="Calibri" w:hAnsi="Calibri"/>
              </w:rPr>
            </w:pPr>
            <w:hyperlink r:id="rId69" w:tooltip="11162l" w:history="1">
              <w:r w:rsidRPr="001C3047">
                <w:rPr>
                  <w:rStyle w:val="Hyperlink"/>
                  <w:rFonts w:ascii="Calibri" w:hAnsi="Calibri"/>
                </w:rPr>
                <w:t>11162L</w:t>
              </w:r>
            </w:hyperlink>
          </w:p>
        </w:tc>
        <w:tc>
          <w:tcPr>
            <w:tcW w:w="2995" w:type="dxa"/>
          </w:tcPr>
          <w:p w14:paraId="23C2DB54" w14:textId="77777777" w:rsidR="00437AC5" w:rsidRPr="00130553" w:rsidDel="00EE2BBB" w:rsidRDefault="00437AC5" w:rsidP="00540491">
            <w:pPr>
              <w:pStyle w:val="Tablewriting"/>
              <w:rPr>
                <w:rFonts w:ascii="Calibri" w:hAnsi="Calibri"/>
              </w:rPr>
            </w:pPr>
            <w:r>
              <w:rPr>
                <w:rFonts w:ascii="Calibri" w:hAnsi="Calibri"/>
              </w:rPr>
              <w:t>I</w:t>
            </w:r>
            <w:r w:rsidRPr="00CE77A8">
              <w:rPr>
                <w:rFonts w:ascii="Calibri" w:hAnsi="Calibri"/>
              </w:rPr>
              <w:t>delalisib 150 mg tablet, 60</w:t>
            </w:r>
          </w:p>
        </w:tc>
        <w:tc>
          <w:tcPr>
            <w:tcW w:w="1106" w:type="dxa"/>
          </w:tcPr>
          <w:p w14:paraId="0564FC23" w14:textId="77777777" w:rsidR="00437AC5" w:rsidRPr="00130553" w:rsidDel="00EE2BBB" w:rsidRDefault="00437AC5" w:rsidP="00540491">
            <w:pPr>
              <w:pStyle w:val="Tablewriting"/>
              <w:rPr>
                <w:rFonts w:ascii="Calibri" w:hAnsi="Calibri"/>
              </w:rPr>
            </w:pPr>
            <w:r>
              <w:rPr>
                <w:rFonts w:ascii="Calibri" w:hAnsi="Calibri"/>
              </w:rPr>
              <w:t>1</w:t>
            </w:r>
          </w:p>
        </w:tc>
        <w:tc>
          <w:tcPr>
            <w:tcW w:w="850" w:type="dxa"/>
          </w:tcPr>
          <w:p w14:paraId="0E297D4B" w14:textId="77777777" w:rsidR="00437AC5" w:rsidRPr="00130553" w:rsidDel="00EE2BBB" w:rsidRDefault="00437AC5" w:rsidP="00540491">
            <w:pPr>
              <w:pStyle w:val="Tablewriting"/>
              <w:rPr>
                <w:rFonts w:ascii="Calibri" w:hAnsi="Calibri"/>
              </w:rPr>
            </w:pPr>
            <w:r>
              <w:rPr>
                <w:rFonts w:ascii="Calibri" w:hAnsi="Calibri"/>
              </w:rPr>
              <w:t>5</w:t>
            </w:r>
          </w:p>
        </w:tc>
        <w:tc>
          <w:tcPr>
            <w:tcW w:w="1040" w:type="dxa"/>
          </w:tcPr>
          <w:p w14:paraId="68B87106" w14:textId="77777777" w:rsidR="00437AC5" w:rsidRPr="00130553" w:rsidDel="00EE2BBB" w:rsidRDefault="00437AC5" w:rsidP="00540491">
            <w:pPr>
              <w:pStyle w:val="Tablewriting"/>
              <w:rPr>
                <w:rFonts w:ascii="Calibri" w:hAnsi="Calibri"/>
              </w:rPr>
            </w:pPr>
            <w:r w:rsidRPr="00CE77A8">
              <w:rPr>
                <w:rFonts w:ascii="Calibri" w:hAnsi="Calibri"/>
              </w:rPr>
              <w:t>$5119.79</w:t>
            </w:r>
          </w:p>
        </w:tc>
        <w:tc>
          <w:tcPr>
            <w:tcW w:w="2104" w:type="dxa"/>
          </w:tcPr>
          <w:p w14:paraId="06D4D7AA" w14:textId="77777777" w:rsidR="00437AC5" w:rsidRPr="00130553" w:rsidDel="00EE2BBB" w:rsidRDefault="00437AC5" w:rsidP="00540491">
            <w:pPr>
              <w:pStyle w:val="Tablewriting"/>
              <w:rPr>
                <w:rFonts w:ascii="Calibri" w:hAnsi="Calibri"/>
              </w:rPr>
            </w:pPr>
            <w:r w:rsidRPr="00CE77A8">
              <w:rPr>
                <w:rFonts w:ascii="Calibri" w:hAnsi="Calibri"/>
              </w:rPr>
              <w:t>Zydelig</w:t>
            </w:r>
            <w:r>
              <w:rPr>
                <w:rFonts w:ascii="Calibri" w:hAnsi="Calibri"/>
              </w:rPr>
              <w:t xml:space="preserve">, </w:t>
            </w:r>
            <w:r w:rsidRPr="004E0988">
              <w:rPr>
                <w:rFonts w:ascii="Calibri" w:hAnsi="Calibri"/>
              </w:rPr>
              <w:t>Gilead Sciences Pty Limited</w:t>
            </w:r>
          </w:p>
        </w:tc>
      </w:tr>
      <w:tr w:rsidR="00437AC5" w:rsidRPr="00762E88" w14:paraId="2C2063DD" w14:textId="77777777" w:rsidTr="00540491">
        <w:trPr>
          <w:trHeight w:val="546"/>
          <w:tblHeader/>
        </w:trPr>
        <w:tc>
          <w:tcPr>
            <w:tcW w:w="969" w:type="dxa"/>
          </w:tcPr>
          <w:p w14:paraId="090FF347" w14:textId="77777777" w:rsidR="00437AC5" w:rsidRPr="003739D0" w:rsidRDefault="00437AC5" w:rsidP="00540491">
            <w:pPr>
              <w:pStyle w:val="Tablewriting"/>
              <w:rPr>
                <w:rFonts w:ascii="Calibri" w:hAnsi="Calibri"/>
              </w:rPr>
            </w:pPr>
            <w:hyperlink r:id="rId70" w:tooltip="11170x" w:history="1">
              <w:r w:rsidRPr="004E0988">
                <w:rPr>
                  <w:rStyle w:val="Hyperlink"/>
                  <w:rFonts w:ascii="Calibri" w:hAnsi="Calibri"/>
                </w:rPr>
                <w:t>11170X</w:t>
              </w:r>
            </w:hyperlink>
          </w:p>
        </w:tc>
        <w:tc>
          <w:tcPr>
            <w:tcW w:w="2995" w:type="dxa"/>
          </w:tcPr>
          <w:p w14:paraId="43F4A17E" w14:textId="77777777" w:rsidR="00437AC5" w:rsidRDefault="00437AC5" w:rsidP="00540491">
            <w:pPr>
              <w:pStyle w:val="Tablewriting"/>
              <w:rPr>
                <w:rFonts w:ascii="Calibri" w:hAnsi="Calibri"/>
              </w:rPr>
            </w:pPr>
            <w:r>
              <w:rPr>
                <w:rFonts w:ascii="Calibri" w:hAnsi="Calibri"/>
              </w:rPr>
              <w:t>I</w:t>
            </w:r>
            <w:r w:rsidRPr="005472D4">
              <w:rPr>
                <w:rFonts w:ascii="Calibri" w:hAnsi="Calibri"/>
              </w:rPr>
              <w:t>delalisib 100 mg tablet, 60 </w:t>
            </w:r>
          </w:p>
        </w:tc>
        <w:tc>
          <w:tcPr>
            <w:tcW w:w="1106" w:type="dxa"/>
          </w:tcPr>
          <w:p w14:paraId="1AE4292E" w14:textId="77777777" w:rsidR="00437AC5" w:rsidRDefault="00437AC5" w:rsidP="00540491">
            <w:pPr>
              <w:pStyle w:val="Tablewriting"/>
              <w:rPr>
                <w:rFonts w:ascii="Calibri" w:hAnsi="Calibri"/>
              </w:rPr>
            </w:pPr>
            <w:r>
              <w:rPr>
                <w:rFonts w:ascii="Calibri" w:hAnsi="Calibri"/>
              </w:rPr>
              <w:t>1</w:t>
            </w:r>
          </w:p>
        </w:tc>
        <w:tc>
          <w:tcPr>
            <w:tcW w:w="850" w:type="dxa"/>
          </w:tcPr>
          <w:p w14:paraId="3E0C8B59" w14:textId="77777777" w:rsidR="00437AC5" w:rsidRDefault="00437AC5" w:rsidP="00540491">
            <w:pPr>
              <w:pStyle w:val="Tablewriting"/>
              <w:rPr>
                <w:rFonts w:ascii="Calibri" w:hAnsi="Calibri"/>
              </w:rPr>
            </w:pPr>
            <w:r>
              <w:rPr>
                <w:rFonts w:ascii="Calibri" w:hAnsi="Calibri"/>
              </w:rPr>
              <w:t>5</w:t>
            </w:r>
          </w:p>
        </w:tc>
        <w:tc>
          <w:tcPr>
            <w:tcW w:w="1040" w:type="dxa"/>
          </w:tcPr>
          <w:p w14:paraId="024AB3AC" w14:textId="77777777" w:rsidR="00437AC5" w:rsidRPr="005707EE" w:rsidRDefault="00437AC5" w:rsidP="00540491">
            <w:pPr>
              <w:pStyle w:val="Tablewriting"/>
              <w:rPr>
                <w:rFonts w:ascii="Calibri" w:hAnsi="Calibri"/>
              </w:rPr>
            </w:pPr>
            <w:r w:rsidRPr="005472D4">
              <w:rPr>
                <w:rFonts w:ascii="Calibri" w:hAnsi="Calibri"/>
              </w:rPr>
              <w:t>$5119.79</w:t>
            </w:r>
          </w:p>
        </w:tc>
        <w:tc>
          <w:tcPr>
            <w:tcW w:w="2104" w:type="dxa"/>
          </w:tcPr>
          <w:p w14:paraId="06DB74E7" w14:textId="77777777" w:rsidR="00437AC5" w:rsidRPr="00762E88" w:rsidRDefault="00437AC5" w:rsidP="00540491">
            <w:pPr>
              <w:pStyle w:val="Tablewriting"/>
              <w:rPr>
                <w:rFonts w:ascii="Calibri" w:hAnsi="Calibri"/>
              </w:rPr>
            </w:pPr>
            <w:r w:rsidRPr="002D2F03">
              <w:rPr>
                <w:rFonts w:ascii="Calibri" w:hAnsi="Calibri"/>
              </w:rPr>
              <w:t>Zydelig, Gilead Sciences Pty Limited</w:t>
            </w:r>
          </w:p>
        </w:tc>
      </w:tr>
    </w:tbl>
    <w:p w14:paraId="71A3EA9E" w14:textId="77777777" w:rsidR="00437AC5" w:rsidRPr="008E00B8" w:rsidRDefault="00437AC5" w:rsidP="00437AC5">
      <w:pPr>
        <w:rPr>
          <w:rFonts w:ascii="Calibri" w:hAnsi="Calibri" w:cs="Calibri"/>
          <w:sz w:val="20"/>
          <w:szCs w:val="20"/>
        </w:rPr>
      </w:pPr>
      <w:r w:rsidRPr="008E00B8">
        <w:rPr>
          <w:rFonts w:ascii="Calibri" w:hAnsi="Calibri" w:cs="Calibri"/>
          <w:sz w:val="20"/>
          <w:szCs w:val="20"/>
        </w:rPr>
        <w:t>Special Pricing Arrangements apply.</w:t>
      </w:r>
    </w:p>
    <w:p w14:paraId="386C9C15" w14:textId="406E8DB6" w:rsidR="00437AC5" w:rsidRPr="008E00B8" w:rsidRDefault="008E00B8" w:rsidP="008E00B8">
      <w:pPr>
        <w:pStyle w:val="Tabletitle"/>
        <w:rPr>
          <w:rFonts w:ascii="Calibri" w:hAnsi="Calibri" w:cs="Calibri"/>
          <w:sz w:val="28"/>
          <w:szCs w:val="28"/>
        </w:rPr>
      </w:pPr>
      <w:r w:rsidRPr="001420B3" w:rsidDel="00EE2BBB">
        <w:t xml:space="preserve">Table </w:t>
      </w:r>
      <w:r>
        <w:t>A4</w:t>
      </w:r>
      <w:r w:rsidRPr="001420B3" w:rsidDel="00EE2BBB">
        <w:t xml:space="preserve">: </w:t>
      </w:r>
      <w:r w:rsidDel="00EE2BBB">
        <w:t>PBS listing of</w:t>
      </w:r>
      <w:r>
        <w:t xml:space="preserve"> </w:t>
      </w:r>
      <w:r>
        <w:rPr>
          <w:rFonts w:ascii="Calibri" w:hAnsi="Calibri"/>
        </w:rPr>
        <w:t>O</w:t>
      </w:r>
      <w:r w:rsidRPr="00232C16">
        <w:rPr>
          <w:rFonts w:ascii="Calibri" w:hAnsi="Calibri"/>
        </w:rPr>
        <w:t>binutuzumab</w:t>
      </w:r>
      <w:r w:rsidRPr="003318A6">
        <w:t xml:space="preserve"> for</w:t>
      </w:r>
      <w:r>
        <w:t xml:space="preserve"> CLL/SLL</w:t>
      </w:r>
    </w:p>
    <w:tbl>
      <w:tblPr>
        <w:tblStyle w:val="TableGrid"/>
        <w:tblW w:w="9064" w:type="dxa"/>
        <w:tblLayout w:type="fixed"/>
        <w:tblLook w:val="04A0" w:firstRow="1" w:lastRow="0" w:firstColumn="1" w:lastColumn="0" w:noHBand="0" w:noVBand="1"/>
      </w:tblPr>
      <w:tblGrid>
        <w:gridCol w:w="969"/>
        <w:gridCol w:w="2995"/>
        <w:gridCol w:w="1106"/>
        <w:gridCol w:w="850"/>
        <w:gridCol w:w="1040"/>
        <w:gridCol w:w="2104"/>
      </w:tblGrid>
      <w:tr w:rsidR="00437AC5" w:rsidRPr="00130553" w:rsidDel="00EE2BBB" w14:paraId="1336C4CE" w14:textId="77777777" w:rsidTr="00540491">
        <w:trPr>
          <w:trHeight w:val="694"/>
          <w:tblHeader/>
        </w:trPr>
        <w:tc>
          <w:tcPr>
            <w:tcW w:w="969" w:type="dxa"/>
            <w:shd w:val="clear" w:color="auto" w:fill="BFBFBF" w:themeFill="background1" w:themeFillShade="BF"/>
          </w:tcPr>
          <w:p w14:paraId="39ACAA6B"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Item</w:t>
            </w:r>
          </w:p>
        </w:tc>
        <w:tc>
          <w:tcPr>
            <w:tcW w:w="2995" w:type="dxa"/>
            <w:shd w:val="clear" w:color="auto" w:fill="BFBFBF" w:themeFill="background1" w:themeFillShade="BF"/>
          </w:tcPr>
          <w:p w14:paraId="3012AE14"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Name, form &amp; strength, pack size</w:t>
            </w:r>
          </w:p>
        </w:tc>
        <w:tc>
          <w:tcPr>
            <w:tcW w:w="1106" w:type="dxa"/>
            <w:shd w:val="clear" w:color="auto" w:fill="BFBFBF" w:themeFill="background1" w:themeFillShade="BF"/>
          </w:tcPr>
          <w:p w14:paraId="57ACFB9F"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 xml:space="preserve">Max. quant. </w:t>
            </w:r>
          </w:p>
        </w:tc>
        <w:tc>
          <w:tcPr>
            <w:tcW w:w="850" w:type="dxa"/>
            <w:shd w:val="clear" w:color="auto" w:fill="BFBFBF" w:themeFill="background1" w:themeFillShade="BF"/>
          </w:tcPr>
          <w:p w14:paraId="223DF21B"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 xml:space="preserve">Rpts </w:t>
            </w:r>
          </w:p>
        </w:tc>
        <w:tc>
          <w:tcPr>
            <w:tcW w:w="1040" w:type="dxa"/>
            <w:shd w:val="clear" w:color="auto" w:fill="BFBFBF" w:themeFill="background1" w:themeFillShade="BF"/>
          </w:tcPr>
          <w:p w14:paraId="3D7DCC80"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DPMQ</w:t>
            </w:r>
          </w:p>
        </w:tc>
        <w:tc>
          <w:tcPr>
            <w:tcW w:w="2104" w:type="dxa"/>
            <w:shd w:val="clear" w:color="auto" w:fill="BFBFBF" w:themeFill="background1" w:themeFillShade="BF"/>
          </w:tcPr>
          <w:p w14:paraId="1E1B2A69"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Brand name and manufacturer</w:t>
            </w:r>
          </w:p>
        </w:tc>
      </w:tr>
      <w:tr w:rsidR="00437AC5" w:rsidRPr="00130553" w:rsidDel="00EE2BBB" w14:paraId="2469BCC4" w14:textId="77777777" w:rsidTr="00540491">
        <w:trPr>
          <w:trHeight w:val="546"/>
          <w:tblHeader/>
        </w:trPr>
        <w:tc>
          <w:tcPr>
            <w:tcW w:w="969" w:type="dxa"/>
          </w:tcPr>
          <w:p w14:paraId="3728D154" w14:textId="77777777" w:rsidR="00437AC5" w:rsidRPr="00130553" w:rsidDel="00EE2BBB" w:rsidRDefault="00437AC5" w:rsidP="00540491">
            <w:pPr>
              <w:pStyle w:val="Tablewriting"/>
              <w:rPr>
                <w:rFonts w:ascii="Calibri" w:hAnsi="Calibri"/>
              </w:rPr>
            </w:pPr>
            <w:hyperlink r:id="rId71" w:tooltip="10407r" w:history="1">
              <w:r w:rsidRPr="00770FED">
                <w:rPr>
                  <w:rStyle w:val="Hyperlink"/>
                  <w:rFonts w:ascii="Calibri" w:hAnsi="Calibri"/>
                </w:rPr>
                <w:t>10407R</w:t>
              </w:r>
            </w:hyperlink>
          </w:p>
        </w:tc>
        <w:tc>
          <w:tcPr>
            <w:tcW w:w="2995" w:type="dxa"/>
          </w:tcPr>
          <w:p w14:paraId="33F349B9" w14:textId="77777777" w:rsidR="00437AC5" w:rsidRPr="00130553" w:rsidDel="00EE2BBB" w:rsidRDefault="00437AC5" w:rsidP="00540491">
            <w:pPr>
              <w:pStyle w:val="Tablewriting"/>
              <w:rPr>
                <w:rFonts w:ascii="Calibri" w:hAnsi="Calibri"/>
              </w:rPr>
            </w:pPr>
            <w:r>
              <w:rPr>
                <w:rFonts w:ascii="Calibri" w:hAnsi="Calibri"/>
              </w:rPr>
              <w:t>O</w:t>
            </w:r>
            <w:r w:rsidRPr="00232C16">
              <w:rPr>
                <w:rFonts w:ascii="Calibri" w:hAnsi="Calibri"/>
              </w:rPr>
              <w:t>binutuzumab 1 g/40 mL injection, 40 mL vial</w:t>
            </w:r>
          </w:p>
        </w:tc>
        <w:tc>
          <w:tcPr>
            <w:tcW w:w="1106" w:type="dxa"/>
          </w:tcPr>
          <w:p w14:paraId="17601F9E" w14:textId="77777777" w:rsidR="00437AC5" w:rsidRPr="00130553" w:rsidDel="00EE2BBB" w:rsidRDefault="00437AC5" w:rsidP="00540491">
            <w:pPr>
              <w:pStyle w:val="Tablewriting"/>
              <w:rPr>
                <w:rFonts w:ascii="Calibri" w:hAnsi="Calibri"/>
              </w:rPr>
            </w:pPr>
            <w:r>
              <w:rPr>
                <w:rFonts w:ascii="Calibri" w:hAnsi="Calibri"/>
              </w:rPr>
              <w:t>1000 mg</w:t>
            </w:r>
          </w:p>
        </w:tc>
        <w:tc>
          <w:tcPr>
            <w:tcW w:w="850" w:type="dxa"/>
          </w:tcPr>
          <w:p w14:paraId="5DA9A8F8" w14:textId="77777777" w:rsidR="00437AC5" w:rsidRPr="00130553" w:rsidDel="00EE2BBB" w:rsidRDefault="00437AC5" w:rsidP="00540491">
            <w:pPr>
              <w:pStyle w:val="Tablewriting"/>
              <w:rPr>
                <w:rFonts w:ascii="Calibri" w:hAnsi="Calibri"/>
              </w:rPr>
            </w:pPr>
            <w:r>
              <w:rPr>
                <w:rFonts w:ascii="Calibri" w:hAnsi="Calibri"/>
              </w:rPr>
              <w:t>7</w:t>
            </w:r>
          </w:p>
        </w:tc>
        <w:tc>
          <w:tcPr>
            <w:tcW w:w="1040" w:type="dxa"/>
          </w:tcPr>
          <w:p w14:paraId="50C41141" w14:textId="77777777" w:rsidR="00437AC5" w:rsidRPr="00130553" w:rsidDel="00EE2BBB" w:rsidRDefault="00437AC5" w:rsidP="00540491">
            <w:pPr>
              <w:pStyle w:val="Tablewriting"/>
              <w:rPr>
                <w:rFonts w:ascii="Calibri" w:hAnsi="Calibri"/>
              </w:rPr>
            </w:pPr>
            <w:r w:rsidRPr="00232C16">
              <w:rPr>
                <w:rFonts w:ascii="Calibri" w:hAnsi="Calibri"/>
              </w:rPr>
              <w:t>$4616.75</w:t>
            </w:r>
          </w:p>
        </w:tc>
        <w:tc>
          <w:tcPr>
            <w:tcW w:w="2104" w:type="dxa"/>
          </w:tcPr>
          <w:p w14:paraId="0CD6B851" w14:textId="77777777" w:rsidR="00437AC5" w:rsidRPr="00130553" w:rsidDel="00EE2BBB" w:rsidRDefault="00437AC5" w:rsidP="00540491">
            <w:pPr>
              <w:pStyle w:val="Tablewriting"/>
              <w:rPr>
                <w:rFonts w:ascii="Calibri" w:hAnsi="Calibri"/>
              </w:rPr>
            </w:pPr>
            <w:r w:rsidRPr="00074C66">
              <w:rPr>
                <w:rFonts w:ascii="Calibri" w:hAnsi="Calibri"/>
              </w:rPr>
              <w:t>Gazyva</w:t>
            </w:r>
            <w:r>
              <w:rPr>
                <w:rFonts w:ascii="Calibri" w:hAnsi="Calibri"/>
              </w:rPr>
              <w:t xml:space="preserve">, </w:t>
            </w:r>
            <w:r w:rsidRPr="00074C66">
              <w:rPr>
                <w:rFonts w:ascii="Calibri" w:hAnsi="Calibri"/>
              </w:rPr>
              <w:t>Roche Products Pty Ltd</w:t>
            </w:r>
          </w:p>
        </w:tc>
      </w:tr>
      <w:tr w:rsidR="00437AC5" w:rsidRPr="00762E88" w14:paraId="2468C622" w14:textId="77777777" w:rsidTr="00540491">
        <w:trPr>
          <w:trHeight w:val="546"/>
          <w:tblHeader/>
        </w:trPr>
        <w:tc>
          <w:tcPr>
            <w:tcW w:w="969" w:type="dxa"/>
          </w:tcPr>
          <w:p w14:paraId="077B6DAB" w14:textId="77777777" w:rsidR="00437AC5" w:rsidRPr="003739D0" w:rsidRDefault="00437AC5" w:rsidP="00540491">
            <w:pPr>
              <w:pStyle w:val="Tablewriting"/>
              <w:rPr>
                <w:rFonts w:ascii="Calibri" w:hAnsi="Calibri"/>
              </w:rPr>
            </w:pPr>
            <w:hyperlink r:id="rId72" w:tooltip="10418h" w:history="1">
              <w:r w:rsidRPr="000257A1">
                <w:rPr>
                  <w:rStyle w:val="Hyperlink"/>
                  <w:rFonts w:ascii="Calibri" w:hAnsi="Calibri"/>
                </w:rPr>
                <w:t>10418H</w:t>
              </w:r>
            </w:hyperlink>
          </w:p>
        </w:tc>
        <w:tc>
          <w:tcPr>
            <w:tcW w:w="2995" w:type="dxa"/>
          </w:tcPr>
          <w:p w14:paraId="252AF105" w14:textId="77777777" w:rsidR="00437AC5" w:rsidRDefault="00437AC5" w:rsidP="00540491">
            <w:pPr>
              <w:pStyle w:val="Tablewriting"/>
              <w:rPr>
                <w:rFonts w:ascii="Calibri" w:hAnsi="Calibri"/>
              </w:rPr>
            </w:pPr>
            <w:r>
              <w:rPr>
                <w:rFonts w:ascii="Calibri" w:hAnsi="Calibri"/>
              </w:rPr>
              <w:t>O</w:t>
            </w:r>
            <w:r w:rsidRPr="000257A1">
              <w:rPr>
                <w:rFonts w:ascii="Calibri" w:hAnsi="Calibri"/>
              </w:rPr>
              <w:t>binutuzumab 1 g/40 mL injection, 40 mL vial</w:t>
            </w:r>
          </w:p>
        </w:tc>
        <w:tc>
          <w:tcPr>
            <w:tcW w:w="1106" w:type="dxa"/>
          </w:tcPr>
          <w:p w14:paraId="7B6D139F" w14:textId="77777777" w:rsidR="00437AC5" w:rsidRDefault="00437AC5" w:rsidP="00540491">
            <w:pPr>
              <w:pStyle w:val="Tablewriting"/>
              <w:rPr>
                <w:rFonts w:ascii="Calibri" w:hAnsi="Calibri"/>
              </w:rPr>
            </w:pPr>
            <w:r>
              <w:rPr>
                <w:rFonts w:ascii="Calibri" w:hAnsi="Calibri"/>
              </w:rPr>
              <w:t>1000 mg</w:t>
            </w:r>
          </w:p>
        </w:tc>
        <w:tc>
          <w:tcPr>
            <w:tcW w:w="850" w:type="dxa"/>
          </w:tcPr>
          <w:p w14:paraId="2296AD8E" w14:textId="77777777" w:rsidR="00437AC5" w:rsidRDefault="00437AC5" w:rsidP="00540491">
            <w:pPr>
              <w:pStyle w:val="Tablewriting"/>
              <w:rPr>
                <w:rFonts w:ascii="Calibri" w:hAnsi="Calibri"/>
              </w:rPr>
            </w:pPr>
            <w:r>
              <w:rPr>
                <w:rFonts w:ascii="Calibri" w:hAnsi="Calibri"/>
              </w:rPr>
              <w:t>7</w:t>
            </w:r>
          </w:p>
        </w:tc>
        <w:tc>
          <w:tcPr>
            <w:tcW w:w="1040" w:type="dxa"/>
          </w:tcPr>
          <w:p w14:paraId="098CDE8E" w14:textId="77777777" w:rsidR="00437AC5" w:rsidRPr="005707EE" w:rsidRDefault="00437AC5" w:rsidP="00540491">
            <w:pPr>
              <w:pStyle w:val="Tablewriting"/>
              <w:rPr>
                <w:rFonts w:ascii="Calibri" w:hAnsi="Calibri"/>
              </w:rPr>
            </w:pPr>
            <w:r w:rsidRPr="00866440">
              <w:rPr>
                <w:rFonts w:ascii="Calibri" w:hAnsi="Calibri"/>
              </w:rPr>
              <w:t>$4725.78</w:t>
            </w:r>
          </w:p>
        </w:tc>
        <w:tc>
          <w:tcPr>
            <w:tcW w:w="2104" w:type="dxa"/>
          </w:tcPr>
          <w:p w14:paraId="7C42A960" w14:textId="77777777" w:rsidR="00437AC5" w:rsidRPr="00762E88" w:rsidRDefault="00437AC5" w:rsidP="00540491">
            <w:pPr>
              <w:pStyle w:val="Tablewriting"/>
              <w:rPr>
                <w:rFonts w:ascii="Calibri" w:hAnsi="Calibri"/>
              </w:rPr>
            </w:pPr>
            <w:r w:rsidRPr="00074C66">
              <w:rPr>
                <w:rFonts w:ascii="Calibri" w:hAnsi="Calibri"/>
              </w:rPr>
              <w:t>Gazyva</w:t>
            </w:r>
            <w:r>
              <w:rPr>
                <w:rFonts w:ascii="Calibri" w:hAnsi="Calibri"/>
              </w:rPr>
              <w:t xml:space="preserve">, </w:t>
            </w:r>
            <w:r w:rsidRPr="00074C66">
              <w:rPr>
                <w:rFonts w:ascii="Calibri" w:hAnsi="Calibri"/>
              </w:rPr>
              <w:t>Roche Products Pty Ltd</w:t>
            </w:r>
          </w:p>
        </w:tc>
      </w:tr>
      <w:tr w:rsidR="00437AC5" w:rsidRPr="00762E88" w14:paraId="45C3F333" w14:textId="77777777" w:rsidTr="00540491">
        <w:trPr>
          <w:trHeight w:val="546"/>
          <w:tblHeader/>
        </w:trPr>
        <w:tc>
          <w:tcPr>
            <w:tcW w:w="969" w:type="dxa"/>
          </w:tcPr>
          <w:p w14:paraId="6285BC60" w14:textId="77777777" w:rsidR="00437AC5" w:rsidRPr="000257A1" w:rsidRDefault="00437AC5" w:rsidP="00540491">
            <w:pPr>
              <w:pStyle w:val="Tablewriting"/>
              <w:rPr>
                <w:rFonts w:ascii="Calibri" w:hAnsi="Calibri"/>
              </w:rPr>
            </w:pPr>
            <w:hyperlink r:id="rId73" w:tooltip="12193r" w:history="1">
              <w:r w:rsidRPr="009928CC">
                <w:rPr>
                  <w:rStyle w:val="Hyperlink"/>
                  <w:rFonts w:ascii="Calibri" w:hAnsi="Calibri"/>
                </w:rPr>
                <w:t>12193R</w:t>
              </w:r>
            </w:hyperlink>
          </w:p>
        </w:tc>
        <w:tc>
          <w:tcPr>
            <w:tcW w:w="2995" w:type="dxa"/>
          </w:tcPr>
          <w:p w14:paraId="3F98874A" w14:textId="77777777" w:rsidR="00437AC5" w:rsidRPr="000257A1" w:rsidRDefault="00437AC5" w:rsidP="00540491">
            <w:pPr>
              <w:pStyle w:val="Tablewriting"/>
              <w:rPr>
                <w:rFonts w:ascii="Calibri" w:hAnsi="Calibri"/>
              </w:rPr>
            </w:pPr>
            <w:r>
              <w:rPr>
                <w:rFonts w:ascii="Calibri" w:hAnsi="Calibri"/>
              </w:rPr>
              <w:t>O</w:t>
            </w:r>
            <w:r w:rsidRPr="008F0ABC">
              <w:rPr>
                <w:rFonts w:ascii="Calibri" w:hAnsi="Calibri"/>
              </w:rPr>
              <w:t>binutuzumab 1 g/40 mL injection, 40 mL vial</w:t>
            </w:r>
          </w:p>
        </w:tc>
        <w:tc>
          <w:tcPr>
            <w:tcW w:w="1106" w:type="dxa"/>
          </w:tcPr>
          <w:p w14:paraId="598B089C" w14:textId="77777777" w:rsidR="00437AC5" w:rsidRDefault="00437AC5" w:rsidP="00540491">
            <w:pPr>
              <w:pStyle w:val="Tablewriting"/>
              <w:rPr>
                <w:rFonts w:ascii="Calibri" w:hAnsi="Calibri"/>
              </w:rPr>
            </w:pPr>
            <w:r>
              <w:rPr>
                <w:rFonts w:ascii="Calibri" w:hAnsi="Calibri"/>
              </w:rPr>
              <w:t>1000 mg</w:t>
            </w:r>
          </w:p>
        </w:tc>
        <w:tc>
          <w:tcPr>
            <w:tcW w:w="850" w:type="dxa"/>
          </w:tcPr>
          <w:p w14:paraId="45D623A3" w14:textId="77777777" w:rsidR="00437AC5" w:rsidRDefault="00437AC5" w:rsidP="00540491">
            <w:pPr>
              <w:pStyle w:val="Tablewriting"/>
              <w:rPr>
                <w:rFonts w:ascii="Calibri" w:hAnsi="Calibri"/>
              </w:rPr>
            </w:pPr>
            <w:r>
              <w:rPr>
                <w:rFonts w:ascii="Calibri" w:hAnsi="Calibri"/>
              </w:rPr>
              <w:t>8</w:t>
            </w:r>
          </w:p>
        </w:tc>
        <w:tc>
          <w:tcPr>
            <w:tcW w:w="1040" w:type="dxa"/>
          </w:tcPr>
          <w:p w14:paraId="4321EB52" w14:textId="77777777" w:rsidR="00437AC5" w:rsidRPr="00866440" w:rsidRDefault="00437AC5" w:rsidP="00540491">
            <w:pPr>
              <w:pStyle w:val="Tablewriting"/>
              <w:rPr>
                <w:rFonts w:ascii="Calibri" w:hAnsi="Calibri"/>
              </w:rPr>
            </w:pPr>
            <w:r w:rsidRPr="008F0ABC">
              <w:rPr>
                <w:rFonts w:ascii="Calibri" w:hAnsi="Calibri"/>
              </w:rPr>
              <w:t>$4725.78</w:t>
            </w:r>
          </w:p>
        </w:tc>
        <w:tc>
          <w:tcPr>
            <w:tcW w:w="2104" w:type="dxa"/>
          </w:tcPr>
          <w:p w14:paraId="074D9118" w14:textId="77777777" w:rsidR="00437AC5" w:rsidRPr="00762E88" w:rsidRDefault="00437AC5" w:rsidP="00540491">
            <w:pPr>
              <w:pStyle w:val="Tablewriting"/>
              <w:rPr>
                <w:rFonts w:ascii="Calibri" w:hAnsi="Calibri"/>
              </w:rPr>
            </w:pPr>
            <w:r w:rsidRPr="00074C66">
              <w:rPr>
                <w:rFonts w:ascii="Calibri" w:hAnsi="Calibri"/>
              </w:rPr>
              <w:t>Gazyva</w:t>
            </w:r>
            <w:r>
              <w:rPr>
                <w:rFonts w:ascii="Calibri" w:hAnsi="Calibri"/>
              </w:rPr>
              <w:t xml:space="preserve">, </w:t>
            </w:r>
            <w:r w:rsidRPr="00074C66">
              <w:rPr>
                <w:rFonts w:ascii="Calibri" w:hAnsi="Calibri"/>
              </w:rPr>
              <w:t>Roche Products Pty Ltd</w:t>
            </w:r>
          </w:p>
        </w:tc>
      </w:tr>
      <w:tr w:rsidR="00437AC5" w:rsidRPr="00762E88" w14:paraId="36767AF5" w14:textId="77777777" w:rsidTr="00540491">
        <w:trPr>
          <w:trHeight w:val="546"/>
          <w:tblHeader/>
        </w:trPr>
        <w:tc>
          <w:tcPr>
            <w:tcW w:w="969" w:type="dxa"/>
          </w:tcPr>
          <w:p w14:paraId="0955CF30" w14:textId="77777777" w:rsidR="00437AC5" w:rsidRPr="009928CC" w:rsidRDefault="00437AC5" w:rsidP="00540491">
            <w:pPr>
              <w:pStyle w:val="Tablewriting"/>
              <w:rPr>
                <w:rFonts w:ascii="Calibri" w:hAnsi="Calibri"/>
              </w:rPr>
            </w:pPr>
            <w:hyperlink r:id="rId74" w:tooltip="12204h" w:history="1">
              <w:r w:rsidRPr="003A609F">
                <w:rPr>
                  <w:rStyle w:val="Hyperlink"/>
                  <w:rFonts w:ascii="Calibri" w:hAnsi="Calibri"/>
                </w:rPr>
                <w:t>12204H</w:t>
              </w:r>
            </w:hyperlink>
          </w:p>
        </w:tc>
        <w:tc>
          <w:tcPr>
            <w:tcW w:w="2995" w:type="dxa"/>
          </w:tcPr>
          <w:p w14:paraId="3BFA07E1" w14:textId="77777777" w:rsidR="00437AC5" w:rsidRPr="008F0ABC" w:rsidRDefault="00437AC5" w:rsidP="00540491">
            <w:pPr>
              <w:pStyle w:val="Tablewriting"/>
              <w:rPr>
                <w:rFonts w:ascii="Calibri" w:hAnsi="Calibri"/>
              </w:rPr>
            </w:pPr>
            <w:r>
              <w:rPr>
                <w:rFonts w:ascii="Calibri" w:hAnsi="Calibri"/>
              </w:rPr>
              <w:t>O</w:t>
            </w:r>
            <w:r w:rsidRPr="003A609F">
              <w:rPr>
                <w:rFonts w:ascii="Calibri" w:hAnsi="Calibri"/>
              </w:rPr>
              <w:t>binutuzumab 1 g/40 mL injection, 40 mL vial</w:t>
            </w:r>
          </w:p>
        </w:tc>
        <w:tc>
          <w:tcPr>
            <w:tcW w:w="1106" w:type="dxa"/>
          </w:tcPr>
          <w:p w14:paraId="020D195C" w14:textId="77777777" w:rsidR="00437AC5" w:rsidRDefault="00437AC5" w:rsidP="00540491">
            <w:pPr>
              <w:pStyle w:val="Tablewriting"/>
              <w:rPr>
                <w:rFonts w:ascii="Calibri" w:hAnsi="Calibri"/>
              </w:rPr>
            </w:pPr>
            <w:r>
              <w:rPr>
                <w:rFonts w:ascii="Calibri" w:hAnsi="Calibri"/>
              </w:rPr>
              <w:t>1000 mg</w:t>
            </w:r>
          </w:p>
        </w:tc>
        <w:tc>
          <w:tcPr>
            <w:tcW w:w="850" w:type="dxa"/>
          </w:tcPr>
          <w:p w14:paraId="4B929100" w14:textId="77777777" w:rsidR="00437AC5" w:rsidRDefault="00437AC5" w:rsidP="00540491">
            <w:pPr>
              <w:pStyle w:val="Tablewriting"/>
              <w:rPr>
                <w:rFonts w:ascii="Calibri" w:hAnsi="Calibri"/>
              </w:rPr>
            </w:pPr>
            <w:r>
              <w:rPr>
                <w:rFonts w:ascii="Calibri" w:hAnsi="Calibri"/>
              </w:rPr>
              <w:t>8</w:t>
            </w:r>
          </w:p>
        </w:tc>
        <w:tc>
          <w:tcPr>
            <w:tcW w:w="1040" w:type="dxa"/>
          </w:tcPr>
          <w:p w14:paraId="50D177C8" w14:textId="77777777" w:rsidR="00437AC5" w:rsidRPr="008F0ABC" w:rsidRDefault="00437AC5" w:rsidP="00540491">
            <w:pPr>
              <w:pStyle w:val="Tablewriting"/>
              <w:rPr>
                <w:rFonts w:ascii="Calibri" w:hAnsi="Calibri"/>
              </w:rPr>
            </w:pPr>
            <w:r w:rsidRPr="00D90207">
              <w:rPr>
                <w:rFonts w:ascii="Calibri" w:hAnsi="Calibri"/>
              </w:rPr>
              <w:t>$4616.75</w:t>
            </w:r>
          </w:p>
        </w:tc>
        <w:tc>
          <w:tcPr>
            <w:tcW w:w="2104" w:type="dxa"/>
          </w:tcPr>
          <w:p w14:paraId="0EED08C7" w14:textId="77777777" w:rsidR="00437AC5" w:rsidRPr="00762E88" w:rsidRDefault="00437AC5" w:rsidP="00540491">
            <w:pPr>
              <w:pStyle w:val="Tablewriting"/>
              <w:rPr>
                <w:rFonts w:ascii="Calibri" w:hAnsi="Calibri"/>
              </w:rPr>
            </w:pPr>
            <w:r w:rsidRPr="00074C66">
              <w:rPr>
                <w:rFonts w:ascii="Calibri" w:hAnsi="Calibri"/>
              </w:rPr>
              <w:t>Gazyva</w:t>
            </w:r>
            <w:r>
              <w:rPr>
                <w:rFonts w:ascii="Calibri" w:hAnsi="Calibri"/>
              </w:rPr>
              <w:t xml:space="preserve">, </w:t>
            </w:r>
            <w:r w:rsidRPr="00074C66">
              <w:rPr>
                <w:rFonts w:ascii="Calibri" w:hAnsi="Calibri"/>
              </w:rPr>
              <w:t>Roche Products Pty Ltd</w:t>
            </w:r>
          </w:p>
        </w:tc>
      </w:tr>
      <w:tr w:rsidR="00437AC5" w:rsidRPr="00762E88" w14:paraId="6E6EB366" w14:textId="77777777" w:rsidTr="00540491">
        <w:trPr>
          <w:trHeight w:val="546"/>
          <w:tblHeader/>
        </w:trPr>
        <w:tc>
          <w:tcPr>
            <w:tcW w:w="969" w:type="dxa"/>
          </w:tcPr>
          <w:p w14:paraId="7A57D979" w14:textId="77777777" w:rsidR="00437AC5" w:rsidRPr="003A609F" w:rsidRDefault="00437AC5" w:rsidP="00540491">
            <w:pPr>
              <w:pStyle w:val="Tablewriting"/>
              <w:rPr>
                <w:rFonts w:ascii="Calibri" w:hAnsi="Calibri"/>
              </w:rPr>
            </w:pPr>
            <w:hyperlink r:id="rId75" w:tooltip="13787p" w:history="1">
              <w:r w:rsidRPr="00D90207">
                <w:rPr>
                  <w:rStyle w:val="Hyperlink"/>
                  <w:rFonts w:ascii="Calibri" w:hAnsi="Calibri"/>
                </w:rPr>
                <w:t>13787P</w:t>
              </w:r>
            </w:hyperlink>
          </w:p>
        </w:tc>
        <w:tc>
          <w:tcPr>
            <w:tcW w:w="2995" w:type="dxa"/>
          </w:tcPr>
          <w:p w14:paraId="173EFA4F" w14:textId="77777777" w:rsidR="00437AC5" w:rsidRPr="003A609F" w:rsidRDefault="00437AC5" w:rsidP="00540491">
            <w:pPr>
              <w:pStyle w:val="Tablewriting"/>
              <w:rPr>
                <w:rFonts w:ascii="Calibri" w:hAnsi="Calibri"/>
              </w:rPr>
            </w:pPr>
            <w:r>
              <w:rPr>
                <w:rFonts w:ascii="Calibri" w:hAnsi="Calibri"/>
              </w:rPr>
              <w:t>O</w:t>
            </w:r>
            <w:r w:rsidRPr="004C61C0">
              <w:rPr>
                <w:rFonts w:ascii="Calibri" w:hAnsi="Calibri"/>
              </w:rPr>
              <w:t>binutuzumab 1 g/40 mL injection, 40 mL vial</w:t>
            </w:r>
          </w:p>
        </w:tc>
        <w:tc>
          <w:tcPr>
            <w:tcW w:w="1106" w:type="dxa"/>
          </w:tcPr>
          <w:p w14:paraId="66156C35" w14:textId="77777777" w:rsidR="00437AC5" w:rsidRDefault="00437AC5" w:rsidP="00540491">
            <w:pPr>
              <w:pStyle w:val="Tablewriting"/>
              <w:rPr>
                <w:rFonts w:ascii="Calibri" w:hAnsi="Calibri"/>
              </w:rPr>
            </w:pPr>
            <w:r>
              <w:rPr>
                <w:rFonts w:ascii="Calibri" w:hAnsi="Calibri"/>
              </w:rPr>
              <w:t>1000 mg</w:t>
            </w:r>
          </w:p>
        </w:tc>
        <w:tc>
          <w:tcPr>
            <w:tcW w:w="850" w:type="dxa"/>
          </w:tcPr>
          <w:p w14:paraId="5EE52058" w14:textId="77777777" w:rsidR="00437AC5" w:rsidRDefault="00437AC5" w:rsidP="00540491">
            <w:pPr>
              <w:pStyle w:val="Tablewriting"/>
              <w:rPr>
                <w:rFonts w:ascii="Calibri" w:hAnsi="Calibri"/>
              </w:rPr>
            </w:pPr>
            <w:r>
              <w:rPr>
                <w:rFonts w:ascii="Calibri" w:hAnsi="Calibri"/>
              </w:rPr>
              <w:t>7</w:t>
            </w:r>
          </w:p>
        </w:tc>
        <w:tc>
          <w:tcPr>
            <w:tcW w:w="1040" w:type="dxa"/>
          </w:tcPr>
          <w:p w14:paraId="1716A9D0" w14:textId="77777777" w:rsidR="00437AC5" w:rsidRPr="00D90207" w:rsidRDefault="00437AC5" w:rsidP="00540491">
            <w:pPr>
              <w:pStyle w:val="Tablewriting"/>
              <w:rPr>
                <w:rFonts w:ascii="Calibri" w:hAnsi="Calibri"/>
              </w:rPr>
            </w:pPr>
            <w:r w:rsidRPr="004C61C0">
              <w:rPr>
                <w:rFonts w:ascii="Calibri" w:hAnsi="Calibri"/>
              </w:rPr>
              <w:t>$4616.75</w:t>
            </w:r>
          </w:p>
        </w:tc>
        <w:tc>
          <w:tcPr>
            <w:tcW w:w="2104" w:type="dxa"/>
          </w:tcPr>
          <w:p w14:paraId="5B7D3BDF" w14:textId="77777777" w:rsidR="00437AC5" w:rsidRPr="00762E88" w:rsidRDefault="00437AC5" w:rsidP="00540491">
            <w:pPr>
              <w:pStyle w:val="Tablewriting"/>
              <w:rPr>
                <w:rFonts w:ascii="Calibri" w:hAnsi="Calibri"/>
              </w:rPr>
            </w:pPr>
            <w:r w:rsidRPr="00074C66">
              <w:rPr>
                <w:rFonts w:ascii="Calibri" w:hAnsi="Calibri"/>
              </w:rPr>
              <w:t>Gazyva</w:t>
            </w:r>
            <w:r>
              <w:rPr>
                <w:rFonts w:ascii="Calibri" w:hAnsi="Calibri"/>
              </w:rPr>
              <w:t xml:space="preserve">, </w:t>
            </w:r>
            <w:r w:rsidRPr="00074C66">
              <w:rPr>
                <w:rFonts w:ascii="Calibri" w:hAnsi="Calibri"/>
              </w:rPr>
              <w:t>Roche Products Pty Ltd</w:t>
            </w:r>
          </w:p>
        </w:tc>
      </w:tr>
      <w:tr w:rsidR="00437AC5" w:rsidRPr="00762E88" w14:paraId="272726C0" w14:textId="77777777" w:rsidTr="00540491">
        <w:trPr>
          <w:trHeight w:val="546"/>
          <w:tblHeader/>
        </w:trPr>
        <w:tc>
          <w:tcPr>
            <w:tcW w:w="969" w:type="dxa"/>
          </w:tcPr>
          <w:p w14:paraId="27E544A5" w14:textId="77777777" w:rsidR="00437AC5" w:rsidRPr="00D90207" w:rsidRDefault="00437AC5" w:rsidP="00540491">
            <w:pPr>
              <w:pStyle w:val="Tablewriting"/>
              <w:rPr>
                <w:rFonts w:ascii="Calibri" w:hAnsi="Calibri"/>
              </w:rPr>
            </w:pPr>
            <w:hyperlink r:id="rId76" w:tooltip="13793y" w:history="1">
              <w:r w:rsidRPr="001F0270">
                <w:rPr>
                  <w:rStyle w:val="Hyperlink"/>
                  <w:rFonts w:ascii="Calibri" w:hAnsi="Calibri"/>
                </w:rPr>
                <w:t>13793Y</w:t>
              </w:r>
            </w:hyperlink>
          </w:p>
        </w:tc>
        <w:tc>
          <w:tcPr>
            <w:tcW w:w="2995" w:type="dxa"/>
          </w:tcPr>
          <w:p w14:paraId="218739B2" w14:textId="77777777" w:rsidR="00437AC5" w:rsidRPr="004C61C0" w:rsidRDefault="00437AC5" w:rsidP="00540491">
            <w:pPr>
              <w:pStyle w:val="Tablewriting"/>
              <w:rPr>
                <w:rFonts w:ascii="Calibri" w:hAnsi="Calibri"/>
              </w:rPr>
            </w:pPr>
            <w:r>
              <w:rPr>
                <w:rFonts w:ascii="Calibri" w:hAnsi="Calibri"/>
              </w:rPr>
              <w:t>O</w:t>
            </w:r>
            <w:r w:rsidRPr="001F0270">
              <w:rPr>
                <w:rFonts w:ascii="Calibri" w:hAnsi="Calibri"/>
              </w:rPr>
              <w:t>binutuzumab 1 g/40 mL injection, 40 mL vial</w:t>
            </w:r>
          </w:p>
        </w:tc>
        <w:tc>
          <w:tcPr>
            <w:tcW w:w="1106" w:type="dxa"/>
          </w:tcPr>
          <w:p w14:paraId="5BBD2DA4" w14:textId="77777777" w:rsidR="00437AC5" w:rsidRDefault="00437AC5" w:rsidP="00540491">
            <w:pPr>
              <w:pStyle w:val="Tablewriting"/>
              <w:rPr>
                <w:rFonts w:ascii="Calibri" w:hAnsi="Calibri"/>
              </w:rPr>
            </w:pPr>
            <w:r>
              <w:rPr>
                <w:rFonts w:ascii="Calibri" w:hAnsi="Calibri"/>
              </w:rPr>
              <w:t>1000 mg</w:t>
            </w:r>
          </w:p>
        </w:tc>
        <w:tc>
          <w:tcPr>
            <w:tcW w:w="850" w:type="dxa"/>
          </w:tcPr>
          <w:p w14:paraId="038CCD77" w14:textId="77777777" w:rsidR="00437AC5" w:rsidRDefault="00437AC5" w:rsidP="00540491">
            <w:pPr>
              <w:pStyle w:val="Tablewriting"/>
              <w:rPr>
                <w:rFonts w:ascii="Calibri" w:hAnsi="Calibri"/>
              </w:rPr>
            </w:pPr>
            <w:r>
              <w:rPr>
                <w:rFonts w:ascii="Calibri" w:hAnsi="Calibri"/>
              </w:rPr>
              <w:t>7</w:t>
            </w:r>
          </w:p>
        </w:tc>
        <w:tc>
          <w:tcPr>
            <w:tcW w:w="1040" w:type="dxa"/>
          </w:tcPr>
          <w:p w14:paraId="4BB2FC63" w14:textId="77777777" w:rsidR="00437AC5" w:rsidRPr="004C61C0" w:rsidRDefault="00437AC5" w:rsidP="00540491">
            <w:pPr>
              <w:pStyle w:val="Tablewriting"/>
              <w:rPr>
                <w:rFonts w:ascii="Calibri" w:hAnsi="Calibri"/>
              </w:rPr>
            </w:pPr>
            <w:r w:rsidRPr="002C42BA">
              <w:rPr>
                <w:rFonts w:ascii="Calibri" w:hAnsi="Calibri"/>
              </w:rPr>
              <w:t>$4725.78</w:t>
            </w:r>
          </w:p>
        </w:tc>
        <w:tc>
          <w:tcPr>
            <w:tcW w:w="2104" w:type="dxa"/>
          </w:tcPr>
          <w:p w14:paraId="2C89379C" w14:textId="77777777" w:rsidR="00437AC5" w:rsidRPr="00762E88" w:rsidRDefault="00437AC5" w:rsidP="00540491">
            <w:pPr>
              <w:pStyle w:val="Tablewriting"/>
              <w:rPr>
                <w:rFonts w:ascii="Calibri" w:hAnsi="Calibri"/>
              </w:rPr>
            </w:pPr>
            <w:r w:rsidRPr="00074C66">
              <w:rPr>
                <w:rFonts w:ascii="Calibri" w:hAnsi="Calibri"/>
              </w:rPr>
              <w:t>Gazyva</w:t>
            </w:r>
            <w:r>
              <w:rPr>
                <w:rFonts w:ascii="Calibri" w:hAnsi="Calibri"/>
              </w:rPr>
              <w:t xml:space="preserve">, </w:t>
            </w:r>
            <w:r w:rsidRPr="00074C66">
              <w:rPr>
                <w:rFonts w:ascii="Calibri" w:hAnsi="Calibri"/>
              </w:rPr>
              <w:t>Roche Products Pty Ltd</w:t>
            </w:r>
          </w:p>
        </w:tc>
      </w:tr>
    </w:tbl>
    <w:p w14:paraId="24066DBE" w14:textId="77777777" w:rsidR="00437AC5" w:rsidRDefault="00437AC5" w:rsidP="00437AC5">
      <w:pPr>
        <w:rPr>
          <w:rFonts w:ascii="Calibri" w:hAnsi="Calibri" w:cs="Calibri"/>
        </w:rPr>
      </w:pPr>
    </w:p>
    <w:p w14:paraId="25ACCB45" w14:textId="77777777" w:rsidR="00437AC5" w:rsidRDefault="00437AC5" w:rsidP="00437AC5">
      <w:pPr>
        <w:rPr>
          <w:rFonts w:ascii="Calibri" w:hAnsi="Calibri" w:cs="Calibri"/>
        </w:rPr>
      </w:pPr>
    </w:p>
    <w:p w14:paraId="70FEE736" w14:textId="77777777" w:rsidR="00437AC5" w:rsidRDefault="00437AC5" w:rsidP="00437AC5">
      <w:pPr>
        <w:rPr>
          <w:rFonts w:ascii="Calibri" w:hAnsi="Calibri" w:cs="Calibri"/>
        </w:rPr>
      </w:pPr>
    </w:p>
    <w:p w14:paraId="7DF8F7F4" w14:textId="77777777" w:rsidR="00437AC5" w:rsidRDefault="00437AC5" w:rsidP="00437AC5">
      <w:pPr>
        <w:rPr>
          <w:rFonts w:ascii="Calibri" w:hAnsi="Calibri" w:cs="Calibri"/>
        </w:rPr>
      </w:pPr>
    </w:p>
    <w:p w14:paraId="59EA065E" w14:textId="77777777" w:rsidR="008E00B8" w:rsidRDefault="00437AC5" w:rsidP="008E00B8">
      <w:pPr>
        <w:pStyle w:val="Tabletitle"/>
        <w:rPr>
          <w:rFonts w:ascii="Calibri" w:hAnsi="Calibri" w:cs="Calibri"/>
        </w:rPr>
      </w:pPr>
      <w:r>
        <w:rPr>
          <w:rFonts w:ascii="Calibri" w:hAnsi="Calibri" w:cs="Calibri"/>
        </w:rPr>
        <w:t xml:space="preserve"> </w:t>
      </w:r>
    </w:p>
    <w:p w14:paraId="514E0EC8" w14:textId="77777777" w:rsidR="008E00B8" w:rsidRDefault="008E00B8" w:rsidP="008E00B8">
      <w:pPr>
        <w:pStyle w:val="Tabletitle"/>
        <w:rPr>
          <w:rFonts w:ascii="Calibri" w:hAnsi="Calibri" w:cs="Calibri"/>
        </w:rPr>
      </w:pPr>
    </w:p>
    <w:p w14:paraId="3F33E4E5" w14:textId="77777777" w:rsidR="008E00B8" w:rsidRDefault="008E00B8" w:rsidP="008E00B8">
      <w:pPr>
        <w:pStyle w:val="Tabletitle"/>
        <w:rPr>
          <w:rFonts w:ascii="Calibri" w:hAnsi="Calibri" w:cs="Calibri"/>
        </w:rPr>
      </w:pPr>
    </w:p>
    <w:p w14:paraId="07D839BE" w14:textId="77777777" w:rsidR="008E00B8" w:rsidRDefault="008E00B8" w:rsidP="008E00B8">
      <w:pPr>
        <w:pStyle w:val="Tabletitle"/>
        <w:rPr>
          <w:rFonts w:ascii="Calibri" w:hAnsi="Calibri" w:cs="Calibri"/>
        </w:rPr>
      </w:pPr>
    </w:p>
    <w:p w14:paraId="6A4DFC73" w14:textId="77777777" w:rsidR="008E00B8" w:rsidRDefault="008E00B8" w:rsidP="008E00B8">
      <w:pPr>
        <w:pStyle w:val="Tabletitle"/>
        <w:rPr>
          <w:rFonts w:ascii="Calibri" w:hAnsi="Calibri" w:cs="Calibri"/>
        </w:rPr>
      </w:pPr>
    </w:p>
    <w:p w14:paraId="7F1FE666" w14:textId="77777777" w:rsidR="008E00B8" w:rsidRDefault="008E00B8" w:rsidP="008E00B8">
      <w:pPr>
        <w:pStyle w:val="Tabletitle"/>
        <w:rPr>
          <w:rFonts w:ascii="Calibri" w:hAnsi="Calibri" w:cs="Calibri"/>
        </w:rPr>
      </w:pPr>
    </w:p>
    <w:p w14:paraId="6CE32CBD" w14:textId="77777777" w:rsidR="008E00B8" w:rsidRDefault="008E00B8" w:rsidP="008E00B8">
      <w:pPr>
        <w:pStyle w:val="Tabletitle"/>
        <w:rPr>
          <w:rFonts w:ascii="Calibri" w:hAnsi="Calibri" w:cs="Calibri"/>
        </w:rPr>
      </w:pPr>
    </w:p>
    <w:p w14:paraId="534D36DD" w14:textId="311B976D" w:rsidR="00437AC5" w:rsidRPr="008E00B8" w:rsidRDefault="008E00B8" w:rsidP="008E00B8">
      <w:pPr>
        <w:pStyle w:val="Tabletitle"/>
        <w:rPr>
          <w:rFonts w:ascii="Calibri" w:hAnsi="Calibri" w:cs="Calibri"/>
          <w:sz w:val="28"/>
          <w:szCs w:val="28"/>
        </w:rPr>
      </w:pPr>
      <w:r w:rsidRPr="001420B3" w:rsidDel="00EE2BBB">
        <w:lastRenderedPageBreak/>
        <w:t xml:space="preserve">Table </w:t>
      </w:r>
      <w:r>
        <w:t>A5</w:t>
      </w:r>
      <w:r w:rsidRPr="001420B3" w:rsidDel="00EE2BBB">
        <w:t xml:space="preserve">: </w:t>
      </w:r>
      <w:r w:rsidDel="00EE2BBB">
        <w:t>PBS listing of</w:t>
      </w:r>
      <w:r>
        <w:t xml:space="preserve"> </w:t>
      </w:r>
      <w:r>
        <w:rPr>
          <w:rFonts w:ascii="Calibri" w:hAnsi="Calibri"/>
        </w:rPr>
        <w:t>V</w:t>
      </w:r>
      <w:r w:rsidRPr="009D159A">
        <w:rPr>
          <w:rFonts w:ascii="Calibri" w:hAnsi="Calibri"/>
        </w:rPr>
        <w:t>enetoclax</w:t>
      </w:r>
      <w:r w:rsidRPr="003318A6">
        <w:t xml:space="preserve"> for</w:t>
      </w:r>
      <w:r>
        <w:t xml:space="preserve"> CLL/SLL</w:t>
      </w:r>
    </w:p>
    <w:tbl>
      <w:tblPr>
        <w:tblStyle w:val="TableGrid"/>
        <w:tblW w:w="9064" w:type="dxa"/>
        <w:tblLayout w:type="fixed"/>
        <w:tblLook w:val="04A0" w:firstRow="1" w:lastRow="0" w:firstColumn="1" w:lastColumn="0" w:noHBand="0" w:noVBand="1"/>
      </w:tblPr>
      <w:tblGrid>
        <w:gridCol w:w="969"/>
        <w:gridCol w:w="2995"/>
        <w:gridCol w:w="1106"/>
        <w:gridCol w:w="850"/>
        <w:gridCol w:w="1040"/>
        <w:gridCol w:w="2104"/>
      </w:tblGrid>
      <w:tr w:rsidR="00437AC5" w:rsidRPr="00130553" w:rsidDel="00EE2BBB" w14:paraId="72EAFC16" w14:textId="77777777" w:rsidTr="00540491">
        <w:trPr>
          <w:trHeight w:val="694"/>
          <w:tblHeader/>
        </w:trPr>
        <w:tc>
          <w:tcPr>
            <w:tcW w:w="969" w:type="dxa"/>
            <w:shd w:val="clear" w:color="auto" w:fill="BFBFBF" w:themeFill="background1" w:themeFillShade="BF"/>
          </w:tcPr>
          <w:p w14:paraId="543E936D"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Item</w:t>
            </w:r>
          </w:p>
        </w:tc>
        <w:tc>
          <w:tcPr>
            <w:tcW w:w="2995" w:type="dxa"/>
            <w:shd w:val="clear" w:color="auto" w:fill="BFBFBF" w:themeFill="background1" w:themeFillShade="BF"/>
          </w:tcPr>
          <w:p w14:paraId="7FAA9FF3"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Name, form &amp; strength, pack size</w:t>
            </w:r>
          </w:p>
        </w:tc>
        <w:tc>
          <w:tcPr>
            <w:tcW w:w="1106" w:type="dxa"/>
            <w:shd w:val="clear" w:color="auto" w:fill="BFBFBF" w:themeFill="background1" w:themeFillShade="BF"/>
          </w:tcPr>
          <w:p w14:paraId="4FC727EF" w14:textId="592379D5"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Max. quant</w:t>
            </w:r>
            <w:r w:rsidR="00815857">
              <w:rPr>
                <w:rFonts w:ascii="Calibri" w:hAnsi="Calibri"/>
                <w:sz w:val="20"/>
                <w:szCs w:val="20"/>
              </w:rPr>
              <w:t xml:space="preserve"> packs</w:t>
            </w:r>
            <w:r w:rsidRPr="00130553" w:rsidDel="00EE2BBB">
              <w:rPr>
                <w:rFonts w:ascii="Calibri" w:hAnsi="Calibri"/>
                <w:sz w:val="20"/>
                <w:szCs w:val="20"/>
              </w:rPr>
              <w:t xml:space="preserve">. </w:t>
            </w:r>
          </w:p>
        </w:tc>
        <w:tc>
          <w:tcPr>
            <w:tcW w:w="850" w:type="dxa"/>
            <w:shd w:val="clear" w:color="auto" w:fill="BFBFBF" w:themeFill="background1" w:themeFillShade="BF"/>
          </w:tcPr>
          <w:p w14:paraId="2653E301"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 xml:space="preserve">Rpts </w:t>
            </w:r>
          </w:p>
        </w:tc>
        <w:tc>
          <w:tcPr>
            <w:tcW w:w="1040" w:type="dxa"/>
            <w:shd w:val="clear" w:color="auto" w:fill="BFBFBF" w:themeFill="background1" w:themeFillShade="BF"/>
          </w:tcPr>
          <w:p w14:paraId="7B385568"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DPMQ</w:t>
            </w:r>
          </w:p>
        </w:tc>
        <w:tc>
          <w:tcPr>
            <w:tcW w:w="2104" w:type="dxa"/>
            <w:shd w:val="clear" w:color="auto" w:fill="BFBFBF" w:themeFill="background1" w:themeFillShade="BF"/>
          </w:tcPr>
          <w:p w14:paraId="3B3171E4"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Brand name and manufacturer</w:t>
            </w:r>
          </w:p>
        </w:tc>
      </w:tr>
      <w:tr w:rsidR="00437AC5" w:rsidRPr="00130553" w:rsidDel="00EE2BBB" w14:paraId="29566CDC" w14:textId="77777777" w:rsidTr="00540491">
        <w:trPr>
          <w:trHeight w:val="546"/>
          <w:tblHeader/>
        </w:trPr>
        <w:tc>
          <w:tcPr>
            <w:tcW w:w="969" w:type="dxa"/>
          </w:tcPr>
          <w:p w14:paraId="3BD5C40A" w14:textId="77777777" w:rsidR="00437AC5" w:rsidRPr="00130553" w:rsidDel="00EE2BBB" w:rsidRDefault="00437AC5" w:rsidP="00540491">
            <w:pPr>
              <w:pStyle w:val="Tablewriting"/>
              <w:rPr>
                <w:rFonts w:ascii="Calibri" w:hAnsi="Calibri"/>
              </w:rPr>
            </w:pPr>
            <w:hyperlink r:id="rId77" w:tooltip="11630d" w:history="1">
              <w:r w:rsidRPr="00247F66">
                <w:rPr>
                  <w:rStyle w:val="Hyperlink"/>
                  <w:rFonts w:ascii="Calibri" w:hAnsi="Calibri"/>
                </w:rPr>
                <w:t>11630D</w:t>
              </w:r>
            </w:hyperlink>
          </w:p>
        </w:tc>
        <w:tc>
          <w:tcPr>
            <w:tcW w:w="2995" w:type="dxa"/>
          </w:tcPr>
          <w:p w14:paraId="12CE8AC7" w14:textId="77777777" w:rsidR="00437AC5" w:rsidRPr="00130553" w:rsidDel="00EE2BBB" w:rsidRDefault="00437AC5" w:rsidP="00540491">
            <w:pPr>
              <w:pStyle w:val="Tablewriting"/>
              <w:rPr>
                <w:rFonts w:ascii="Calibri" w:hAnsi="Calibri"/>
              </w:rPr>
            </w:pPr>
            <w:r>
              <w:rPr>
                <w:rFonts w:ascii="Calibri" w:hAnsi="Calibri"/>
              </w:rPr>
              <w:t>V</w:t>
            </w:r>
            <w:r w:rsidRPr="002A4E98">
              <w:rPr>
                <w:rFonts w:ascii="Calibri" w:hAnsi="Calibri"/>
              </w:rPr>
              <w:t xml:space="preserve">enetoclax 10 mg tablet [14] (&amp;) </w:t>
            </w:r>
            <w:r>
              <w:rPr>
                <w:rFonts w:ascii="Calibri" w:hAnsi="Calibri"/>
              </w:rPr>
              <w:t>V</w:t>
            </w:r>
            <w:r w:rsidRPr="002A4E98">
              <w:rPr>
                <w:rFonts w:ascii="Calibri" w:hAnsi="Calibri"/>
              </w:rPr>
              <w:t xml:space="preserve">enetoclax 50 mg tablet [7] (&amp;) </w:t>
            </w:r>
            <w:r>
              <w:rPr>
                <w:rFonts w:ascii="Calibri" w:hAnsi="Calibri"/>
              </w:rPr>
              <w:t>V</w:t>
            </w:r>
            <w:r w:rsidRPr="002A4E98">
              <w:rPr>
                <w:rFonts w:ascii="Calibri" w:hAnsi="Calibri"/>
              </w:rPr>
              <w:t xml:space="preserve">enetoclax 100 mg tablet [7] (&amp;) </w:t>
            </w:r>
            <w:r>
              <w:rPr>
                <w:rFonts w:ascii="Calibri" w:hAnsi="Calibri"/>
              </w:rPr>
              <w:t>V</w:t>
            </w:r>
            <w:r w:rsidRPr="002A4E98">
              <w:rPr>
                <w:rFonts w:ascii="Calibri" w:hAnsi="Calibri"/>
              </w:rPr>
              <w:t>enetoclax 100 mg tablet [14], 1 pack</w:t>
            </w:r>
          </w:p>
        </w:tc>
        <w:tc>
          <w:tcPr>
            <w:tcW w:w="1106" w:type="dxa"/>
          </w:tcPr>
          <w:p w14:paraId="18AEB14A" w14:textId="77777777" w:rsidR="00437AC5" w:rsidRPr="00130553" w:rsidDel="00EE2BBB" w:rsidRDefault="00437AC5" w:rsidP="00540491">
            <w:pPr>
              <w:pStyle w:val="Tablewriting"/>
              <w:rPr>
                <w:rFonts w:ascii="Calibri" w:hAnsi="Calibri"/>
              </w:rPr>
            </w:pPr>
            <w:r>
              <w:rPr>
                <w:rFonts w:ascii="Calibri" w:hAnsi="Calibri"/>
              </w:rPr>
              <w:t>1</w:t>
            </w:r>
          </w:p>
        </w:tc>
        <w:tc>
          <w:tcPr>
            <w:tcW w:w="850" w:type="dxa"/>
          </w:tcPr>
          <w:p w14:paraId="00D411D1" w14:textId="77777777" w:rsidR="00437AC5" w:rsidRPr="00130553" w:rsidDel="00EE2BBB" w:rsidRDefault="00437AC5" w:rsidP="00540491">
            <w:pPr>
              <w:pStyle w:val="Tablewriting"/>
              <w:rPr>
                <w:rFonts w:ascii="Calibri" w:hAnsi="Calibri"/>
              </w:rPr>
            </w:pPr>
            <w:r>
              <w:rPr>
                <w:rFonts w:ascii="Calibri" w:hAnsi="Calibri"/>
              </w:rPr>
              <w:t>0</w:t>
            </w:r>
          </w:p>
        </w:tc>
        <w:tc>
          <w:tcPr>
            <w:tcW w:w="1040" w:type="dxa"/>
          </w:tcPr>
          <w:p w14:paraId="62BC3FA9" w14:textId="77777777" w:rsidR="00437AC5" w:rsidRPr="00130553" w:rsidDel="00EE2BBB" w:rsidRDefault="00437AC5" w:rsidP="00540491">
            <w:pPr>
              <w:pStyle w:val="Tablewriting"/>
              <w:rPr>
                <w:rFonts w:ascii="Calibri" w:hAnsi="Calibri"/>
              </w:rPr>
            </w:pPr>
            <w:r w:rsidRPr="002A4E98">
              <w:rPr>
                <w:rFonts w:ascii="Calibri" w:hAnsi="Calibri"/>
              </w:rPr>
              <w:t>$1706.83</w:t>
            </w:r>
          </w:p>
        </w:tc>
        <w:tc>
          <w:tcPr>
            <w:tcW w:w="2104" w:type="dxa"/>
          </w:tcPr>
          <w:p w14:paraId="6AE33433" w14:textId="77777777" w:rsidR="00437AC5" w:rsidRPr="00130553" w:rsidDel="00EE2BBB"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384A413F" w14:textId="77777777" w:rsidTr="00540491">
        <w:trPr>
          <w:trHeight w:val="546"/>
          <w:tblHeader/>
        </w:trPr>
        <w:tc>
          <w:tcPr>
            <w:tcW w:w="969" w:type="dxa"/>
          </w:tcPr>
          <w:p w14:paraId="739AEFC9" w14:textId="77777777" w:rsidR="00437AC5" w:rsidRPr="003739D0" w:rsidRDefault="00437AC5" w:rsidP="00540491">
            <w:pPr>
              <w:pStyle w:val="Tablewriting"/>
              <w:rPr>
                <w:rFonts w:ascii="Calibri" w:hAnsi="Calibri"/>
              </w:rPr>
            </w:pPr>
            <w:hyperlink r:id="rId78" w:tooltip="11639n" w:history="1">
              <w:r w:rsidRPr="00074FAF">
                <w:rPr>
                  <w:rStyle w:val="Hyperlink"/>
                  <w:rFonts w:ascii="Calibri" w:hAnsi="Calibri"/>
                </w:rPr>
                <w:t>11639N</w:t>
              </w:r>
            </w:hyperlink>
          </w:p>
        </w:tc>
        <w:tc>
          <w:tcPr>
            <w:tcW w:w="2995" w:type="dxa"/>
          </w:tcPr>
          <w:p w14:paraId="19EDF73F" w14:textId="77777777" w:rsidR="00437AC5" w:rsidRDefault="00437AC5" w:rsidP="00540491">
            <w:pPr>
              <w:pStyle w:val="Tablewriting"/>
              <w:rPr>
                <w:rFonts w:ascii="Calibri" w:hAnsi="Calibri"/>
              </w:rPr>
            </w:pPr>
            <w:r>
              <w:rPr>
                <w:rFonts w:ascii="Calibri" w:hAnsi="Calibri"/>
              </w:rPr>
              <w:t>V</w:t>
            </w:r>
            <w:r w:rsidRPr="009D159A">
              <w:rPr>
                <w:rFonts w:ascii="Calibri" w:hAnsi="Calibri"/>
              </w:rPr>
              <w:t>enetoclax 100 mg tablet, 120</w:t>
            </w:r>
          </w:p>
        </w:tc>
        <w:tc>
          <w:tcPr>
            <w:tcW w:w="1106" w:type="dxa"/>
          </w:tcPr>
          <w:p w14:paraId="5932DDDD" w14:textId="77777777" w:rsidR="00437AC5" w:rsidRDefault="00437AC5" w:rsidP="00540491">
            <w:pPr>
              <w:pStyle w:val="Tablewriting"/>
              <w:rPr>
                <w:rFonts w:ascii="Calibri" w:hAnsi="Calibri"/>
              </w:rPr>
            </w:pPr>
            <w:r>
              <w:rPr>
                <w:rFonts w:ascii="Calibri" w:hAnsi="Calibri"/>
              </w:rPr>
              <w:t>1</w:t>
            </w:r>
          </w:p>
        </w:tc>
        <w:tc>
          <w:tcPr>
            <w:tcW w:w="850" w:type="dxa"/>
          </w:tcPr>
          <w:p w14:paraId="0F76470C" w14:textId="77777777" w:rsidR="00437AC5" w:rsidRDefault="00437AC5" w:rsidP="00540491">
            <w:pPr>
              <w:pStyle w:val="Tablewriting"/>
              <w:rPr>
                <w:rFonts w:ascii="Calibri" w:hAnsi="Calibri"/>
              </w:rPr>
            </w:pPr>
            <w:r>
              <w:rPr>
                <w:rFonts w:ascii="Calibri" w:hAnsi="Calibri"/>
              </w:rPr>
              <w:t>5</w:t>
            </w:r>
          </w:p>
        </w:tc>
        <w:tc>
          <w:tcPr>
            <w:tcW w:w="1040" w:type="dxa"/>
          </w:tcPr>
          <w:p w14:paraId="47905014" w14:textId="77777777" w:rsidR="00437AC5" w:rsidRPr="005707EE" w:rsidRDefault="00437AC5" w:rsidP="00540491">
            <w:pPr>
              <w:pStyle w:val="Tablewriting"/>
              <w:rPr>
                <w:rFonts w:ascii="Calibri" w:hAnsi="Calibri"/>
              </w:rPr>
            </w:pPr>
            <w:r w:rsidRPr="00074FAF">
              <w:rPr>
                <w:rFonts w:ascii="Calibri" w:hAnsi="Calibri"/>
              </w:rPr>
              <w:t>$7404.80</w:t>
            </w:r>
          </w:p>
        </w:tc>
        <w:tc>
          <w:tcPr>
            <w:tcW w:w="2104" w:type="dxa"/>
          </w:tcPr>
          <w:p w14:paraId="065CFC5D"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17D39844" w14:textId="77777777" w:rsidTr="00540491">
        <w:trPr>
          <w:trHeight w:val="546"/>
          <w:tblHeader/>
        </w:trPr>
        <w:tc>
          <w:tcPr>
            <w:tcW w:w="969" w:type="dxa"/>
          </w:tcPr>
          <w:p w14:paraId="13B5CFFA" w14:textId="77777777" w:rsidR="00437AC5" w:rsidRPr="000257A1" w:rsidRDefault="00437AC5" w:rsidP="00540491">
            <w:pPr>
              <w:pStyle w:val="Tablewriting"/>
              <w:rPr>
                <w:rFonts w:ascii="Calibri" w:hAnsi="Calibri"/>
              </w:rPr>
            </w:pPr>
            <w:hyperlink r:id="rId79" w:tooltip="11648c" w:history="1">
              <w:r w:rsidRPr="002329C5">
                <w:rPr>
                  <w:rStyle w:val="Hyperlink"/>
                  <w:rFonts w:ascii="Calibri" w:hAnsi="Calibri"/>
                </w:rPr>
                <w:t>11648C</w:t>
              </w:r>
            </w:hyperlink>
          </w:p>
        </w:tc>
        <w:tc>
          <w:tcPr>
            <w:tcW w:w="2995" w:type="dxa"/>
          </w:tcPr>
          <w:p w14:paraId="40F8653D" w14:textId="77777777" w:rsidR="00437AC5" w:rsidRPr="000257A1" w:rsidRDefault="00437AC5" w:rsidP="00540491">
            <w:pPr>
              <w:pStyle w:val="Tablewriting"/>
              <w:rPr>
                <w:rFonts w:ascii="Calibri" w:hAnsi="Calibri"/>
              </w:rPr>
            </w:pPr>
            <w:r>
              <w:rPr>
                <w:rFonts w:ascii="Calibri" w:hAnsi="Calibri"/>
              </w:rPr>
              <w:t>V</w:t>
            </w:r>
            <w:r w:rsidRPr="002329C5">
              <w:rPr>
                <w:rFonts w:ascii="Calibri" w:hAnsi="Calibri"/>
              </w:rPr>
              <w:t>enetoclax 50 mg tablet, 7</w:t>
            </w:r>
          </w:p>
        </w:tc>
        <w:tc>
          <w:tcPr>
            <w:tcW w:w="1106" w:type="dxa"/>
          </w:tcPr>
          <w:p w14:paraId="1450B093" w14:textId="77777777" w:rsidR="00437AC5" w:rsidRDefault="00437AC5" w:rsidP="00540491">
            <w:pPr>
              <w:pStyle w:val="Tablewriting"/>
              <w:rPr>
                <w:rFonts w:ascii="Calibri" w:hAnsi="Calibri"/>
              </w:rPr>
            </w:pPr>
            <w:r>
              <w:rPr>
                <w:rFonts w:ascii="Calibri" w:hAnsi="Calibri"/>
              </w:rPr>
              <w:t>1</w:t>
            </w:r>
          </w:p>
        </w:tc>
        <w:tc>
          <w:tcPr>
            <w:tcW w:w="850" w:type="dxa"/>
          </w:tcPr>
          <w:p w14:paraId="7692C1F4" w14:textId="77777777" w:rsidR="00437AC5" w:rsidRDefault="00437AC5" w:rsidP="00540491">
            <w:pPr>
              <w:pStyle w:val="Tablewriting"/>
              <w:rPr>
                <w:rFonts w:ascii="Calibri" w:hAnsi="Calibri"/>
              </w:rPr>
            </w:pPr>
            <w:r>
              <w:rPr>
                <w:rFonts w:ascii="Calibri" w:hAnsi="Calibri"/>
              </w:rPr>
              <w:t>7</w:t>
            </w:r>
          </w:p>
        </w:tc>
        <w:tc>
          <w:tcPr>
            <w:tcW w:w="1040" w:type="dxa"/>
          </w:tcPr>
          <w:p w14:paraId="7727A393" w14:textId="77777777" w:rsidR="00437AC5" w:rsidRPr="00866440" w:rsidRDefault="00437AC5" w:rsidP="00540491">
            <w:pPr>
              <w:pStyle w:val="Tablewriting"/>
              <w:rPr>
                <w:rFonts w:ascii="Calibri" w:hAnsi="Calibri"/>
              </w:rPr>
            </w:pPr>
            <w:r w:rsidRPr="002329C5">
              <w:rPr>
                <w:rFonts w:ascii="Calibri" w:hAnsi="Calibri"/>
              </w:rPr>
              <w:t>$244.79</w:t>
            </w:r>
          </w:p>
        </w:tc>
        <w:tc>
          <w:tcPr>
            <w:tcW w:w="2104" w:type="dxa"/>
          </w:tcPr>
          <w:p w14:paraId="46BB3B02"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2927829C" w14:textId="77777777" w:rsidTr="00540491">
        <w:trPr>
          <w:trHeight w:val="546"/>
          <w:tblHeader/>
        </w:trPr>
        <w:tc>
          <w:tcPr>
            <w:tcW w:w="969" w:type="dxa"/>
          </w:tcPr>
          <w:p w14:paraId="2B8528B2" w14:textId="77777777" w:rsidR="00437AC5" w:rsidRPr="009928CC" w:rsidRDefault="00437AC5" w:rsidP="00540491">
            <w:pPr>
              <w:pStyle w:val="Tablewriting"/>
              <w:rPr>
                <w:rFonts w:ascii="Calibri" w:hAnsi="Calibri"/>
              </w:rPr>
            </w:pPr>
            <w:hyperlink r:id="rId80" w:tooltip="12188l" w:history="1">
              <w:r w:rsidRPr="00F31C17">
                <w:rPr>
                  <w:rStyle w:val="Hyperlink"/>
                  <w:rFonts w:ascii="Calibri" w:hAnsi="Calibri"/>
                </w:rPr>
                <w:t>12188L</w:t>
              </w:r>
            </w:hyperlink>
          </w:p>
        </w:tc>
        <w:tc>
          <w:tcPr>
            <w:tcW w:w="2995" w:type="dxa"/>
          </w:tcPr>
          <w:p w14:paraId="2E76ECC9" w14:textId="77777777" w:rsidR="00437AC5" w:rsidRPr="008F0ABC" w:rsidRDefault="00437AC5" w:rsidP="00540491">
            <w:pPr>
              <w:pStyle w:val="Tablewriting"/>
              <w:rPr>
                <w:rFonts w:ascii="Calibri" w:hAnsi="Calibri"/>
              </w:rPr>
            </w:pPr>
            <w:r>
              <w:rPr>
                <w:rFonts w:ascii="Calibri" w:hAnsi="Calibri"/>
              </w:rPr>
              <w:t>V</w:t>
            </w:r>
            <w:r w:rsidRPr="00F31C17">
              <w:rPr>
                <w:rFonts w:ascii="Calibri" w:hAnsi="Calibri"/>
              </w:rPr>
              <w:t xml:space="preserve">enetoclax 10 mg tablet [14] (&amp;) </w:t>
            </w:r>
            <w:r>
              <w:rPr>
                <w:rFonts w:ascii="Calibri" w:hAnsi="Calibri"/>
              </w:rPr>
              <w:t>V</w:t>
            </w:r>
            <w:r w:rsidRPr="00F31C17">
              <w:rPr>
                <w:rFonts w:ascii="Calibri" w:hAnsi="Calibri"/>
              </w:rPr>
              <w:t xml:space="preserve">enetoclax 50 mg tablet [7] (&amp;) </w:t>
            </w:r>
            <w:r>
              <w:rPr>
                <w:rFonts w:ascii="Calibri" w:hAnsi="Calibri"/>
              </w:rPr>
              <w:t>V</w:t>
            </w:r>
            <w:r w:rsidRPr="00F31C17">
              <w:rPr>
                <w:rFonts w:ascii="Calibri" w:hAnsi="Calibri"/>
              </w:rPr>
              <w:t xml:space="preserve">enetoclax 100 mg tablet [7] (&amp;) </w:t>
            </w:r>
            <w:r>
              <w:rPr>
                <w:rFonts w:ascii="Calibri" w:hAnsi="Calibri"/>
              </w:rPr>
              <w:t>V</w:t>
            </w:r>
            <w:r w:rsidRPr="00F31C17">
              <w:rPr>
                <w:rFonts w:ascii="Calibri" w:hAnsi="Calibri"/>
              </w:rPr>
              <w:t>enetoclax 100 mg tablet [14], 1 pack</w:t>
            </w:r>
          </w:p>
        </w:tc>
        <w:tc>
          <w:tcPr>
            <w:tcW w:w="1106" w:type="dxa"/>
          </w:tcPr>
          <w:p w14:paraId="2366B6BC" w14:textId="77777777" w:rsidR="00437AC5" w:rsidRDefault="00437AC5" w:rsidP="00540491">
            <w:pPr>
              <w:pStyle w:val="Tablewriting"/>
              <w:rPr>
                <w:rFonts w:ascii="Calibri" w:hAnsi="Calibri"/>
              </w:rPr>
            </w:pPr>
            <w:r>
              <w:rPr>
                <w:rFonts w:ascii="Calibri" w:hAnsi="Calibri"/>
              </w:rPr>
              <w:t>1</w:t>
            </w:r>
          </w:p>
        </w:tc>
        <w:tc>
          <w:tcPr>
            <w:tcW w:w="850" w:type="dxa"/>
          </w:tcPr>
          <w:p w14:paraId="367D0A5D" w14:textId="77777777" w:rsidR="00437AC5" w:rsidRDefault="00437AC5" w:rsidP="00540491">
            <w:pPr>
              <w:pStyle w:val="Tablewriting"/>
              <w:rPr>
                <w:rFonts w:ascii="Calibri" w:hAnsi="Calibri"/>
              </w:rPr>
            </w:pPr>
            <w:r>
              <w:rPr>
                <w:rFonts w:ascii="Calibri" w:hAnsi="Calibri"/>
              </w:rPr>
              <w:t>0</w:t>
            </w:r>
          </w:p>
        </w:tc>
        <w:tc>
          <w:tcPr>
            <w:tcW w:w="1040" w:type="dxa"/>
          </w:tcPr>
          <w:p w14:paraId="760350DF" w14:textId="77777777" w:rsidR="00437AC5" w:rsidRPr="008F0ABC" w:rsidRDefault="00437AC5" w:rsidP="00540491">
            <w:pPr>
              <w:pStyle w:val="Tablewriting"/>
              <w:rPr>
                <w:rFonts w:ascii="Calibri" w:hAnsi="Calibri"/>
              </w:rPr>
            </w:pPr>
            <w:r w:rsidRPr="007B0623">
              <w:rPr>
                <w:rFonts w:ascii="Calibri" w:hAnsi="Calibri"/>
              </w:rPr>
              <w:t>$1706.83</w:t>
            </w:r>
          </w:p>
        </w:tc>
        <w:tc>
          <w:tcPr>
            <w:tcW w:w="2104" w:type="dxa"/>
          </w:tcPr>
          <w:p w14:paraId="784278F7"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12312929" w14:textId="77777777" w:rsidTr="00540491">
        <w:trPr>
          <w:trHeight w:val="546"/>
          <w:tblHeader/>
        </w:trPr>
        <w:tc>
          <w:tcPr>
            <w:tcW w:w="969" w:type="dxa"/>
          </w:tcPr>
          <w:p w14:paraId="6BCA5D48" w14:textId="77777777" w:rsidR="00437AC5" w:rsidRPr="003A609F" w:rsidRDefault="00437AC5" w:rsidP="00540491">
            <w:pPr>
              <w:pStyle w:val="Tablewriting"/>
              <w:rPr>
                <w:rFonts w:ascii="Calibri" w:hAnsi="Calibri"/>
              </w:rPr>
            </w:pPr>
            <w:hyperlink r:id="rId81" w:tooltip="12199c" w:history="1">
              <w:r w:rsidRPr="007B0623">
                <w:rPr>
                  <w:rStyle w:val="Hyperlink"/>
                  <w:rFonts w:ascii="Calibri" w:hAnsi="Calibri"/>
                </w:rPr>
                <w:t>12199C</w:t>
              </w:r>
            </w:hyperlink>
          </w:p>
        </w:tc>
        <w:tc>
          <w:tcPr>
            <w:tcW w:w="2995" w:type="dxa"/>
          </w:tcPr>
          <w:p w14:paraId="4D697F5A" w14:textId="77777777" w:rsidR="00437AC5" w:rsidRPr="003A609F" w:rsidRDefault="00437AC5" w:rsidP="00540491">
            <w:pPr>
              <w:pStyle w:val="Tablewriting"/>
              <w:rPr>
                <w:rFonts w:ascii="Calibri" w:hAnsi="Calibri"/>
              </w:rPr>
            </w:pPr>
            <w:r>
              <w:rPr>
                <w:rFonts w:ascii="Calibri" w:hAnsi="Calibri"/>
              </w:rPr>
              <w:t>V</w:t>
            </w:r>
            <w:r w:rsidRPr="00E75195">
              <w:rPr>
                <w:rFonts w:ascii="Calibri" w:hAnsi="Calibri"/>
              </w:rPr>
              <w:t>enetoclax 100 mg tablet, 120</w:t>
            </w:r>
          </w:p>
        </w:tc>
        <w:tc>
          <w:tcPr>
            <w:tcW w:w="1106" w:type="dxa"/>
          </w:tcPr>
          <w:p w14:paraId="6347849F" w14:textId="77777777" w:rsidR="00437AC5" w:rsidRDefault="00437AC5" w:rsidP="00540491">
            <w:pPr>
              <w:pStyle w:val="Tablewriting"/>
              <w:rPr>
                <w:rFonts w:ascii="Calibri" w:hAnsi="Calibri"/>
              </w:rPr>
            </w:pPr>
            <w:r>
              <w:rPr>
                <w:rFonts w:ascii="Calibri" w:hAnsi="Calibri"/>
              </w:rPr>
              <w:t>1</w:t>
            </w:r>
          </w:p>
        </w:tc>
        <w:tc>
          <w:tcPr>
            <w:tcW w:w="850" w:type="dxa"/>
          </w:tcPr>
          <w:p w14:paraId="49B7BB4D" w14:textId="77777777" w:rsidR="00437AC5" w:rsidRDefault="00437AC5" w:rsidP="00540491">
            <w:pPr>
              <w:pStyle w:val="Tablewriting"/>
              <w:rPr>
                <w:rFonts w:ascii="Calibri" w:hAnsi="Calibri"/>
              </w:rPr>
            </w:pPr>
            <w:r>
              <w:rPr>
                <w:rFonts w:ascii="Calibri" w:hAnsi="Calibri"/>
              </w:rPr>
              <w:t>5</w:t>
            </w:r>
          </w:p>
        </w:tc>
        <w:tc>
          <w:tcPr>
            <w:tcW w:w="1040" w:type="dxa"/>
          </w:tcPr>
          <w:p w14:paraId="28995643" w14:textId="77777777" w:rsidR="00437AC5" w:rsidRPr="00D90207" w:rsidRDefault="00437AC5" w:rsidP="00540491">
            <w:pPr>
              <w:pStyle w:val="Tablewriting"/>
              <w:rPr>
                <w:rFonts w:ascii="Calibri" w:hAnsi="Calibri"/>
              </w:rPr>
            </w:pPr>
            <w:r w:rsidRPr="00E75195">
              <w:rPr>
                <w:rFonts w:ascii="Calibri" w:hAnsi="Calibri"/>
              </w:rPr>
              <w:t>$7404.80</w:t>
            </w:r>
          </w:p>
        </w:tc>
        <w:tc>
          <w:tcPr>
            <w:tcW w:w="2104" w:type="dxa"/>
          </w:tcPr>
          <w:p w14:paraId="1D8F014A"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6B1A305B" w14:textId="77777777" w:rsidTr="00C7199E">
        <w:trPr>
          <w:trHeight w:val="384"/>
          <w:tblHeader/>
        </w:trPr>
        <w:tc>
          <w:tcPr>
            <w:tcW w:w="969" w:type="dxa"/>
          </w:tcPr>
          <w:p w14:paraId="0304C2FE" w14:textId="77777777" w:rsidR="00437AC5" w:rsidRPr="00D90207" w:rsidRDefault="00437AC5" w:rsidP="00540491">
            <w:pPr>
              <w:pStyle w:val="Tablewriting"/>
              <w:rPr>
                <w:rFonts w:ascii="Calibri" w:hAnsi="Calibri"/>
              </w:rPr>
            </w:pPr>
            <w:hyperlink r:id="rId82" w:tooltip="12205j" w:history="1">
              <w:r w:rsidRPr="00DD0F83">
                <w:rPr>
                  <w:rStyle w:val="Hyperlink"/>
                  <w:rFonts w:ascii="Calibri" w:hAnsi="Calibri"/>
                </w:rPr>
                <w:t>12205J</w:t>
              </w:r>
            </w:hyperlink>
          </w:p>
        </w:tc>
        <w:tc>
          <w:tcPr>
            <w:tcW w:w="2995" w:type="dxa"/>
          </w:tcPr>
          <w:p w14:paraId="68B94D7B" w14:textId="77777777" w:rsidR="00437AC5" w:rsidRPr="004C61C0" w:rsidRDefault="00437AC5" w:rsidP="00540491">
            <w:pPr>
              <w:pStyle w:val="Tablewriting"/>
              <w:rPr>
                <w:rFonts w:ascii="Calibri" w:hAnsi="Calibri"/>
              </w:rPr>
            </w:pPr>
            <w:r>
              <w:rPr>
                <w:rFonts w:ascii="Calibri" w:hAnsi="Calibri"/>
              </w:rPr>
              <w:t>V</w:t>
            </w:r>
            <w:r w:rsidRPr="00DD0F83">
              <w:rPr>
                <w:rFonts w:ascii="Calibri" w:hAnsi="Calibri"/>
              </w:rPr>
              <w:t>enetoclax 100 mg tablet, 120</w:t>
            </w:r>
          </w:p>
        </w:tc>
        <w:tc>
          <w:tcPr>
            <w:tcW w:w="1106" w:type="dxa"/>
          </w:tcPr>
          <w:p w14:paraId="27DE6544" w14:textId="77777777" w:rsidR="00437AC5" w:rsidRDefault="00437AC5" w:rsidP="00540491">
            <w:pPr>
              <w:pStyle w:val="Tablewriting"/>
              <w:rPr>
                <w:rFonts w:ascii="Calibri" w:hAnsi="Calibri"/>
              </w:rPr>
            </w:pPr>
            <w:r>
              <w:rPr>
                <w:rFonts w:ascii="Calibri" w:hAnsi="Calibri"/>
              </w:rPr>
              <w:t>1</w:t>
            </w:r>
          </w:p>
        </w:tc>
        <w:tc>
          <w:tcPr>
            <w:tcW w:w="850" w:type="dxa"/>
          </w:tcPr>
          <w:p w14:paraId="19DFBCAB" w14:textId="77777777" w:rsidR="00437AC5" w:rsidRDefault="00437AC5" w:rsidP="00540491">
            <w:pPr>
              <w:pStyle w:val="Tablewriting"/>
              <w:rPr>
                <w:rFonts w:ascii="Calibri" w:hAnsi="Calibri"/>
              </w:rPr>
            </w:pPr>
            <w:r>
              <w:rPr>
                <w:rFonts w:ascii="Calibri" w:hAnsi="Calibri"/>
              </w:rPr>
              <w:t>4</w:t>
            </w:r>
          </w:p>
        </w:tc>
        <w:tc>
          <w:tcPr>
            <w:tcW w:w="1040" w:type="dxa"/>
          </w:tcPr>
          <w:p w14:paraId="3755B33B" w14:textId="77777777" w:rsidR="00437AC5" w:rsidRPr="004C61C0" w:rsidRDefault="00437AC5" w:rsidP="00540491">
            <w:pPr>
              <w:pStyle w:val="Tablewriting"/>
              <w:rPr>
                <w:rFonts w:ascii="Calibri" w:hAnsi="Calibri"/>
              </w:rPr>
            </w:pPr>
            <w:r w:rsidRPr="00DD0F83">
              <w:rPr>
                <w:rFonts w:ascii="Calibri" w:hAnsi="Calibri"/>
              </w:rPr>
              <w:t>$7404.80</w:t>
            </w:r>
          </w:p>
        </w:tc>
        <w:tc>
          <w:tcPr>
            <w:tcW w:w="2104" w:type="dxa"/>
          </w:tcPr>
          <w:p w14:paraId="6DC9A05E"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1F716214" w14:textId="77777777" w:rsidTr="00540491">
        <w:trPr>
          <w:trHeight w:val="546"/>
          <w:tblHeader/>
        </w:trPr>
        <w:tc>
          <w:tcPr>
            <w:tcW w:w="969" w:type="dxa"/>
          </w:tcPr>
          <w:p w14:paraId="66BDF6C9" w14:textId="77777777" w:rsidR="00437AC5" w:rsidRPr="00D90207" w:rsidRDefault="00437AC5" w:rsidP="00540491">
            <w:pPr>
              <w:pStyle w:val="Tablewriting"/>
              <w:rPr>
                <w:rFonts w:ascii="Calibri" w:hAnsi="Calibri"/>
              </w:rPr>
            </w:pPr>
            <w:hyperlink r:id="rId83" w:tooltip="12999e" w:history="1">
              <w:r w:rsidRPr="00FD0DA4">
                <w:rPr>
                  <w:rStyle w:val="Hyperlink"/>
                  <w:rFonts w:ascii="Calibri" w:hAnsi="Calibri"/>
                </w:rPr>
                <w:t>12999E</w:t>
              </w:r>
            </w:hyperlink>
          </w:p>
        </w:tc>
        <w:tc>
          <w:tcPr>
            <w:tcW w:w="2995" w:type="dxa"/>
          </w:tcPr>
          <w:p w14:paraId="20B1743C" w14:textId="77777777" w:rsidR="00437AC5" w:rsidRPr="004C61C0" w:rsidRDefault="00437AC5" w:rsidP="00540491">
            <w:pPr>
              <w:pStyle w:val="Tablewriting"/>
              <w:rPr>
                <w:rFonts w:ascii="Calibri" w:hAnsi="Calibri"/>
              </w:rPr>
            </w:pPr>
            <w:r>
              <w:rPr>
                <w:rFonts w:ascii="Calibri" w:hAnsi="Calibri"/>
              </w:rPr>
              <w:t>V</w:t>
            </w:r>
            <w:r w:rsidRPr="00FD0DA4">
              <w:rPr>
                <w:rFonts w:ascii="Calibri" w:hAnsi="Calibri"/>
              </w:rPr>
              <w:t>enetoclax 10 mg tablet, 2</w:t>
            </w:r>
          </w:p>
        </w:tc>
        <w:tc>
          <w:tcPr>
            <w:tcW w:w="1106" w:type="dxa"/>
          </w:tcPr>
          <w:p w14:paraId="52C4D4E6" w14:textId="77777777" w:rsidR="00437AC5" w:rsidRDefault="00437AC5" w:rsidP="00540491">
            <w:pPr>
              <w:pStyle w:val="Tablewriting"/>
              <w:rPr>
                <w:rFonts w:ascii="Calibri" w:hAnsi="Calibri"/>
              </w:rPr>
            </w:pPr>
            <w:r>
              <w:rPr>
                <w:rFonts w:ascii="Calibri" w:hAnsi="Calibri"/>
              </w:rPr>
              <w:t>7</w:t>
            </w:r>
          </w:p>
        </w:tc>
        <w:tc>
          <w:tcPr>
            <w:tcW w:w="850" w:type="dxa"/>
          </w:tcPr>
          <w:p w14:paraId="642850BF" w14:textId="77777777" w:rsidR="00437AC5" w:rsidRDefault="00437AC5" w:rsidP="00540491">
            <w:pPr>
              <w:pStyle w:val="Tablewriting"/>
              <w:rPr>
                <w:rFonts w:ascii="Calibri" w:hAnsi="Calibri"/>
              </w:rPr>
            </w:pPr>
            <w:r>
              <w:rPr>
                <w:rFonts w:ascii="Calibri" w:hAnsi="Calibri"/>
              </w:rPr>
              <w:t>0</w:t>
            </w:r>
          </w:p>
        </w:tc>
        <w:tc>
          <w:tcPr>
            <w:tcW w:w="1040" w:type="dxa"/>
          </w:tcPr>
          <w:p w14:paraId="79AE9D61" w14:textId="77777777" w:rsidR="00437AC5" w:rsidRPr="004C61C0" w:rsidRDefault="00437AC5" w:rsidP="00540491">
            <w:pPr>
              <w:pStyle w:val="Tablewriting"/>
              <w:rPr>
                <w:rFonts w:ascii="Calibri" w:hAnsi="Calibri"/>
              </w:rPr>
            </w:pPr>
            <w:r w:rsidRPr="008B0E43">
              <w:rPr>
                <w:rFonts w:ascii="Calibri" w:hAnsi="Calibri"/>
              </w:rPr>
              <w:t>$104.64</w:t>
            </w:r>
          </w:p>
        </w:tc>
        <w:tc>
          <w:tcPr>
            <w:tcW w:w="2104" w:type="dxa"/>
          </w:tcPr>
          <w:p w14:paraId="3AD884F4"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6DD54ECD" w14:textId="77777777" w:rsidTr="00540491">
        <w:trPr>
          <w:trHeight w:val="546"/>
          <w:tblHeader/>
        </w:trPr>
        <w:tc>
          <w:tcPr>
            <w:tcW w:w="969" w:type="dxa"/>
          </w:tcPr>
          <w:p w14:paraId="5BCC6025" w14:textId="77777777" w:rsidR="00437AC5" w:rsidRPr="00FD0DA4" w:rsidRDefault="00437AC5" w:rsidP="00540491">
            <w:pPr>
              <w:pStyle w:val="Tablewriting"/>
              <w:rPr>
                <w:rFonts w:ascii="Calibri" w:hAnsi="Calibri"/>
              </w:rPr>
            </w:pPr>
            <w:hyperlink r:id="rId84" w:tooltip="14581k" w:history="1">
              <w:r w:rsidRPr="0076613F">
                <w:rPr>
                  <w:rStyle w:val="Hyperlink"/>
                  <w:rFonts w:ascii="Calibri" w:hAnsi="Calibri"/>
                </w:rPr>
                <w:t>14581K</w:t>
              </w:r>
            </w:hyperlink>
          </w:p>
        </w:tc>
        <w:tc>
          <w:tcPr>
            <w:tcW w:w="2995" w:type="dxa"/>
          </w:tcPr>
          <w:p w14:paraId="4A916533" w14:textId="77777777" w:rsidR="00437AC5" w:rsidRPr="00FD0DA4" w:rsidRDefault="00437AC5" w:rsidP="00540491">
            <w:pPr>
              <w:pStyle w:val="Tablewriting"/>
              <w:rPr>
                <w:rFonts w:ascii="Calibri" w:hAnsi="Calibri"/>
              </w:rPr>
            </w:pPr>
            <w:r>
              <w:rPr>
                <w:rFonts w:ascii="Calibri" w:hAnsi="Calibri"/>
              </w:rPr>
              <w:t>V</w:t>
            </w:r>
            <w:r w:rsidRPr="0076613F">
              <w:rPr>
                <w:rFonts w:ascii="Calibri" w:hAnsi="Calibri"/>
              </w:rPr>
              <w:t>enetoclax 100 mg tablet, 120</w:t>
            </w:r>
          </w:p>
        </w:tc>
        <w:tc>
          <w:tcPr>
            <w:tcW w:w="1106" w:type="dxa"/>
          </w:tcPr>
          <w:p w14:paraId="46E435BC" w14:textId="77777777" w:rsidR="00437AC5" w:rsidRDefault="00437AC5" w:rsidP="00540491">
            <w:pPr>
              <w:pStyle w:val="Tablewriting"/>
              <w:rPr>
                <w:rFonts w:ascii="Calibri" w:hAnsi="Calibri"/>
              </w:rPr>
            </w:pPr>
            <w:r>
              <w:rPr>
                <w:rFonts w:ascii="Calibri" w:hAnsi="Calibri"/>
              </w:rPr>
              <w:t>1</w:t>
            </w:r>
          </w:p>
        </w:tc>
        <w:tc>
          <w:tcPr>
            <w:tcW w:w="850" w:type="dxa"/>
          </w:tcPr>
          <w:p w14:paraId="3BEE4FD4" w14:textId="77777777" w:rsidR="00437AC5" w:rsidRDefault="00437AC5" w:rsidP="00540491">
            <w:pPr>
              <w:pStyle w:val="Tablewriting"/>
              <w:rPr>
                <w:rFonts w:ascii="Calibri" w:hAnsi="Calibri"/>
              </w:rPr>
            </w:pPr>
            <w:r>
              <w:rPr>
                <w:rFonts w:ascii="Calibri" w:hAnsi="Calibri"/>
              </w:rPr>
              <w:t>4</w:t>
            </w:r>
          </w:p>
        </w:tc>
        <w:tc>
          <w:tcPr>
            <w:tcW w:w="1040" w:type="dxa"/>
          </w:tcPr>
          <w:p w14:paraId="40794C63" w14:textId="77777777" w:rsidR="00437AC5" w:rsidRPr="008B0E43" w:rsidRDefault="00437AC5" w:rsidP="00540491">
            <w:pPr>
              <w:pStyle w:val="Tablewriting"/>
              <w:rPr>
                <w:rFonts w:ascii="Calibri" w:hAnsi="Calibri"/>
              </w:rPr>
            </w:pPr>
            <w:r w:rsidRPr="0076613F">
              <w:rPr>
                <w:rFonts w:ascii="Calibri" w:hAnsi="Calibri"/>
              </w:rPr>
              <w:t>$7404.80</w:t>
            </w:r>
          </w:p>
        </w:tc>
        <w:tc>
          <w:tcPr>
            <w:tcW w:w="2104" w:type="dxa"/>
          </w:tcPr>
          <w:p w14:paraId="087439AD"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6C5748CF" w14:textId="77777777" w:rsidTr="00540491">
        <w:trPr>
          <w:trHeight w:val="546"/>
          <w:tblHeader/>
        </w:trPr>
        <w:tc>
          <w:tcPr>
            <w:tcW w:w="969" w:type="dxa"/>
          </w:tcPr>
          <w:p w14:paraId="2B3D0E14" w14:textId="77777777" w:rsidR="00437AC5" w:rsidRPr="0076613F" w:rsidRDefault="00437AC5" w:rsidP="00540491">
            <w:pPr>
              <w:pStyle w:val="Tablewriting"/>
              <w:rPr>
                <w:rFonts w:ascii="Calibri" w:hAnsi="Calibri"/>
              </w:rPr>
            </w:pPr>
            <w:hyperlink r:id="rId85" w:tooltip="14584n" w:history="1">
              <w:r w:rsidRPr="00A46AE8">
                <w:rPr>
                  <w:rStyle w:val="Hyperlink"/>
                  <w:rFonts w:ascii="Calibri" w:hAnsi="Calibri"/>
                </w:rPr>
                <w:t>14584N</w:t>
              </w:r>
            </w:hyperlink>
          </w:p>
        </w:tc>
        <w:tc>
          <w:tcPr>
            <w:tcW w:w="2995" w:type="dxa"/>
          </w:tcPr>
          <w:p w14:paraId="6051D5A1" w14:textId="77777777" w:rsidR="00437AC5" w:rsidRPr="0076613F" w:rsidRDefault="00437AC5" w:rsidP="00540491">
            <w:pPr>
              <w:pStyle w:val="Tablewriting"/>
              <w:rPr>
                <w:rFonts w:ascii="Calibri" w:hAnsi="Calibri"/>
              </w:rPr>
            </w:pPr>
            <w:r>
              <w:rPr>
                <w:rFonts w:ascii="Calibri" w:hAnsi="Calibri"/>
              </w:rPr>
              <w:t>V</w:t>
            </w:r>
            <w:r w:rsidRPr="00A46AE8">
              <w:rPr>
                <w:rFonts w:ascii="Calibri" w:hAnsi="Calibri"/>
              </w:rPr>
              <w:t xml:space="preserve">enetoclax 10 mg tablet [14] (&amp;) </w:t>
            </w:r>
            <w:r>
              <w:rPr>
                <w:rFonts w:ascii="Calibri" w:hAnsi="Calibri"/>
              </w:rPr>
              <w:t>V</w:t>
            </w:r>
            <w:r w:rsidRPr="00A46AE8">
              <w:rPr>
                <w:rFonts w:ascii="Calibri" w:hAnsi="Calibri"/>
              </w:rPr>
              <w:t xml:space="preserve">enetoclax 50 mg tablet [7] (&amp;) </w:t>
            </w:r>
            <w:r>
              <w:rPr>
                <w:rFonts w:ascii="Calibri" w:hAnsi="Calibri"/>
              </w:rPr>
              <w:t>V</w:t>
            </w:r>
            <w:r w:rsidRPr="00A46AE8">
              <w:rPr>
                <w:rFonts w:ascii="Calibri" w:hAnsi="Calibri"/>
              </w:rPr>
              <w:t xml:space="preserve">enetoclax 100 mg tablet [7] (&amp;) </w:t>
            </w:r>
            <w:r>
              <w:rPr>
                <w:rFonts w:ascii="Calibri" w:hAnsi="Calibri"/>
              </w:rPr>
              <w:t>V</w:t>
            </w:r>
            <w:r w:rsidRPr="00A46AE8">
              <w:rPr>
                <w:rFonts w:ascii="Calibri" w:hAnsi="Calibri"/>
              </w:rPr>
              <w:t>enetoclax 100 mg tablet [14], 1 pack</w:t>
            </w:r>
          </w:p>
        </w:tc>
        <w:tc>
          <w:tcPr>
            <w:tcW w:w="1106" w:type="dxa"/>
          </w:tcPr>
          <w:p w14:paraId="3E7D5C74" w14:textId="77777777" w:rsidR="00437AC5" w:rsidRDefault="00437AC5" w:rsidP="00540491">
            <w:pPr>
              <w:pStyle w:val="Tablewriting"/>
              <w:rPr>
                <w:rFonts w:ascii="Calibri" w:hAnsi="Calibri"/>
              </w:rPr>
            </w:pPr>
            <w:r>
              <w:rPr>
                <w:rFonts w:ascii="Calibri" w:hAnsi="Calibri"/>
              </w:rPr>
              <w:t>1</w:t>
            </w:r>
          </w:p>
        </w:tc>
        <w:tc>
          <w:tcPr>
            <w:tcW w:w="850" w:type="dxa"/>
          </w:tcPr>
          <w:p w14:paraId="6A50953F" w14:textId="77777777" w:rsidR="00437AC5" w:rsidRDefault="00437AC5" w:rsidP="00540491">
            <w:pPr>
              <w:pStyle w:val="Tablewriting"/>
              <w:rPr>
                <w:rFonts w:ascii="Calibri" w:hAnsi="Calibri"/>
              </w:rPr>
            </w:pPr>
            <w:r>
              <w:rPr>
                <w:rFonts w:ascii="Calibri" w:hAnsi="Calibri"/>
              </w:rPr>
              <w:t>0</w:t>
            </w:r>
          </w:p>
        </w:tc>
        <w:tc>
          <w:tcPr>
            <w:tcW w:w="1040" w:type="dxa"/>
          </w:tcPr>
          <w:p w14:paraId="307A7A30" w14:textId="77777777" w:rsidR="00437AC5" w:rsidRPr="0076613F" w:rsidRDefault="00437AC5" w:rsidP="00540491">
            <w:pPr>
              <w:pStyle w:val="Tablewriting"/>
              <w:rPr>
                <w:rFonts w:ascii="Calibri" w:hAnsi="Calibri"/>
              </w:rPr>
            </w:pPr>
            <w:r w:rsidRPr="00F3563B">
              <w:rPr>
                <w:rFonts w:ascii="Calibri" w:hAnsi="Calibri"/>
              </w:rPr>
              <w:t>$1706.83</w:t>
            </w:r>
          </w:p>
        </w:tc>
        <w:tc>
          <w:tcPr>
            <w:tcW w:w="2104" w:type="dxa"/>
          </w:tcPr>
          <w:p w14:paraId="65AE5748"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3815A087" w14:textId="77777777" w:rsidTr="00540491">
        <w:trPr>
          <w:trHeight w:val="546"/>
          <w:tblHeader/>
        </w:trPr>
        <w:tc>
          <w:tcPr>
            <w:tcW w:w="969" w:type="dxa"/>
          </w:tcPr>
          <w:p w14:paraId="6B911D5D" w14:textId="77777777" w:rsidR="00437AC5" w:rsidRPr="00A46AE8" w:rsidRDefault="00437AC5" w:rsidP="00540491">
            <w:pPr>
              <w:pStyle w:val="Tablewriting"/>
              <w:rPr>
                <w:rFonts w:ascii="Calibri" w:hAnsi="Calibri"/>
              </w:rPr>
            </w:pPr>
            <w:hyperlink r:id="rId86" w:tooltip="14585p" w:history="1">
              <w:r w:rsidRPr="00F3563B">
                <w:rPr>
                  <w:rStyle w:val="Hyperlink"/>
                  <w:rFonts w:ascii="Calibri" w:hAnsi="Calibri"/>
                </w:rPr>
                <w:t>14585P</w:t>
              </w:r>
            </w:hyperlink>
          </w:p>
        </w:tc>
        <w:tc>
          <w:tcPr>
            <w:tcW w:w="2995" w:type="dxa"/>
          </w:tcPr>
          <w:p w14:paraId="392075D7" w14:textId="77777777" w:rsidR="00437AC5" w:rsidRPr="00A46AE8" w:rsidRDefault="00437AC5" w:rsidP="00540491">
            <w:pPr>
              <w:pStyle w:val="Tablewriting"/>
              <w:rPr>
                <w:rFonts w:ascii="Calibri" w:hAnsi="Calibri"/>
              </w:rPr>
            </w:pPr>
            <w:r>
              <w:rPr>
                <w:rFonts w:ascii="Calibri" w:hAnsi="Calibri"/>
              </w:rPr>
              <w:t>V</w:t>
            </w:r>
            <w:r w:rsidRPr="00F3563B">
              <w:rPr>
                <w:rFonts w:ascii="Calibri" w:hAnsi="Calibri"/>
              </w:rPr>
              <w:t>enetoclax 100 mg tablet, 120</w:t>
            </w:r>
          </w:p>
        </w:tc>
        <w:tc>
          <w:tcPr>
            <w:tcW w:w="1106" w:type="dxa"/>
          </w:tcPr>
          <w:p w14:paraId="2D559917" w14:textId="77777777" w:rsidR="00437AC5" w:rsidRDefault="00437AC5" w:rsidP="00540491">
            <w:pPr>
              <w:pStyle w:val="Tablewriting"/>
              <w:rPr>
                <w:rFonts w:ascii="Calibri" w:hAnsi="Calibri"/>
              </w:rPr>
            </w:pPr>
            <w:r>
              <w:rPr>
                <w:rFonts w:ascii="Calibri" w:hAnsi="Calibri"/>
              </w:rPr>
              <w:t>1</w:t>
            </w:r>
          </w:p>
        </w:tc>
        <w:tc>
          <w:tcPr>
            <w:tcW w:w="850" w:type="dxa"/>
          </w:tcPr>
          <w:p w14:paraId="47DED4FB" w14:textId="77777777" w:rsidR="00437AC5" w:rsidRDefault="00437AC5" w:rsidP="00540491">
            <w:pPr>
              <w:pStyle w:val="Tablewriting"/>
              <w:rPr>
                <w:rFonts w:ascii="Calibri" w:hAnsi="Calibri"/>
              </w:rPr>
            </w:pPr>
            <w:r>
              <w:rPr>
                <w:rFonts w:ascii="Calibri" w:hAnsi="Calibri"/>
              </w:rPr>
              <w:t>4</w:t>
            </w:r>
          </w:p>
        </w:tc>
        <w:tc>
          <w:tcPr>
            <w:tcW w:w="1040" w:type="dxa"/>
          </w:tcPr>
          <w:p w14:paraId="4A9D81EA" w14:textId="77777777" w:rsidR="00437AC5" w:rsidRPr="00F3563B" w:rsidRDefault="00437AC5" w:rsidP="00540491">
            <w:pPr>
              <w:pStyle w:val="Tablewriting"/>
              <w:rPr>
                <w:rFonts w:ascii="Calibri" w:hAnsi="Calibri"/>
              </w:rPr>
            </w:pPr>
            <w:r w:rsidRPr="00250A3B">
              <w:rPr>
                <w:rFonts w:ascii="Calibri" w:hAnsi="Calibri"/>
              </w:rPr>
              <w:t>$7404.80</w:t>
            </w:r>
          </w:p>
        </w:tc>
        <w:tc>
          <w:tcPr>
            <w:tcW w:w="2104" w:type="dxa"/>
          </w:tcPr>
          <w:p w14:paraId="178DDAF5"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64CE7257" w14:textId="77777777" w:rsidTr="00540491">
        <w:trPr>
          <w:trHeight w:val="546"/>
          <w:tblHeader/>
        </w:trPr>
        <w:tc>
          <w:tcPr>
            <w:tcW w:w="969" w:type="dxa"/>
          </w:tcPr>
          <w:p w14:paraId="30BC2560" w14:textId="77777777" w:rsidR="00437AC5" w:rsidRPr="00F3563B" w:rsidRDefault="00437AC5" w:rsidP="00540491">
            <w:pPr>
              <w:pStyle w:val="Tablewriting"/>
              <w:rPr>
                <w:rFonts w:ascii="Calibri" w:hAnsi="Calibri"/>
              </w:rPr>
            </w:pPr>
            <w:hyperlink r:id="rId87" w:tooltip="14595e" w:history="1">
              <w:r w:rsidRPr="00250A3B">
                <w:rPr>
                  <w:rStyle w:val="Hyperlink"/>
                  <w:rFonts w:ascii="Calibri" w:hAnsi="Calibri"/>
                </w:rPr>
                <w:t>14595E</w:t>
              </w:r>
            </w:hyperlink>
          </w:p>
        </w:tc>
        <w:tc>
          <w:tcPr>
            <w:tcW w:w="2995" w:type="dxa"/>
          </w:tcPr>
          <w:p w14:paraId="3CF28E8B" w14:textId="77777777" w:rsidR="00437AC5" w:rsidRPr="00F3563B" w:rsidRDefault="00437AC5" w:rsidP="00540491">
            <w:pPr>
              <w:pStyle w:val="Tablewriting"/>
              <w:rPr>
                <w:rFonts w:ascii="Calibri" w:hAnsi="Calibri"/>
              </w:rPr>
            </w:pPr>
            <w:r>
              <w:rPr>
                <w:rFonts w:ascii="Calibri" w:hAnsi="Calibri"/>
              </w:rPr>
              <w:t>V</w:t>
            </w:r>
            <w:r w:rsidRPr="0027322A">
              <w:rPr>
                <w:rFonts w:ascii="Calibri" w:hAnsi="Calibri"/>
              </w:rPr>
              <w:t>enetoclax 100 mg tablet, 120</w:t>
            </w:r>
          </w:p>
        </w:tc>
        <w:tc>
          <w:tcPr>
            <w:tcW w:w="1106" w:type="dxa"/>
          </w:tcPr>
          <w:p w14:paraId="40534CF4" w14:textId="77777777" w:rsidR="00437AC5" w:rsidRDefault="00437AC5" w:rsidP="00540491">
            <w:pPr>
              <w:pStyle w:val="Tablewriting"/>
              <w:rPr>
                <w:rFonts w:ascii="Calibri" w:hAnsi="Calibri"/>
              </w:rPr>
            </w:pPr>
            <w:r>
              <w:rPr>
                <w:rFonts w:ascii="Calibri" w:hAnsi="Calibri"/>
              </w:rPr>
              <w:t>1</w:t>
            </w:r>
          </w:p>
        </w:tc>
        <w:tc>
          <w:tcPr>
            <w:tcW w:w="850" w:type="dxa"/>
          </w:tcPr>
          <w:p w14:paraId="56BBFA0A" w14:textId="77777777" w:rsidR="00437AC5" w:rsidRDefault="00437AC5" w:rsidP="00540491">
            <w:pPr>
              <w:pStyle w:val="Tablewriting"/>
              <w:rPr>
                <w:rFonts w:ascii="Calibri" w:hAnsi="Calibri"/>
              </w:rPr>
            </w:pPr>
            <w:r>
              <w:rPr>
                <w:rFonts w:ascii="Calibri" w:hAnsi="Calibri"/>
              </w:rPr>
              <w:t>5</w:t>
            </w:r>
          </w:p>
        </w:tc>
        <w:tc>
          <w:tcPr>
            <w:tcW w:w="1040" w:type="dxa"/>
          </w:tcPr>
          <w:p w14:paraId="047443D4" w14:textId="77777777" w:rsidR="00437AC5" w:rsidRPr="00250A3B" w:rsidRDefault="00437AC5" w:rsidP="00540491">
            <w:pPr>
              <w:pStyle w:val="Tablewriting"/>
              <w:rPr>
                <w:rFonts w:ascii="Calibri" w:hAnsi="Calibri"/>
              </w:rPr>
            </w:pPr>
            <w:r w:rsidRPr="0027322A">
              <w:rPr>
                <w:rFonts w:ascii="Calibri" w:hAnsi="Calibri"/>
              </w:rPr>
              <w:t>$7404.80</w:t>
            </w:r>
          </w:p>
        </w:tc>
        <w:tc>
          <w:tcPr>
            <w:tcW w:w="2104" w:type="dxa"/>
          </w:tcPr>
          <w:p w14:paraId="7B5AC898"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r w:rsidR="00437AC5" w:rsidRPr="00762E88" w14:paraId="3E1ACDC7" w14:textId="77777777" w:rsidTr="00540491">
        <w:trPr>
          <w:trHeight w:val="546"/>
          <w:tblHeader/>
        </w:trPr>
        <w:tc>
          <w:tcPr>
            <w:tcW w:w="969" w:type="dxa"/>
          </w:tcPr>
          <w:p w14:paraId="5F056F03" w14:textId="77777777" w:rsidR="00437AC5" w:rsidRPr="00250A3B" w:rsidRDefault="00437AC5" w:rsidP="00540491">
            <w:pPr>
              <w:pStyle w:val="Tablewriting"/>
              <w:rPr>
                <w:rFonts w:ascii="Calibri" w:hAnsi="Calibri"/>
              </w:rPr>
            </w:pPr>
            <w:hyperlink r:id="rId88" w:tooltip="14599j" w:history="1">
              <w:r w:rsidRPr="007700F9">
                <w:rPr>
                  <w:rStyle w:val="Hyperlink"/>
                  <w:rFonts w:ascii="Calibri" w:hAnsi="Calibri"/>
                </w:rPr>
                <w:t>14599J</w:t>
              </w:r>
            </w:hyperlink>
          </w:p>
        </w:tc>
        <w:tc>
          <w:tcPr>
            <w:tcW w:w="2995" w:type="dxa"/>
          </w:tcPr>
          <w:p w14:paraId="6E80A625" w14:textId="77777777" w:rsidR="00437AC5" w:rsidRPr="0027322A" w:rsidRDefault="00437AC5" w:rsidP="00540491">
            <w:pPr>
              <w:pStyle w:val="Tablewriting"/>
              <w:rPr>
                <w:rFonts w:ascii="Calibri" w:hAnsi="Calibri"/>
              </w:rPr>
            </w:pPr>
            <w:r>
              <w:rPr>
                <w:rFonts w:ascii="Calibri" w:hAnsi="Calibri"/>
              </w:rPr>
              <w:t>V</w:t>
            </w:r>
            <w:r w:rsidRPr="007700F9">
              <w:rPr>
                <w:rFonts w:ascii="Calibri" w:hAnsi="Calibri"/>
              </w:rPr>
              <w:t xml:space="preserve">enetoclax 10 mg tablet [14] (&amp;) </w:t>
            </w:r>
            <w:r>
              <w:rPr>
                <w:rFonts w:ascii="Calibri" w:hAnsi="Calibri"/>
              </w:rPr>
              <w:t>V</w:t>
            </w:r>
            <w:r w:rsidRPr="007700F9">
              <w:rPr>
                <w:rFonts w:ascii="Calibri" w:hAnsi="Calibri"/>
              </w:rPr>
              <w:t xml:space="preserve">enetoclax 50 mg tablet [7] (&amp;) </w:t>
            </w:r>
            <w:r>
              <w:rPr>
                <w:rFonts w:ascii="Calibri" w:hAnsi="Calibri"/>
              </w:rPr>
              <w:t>V</w:t>
            </w:r>
            <w:r w:rsidRPr="007700F9">
              <w:rPr>
                <w:rFonts w:ascii="Calibri" w:hAnsi="Calibri"/>
              </w:rPr>
              <w:t xml:space="preserve">enetoclax 100 mg tablet [7] (&amp;) </w:t>
            </w:r>
            <w:r>
              <w:rPr>
                <w:rFonts w:ascii="Calibri" w:hAnsi="Calibri"/>
              </w:rPr>
              <w:t>V</w:t>
            </w:r>
            <w:r w:rsidRPr="007700F9">
              <w:rPr>
                <w:rFonts w:ascii="Calibri" w:hAnsi="Calibri"/>
              </w:rPr>
              <w:t>enetoclax 100 mg tablet [14], 1 pack</w:t>
            </w:r>
          </w:p>
        </w:tc>
        <w:tc>
          <w:tcPr>
            <w:tcW w:w="1106" w:type="dxa"/>
          </w:tcPr>
          <w:p w14:paraId="5872D466" w14:textId="77777777" w:rsidR="00437AC5" w:rsidRDefault="00437AC5" w:rsidP="00540491">
            <w:pPr>
              <w:pStyle w:val="Tablewriting"/>
              <w:rPr>
                <w:rFonts w:ascii="Calibri" w:hAnsi="Calibri"/>
              </w:rPr>
            </w:pPr>
            <w:r>
              <w:rPr>
                <w:rFonts w:ascii="Calibri" w:hAnsi="Calibri"/>
              </w:rPr>
              <w:t>1</w:t>
            </w:r>
          </w:p>
        </w:tc>
        <w:tc>
          <w:tcPr>
            <w:tcW w:w="850" w:type="dxa"/>
          </w:tcPr>
          <w:p w14:paraId="484B29BE" w14:textId="77777777" w:rsidR="00437AC5" w:rsidRDefault="00437AC5" w:rsidP="00540491">
            <w:pPr>
              <w:pStyle w:val="Tablewriting"/>
              <w:rPr>
                <w:rFonts w:ascii="Calibri" w:hAnsi="Calibri"/>
              </w:rPr>
            </w:pPr>
            <w:r>
              <w:rPr>
                <w:rFonts w:ascii="Calibri" w:hAnsi="Calibri"/>
              </w:rPr>
              <w:t>0</w:t>
            </w:r>
          </w:p>
        </w:tc>
        <w:tc>
          <w:tcPr>
            <w:tcW w:w="1040" w:type="dxa"/>
          </w:tcPr>
          <w:p w14:paraId="068D2BF4" w14:textId="77777777" w:rsidR="00437AC5" w:rsidRPr="0027322A" w:rsidRDefault="00437AC5" w:rsidP="00540491">
            <w:pPr>
              <w:pStyle w:val="Tablewriting"/>
              <w:rPr>
                <w:rFonts w:ascii="Calibri" w:hAnsi="Calibri"/>
              </w:rPr>
            </w:pPr>
            <w:r w:rsidRPr="007700F9">
              <w:rPr>
                <w:rFonts w:ascii="Calibri" w:hAnsi="Calibri"/>
              </w:rPr>
              <w:t>$1706.83</w:t>
            </w:r>
          </w:p>
        </w:tc>
        <w:tc>
          <w:tcPr>
            <w:tcW w:w="2104" w:type="dxa"/>
          </w:tcPr>
          <w:p w14:paraId="70DBDF84" w14:textId="77777777" w:rsidR="00437AC5" w:rsidRPr="00762E88" w:rsidRDefault="00437AC5" w:rsidP="00540491">
            <w:pPr>
              <w:pStyle w:val="Tablewriting"/>
              <w:rPr>
                <w:rFonts w:ascii="Calibri" w:hAnsi="Calibri"/>
              </w:rPr>
            </w:pPr>
            <w:r w:rsidRPr="002A4E98">
              <w:rPr>
                <w:rFonts w:ascii="Calibri" w:hAnsi="Calibri"/>
              </w:rPr>
              <w:t>Venclexta</w:t>
            </w:r>
            <w:r>
              <w:rPr>
                <w:rFonts w:ascii="Calibri" w:hAnsi="Calibri"/>
              </w:rPr>
              <w:t xml:space="preserve">, </w:t>
            </w:r>
            <w:r w:rsidRPr="009D159A">
              <w:rPr>
                <w:rFonts w:ascii="Calibri" w:hAnsi="Calibri"/>
              </w:rPr>
              <w:t>AbbVie Pty Ltd</w:t>
            </w:r>
          </w:p>
        </w:tc>
      </w:tr>
    </w:tbl>
    <w:p w14:paraId="25552AD4" w14:textId="77777777" w:rsidR="00437AC5" w:rsidRPr="008E00B8" w:rsidRDefault="00437AC5" w:rsidP="00437AC5">
      <w:pPr>
        <w:rPr>
          <w:rFonts w:ascii="Calibri" w:hAnsi="Calibri" w:cs="Calibri"/>
          <w:sz w:val="20"/>
          <w:szCs w:val="20"/>
        </w:rPr>
      </w:pPr>
      <w:r w:rsidRPr="008E00B8">
        <w:rPr>
          <w:rFonts w:ascii="Calibri" w:hAnsi="Calibri" w:cs="Calibri"/>
          <w:sz w:val="20"/>
          <w:szCs w:val="20"/>
        </w:rPr>
        <w:t>Special Pricing Arrangements apply.</w:t>
      </w:r>
    </w:p>
    <w:p w14:paraId="5157B072" w14:textId="77777777" w:rsidR="008E00B8" w:rsidRDefault="008E00B8" w:rsidP="008E00B8">
      <w:pPr>
        <w:pStyle w:val="Tabletitle"/>
      </w:pPr>
    </w:p>
    <w:p w14:paraId="536A1911" w14:textId="77777777" w:rsidR="008E00B8" w:rsidRDefault="008E00B8" w:rsidP="008E00B8">
      <w:pPr>
        <w:pStyle w:val="Tabletitle"/>
      </w:pPr>
    </w:p>
    <w:p w14:paraId="32C87769" w14:textId="77777777" w:rsidR="008E00B8" w:rsidRDefault="008E00B8" w:rsidP="008E00B8">
      <w:pPr>
        <w:pStyle w:val="Tabletitle"/>
      </w:pPr>
    </w:p>
    <w:p w14:paraId="4F58D132" w14:textId="658663B5" w:rsidR="00437AC5" w:rsidRPr="008E00B8" w:rsidRDefault="008E00B8" w:rsidP="008E00B8">
      <w:pPr>
        <w:pStyle w:val="Tabletitle"/>
        <w:rPr>
          <w:rFonts w:ascii="Calibri" w:hAnsi="Calibri" w:cs="Calibri"/>
          <w:sz w:val="28"/>
          <w:szCs w:val="28"/>
        </w:rPr>
      </w:pPr>
      <w:r w:rsidRPr="001420B3" w:rsidDel="00EE2BBB">
        <w:lastRenderedPageBreak/>
        <w:t xml:space="preserve">Table </w:t>
      </w:r>
      <w:r>
        <w:t>A6</w:t>
      </w:r>
      <w:r w:rsidRPr="001420B3" w:rsidDel="00EE2BBB">
        <w:t xml:space="preserve">: </w:t>
      </w:r>
      <w:r w:rsidDel="00EE2BBB">
        <w:t>PBS listing of</w:t>
      </w:r>
      <w:r>
        <w:t xml:space="preserve"> </w:t>
      </w:r>
      <w:r>
        <w:rPr>
          <w:rFonts w:ascii="Calibri" w:hAnsi="Calibri"/>
        </w:rPr>
        <w:t>Z</w:t>
      </w:r>
      <w:r w:rsidRPr="00B633A4">
        <w:rPr>
          <w:rFonts w:ascii="Calibri" w:hAnsi="Calibri"/>
        </w:rPr>
        <w:t>anubrutinib</w:t>
      </w:r>
      <w:r w:rsidRPr="003318A6">
        <w:t xml:space="preserve"> for</w:t>
      </w:r>
      <w:r>
        <w:t xml:space="preserve"> CLL/SLL</w:t>
      </w:r>
    </w:p>
    <w:tbl>
      <w:tblPr>
        <w:tblStyle w:val="TableGrid"/>
        <w:tblW w:w="9064" w:type="dxa"/>
        <w:tblLayout w:type="fixed"/>
        <w:tblLook w:val="04A0" w:firstRow="1" w:lastRow="0" w:firstColumn="1" w:lastColumn="0" w:noHBand="0" w:noVBand="1"/>
      </w:tblPr>
      <w:tblGrid>
        <w:gridCol w:w="969"/>
        <w:gridCol w:w="2995"/>
        <w:gridCol w:w="1106"/>
        <w:gridCol w:w="850"/>
        <w:gridCol w:w="1040"/>
        <w:gridCol w:w="2104"/>
      </w:tblGrid>
      <w:tr w:rsidR="00437AC5" w:rsidRPr="00130553" w:rsidDel="00EE2BBB" w14:paraId="02520772" w14:textId="77777777" w:rsidTr="00540491">
        <w:trPr>
          <w:trHeight w:val="694"/>
          <w:tblHeader/>
        </w:trPr>
        <w:tc>
          <w:tcPr>
            <w:tcW w:w="969" w:type="dxa"/>
            <w:shd w:val="clear" w:color="auto" w:fill="BFBFBF" w:themeFill="background1" w:themeFillShade="BF"/>
          </w:tcPr>
          <w:p w14:paraId="1D5E3E43"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Item</w:t>
            </w:r>
          </w:p>
        </w:tc>
        <w:tc>
          <w:tcPr>
            <w:tcW w:w="2995" w:type="dxa"/>
            <w:shd w:val="clear" w:color="auto" w:fill="BFBFBF" w:themeFill="background1" w:themeFillShade="BF"/>
          </w:tcPr>
          <w:p w14:paraId="438754AD"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Name, form &amp; strength, pack size</w:t>
            </w:r>
          </w:p>
        </w:tc>
        <w:tc>
          <w:tcPr>
            <w:tcW w:w="1106" w:type="dxa"/>
            <w:shd w:val="clear" w:color="auto" w:fill="BFBFBF" w:themeFill="background1" w:themeFillShade="BF"/>
          </w:tcPr>
          <w:p w14:paraId="39C83D80" w14:textId="5A63FFC1"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Max. quant</w:t>
            </w:r>
            <w:r w:rsidR="00815857">
              <w:rPr>
                <w:rFonts w:ascii="Calibri" w:hAnsi="Calibri"/>
                <w:sz w:val="20"/>
                <w:szCs w:val="20"/>
              </w:rPr>
              <w:t xml:space="preserve"> packs</w:t>
            </w:r>
            <w:r w:rsidRPr="00130553" w:rsidDel="00EE2BBB">
              <w:rPr>
                <w:rFonts w:ascii="Calibri" w:hAnsi="Calibri"/>
                <w:sz w:val="20"/>
                <w:szCs w:val="20"/>
              </w:rPr>
              <w:t xml:space="preserve">. </w:t>
            </w:r>
          </w:p>
        </w:tc>
        <w:tc>
          <w:tcPr>
            <w:tcW w:w="850" w:type="dxa"/>
            <w:shd w:val="clear" w:color="auto" w:fill="BFBFBF" w:themeFill="background1" w:themeFillShade="BF"/>
          </w:tcPr>
          <w:p w14:paraId="51EC2A5F"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 xml:space="preserve">Rpts </w:t>
            </w:r>
          </w:p>
        </w:tc>
        <w:tc>
          <w:tcPr>
            <w:tcW w:w="1040" w:type="dxa"/>
            <w:shd w:val="clear" w:color="auto" w:fill="BFBFBF" w:themeFill="background1" w:themeFillShade="BF"/>
          </w:tcPr>
          <w:p w14:paraId="6C22544D"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DPMQ</w:t>
            </w:r>
          </w:p>
        </w:tc>
        <w:tc>
          <w:tcPr>
            <w:tcW w:w="2104" w:type="dxa"/>
            <w:shd w:val="clear" w:color="auto" w:fill="BFBFBF" w:themeFill="background1" w:themeFillShade="BF"/>
          </w:tcPr>
          <w:p w14:paraId="7C090D59" w14:textId="77777777" w:rsidR="00437AC5" w:rsidRPr="00130553" w:rsidDel="00EE2BBB" w:rsidRDefault="00437AC5" w:rsidP="00540491">
            <w:pPr>
              <w:pStyle w:val="Tableheading"/>
              <w:rPr>
                <w:rFonts w:ascii="Calibri" w:hAnsi="Calibri"/>
                <w:sz w:val="20"/>
                <w:szCs w:val="20"/>
              </w:rPr>
            </w:pPr>
            <w:r w:rsidRPr="00130553" w:rsidDel="00EE2BBB">
              <w:rPr>
                <w:rFonts w:ascii="Calibri" w:hAnsi="Calibri"/>
                <w:sz w:val="20"/>
                <w:szCs w:val="20"/>
              </w:rPr>
              <w:t>Brand name and manufacturer</w:t>
            </w:r>
          </w:p>
        </w:tc>
      </w:tr>
      <w:tr w:rsidR="00437AC5" w:rsidRPr="00130553" w:rsidDel="00EE2BBB" w14:paraId="5650CD62" w14:textId="77777777" w:rsidTr="00540491">
        <w:trPr>
          <w:trHeight w:val="546"/>
          <w:tblHeader/>
        </w:trPr>
        <w:tc>
          <w:tcPr>
            <w:tcW w:w="969" w:type="dxa"/>
          </w:tcPr>
          <w:p w14:paraId="1FF45A7C" w14:textId="77777777" w:rsidR="00437AC5" w:rsidRPr="00130553" w:rsidDel="00EE2BBB" w:rsidRDefault="00437AC5" w:rsidP="00540491">
            <w:pPr>
              <w:pStyle w:val="Tablewriting"/>
              <w:rPr>
                <w:rFonts w:ascii="Calibri" w:hAnsi="Calibri"/>
              </w:rPr>
            </w:pPr>
            <w:hyperlink r:id="rId89" w:tooltip="13616p" w:history="1">
              <w:r w:rsidRPr="00EF535A">
                <w:rPr>
                  <w:rStyle w:val="Hyperlink"/>
                  <w:rFonts w:ascii="Calibri" w:hAnsi="Calibri"/>
                </w:rPr>
                <w:t>13616P</w:t>
              </w:r>
            </w:hyperlink>
          </w:p>
        </w:tc>
        <w:tc>
          <w:tcPr>
            <w:tcW w:w="2995" w:type="dxa"/>
          </w:tcPr>
          <w:p w14:paraId="7C40181E" w14:textId="77777777" w:rsidR="00437AC5" w:rsidRPr="00130553" w:rsidDel="00EE2BBB" w:rsidRDefault="00437AC5" w:rsidP="00540491">
            <w:pPr>
              <w:pStyle w:val="Tablewriting"/>
              <w:rPr>
                <w:rFonts w:ascii="Calibri" w:hAnsi="Calibri"/>
              </w:rPr>
            </w:pPr>
            <w:r>
              <w:rPr>
                <w:rFonts w:ascii="Calibri" w:hAnsi="Calibri"/>
              </w:rPr>
              <w:t>Z</w:t>
            </w:r>
            <w:r w:rsidRPr="00B633A4">
              <w:rPr>
                <w:rFonts w:ascii="Calibri" w:hAnsi="Calibri"/>
              </w:rPr>
              <w:t>anubrutinib 80 mg capsule, 120</w:t>
            </w:r>
          </w:p>
        </w:tc>
        <w:tc>
          <w:tcPr>
            <w:tcW w:w="1106" w:type="dxa"/>
          </w:tcPr>
          <w:p w14:paraId="41EA3C45" w14:textId="77777777" w:rsidR="00437AC5" w:rsidRPr="00130553" w:rsidDel="00EE2BBB" w:rsidRDefault="00437AC5" w:rsidP="00540491">
            <w:pPr>
              <w:pStyle w:val="Tablewriting"/>
              <w:rPr>
                <w:rFonts w:ascii="Calibri" w:hAnsi="Calibri"/>
              </w:rPr>
            </w:pPr>
            <w:r>
              <w:rPr>
                <w:rFonts w:ascii="Calibri" w:hAnsi="Calibri"/>
              </w:rPr>
              <w:t>1</w:t>
            </w:r>
          </w:p>
        </w:tc>
        <w:tc>
          <w:tcPr>
            <w:tcW w:w="850" w:type="dxa"/>
          </w:tcPr>
          <w:p w14:paraId="52170931" w14:textId="77777777" w:rsidR="00437AC5" w:rsidRPr="00130553" w:rsidDel="00EE2BBB" w:rsidRDefault="00437AC5" w:rsidP="00540491">
            <w:pPr>
              <w:pStyle w:val="Tablewriting"/>
              <w:rPr>
                <w:rFonts w:ascii="Calibri" w:hAnsi="Calibri"/>
              </w:rPr>
            </w:pPr>
            <w:r>
              <w:rPr>
                <w:rFonts w:ascii="Calibri" w:hAnsi="Calibri"/>
              </w:rPr>
              <w:t>5</w:t>
            </w:r>
          </w:p>
        </w:tc>
        <w:tc>
          <w:tcPr>
            <w:tcW w:w="1040" w:type="dxa"/>
          </w:tcPr>
          <w:p w14:paraId="58C88CBE" w14:textId="77777777" w:rsidR="00437AC5" w:rsidRPr="00130553" w:rsidDel="00EE2BBB" w:rsidRDefault="00437AC5" w:rsidP="00540491">
            <w:pPr>
              <w:pStyle w:val="Tablewriting"/>
              <w:rPr>
                <w:rFonts w:ascii="Calibri" w:hAnsi="Calibri"/>
              </w:rPr>
            </w:pPr>
            <w:r w:rsidRPr="00B633A4">
              <w:rPr>
                <w:rFonts w:ascii="Calibri" w:hAnsi="Calibri"/>
              </w:rPr>
              <w:t>$7932.89</w:t>
            </w:r>
          </w:p>
        </w:tc>
        <w:tc>
          <w:tcPr>
            <w:tcW w:w="2104" w:type="dxa"/>
          </w:tcPr>
          <w:p w14:paraId="20CC3D1A" w14:textId="77777777" w:rsidR="00437AC5" w:rsidRPr="00130553" w:rsidDel="00EE2BBB" w:rsidRDefault="00437AC5" w:rsidP="00540491">
            <w:pPr>
              <w:pStyle w:val="Tablewriting"/>
              <w:rPr>
                <w:rFonts w:ascii="Calibri" w:hAnsi="Calibri"/>
              </w:rPr>
            </w:pPr>
            <w:r w:rsidRPr="00B633A4">
              <w:rPr>
                <w:rFonts w:ascii="Calibri" w:hAnsi="Calibri"/>
              </w:rPr>
              <w:t>Brukinsa</w:t>
            </w:r>
            <w:r>
              <w:rPr>
                <w:rFonts w:ascii="Calibri" w:hAnsi="Calibri"/>
              </w:rPr>
              <w:t xml:space="preserve">, </w:t>
            </w:r>
            <w:r w:rsidRPr="007021E9">
              <w:rPr>
                <w:rFonts w:ascii="Calibri" w:hAnsi="Calibri"/>
              </w:rPr>
              <w:t>BeiGene AUS Pty Ltd</w:t>
            </w:r>
          </w:p>
        </w:tc>
      </w:tr>
      <w:tr w:rsidR="00437AC5" w:rsidRPr="00762E88" w14:paraId="779AABFA" w14:textId="77777777" w:rsidTr="00540491">
        <w:trPr>
          <w:trHeight w:val="546"/>
          <w:tblHeader/>
        </w:trPr>
        <w:tc>
          <w:tcPr>
            <w:tcW w:w="969" w:type="dxa"/>
          </w:tcPr>
          <w:p w14:paraId="74E4189E" w14:textId="77777777" w:rsidR="00437AC5" w:rsidRPr="003739D0" w:rsidRDefault="00437AC5" w:rsidP="00540491">
            <w:pPr>
              <w:pStyle w:val="Tablewriting"/>
              <w:rPr>
                <w:rFonts w:ascii="Calibri" w:hAnsi="Calibri"/>
              </w:rPr>
            </w:pPr>
            <w:hyperlink r:id="rId90" w:tooltip="13628g" w:history="1">
              <w:r w:rsidRPr="000003EE">
                <w:rPr>
                  <w:rStyle w:val="Hyperlink"/>
                  <w:rFonts w:ascii="Calibri" w:hAnsi="Calibri"/>
                </w:rPr>
                <w:t>13628G</w:t>
              </w:r>
            </w:hyperlink>
          </w:p>
        </w:tc>
        <w:tc>
          <w:tcPr>
            <w:tcW w:w="2995" w:type="dxa"/>
          </w:tcPr>
          <w:p w14:paraId="6D915471" w14:textId="77777777" w:rsidR="00437AC5" w:rsidRDefault="00437AC5" w:rsidP="00540491">
            <w:pPr>
              <w:pStyle w:val="Tablewriting"/>
              <w:rPr>
                <w:rFonts w:ascii="Calibri" w:hAnsi="Calibri"/>
              </w:rPr>
            </w:pPr>
            <w:r>
              <w:rPr>
                <w:rFonts w:ascii="Calibri" w:hAnsi="Calibri"/>
              </w:rPr>
              <w:t>Z</w:t>
            </w:r>
            <w:r w:rsidRPr="000003EE">
              <w:rPr>
                <w:rFonts w:ascii="Calibri" w:hAnsi="Calibri"/>
              </w:rPr>
              <w:t>anubrutinib 80 mg capsule, 120</w:t>
            </w:r>
          </w:p>
        </w:tc>
        <w:tc>
          <w:tcPr>
            <w:tcW w:w="1106" w:type="dxa"/>
          </w:tcPr>
          <w:p w14:paraId="7B615461" w14:textId="77777777" w:rsidR="00437AC5" w:rsidRDefault="00437AC5" w:rsidP="00540491">
            <w:pPr>
              <w:pStyle w:val="Tablewriting"/>
              <w:rPr>
                <w:rFonts w:ascii="Calibri" w:hAnsi="Calibri"/>
              </w:rPr>
            </w:pPr>
            <w:r>
              <w:rPr>
                <w:rFonts w:ascii="Calibri" w:hAnsi="Calibri"/>
              </w:rPr>
              <w:t>1</w:t>
            </w:r>
          </w:p>
        </w:tc>
        <w:tc>
          <w:tcPr>
            <w:tcW w:w="850" w:type="dxa"/>
          </w:tcPr>
          <w:p w14:paraId="5FEF0BA4" w14:textId="77777777" w:rsidR="00437AC5" w:rsidRDefault="00437AC5" w:rsidP="00540491">
            <w:pPr>
              <w:pStyle w:val="Tablewriting"/>
              <w:rPr>
                <w:rFonts w:ascii="Calibri" w:hAnsi="Calibri"/>
              </w:rPr>
            </w:pPr>
            <w:r>
              <w:rPr>
                <w:rFonts w:ascii="Calibri" w:hAnsi="Calibri"/>
              </w:rPr>
              <w:t>5</w:t>
            </w:r>
          </w:p>
        </w:tc>
        <w:tc>
          <w:tcPr>
            <w:tcW w:w="1040" w:type="dxa"/>
          </w:tcPr>
          <w:p w14:paraId="709E7CE6" w14:textId="77777777" w:rsidR="00437AC5" w:rsidRPr="005707EE" w:rsidRDefault="00437AC5" w:rsidP="00540491">
            <w:pPr>
              <w:pStyle w:val="Tablewriting"/>
              <w:rPr>
                <w:rFonts w:ascii="Calibri" w:hAnsi="Calibri"/>
              </w:rPr>
            </w:pPr>
            <w:r w:rsidRPr="000003EE">
              <w:rPr>
                <w:rFonts w:ascii="Calibri" w:hAnsi="Calibri"/>
              </w:rPr>
              <w:t>$7932.89</w:t>
            </w:r>
          </w:p>
        </w:tc>
        <w:tc>
          <w:tcPr>
            <w:tcW w:w="2104" w:type="dxa"/>
          </w:tcPr>
          <w:p w14:paraId="0B2A7A18" w14:textId="77777777" w:rsidR="00437AC5" w:rsidRPr="00762E88" w:rsidRDefault="00437AC5" w:rsidP="00540491">
            <w:pPr>
              <w:pStyle w:val="Tablewriting"/>
              <w:rPr>
                <w:rFonts w:ascii="Calibri" w:hAnsi="Calibri"/>
              </w:rPr>
            </w:pPr>
            <w:r w:rsidRPr="000003EE">
              <w:rPr>
                <w:rFonts w:ascii="Calibri" w:hAnsi="Calibri"/>
              </w:rPr>
              <w:t>Brukinsa, BeiGene AUS Pty Ltd</w:t>
            </w:r>
          </w:p>
        </w:tc>
      </w:tr>
    </w:tbl>
    <w:p w14:paraId="03C49E0B" w14:textId="77777777" w:rsidR="00437AC5" w:rsidRPr="008E00B8" w:rsidRDefault="00437AC5" w:rsidP="00437AC5">
      <w:pPr>
        <w:rPr>
          <w:rFonts w:ascii="Calibri" w:hAnsi="Calibri" w:cs="Calibri"/>
          <w:sz w:val="20"/>
          <w:szCs w:val="20"/>
        </w:rPr>
      </w:pPr>
      <w:r w:rsidRPr="008E00B8">
        <w:rPr>
          <w:rFonts w:ascii="Calibri" w:hAnsi="Calibri" w:cs="Calibri"/>
          <w:sz w:val="20"/>
          <w:szCs w:val="20"/>
        </w:rPr>
        <w:t>Special Pricing Arrangements apply.</w:t>
      </w:r>
    </w:p>
    <w:p w14:paraId="28D1EE33" w14:textId="77777777" w:rsidR="009A4422" w:rsidRPr="009A4422" w:rsidRDefault="009A4422" w:rsidP="009A4422"/>
    <w:p w14:paraId="25D65B04" w14:textId="6FABF769" w:rsidR="00FE645A" w:rsidRDefault="00FE645A">
      <w:pPr>
        <w:spacing w:line="276" w:lineRule="auto"/>
      </w:pPr>
    </w:p>
    <w:p w14:paraId="30F7386A" w14:textId="30814046" w:rsidR="00336816" w:rsidRDefault="00336816" w:rsidP="008740A3">
      <w:pPr>
        <w:spacing w:after="0"/>
      </w:pPr>
    </w:p>
    <w:p w14:paraId="0F520041" w14:textId="77777777" w:rsidR="00790E74" w:rsidRDefault="00790E74" w:rsidP="008740A3">
      <w:pPr>
        <w:spacing w:after="0"/>
      </w:pPr>
    </w:p>
    <w:p w14:paraId="0060890B" w14:textId="77777777" w:rsidR="00790E74" w:rsidRDefault="00790E74" w:rsidP="008740A3">
      <w:pPr>
        <w:spacing w:after="0"/>
      </w:pPr>
    </w:p>
    <w:p w14:paraId="65B3873F" w14:textId="77777777" w:rsidR="00790E74" w:rsidRDefault="00790E74" w:rsidP="008740A3">
      <w:pPr>
        <w:spacing w:after="0"/>
      </w:pPr>
    </w:p>
    <w:p w14:paraId="4509079E" w14:textId="77777777" w:rsidR="00790E74" w:rsidRDefault="00790E74" w:rsidP="008740A3">
      <w:pPr>
        <w:spacing w:after="0"/>
      </w:pPr>
    </w:p>
    <w:p w14:paraId="15C06C5D" w14:textId="77777777" w:rsidR="00790E74" w:rsidRDefault="00790E74" w:rsidP="008740A3">
      <w:pPr>
        <w:spacing w:after="0"/>
      </w:pPr>
    </w:p>
    <w:p w14:paraId="376202CB" w14:textId="77777777" w:rsidR="00790E74" w:rsidRDefault="00790E74" w:rsidP="008740A3">
      <w:pPr>
        <w:spacing w:after="0"/>
      </w:pPr>
    </w:p>
    <w:p w14:paraId="079D8F21" w14:textId="77777777" w:rsidR="00790E74" w:rsidRDefault="00790E74" w:rsidP="008740A3">
      <w:pPr>
        <w:spacing w:after="0"/>
      </w:pPr>
    </w:p>
    <w:p w14:paraId="137E04E6" w14:textId="77777777" w:rsidR="00790E74" w:rsidRDefault="00790E74" w:rsidP="008740A3">
      <w:pPr>
        <w:spacing w:after="0"/>
      </w:pPr>
    </w:p>
    <w:p w14:paraId="1F81B30F" w14:textId="77777777" w:rsidR="00790E74" w:rsidRDefault="00790E74" w:rsidP="008740A3">
      <w:pPr>
        <w:spacing w:after="0"/>
      </w:pPr>
    </w:p>
    <w:p w14:paraId="6F3E011A" w14:textId="77777777" w:rsidR="00790E74" w:rsidRDefault="00790E74" w:rsidP="008740A3">
      <w:pPr>
        <w:spacing w:after="0"/>
      </w:pPr>
    </w:p>
    <w:p w14:paraId="0371B0DF" w14:textId="77777777" w:rsidR="00790E74" w:rsidRDefault="00790E74" w:rsidP="008740A3">
      <w:pPr>
        <w:spacing w:after="0"/>
      </w:pPr>
    </w:p>
    <w:p w14:paraId="050741FE" w14:textId="77777777" w:rsidR="00790E74" w:rsidRDefault="00790E74" w:rsidP="008740A3">
      <w:pPr>
        <w:spacing w:after="0"/>
      </w:pPr>
    </w:p>
    <w:p w14:paraId="1464A2DA" w14:textId="77777777" w:rsidR="00790E74" w:rsidRDefault="00790E74" w:rsidP="008740A3">
      <w:pPr>
        <w:spacing w:after="0"/>
      </w:pPr>
    </w:p>
    <w:p w14:paraId="10850804" w14:textId="77777777" w:rsidR="00790E74" w:rsidRDefault="00790E74" w:rsidP="008740A3">
      <w:pPr>
        <w:spacing w:after="0"/>
      </w:pPr>
    </w:p>
    <w:p w14:paraId="0BA8A36E" w14:textId="77777777" w:rsidR="00790E74" w:rsidRDefault="00790E74" w:rsidP="008740A3">
      <w:pPr>
        <w:spacing w:after="0"/>
      </w:pPr>
    </w:p>
    <w:p w14:paraId="6FE7FF69" w14:textId="77777777" w:rsidR="00790E74" w:rsidRDefault="00790E74" w:rsidP="008740A3">
      <w:pPr>
        <w:spacing w:after="0"/>
      </w:pPr>
    </w:p>
    <w:p w14:paraId="0CC80987" w14:textId="77777777" w:rsidR="00790E74" w:rsidRDefault="00790E74" w:rsidP="008740A3">
      <w:pPr>
        <w:spacing w:after="0"/>
      </w:pPr>
    </w:p>
    <w:p w14:paraId="4622EEFF" w14:textId="77777777" w:rsidR="00790E74" w:rsidRDefault="00790E74" w:rsidP="008740A3">
      <w:pPr>
        <w:spacing w:after="0"/>
      </w:pPr>
    </w:p>
    <w:p w14:paraId="32C75532" w14:textId="77777777" w:rsidR="00790E74" w:rsidRDefault="00790E74" w:rsidP="008740A3">
      <w:pPr>
        <w:spacing w:after="0"/>
      </w:pPr>
    </w:p>
    <w:p w14:paraId="723C1964" w14:textId="77777777" w:rsidR="00790E74" w:rsidRDefault="00790E74" w:rsidP="008740A3">
      <w:pPr>
        <w:spacing w:after="0"/>
      </w:pPr>
    </w:p>
    <w:p w14:paraId="5E7B3472" w14:textId="77777777" w:rsidR="00790E74" w:rsidRDefault="00790E74" w:rsidP="008740A3">
      <w:pPr>
        <w:spacing w:after="0"/>
      </w:pPr>
    </w:p>
    <w:p w14:paraId="6B98C47F" w14:textId="77777777" w:rsidR="00790E74" w:rsidRDefault="00790E74" w:rsidP="008740A3">
      <w:pPr>
        <w:spacing w:after="0"/>
      </w:pPr>
    </w:p>
    <w:p w14:paraId="57BF042A" w14:textId="77777777" w:rsidR="00790E74" w:rsidRDefault="00790E74" w:rsidP="008740A3">
      <w:pPr>
        <w:spacing w:after="0"/>
      </w:pPr>
    </w:p>
    <w:p w14:paraId="45E6BDDF" w14:textId="77777777" w:rsidR="00790E74" w:rsidRDefault="00790E74" w:rsidP="008740A3">
      <w:pPr>
        <w:spacing w:after="0"/>
      </w:pPr>
    </w:p>
    <w:p w14:paraId="39F46ECF" w14:textId="77777777" w:rsidR="00790E74" w:rsidRDefault="00790E74" w:rsidP="008740A3">
      <w:pPr>
        <w:spacing w:after="0"/>
      </w:pPr>
    </w:p>
    <w:p w14:paraId="0DE7A89D" w14:textId="77777777" w:rsidR="00790E74" w:rsidRDefault="00790E74" w:rsidP="008740A3">
      <w:pPr>
        <w:spacing w:after="0"/>
      </w:pPr>
    </w:p>
    <w:p w14:paraId="370DCA2B" w14:textId="77777777" w:rsidR="00790E74" w:rsidRDefault="00790E74" w:rsidP="008740A3">
      <w:pPr>
        <w:spacing w:after="0"/>
      </w:pPr>
    </w:p>
    <w:p w14:paraId="4A14589F" w14:textId="77777777" w:rsidR="00790E74" w:rsidRDefault="00790E74" w:rsidP="008740A3">
      <w:pPr>
        <w:spacing w:after="0"/>
      </w:pPr>
    </w:p>
    <w:p w14:paraId="0FB8E7E0" w14:textId="77777777" w:rsidR="00790E74" w:rsidRDefault="00790E74" w:rsidP="008740A3">
      <w:pPr>
        <w:spacing w:after="0"/>
      </w:pPr>
    </w:p>
    <w:p w14:paraId="41FDBCB2" w14:textId="77777777" w:rsidR="00790E74" w:rsidRDefault="00790E74" w:rsidP="008740A3">
      <w:pPr>
        <w:spacing w:after="0"/>
      </w:pPr>
    </w:p>
    <w:p w14:paraId="582B0E83" w14:textId="77777777" w:rsidR="00790E74" w:rsidRDefault="00790E74" w:rsidP="008740A3">
      <w:pPr>
        <w:spacing w:after="0"/>
      </w:pPr>
    </w:p>
    <w:p w14:paraId="41CF276B" w14:textId="77777777" w:rsidR="00790E74" w:rsidRDefault="00790E74" w:rsidP="008740A3">
      <w:pPr>
        <w:spacing w:after="0"/>
      </w:pPr>
    </w:p>
    <w:p w14:paraId="38D5EF83" w14:textId="77777777" w:rsidR="00790E74" w:rsidRDefault="00790E74" w:rsidP="008740A3">
      <w:pPr>
        <w:spacing w:after="0"/>
      </w:pPr>
    </w:p>
    <w:p w14:paraId="0859817B" w14:textId="2691F408" w:rsidR="00790E74" w:rsidRDefault="00790E74" w:rsidP="008740A3">
      <w:pPr>
        <w:spacing w:after="0"/>
        <w:rPr>
          <w:b/>
          <w:bCs/>
          <w:sz w:val="32"/>
          <w:szCs w:val="32"/>
        </w:rPr>
      </w:pPr>
      <w:r w:rsidRPr="00790E74">
        <w:rPr>
          <w:b/>
          <w:bCs/>
          <w:sz w:val="32"/>
          <w:szCs w:val="32"/>
        </w:rPr>
        <w:t>Addendum 1</w:t>
      </w:r>
    </w:p>
    <w:p w14:paraId="3AF87668" w14:textId="77777777" w:rsidR="00623132" w:rsidRDefault="00623132" w:rsidP="008740A3">
      <w:pPr>
        <w:spacing w:after="0"/>
        <w:rPr>
          <w:b/>
          <w:bCs/>
          <w:sz w:val="32"/>
          <w:szCs w:val="32"/>
        </w:rPr>
      </w:pPr>
    </w:p>
    <w:p w14:paraId="13C8F6F1" w14:textId="61CE7FF6" w:rsidR="00623132" w:rsidRPr="005D5C46" w:rsidRDefault="00623132" w:rsidP="00623132">
      <w:pPr>
        <w:rPr>
          <w:rFonts w:ascii="Calibri" w:hAnsi="Calibri" w:cs="Calibri"/>
          <w:b/>
          <w:bCs/>
          <w:sz w:val="52"/>
          <w:szCs w:val="52"/>
        </w:rPr>
      </w:pPr>
      <w:r w:rsidRPr="004F2BF4">
        <w:rPr>
          <w:rFonts w:ascii="Calibri" w:hAnsi="Calibri" w:cs="Calibri"/>
          <w:b/>
          <w:bCs/>
          <w:sz w:val="52"/>
          <w:szCs w:val="52"/>
        </w:rPr>
        <w:t>Addendum to Analysis of the utilisation of treatments for chronic lymphocytic leukaemia or small lymphocytic lymphoma – October 2025</w:t>
      </w:r>
    </w:p>
    <w:p w14:paraId="1FB63C5E" w14:textId="77777777" w:rsidR="00623132" w:rsidRPr="004F2BF4" w:rsidRDefault="00623132" w:rsidP="00623132">
      <w:pPr>
        <w:spacing w:before="240"/>
        <w:outlineLvl w:val="2"/>
        <w:rPr>
          <w:rFonts w:ascii="Calibri" w:eastAsia="MS Mincho" w:hAnsi="Calibri"/>
          <w:b/>
          <w:i/>
          <w:szCs w:val="28"/>
        </w:rPr>
      </w:pPr>
      <w:r w:rsidRPr="004F2BF4">
        <w:rPr>
          <w:rFonts w:ascii="Calibri" w:eastAsia="MS Mincho" w:hAnsi="Calibri"/>
          <w:b/>
          <w:i/>
          <w:szCs w:val="28"/>
        </w:rPr>
        <w:t>Purpose</w:t>
      </w:r>
    </w:p>
    <w:p w14:paraId="2D369A32" w14:textId="77777777" w:rsidR="00623132" w:rsidRDefault="00623132" w:rsidP="00623132">
      <w:pPr>
        <w:rPr>
          <w:rFonts w:ascii="Calibri" w:hAnsi="Calibri" w:cs="Calibri"/>
        </w:rPr>
      </w:pPr>
      <w:r>
        <w:rPr>
          <w:rFonts w:ascii="Calibri" w:hAnsi="Calibri" w:cs="Calibri"/>
        </w:rPr>
        <w:t>As part of the Pre-Subcommittee Response process a sponsor identified that it may be useful to delineate time on treatment for different lines of therapy.</w:t>
      </w:r>
    </w:p>
    <w:p w14:paraId="22C644E9" w14:textId="77777777" w:rsidR="00623132" w:rsidRPr="004F2BF4" w:rsidRDefault="00623132" w:rsidP="00623132">
      <w:pPr>
        <w:keepNext/>
        <w:keepLines/>
        <w:spacing w:before="480" w:after="240"/>
        <w:outlineLvl w:val="0"/>
        <w:rPr>
          <w:rFonts w:ascii="Calibri" w:eastAsia="MS Gothic" w:hAnsi="Calibri"/>
          <w:b/>
          <w:bCs/>
          <w:sz w:val="32"/>
          <w:szCs w:val="32"/>
        </w:rPr>
      </w:pPr>
      <w:r w:rsidRPr="004F2BF4">
        <w:rPr>
          <w:rFonts w:ascii="Calibri" w:eastAsia="MS Gothic" w:hAnsi="Calibri"/>
          <w:b/>
          <w:bCs/>
          <w:sz w:val="32"/>
          <w:szCs w:val="32"/>
        </w:rPr>
        <w:lastRenderedPageBreak/>
        <w:t>Results</w:t>
      </w:r>
    </w:p>
    <w:p w14:paraId="2B4E62D5" w14:textId="77777777" w:rsidR="00623132" w:rsidRDefault="00623132" w:rsidP="00623132">
      <w:pPr>
        <w:spacing w:after="0"/>
        <w:rPr>
          <w:rFonts w:ascii="Calibri" w:eastAsia="MS Mincho" w:hAnsi="Calibri"/>
          <w:b/>
          <w:bCs/>
        </w:rPr>
      </w:pPr>
      <w:r>
        <w:rPr>
          <w:rFonts w:ascii="Calibri" w:eastAsia="MS Mincho" w:hAnsi="Calibri"/>
          <w:b/>
          <w:bCs/>
          <w:noProof/>
        </w:rPr>
        <w:drawing>
          <wp:inline distT="0" distB="0" distL="0" distR="0" wp14:anchorId="1CCC9A1C" wp14:editId="39314317">
            <wp:extent cx="6182360" cy="4686935"/>
            <wp:effectExtent l="0" t="0" r="8890" b="0"/>
            <wp:docPr id="808490091" name="Picture 1" descr="A graph of a dr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90091" name="Picture 1" descr="A graph of a drug&#10;&#10;AI-generated content may be incorrect."/>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182360" cy="4686935"/>
                    </a:xfrm>
                    <a:prstGeom prst="rect">
                      <a:avLst/>
                    </a:prstGeom>
                    <a:noFill/>
                  </pic:spPr>
                </pic:pic>
              </a:graphicData>
            </a:graphic>
          </wp:inline>
        </w:drawing>
      </w:r>
    </w:p>
    <w:p w14:paraId="79324417" w14:textId="77777777" w:rsidR="00623132" w:rsidRDefault="00623132" w:rsidP="00623132">
      <w:pPr>
        <w:spacing w:after="0"/>
        <w:rPr>
          <w:rFonts w:ascii="Calibri" w:eastAsia="MS Mincho" w:hAnsi="Calibri"/>
          <w:b/>
          <w:bCs/>
        </w:rPr>
      </w:pPr>
    </w:p>
    <w:p w14:paraId="186B27D6" w14:textId="77777777" w:rsidR="00623132" w:rsidRPr="004F2BF4" w:rsidRDefault="00623132" w:rsidP="00623132">
      <w:pPr>
        <w:spacing w:after="0"/>
        <w:rPr>
          <w:rFonts w:ascii="Calibri" w:eastAsia="MS Mincho" w:hAnsi="Calibri"/>
          <w:b/>
          <w:bCs/>
        </w:rPr>
      </w:pPr>
      <w:r w:rsidRPr="004F2BF4">
        <w:rPr>
          <w:rFonts w:ascii="Calibri" w:eastAsia="MS Mincho" w:hAnsi="Calibri"/>
          <w:b/>
          <w:bCs/>
        </w:rPr>
        <w:t xml:space="preserve">Figure </w:t>
      </w:r>
      <w:r>
        <w:rPr>
          <w:rFonts w:ascii="Calibri" w:eastAsia="MS Mincho" w:hAnsi="Calibri"/>
          <w:b/>
          <w:bCs/>
        </w:rPr>
        <w:t>1A</w:t>
      </w:r>
      <w:r w:rsidRPr="004F2BF4">
        <w:rPr>
          <w:rFonts w:ascii="Calibri" w:eastAsia="MS Mincho" w:hAnsi="Calibri"/>
          <w:b/>
          <w:bCs/>
        </w:rPr>
        <w:t xml:space="preserve">: Time on treatment for </w:t>
      </w:r>
      <w:r>
        <w:rPr>
          <w:rFonts w:ascii="Calibri" w:eastAsia="MS Mincho" w:hAnsi="Calibri"/>
          <w:b/>
          <w:bCs/>
        </w:rPr>
        <w:t xml:space="preserve">first-line </w:t>
      </w:r>
      <w:r w:rsidRPr="004F2BF4">
        <w:rPr>
          <w:rFonts w:ascii="Calibri" w:eastAsia="MS Mincho" w:hAnsi="Calibri"/>
          <w:b/>
          <w:bCs/>
        </w:rPr>
        <w:t>CLL/SLL drugs in days including breaks in treatment</w:t>
      </w:r>
    </w:p>
    <w:p w14:paraId="61E3EB6C" w14:textId="77777777" w:rsidR="00623132" w:rsidRPr="004F2BF4" w:rsidRDefault="00623132" w:rsidP="00623132">
      <w:pPr>
        <w:spacing w:after="0"/>
        <w:rPr>
          <w:rFonts w:ascii="Calibri" w:eastAsia="MS Mincho" w:hAnsi="Calibri"/>
        </w:rPr>
      </w:pPr>
    </w:p>
    <w:p w14:paraId="7FCB6E4A" w14:textId="32CD1470" w:rsidR="00623132" w:rsidRPr="004F2BF4" w:rsidRDefault="00623132" w:rsidP="00623132">
      <w:pPr>
        <w:spacing w:after="0"/>
        <w:rPr>
          <w:rFonts w:ascii="Calibri" w:eastAsia="MS Mincho" w:hAnsi="Calibri"/>
        </w:rPr>
      </w:pPr>
      <w:r w:rsidRPr="004F2BF4">
        <w:rPr>
          <w:rFonts w:ascii="Calibri" w:eastAsia="MS Mincho" w:hAnsi="Calibri"/>
        </w:rPr>
        <w:t xml:space="preserve">Figure </w:t>
      </w:r>
      <w:r>
        <w:rPr>
          <w:rFonts w:ascii="Calibri" w:eastAsia="MS Mincho" w:hAnsi="Calibri"/>
        </w:rPr>
        <w:t>1A</w:t>
      </w:r>
      <w:r w:rsidRPr="004F2BF4">
        <w:rPr>
          <w:rFonts w:ascii="Calibri" w:eastAsia="MS Mincho" w:hAnsi="Calibri"/>
        </w:rPr>
        <w:t xml:space="preserve"> shows the time on treatment in days for </w:t>
      </w:r>
      <w:r>
        <w:rPr>
          <w:rFonts w:ascii="Calibri" w:eastAsia="MS Mincho" w:hAnsi="Calibri"/>
        </w:rPr>
        <w:t xml:space="preserve">first-line </w:t>
      </w:r>
      <w:r w:rsidRPr="004F2BF4">
        <w:rPr>
          <w:rFonts w:ascii="Calibri" w:eastAsia="MS Mincho" w:hAnsi="Calibri"/>
        </w:rPr>
        <w:t xml:space="preserve">CLL/SLL drugs including treatment breaks. The median treatment duration for acalabrutinib was </w:t>
      </w:r>
      <w:r>
        <w:rPr>
          <w:rFonts w:ascii="Calibri" w:eastAsia="MS Mincho" w:hAnsi="Calibri"/>
        </w:rPr>
        <w:t>371</w:t>
      </w:r>
      <w:r w:rsidRPr="004F2BF4">
        <w:rPr>
          <w:rFonts w:ascii="Calibri" w:eastAsia="MS Mincho" w:hAnsi="Calibri"/>
        </w:rPr>
        <w:t xml:space="preserve"> days with </w:t>
      </w:r>
      <w:r>
        <w:rPr>
          <w:rFonts w:ascii="Calibri" w:eastAsia="MS Mincho" w:hAnsi="Calibri"/>
        </w:rPr>
        <w:t>64.4</w:t>
      </w:r>
      <w:r w:rsidRPr="004F2BF4">
        <w:rPr>
          <w:rFonts w:ascii="Calibri" w:eastAsia="MS Mincho" w:hAnsi="Calibri"/>
        </w:rPr>
        <w:t xml:space="preserve">% of patients censored. For ibrutinib the median </w:t>
      </w:r>
      <w:r>
        <w:rPr>
          <w:rFonts w:ascii="Calibri" w:eastAsia="MS Mincho" w:hAnsi="Calibri"/>
        </w:rPr>
        <w:t>had not been reached, the mean was 146.3</w:t>
      </w:r>
      <w:r w:rsidRPr="004F2BF4">
        <w:rPr>
          <w:rFonts w:ascii="Calibri" w:eastAsia="MS Mincho" w:hAnsi="Calibri"/>
        </w:rPr>
        <w:t xml:space="preserve"> days with </w:t>
      </w:r>
      <w:r>
        <w:rPr>
          <w:rFonts w:ascii="Calibri" w:eastAsia="MS Mincho" w:hAnsi="Calibri"/>
        </w:rPr>
        <w:t>77.8</w:t>
      </w:r>
      <w:r w:rsidRPr="004F2BF4">
        <w:rPr>
          <w:rFonts w:ascii="Calibri" w:eastAsia="MS Mincho" w:hAnsi="Calibri"/>
        </w:rPr>
        <w:t>% censored. For obinutuzumab it was 140 days with 7.</w:t>
      </w:r>
      <w:r>
        <w:rPr>
          <w:rFonts w:ascii="Calibri" w:eastAsia="MS Mincho" w:hAnsi="Calibri"/>
        </w:rPr>
        <w:t>9</w:t>
      </w:r>
      <w:r w:rsidRPr="004F2BF4">
        <w:rPr>
          <w:rFonts w:ascii="Calibri" w:eastAsia="MS Mincho" w:hAnsi="Calibri"/>
        </w:rPr>
        <w:t>% censored. For venetoclax it was 3</w:t>
      </w:r>
      <w:r>
        <w:rPr>
          <w:rFonts w:ascii="Calibri" w:eastAsia="MS Mincho" w:hAnsi="Calibri"/>
        </w:rPr>
        <w:t>0</w:t>
      </w:r>
      <w:r w:rsidRPr="004F2BF4">
        <w:rPr>
          <w:rFonts w:ascii="Calibri" w:eastAsia="MS Mincho" w:hAnsi="Calibri"/>
        </w:rPr>
        <w:t>3 days with 23.</w:t>
      </w:r>
      <w:r>
        <w:rPr>
          <w:rFonts w:ascii="Calibri" w:eastAsia="MS Mincho" w:hAnsi="Calibri"/>
        </w:rPr>
        <w:t>2</w:t>
      </w:r>
      <w:r w:rsidRPr="004F2BF4">
        <w:rPr>
          <w:rFonts w:ascii="Calibri" w:eastAsia="MS Mincho" w:hAnsi="Calibri"/>
        </w:rPr>
        <w:t xml:space="preserve">% censored and for zanubrutinib it was </w:t>
      </w:r>
      <w:r>
        <w:rPr>
          <w:rFonts w:ascii="Calibri" w:eastAsia="MS Mincho" w:hAnsi="Calibri"/>
        </w:rPr>
        <w:t>444</w:t>
      </w:r>
      <w:r w:rsidRPr="004F2BF4">
        <w:rPr>
          <w:rFonts w:ascii="Calibri" w:eastAsia="MS Mincho" w:hAnsi="Calibri"/>
        </w:rPr>
        <w:t xml:space="preserve"> days with </w:t>
      </w:r>
      <w:r>
        <w:rPr>
          <w:rFonts w:ascii="Calibri" w:eastAsia="MS Mincho" w:hAnsi="Calibri"/>
        </w:rPr>
        <w:t>59.3</w:t>
      </w:r>
      <w:r w:rsidRPr="004F2BF4">
        <w:rPr>
          <w:rFonts w:ascii="Calibri" w:eastAsia="MS Mincho" w:hAnsi="Calibri"/>
        </w:rPr>
        <w:t>% censored.</w:t>
      </w:r>
    </w:p>
    <w:p w14:paraId="3A5307D7" w14:textId="77777777" w:rsidR="00623132" w:rsidRDefault="00623132" w:rsidP="00623132">
      <w:pPr>
        <w:rPr>
          <w:rFonts w:ascii="Calibri" w:hAnsi="Calibri" w:cs="Calibri"/>
        </w:rPr>
      </w:pPr>
    </w:p>
    <w:p w14:paraId="1E609FCB" w14:textId="77777777" w:rsidR="00623132" w:rsidRDefault="00623132" w:rsidP="00623132">
      <w:pPr>
        <w:rPr>
          <w:rFonts w:ascii="Calibri" w:hAnsi="Calibri" w:cs="Calibri"/>
        </w:rPr>
      </w:pPr>
      <w:r w:rsidRPr="004F2BF4">
        <w:rPr>
          <w:rFonts w:ascii="Calibri" w:hAnsi="Calibri" w:cs="Calibri"/>
          <w:noProof/>
        </w:rPr>
        <w:lastRenderedPageBreak/>
        <w:drawing>
          <wp:inline distT="0" distB="0" distL="0" distR="0" wp14:anchorId="065DE1C9" wp14:editId="5AAB93B1">
            <wp:extent cx="5731510" cy="4349750"/>
            <wp:effectExtent l="0" t="0" r="2540" b="0"/>
            <wp:docPr id="1818455135"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55135" name="Picture 1" descr="A graph of a number of patients&#10;&#10;AI-generated content may be incorrect."/>
                    <pic:cNvPicPr/>
                  </pic:nvPicPr>
                  <pic:blipFill>
                    <a:blip r:embed="rId92"/>
                    <a:stretch>
                      <a:fillRect/>
                    </a:stretch>
                  </pic:blipFill>
                  <pic:spPr>
                    <a:xfrm>
                      <a:off x="0" y="0"/>
                      <a:ext cx="5731510" cy="4349750"/>
                    </a:xfrm>
                    <a:prstGeom prst="rect">
                      <a:avLst/>
                    </a:prstGeom>
                  </pic:spPr>
                </pic:pic>
              </a:graphicData>
            </a:graphic>
          </wp:inline>
        </w:drawing>
      </w:r>
    </w:p>
    <w:p w14:paraId="7BDEFCAB" w14:textId="77777777" w:rsidR="00623132" w:rsidRPr="004F2BF4" w:rsidRDefault="00623132" w:rsidP="00623132">
      <w:pPr>
        <w:spacing w:after="0"/>
        <w:rPr>
          <w:rFonts w:ascii="Calibri" w:eastAsia="MS Mincho" w:hAnsi="Calibri"/>
          <w:b/>
          <w:bCs/>
        </w:rPr>
      </w:pPr>
      <w:r w:rsidRPr="004F2BF4">
        <w:rPr>
          <w:rFonts w:ascii="Calibri" w:eastAsia="MS Mincho" w:hAnsi="Calibri"/>
          <w:b/>
          <w:bCs/>
        </w:rPr>
        <w:t xml:space="preserve">Figure </w:t>
      </w:r>
      <w:r>
        <w:rPr>
          <w:rFonts w:ascii="Calibri" w:eastAsia="MS Mincho" w:hAnsi="Calibri"/>
          <w:b/>
          <w:bCs/>
        </w:rPr>
        <w:t>2A</w:t>
      </w:r>
      <w:r w:rsidRPr="004F2BF4">
        <w:rPr>
          <w:rFonts w:ascii="Calibri" w:eastAsia="MS Mincho" w:hAnsi="Calibri"/>
          <w:b/>
          <w:bCs/>
        </w:rPr>
        <w:t xml:space="preserve">: Time on treatment for </w:t>
      </w:r>
      <w:r>
        <w:rPr>
          <w:rFonts w:ascii="Calibri" w:eastAsia="MS Mincho" w:hAnsi="Calibri"/>
          <w:b/>
          <w:bCs/>
        </w:rPr>
        <w:t xml:space="preserve">first-line </w:t>
      </w:r>
      <w:r w:rsidRPr="004F2BF4">
        <w:rPr>
          <w:rFonts w:ascii="Calibri" w:eastAsia="MS Mincho" w:hAnsi="Calibri"/>
          <w:b/>
          <w:bCs/>
        </w:rPr>
        <w:t>CLL/SLL drugs in days without treatment breaks</w:t>
      </w:r>
    </w:p>
    <w:p w14:paraId="349028BA" w14:textId="77777777" w:rsidR="00623132" w:rsidRPr="004F2BF4" w:rsidRDefault="00623132" w:rsidP="00623132">
      <w:pPr>
        <w:spacing w:after="0"/>
        <w:rPr>
          <w:rFonts w:ascii="Calibri" w:eastAsia="MS Mincho" w:hAnsi="Calibri"/>
        </w:rPr>
      </w:pPr>
    </w:p>
    <w:p w14:paraId="1977441C" w14:textId="77777777" w:rsidR="00623132" w:rsidRPr="004F2BF4" w:rsidRDefault="00623132" w:rsidP="00623132">
      <w:pPr>
        <w:spacing w:after="0"/>
        <w:rPr>
          <w:rFonts w:ascii="Calibri" w:eastAsia="MS Mincho" w:hAnsi="Calibri"/>
        </w:rPr>
      </w:pPr>
      <w:r w:rsidRPr="004F2BF4">
        <w:rPr>
          <w:rFonts w:ascii="Calibri" w:eastAsia="MS Mincho" w:hAnsi="Calibri"/>
        </w:rPr>
        <w:t xml:space="preserve">Figure </w:t>
      </w:r>
      <w:r>
        <w:rPr>
          <w:rFonts w:ascii="Calibri" w:eastAsia="MS Mincho" w:hAnsi="Calibri"/>
        </w:rPr>
        <w:t>2A</w:t>
      </w:r>
      <w:r w:rsidRPr="004F2BF4">
        <w:rPr>
          <w:rFonts w:ascii="Calibri" w:eastAsia="MS Mincho" w:hAnsi="Calibri"/>
        </w:rPr>
        <w:t xml:space="preserve"> shows the time on treatment in days for </w:t>
      </w:r>
      <w:r>
        <w:rPr>
          <w:rFonts w:ascii="Calibri" w:eastAsia="MS Mincho" w:hAnsi="Calibri"/>
        </w:rPr>
        <w:t xml:space="preserve">first-line </w:t>
      </w:r>
      <w:r w:rsidRPr="004F2BF4">
        <w:rPr>
          <w:rFonts w:ascii="Calibri" w:eastAsia="MS Mincho" w:hAnsi="Calibri"/>
        </w:rPr>
        <w:t xml:space="preserve">CLL/SLL drugs without treatment breaks. The median treatment duration for acalabrutinib was </w:t>
      </w:r>
      <w:r>
        <w:rPr>
          <w:rFonts w:ascii="Calibri" w:eastAsia="MS Mincho" w:hAnsi="Calibri"/>
        </w:rPr>
        <w:t>191</w:t>
      </w:r>
      <w:r w:rsidRPr="004F2BF4">
        <w:rPr>
          <w:rFonts w:ascii="Calibri" w:eastAsia="MS Mincho" w:hAnsi="Calibri"/>
        </w:rPr>
        <w:t xml:space="preserve"> days with </w:t>
      </w:r>
      <w:r>
        <w:rPr>
          <w:rFonts w:ascii="Calibri" w:eastAsia="MS Mincho" w:hAnsi="Calibri"/>
        </w:rPr>
        <w:t>55.4</w:t>
      </w:r>
      <w:r w:rsidRPr="004F2BF4">
        <w:rPr>
          <w:rFonts w:ascii="Calibri" w:eastAsia="MS Mincho" w:hAnsi="Calibri"/>
        </w:rPr>
        <w:t>% of patients censored. For ibrutinib the median</w:t>
      </w:r>
      <w:r>
        <w:rPr>
          <w:rFonts w:ascii="Calibri" w:eastAsia="MS Mincho" w:hAnsi="Calibri"/>
        </w:rPr>
        <w:t xml:space="preserve"> </w:t>
      </w:r>
      <w:r w:rsidRPr="005D5C46">
        <w:rPr>
          <w:rFonts w:ascii="Calibri" w:eastAsia="MS Mincho" w:hAnsi="Calibri"/>
        </w:rPr>
        <w:t>had not been reached, the mean was</w:t>
      </w:r>
      <w:r>
        <w:rPr>
          <w:rFonts w:ascii="Calibri" w:eastAsia="MS Mincho" w:hAnsi="Calibri"/>
        </w:rPr>
        <w:t xml:space="preserve"> 137.5</w:t>
      </w:r>
      <w:r w:rsidRPr="004F2BF4">
        <w:rPr>
          <w:rFonts w:ascii="Calibri" w:eastAsia="MS Mincho" w:hAnsi="Calibri"/>
        </w:rPr>
        <w:t xml:space="preserve"> days with </w:t>
      </w:r>
      <w:r>
        <w:rPr>
          <w:rFonts w:ascii="Calibri" w:eastAsia="MS Mincho" w:hAnsi="Calibri"/>
        </w:rPr>
        <w:t>73.2</w:t>
      </w:r>
      <w:r w:rsidRPr="004F2BF4">
        <w:rPr>
          <w:rFonts w:ascii="Calibri" w:eastAsia="MS Mincho" w:hAnsi="Calibri"/>
        </w:rPr>
        <w:t xml:space="preserve">% censored. For obinutuzumab it was 140 days with 7.5% censored. For venetoclax it was </w:t>
      </w:r>
      <w:r>
        <w:rPr>
          <w:rFonts w:ascii="Calibri" w:eastAsia="MS Mincho" w:hAnsi="Calibri"/>
        </w:rPr>
        <w:t>287</w:t>
      </w:r>
      <w:r w:rsidRPr="004F2BF4">
        <w:rPr>
          <w:rFonts w:ascii="Calibri" w:eastAsia="MS Mincho" w:hAnsi="Calibri"/>
        </w:rPr>
        <w:t xml:space="preserve"> days with 21.</w:t>
      </w:r>
      <w:r>
        <w:rPr>
          <w:rFonts w:ascii="Calibri" w:eastAsia="MS Mincho" w:hAnsi="Calibri"/>
        </w:rPr>
        <w:t>5</w:t>
      </w:r>
      <w:r w:rsidRPr="004F2BF4">
        <w:rPr>
          <w:rFonts w:ascii="Calibri" w:eastAsia="MS Mincho" w:hAnsi="Calibri"/>
        </w:rPr>
        <w:t xml:space="preserve">% censored and for zanubrutinib it was </w:t>
      </w:r>
      <w:r>
        <w:rPr>
          <w:rFonts w:ascii="Calibri" w:eastAsia="MS Mincho" w:hAnsi="Calibri"/>
        </w:rPr>
        <w:t>175</w:t>
      </w:r>
      <w:r w:rsidRPr="004F2BF4">
        <w:rPr>
          <w:rFonts w:ascii="Calibri" w:eastAsia="MS Mincho" w:hAnsi="Calibri"/>
        </w:rPr>
        <w:t xml:space="preserve"> days with </w:t>
      </w:r>
      <w:r>
        <w:rPr>
          <w:rFonts w:ascii="Calibri" w:eastAsia="MS Mincho" w:hAnsi="Calibri"/>
        </w:rPr>
        <w:t>46.2</w:t>
      </w:r>
      <w:r w:rsidRPr="004F2BF4">
        <w:rPr>
          <w:rFonts w:ascii="Calibri" w:eastAsia="MS Mincho" w:hAnsi="Calibri"/>
        </w:rPr>
        <w:t>% censored.</w:t>
      </w:r>
    </w:p>
    <w:p w14:paraId="0F7CA62A" w14:textId="77777777" w:rsidR="00623132" w:rsidRDefault="00623132" w:rsidP="00623132">
      <w:pPr>
        <w:rPr>
          <w:rFonts w:ascii="Calibri" w:hAnsi="Calibri" w:cs="Calibri"/>
        </w:rPr>
      </w:pPr>
    </w:p>
    <w:p w14:paraId="3BFF5161" w14:textId="77777777" w:rsidR="00623132" w:rsidRDefault="00623132" w:rsidP="00623132">
      <w:pPr>
        <w:rPr>
          <w:rFonts w:ascii="Calibri" w:hAnsi="Calibri" w:cs="Calibri"/>
        </w:rPr>
      </w:pPr>
      <w:r w:rsidRPr="0019174C">
        <w:rPr>
          <w:rFonts w:ascii="Calibri" w:hAnsi="Calibri" w:cs="Calibri"/>
          <w:noProof/>
        </w:rPr>
        <w:lastRenderedPageBreak/>
        <w:drawing>
          <wp:inline distT="0" distB="0" distL="0" distR="0" wp14:anchorId="034DC592" wp14:editId="59A12477">
            <wp:extent cx="5731510" cy="4336415"/>
            <wp:effectExtent l="0" t="0" r="2540" b="6985"/>
            <wp:docPr id="800084299"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4299" name="Picture 1" descr="A graph of a number of patients&#10;&#10;AI-generated content may be incorrect."/>
                    <pic:cNvPicPr/>
                  </pic:nvPicPr>
                  <pic:blipFill>
                    <a:blip r:embed="rId93"/>
                    <a:stretch>
                      <a:fillRect/>
                    </a:stretch>
                  </pic:blipFill>
                  <pic:spPr>
                    <a:xfrm>
                      <a:off x="0" y="0"/>
                      <a:ext cx="5731510" cy="4336415"/>
                    </a:xfrm>
                    <a:prstGeom prst="rect">
                      <a:avLst/>
                    </a:prstGeom>
                  </pic:spPr>
                </pic:pic>
              </a:graphicData>
            </a:graphic>
          </wp:inline>
        </w:drawing>
      </w:r>
    </w:p>
    <w:p w14:paraId="4CE1D1F3" w14:textId="77777777" w:rsidR="00623132" w:rsidRPr="004F2BF4" w:rsidRDefault="00623132" w:rsidP="00623132">
      <w:pPr>
        <w:spacing w:after="0"/>
        <w:rPr>
          <w:rFonts w:ascii="Calibri" w:eastAsia="MS Mincho" w:hAnsi="Calibri"/>
          <w:b/>
          <w:bCs/>
        </w:rPr>
      </w:pPr>
      <w:r w:rsidRPr="004F2BF4">
        <w:rPr>
          <w:rFonts w:ascii="Calibri" w:eastAsia="MS Mincho" w:hAnsi="Calibri"/>
          <w:b/>
          <w:bCs/>
        </w:rPr>
        <w:t xml:space="preserve">Figure </w:t>
      </w:r>
      <w:r>
        <w:rPr>
          <w:rFonts w:ascii="Calibri" w:eastAsia="MS Mincho" w:hAnsi="Calibri"/>
          <w:b/>
          <w:bCs/>
        </w:rPr>
        <w:t>3A</w:t>
      </w:r>
      <w:r w:rsidRPr="004F2BF4">
        <w:rPr>
          <w:rFonts w:ascii="Calibri" w:eastAsia="MS Mincho" w:hAnsi="Calibri"/>
          <w:b/>
          <w:bCs/>
        </w:rPr>
        <w:t xml:space="preserve">: Time on treatment for </w:t>
      </w:r>
      <w:r>
        <w:rPr>
          <w:rFonts w:ascii="Calibri" w:eastAsia="MS Mincho" w:hAnsi="Calibri"/>
          <w:b/>
          <w:bCs/>
        </w:rPr>
        <w:t xml:space="preserve">second-line </w:t>
      </w:r>
      <w:r w:rsidRPr="004F2BF4">
        <w:rPr>
          <w:rFonts w:ascii="Calibri" w:eastAsia="MS Mincho" w:hAnsi="Calibri"/>
          <w:b/>
          <w:bCs/>
        </w:rPr>
        <w:t>CLL/SLL drugs in days including breaks in treatment</w:t>
      </w:r>
    </w:p>
    <w:p w14:paraId="0E403DB5" w14:textId="77777777" w:rsidR="00623132" w:rsidRPr="004F2BF4" w:rsidRDefault="00623132" w:rsidP="00623132">
      <w:pPr>
        <w:spacing w:after="0"/>
        <w:rPr>
          <w:rFonts w:ascii="Calibri" w:eastAsia="MS Mincho" w:hAnsi="Calibri"/>
        </w:rPr>
      </w:pPr>
    </w:p>
    <w:p w14:paraId="518C07D8" w14:textId="77777777" w:rsidR="00623132" w:rsidRPr="004F2BF4" w:rsidRDefault="00623132" w:rsidP="00623132">
      <w:pPr>
        <w:spacing w:after="0"/>
        <w:rPr>
          <w:rFonts w:ascii="Calibri" w:eastAsia="MS Mincho" w:hAnsi="Calibri"/>
        </w:rPr>
      </w:pPr>
      <w:r w:rsidRPr="004F2BF4">
        <w:rPr>
          <w:rFonts w:ascii="Calibri" w:eastAsia="MS Mincho" w:hAnsi="Calibri"/>
        </w:rPr>
        <w:t xml:space="preserve">Figure </w:t>
      </w:r>
      <w:r>
        <w:rPr>
          <w:rFonts w:ascii="Calibri" w:eastAsia="MS Mincho" w:hAnsi="Calibri"/>
        </w:rPr>
        <w:t>3A</w:t>
      </w:r>
      <w:r w:rsidRPr="004F2BF4">
        <w:rPr>
          <w:rFonts w:ascii="Calibri" w:eastAsia="MS Mincho" w:hAnsi="Calibri"/>
        </w:rPr>
        <w:t xml:space="preserve"> shows the time on treatment in days for </w:t>
      </w:r>
      <w:r>
        <w:rPr>
          <w:rFonts w:ascii="Calibri" w:eastAsia="MS Mincho" w:hAnsi="Calibri"/>
        </w:rPr>
        <w:t xml:space="preserve">second-line </w:t>
      </w:r>
      <w:r w:rsidRPr="004F2BF4">
        <w:rPr>
          <w:rFonts w:ascii="Calibri" w:eastAsia="MS Mincho" w:hAnsi="Calibri"/>
        </w:rPr>
        <w:t xml:space="preserve">CLL/SLL drugs including treatment breaks. The median treatment duration for acalabrutinib was </w:t>
      </w:r>
      <w:r>
        <w:rPr>
          <w:rFonts w:ascii="Calibri" w:eastAsia="MS Mincho" w:hAnsi="Calibri"/>
        </w:rPr>
        <w:t>764</w:t>
      </w:r>
      <w:r w:rsidRPr="004F2BF4">
        <w:rPr>
          <w:rFonts w:ascii="Calibri" w:eastAsia="MS Mincho" w:hAnsi="Calibri"/>
        </w:rPr>
        <w:t xml:space="preserve"> days with </w:t>
      </w:r>
      <w:r>
        <w:rPr>
          <w:rFonts w:ascii="Calibri" w:eastAsia="MS Mincho" w:hAnsi="Calibri"/>
        </w:rPr>
        <w:t>46.7</w:t>
      </w:r>
      <w:r w:rsidRPr="004F2BF4">
        <w:rPr>
          <w:rFonts w:ascii="Calibri" w:eastAsia="MS Mincho" w:hAnsi="Calibri"/>
        </w:rPr>
        <w:t xml:space="preserve">% of patients censored. For ibrutinib </w:t>
      </w:r>
      <w:r>
        <w:rPr>
          <w:rFonts w:ascii="Calibri" w:eastAsia="MS Mincho" w:hAnsi="Calibri"/>
        </w:rPr>
        <w:t>it was 878</w:t>
      </w:r>
      <w:r w:rsidRPr="004F2BF4">
        <w:rPr>
          <w:rFonts w:ascii="Calibri" w:eastAsia="MS Mincho" w:hAnsi="Calibri"/>
        </w:rPr>
        <w:t xml:space="preserve"> days with </w:t>
      </w:r>
      <w:r>
        <w:rPr>
          <w:rFonts w:ascii="Calibri" w:eastAsia="MS Mincho" w:hAnsi="Calibri"/>
        </w:rPr>
        <w:t>19.7</w:t>
      </w:r>
      <w:r w:rsidRPr="004F2BF4">
        <w:rPr>
          <w:rFonts w:ascii="Calibri" w:eastAsia="MS Mincho" w:hAnsi="Calibri"/>
        </w:rPr>
        <w:t xml:space="preserve">% censored. </w:t>
      </w:r>
      <w:r w:rsidRPr="00405380">
        <w:rPr>
          <w:rFonts w:ascii="Calibri" w:eastAsia="MS Mincho" w:hAnsi="Calibri"/>
        </w:rPr>
        <w:t>For idelalisib it was 1</w:t>
      </w:r>
      <w:r>
        <w:rPr>
          <w:rFonts w:ascii="Calibri" w:eastAsia="MS Mincho" w:hAnsi="Calibri"/>
        </w:rPr>
        <w:t>26</w:t>
      </w:r>
      <w:r w:rsidRPr="00405380">
        <w:rPr>
          <w:rFonts w:ascii="Calibri" w:eastAsia="MS Mincho" w:hAnsi="Calibri"/>
        </w:rPr>
        <w:t xml:space="preserve"> days with </w:t>
      </w:r>
      <w:r>
        <w:rPr>
          <w:rFonts w:ascii="Calibri" w:eastAsia="MS Mincho" w:hAnsi="Calibri"/>
        </w:rPr>
        <w:t>7.3</w:t>
      </w:r>
      <w:r w:rsidRPr="00405380">
        <w:rPr>
          <w:rFonts w:ascii="Calibri" w:eastAsia="MS Mincho" w:hAnsi="Calibri"/>
        </w:rPr>
        <w:t>% censored</w:t>
      </w:r>
      <w:r>
        <w:rPr>
          <w:rFonts w:ascii="Calibri" w:eastAsia="MS Mincho" w:hAnsi="Calibri"/>
        </w:rPr>
        <w:t>.</w:t>
      </w:r>
      <w:r w:rsidRPr="00405380">
        <w:rPr>
          <w:rFonts w:ascii="Calibri" w:eastAsia="MS Mincho" w:hAnsi="Calibri"/>
        </w:rPr>
        <w:t xml:space="preserve"> </w:t>
      </w:r>
      <w:r w:rsidRPr="004F2BF4">
        <w:rPr>
          <w:rFonts w:ascii="Calibri" w:eastAsia="MS Mincho" w:hAnsi="Calibri"/>
        </w:rPr>
        <w:t xml:space="preserve">For venetoclax it was </w:t>
      </w:r>
      <w:r>
        <w:rPr>
          <w:rFonts w:ascii="Calibri" w:eastAsia="MS Mincho" w:hAnsi="Calibri"/>
        </w:rPr>
        <w:t>601</w:t>
      </w:r>
      <w:r w:rsidRPr="004F2BF4">
        <w:rPr>
          <w:rFonts w:ascii="Calibri" w:eastAsia="MS Mincho" w:hAnsi="Calibri"/>
        </w:rPr>
        <w:t xml:space="preserve"> days with 2</w:t>
      </w:r>
      <w:r>
        <w:rPr>
          <w:rFonts w:ascii="Calibri" w:eastAsia="MS Mincho" w:hAnsi="Calibri"/>
        </w:rPr>
        <w:t>0.2</w:t>
      </w:r>
      <w:r w:rsidRPr="004F2BF4">
        <w:rPr>
          <w:rFonts w:ascii="Calibri" w:eastAsia="MS Mincho" w:hAnsi="Calibri"/>
        </w:rPr>
        <w:t xml:space="preserve">% censored and for zanubrutinib it was </w:t>
      </w:r>
      <w:r>
        <w:rPr>
          <w:rFonts w:ascii="Calibri" w:eastAsia="MS Mincho" w:hAnsi="Calibri"/>
        </w:rPr>
        <w:t>336</w:t>
      </w:r>
      <w:r w:rsidRPr="004F2BF4">
        <w:rPr>
          <w:rFonts w:ascii="Calibri" w:eastAsia="MS Mincho" w:hAnsi="Calibri"/>
        </w:rPr>
        <w:t xml:space="preserve"> days with </w:t>
      </w:r>
      <w:r>
        <w:rPr>
          <w:rFonts w:ascii="Calibri" w:eastAsia="MS Mincho" w:hAnsi="Calibri"/>
        </w:rPr>
        <w:t>58.6</w:t>
      </w:r>
      <w:r w:rsidRPr="004F2BF4">
        <w:rPr>
          <w:rFonts w:ascii="Calibri" w:eastAsia="MS Mincho" w:hAnsi="Calibri"/>
        </w:rPr>
        <w:t>% censored.</w:t>
      </w:r>
    </w:p>
    <w:p w14:paraId="0415C110" w14:textId="77777777" w:rsidR="00623132" w:rsidRDefault="00623132" w:rsidP="00623132">
      <w:pPr>
        <w:rPr>
          <w:rFonts w:ascii="Calibri" w:hAnsi="Calibri" w:cs="Calibri"/>
        </w:rPr>
      </w:pPr>
    </w:p>
    <w:p w14:paraId="519C4340" w14:textId="77777777" w:rsidR="00623132" w:rsidRDefault="00623132" w:rsidP="00623132">
      <w:pPr>
        <w:rPr>
          <w:rFonts w:ascii="Calibri" w:hAnsi="Calibri" w:cs="Calibri"/>
        </w:rPr>
      </w:pPr>
      <w:r w:rsidRPr="00AC3649">
        <w:rPr>
          <w:rFonts w:ascii="Calibri" w:hAnsi="Calibri" w:cs="Calibri"/>
          <w:noProof/>
        </w:rPr>
        <w:lastRenderedPageBreak/>
        <w:drawing>
          <wp:inline distT="0" distB="0" distL="0" distR="0" wp14:anchorId="1600CC71" wp14:editId="37AFC20D">
            <wp:extent cx="5731510" cy="4336415"/>
            <wp:effectExtent l="0" t="0" r="2540" b="6985"/>
            <wp:docPr id="1431681847"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81847" name="Picture 1" descr="A graph of a number of patients&#10;&#10;AI-generated content may be incorrect."/>
                    <pic:cNvPicPr/>
                  </pic:nvPicPr>
                  <pic:blipFill>
                    <a:blip r:embed="rId94"/>
                    <a:stretch>
                      <a:fillRect/>
                    </a:stretch>
                  </pic:blipFill>
                  <pic:spPr>
                    <a:xfrm>
                      <a:off x="0" y="0"/>
                      <a:ext cx="5731510" cy="4336415"/>
                    </a:xfrm>
                    <a:prstGeom prst="rect">
                      <a:avLst/>
                    </a:prstGeom>
                  </pic:spPr>
                </pic:pic>
              </a:graphicData>
            </a:graphic>
          </wp:inline>
        </w:drawing>
      </w:r>
    </w:p>
    <w:p w14:paraId="72CCD02E" w14:textId="77777777" w:rsidR="00623132" w:rsidRPr="004F2BF4" w:rsidRDefault="00623132" w:rsidP="00623132">
      <w:pPr>
        <w:spacing w:after="0"/>
        <w:rPr>
          <w:rFonts w:ascii="Calibri" w:eastAsia="MS Mincho" w:hAnsi="Calibri"/>
          <w:b/>
          <w:bCs/>
        </w:rPr>
      </w:pPr>
      <w:r w:rsidRPr="004F2BF4">
        <w:rPr>
          <w:rFonts w:ascii="Calibri" w:eastAsia="MS Mincho" w:hAnsi="Calibri"/>
          <w:b/>
          <w:bCs/>
        </w:rPr>
        <w:t xml:space="preserve">Figure </w:t>
      </w:r>
      <w:r>
        <w:rPr>
          <w:rFonts w:ascii="Calibri" w:eastAsia="MS Mincho" w:hAnsi="Calibri"/>
          <w:b/>
          <w:bCs/>
        </w:rPr>
        <w:t>4A</w:t>
      </w:r>
      <w:r w:rsidRPr="004F2BF4">
        <w:rPr>
          <w:rFonts w:ascii="Calibri" w:eastAsia="MS Mincho" w:hAnsi="Calibri"/>
          <w:b/>
          <w:bCs/>
        </w:rPr>
        <w:t xml:space="preserve">: Time on treatment for </w:t>
      </w:r>
      <w:r>
        <w:rPr>
          <w:rFonts w:ascii="Calibri" w:eastAsia="MS Mincho" w:hAnsi="Calibri"/>
          <w:b/>
          <w:bCs/>
        </w:rPr>
        <w:t xml:space="preserve">second-line </w:t>
      </w:r>
      <w:r w:rsidRPr="004F2BF4">
        <w:rPr>
          <w:rFonts w:ascii="Calibri" w:eastAsia="MS Mincho" w:hAnsi="Calibri"/>
          <w:b/>
          <w:bCs/>
        </w:rPr>
        <w:t>CLL/SLL drugs in days without treatment breaks</w:t>
      </w:r>
    </w:p>
    <w:p w14:paraId="365B5E10" w14:textId="77777777" w:rsidR="00623132" w:rsidRPr="004F2BF4" w:rsidRDefault="00623132" w:rsidP="00623132">
      <w:pPr>
        <w:spacing w:after="0"/>
        <w:rPr>
          <w:rFonts w:ascii="Calibri" w:eastAsia="MS Mincho" w:hAnsi="Calibri"/>
        </w:rPr>
      </w:pPr>
    </w:p>
    <w:p w14:paraId="6A344E46" w14:textId="77777777" w:rsidR="00623132" w:rsidRPr="004F2BF4" w:rsidRDefault="00623132" w:rsidP="00623132">
      <w:pPr>
        <w:spacing w:after="0"/>
        <w:rPr>
          <w:rFonts w:ascii="Calibri" w:eastAsia="MS Mincho" w:hAnsi="Calibri"/>
        </w:rPr>
      </w:pPr>
      <w:r w:rsidRPr="004F2BF4">
        <w:rPr>
          <w:rFonts w:ascii="Calibri" w:eastAsia="MS Mincho" w:hAnsi="Calibri"/>
        </w:rPr>
        <w:t xml:space="preserve">Figure </w:t>
      </w:r>
      <w:r>
        <w:rPr>
          <w:rFonts w:ascii="Calibri" w:eastAsia="MS Mincho" w:hAnsi="Calibri"/>
        </w:rPr>
        <w:t>4A</w:t>
      </w:r>
      <w:r w:rsidRPr="004F2BF4">
        <w:rPr>
          <w:rFonts w:ascii="Calibri" w:eastAsia="MS Mincho" w:hAnsi="Calibri"/>
        </w:rPr>
        <w:t xml:space="preserve"> shows the time on treatment in days for </w:t>
      </w:r>
      <w:r>
        <w:rPr>
          <w:rFonts w:ascii="Calibri" w:eastAsia="MS Mincho" w:hAnsi="Calibri"/>
        </w:rPr>
        <w:t xml:space="preserve">second-line </w:t>
      </w:r>
      <w:r w:rsidRPr="004F2BF4">
        <w:rPr>
          <w:rFonts w:ascii="Calibri" w:eastAsia="MS Mincho" w:hAnsi="Calibri"/>
        </w:rPr>
        <w:t xml:space="preserve">CLL/SLL drugs without treatment breaks. The median treatment duration for acalabrutinib was </w:t>
      </w:r>
      <w:r>
        <w:rPr>
          <w:rFonts w:ascii="Calibri" w:eastAsia="MS Mincho" w:hAnsi="Calibri"/>
        </w:rPr>
        <w:t>337</w:t>
      </w:r>
      <w:r w:rsidRPr="004F2BF4">
        <w:rPr>
          <w:rFonts w:ascii="Calibri" w:eastAsia="MS Mincho" w:hAnsi="Calibri"/>
        </w:rPr>
        <w:t xml:space="preserve"> days with </w:t>
      </w:r>
      <w:r>
        <w:rPr>
          <w:rFonts w:ascii="Calibri" w:eastAsia="MS Mincho" w:hAnsi="Calibri"/>
        </w:rPr>
        <w:t>29.5</w:t>
      </w:r>
      <w:r w:rsidRPr="004F2BF4">
        <w:rPr>
          <w:rFonts w:ascii="Calibri" w:eastAsia="MS Mincho" w:hAnsi="Calibri"/>
        </w:rPr>
        <w:t xml:space="preserve">% of patients censored. For ibrutinib </w:t>
      </w:r>
      <w:r>
        <w:rPr>
          <w:rFonts w:ascii="Calibri" w:eastAsia="MS Mincho" w:hAnsi="Calibri"/>
        </w:rPr>
        <w:t>it</w:t>
      </w:r>
      <w:r w:rsidRPr="005D5C46">
        <w:rPr>
          <w:rFonts w:ascii="Calibri" w:eastAsia="MS Mincho" w:hAnsi="Calibri"/>
        </w:rPr>
        <w:t xml:space="preserve"> was</w:t>
      </w:r>
      <w:r>
        <w:rPr>
          <w:rFonts w:ascii="Calibri" w:eastAsia="MS Mincho" w:hAnsi="Calibri"/>
        </w:rPr>
        <w:t xml:space="preserve"> 409</w:t>
      </w:r>
      <w:r w:rsidRPr="004F2BF4">
        <w:rPr>
          <w:rFonts w:ascii="Calibri" w:eastAsia="MS Mincho" w:hAnsi="Calibri"/>
        </w:rPr>
        <w:t xml:space="preserve"> days with </w:t>
      </w:r>
      <w:r>
        <w:rPr>
          <w:rFonts w:ascii="Calibri" w:eastAsia="MS Mincho" w:hAnsi="Calibri"/>
        </w:rPr>
        <w:t>10</w:t>
      </w:r>
      <w:r w:rsidRPr="004F2BF4">
        <w:rPr>
          <w:rFonts w:ascii="Calibri" w:eastAsia="MS Mincho" w:hAnsi="Calibri"/>
        </w:rPr>
        <w:t xml:space="preserve">% censored. </w:t>
      </w:r>
      <w:r w:rsidRPr="00405380">
        <w:rPr>
          <w:rFonts w:ascii="Calibri" w:eastAsia="MS Mincho" w:hAnsi="Calibri"/>
        </w:rPr>
        <w:t>For idelalisib it was 1</w:t>
      </w:r>
      <w:r>
        <w:rPr>
          <w:rFonts w:ascii="Calibri" w:eastAsia="MS Mincho" w:hAnsi="Calibri"/>
        </w:rPr>
        <w:t>03</w:t>
      </w:r>
      <w:r w:rsidRPr="00405380">
        <w:rPr>
          <w:rFonts w:ascii="Calibri" w:eastAsia="MS Mincho" w:hAnsi="Calibri"/>
        </w:rPr>
        <w:t xml:space="preserve"> days with </w:t>
      </w:r>
      <w:r>
        <w:rPr>
          <w:rFonts w:ascii="Calibri" w:eastAsia="MS Mincho" w:hAnsi="Calibri"/>
        </w:rPr>
        <w:t>5.5</w:t>
      </w:r>
      <w:r w:rsidRPr="00405380">
        <w:rPr>
          <w:rFonts w:ascii="Calibri" w:eastAsia="MS Mincho" w:hAnsi="Calibri"/>
        </w:rPr>
        <w:t>% censored</w:t>
      </w:r>
      <w:r>
        <w:rPr>
          <w:rFonts w:ascii="Calibri" w:eastAsia="MS Mincho" w:hAnsi="Calibri"/>
        </w:rPr>
        <w:t>.</w:t>
      </w:r>
      <w:r w:rsidRPr="00405380">
        <w:rPr>
          <w:rFonts w:ascii="Calibri" w:eastAsia="MS Mincho" w:hAnsi="Calibri"/>
        </w:rPr>
        <w:t xml:space="preserve"> </w:t>
      </w:r>
      <w:r w:rsidRPr="004F2BF4">
        <w:rPr>
          <w:rFonts w:ascii="Calibri" w:eastAsia="MS Mincho" w:hAnsi="Calibri"/>
        </w:rPr>
        <w:t xml:space="preserve">For venetoclax it was </w:t>
      </w:r>
      <w:r>
        <w:rPr>
          <w:rFonts w:ascii="Calibri" w:eastAsia="MS Mincho" w:hAnsi="Calibri"/>
        </w:rPr>
        <w:t>268</w:t>
      </w:r>
      <w:r w:rsidRPr="004F2BF4">
        <w:rPr>
          <w:rFonts w:ascii="Calibri" w:eastAsia="MS Mincho" w:hAnsi="Calibri"/>
        </w:rPr>
        <w:t xml:space="preserve"> days with </w:t>
      </w:r>
      <w:r>
        <w:rPr>
          <w:rFonts w:ascii="Calibri" w:eastAsia="MS Mincho" w:hAnsi="Calibri"/>
        </w:rPr>
        <w:t>15.6</w:t>
      </w:r>
      <w:r w:rsidRPr="004F2BF4">
        <w:rPr>
          <w:rFonts w:ascii="Calibri" w:eastAsia="MS Mincho" w:hAnsi="Calibri"/>
        </w:rPr>
        <w:t xml:space="preserve">% censored and for zanubrutinib it was </w:t>
      </w:r>
      <w:r>
        <w:rPr>
          <w:rFonts w:ascii="Calibri" w:eastAsia="MS Mincho" w:hAnsi="Calibri"/>
        </w:rPr>
        <w:t>176</w:t>
      </w:r>
      <w:r w:rsidRPr="004F2BF4">
        <w:rPr>
          <w:rFonts w:ascii="Calibri" w:eastAsia="MS Mincho" w:hAnsi="Calibri"/>
        </w:rPr>
        <w:t xml:space="preserve"> days with </w:t>
      </w:r>
      <w:r>
        <w:rPr>
          <w:rFonts w:ascii="Calibri" w:eastAsia="MS Mincho" w:hAnsi="Calibri"/>
        </w:rPr>
        <w:t>48.8</w:t>
      </w:r>
      <w:r w:rsidRPr="004F2BF4">
        <w:rPr>
          <w:rFonts w:ascii="Calibri" w:eastAsia="MS Mincho" w:hAnsi="Calibri"/>
        </w:rPr>
        <w:t>% censored.</w:t>
      </w:r>
    </w:p>
    <w:p w14:paraId="73ABB1B0" w14:textId="77777777" w:rsidR="00623132" w:rsidRPr="004F2BF4" w:rsidRDefault="00623132" w:rsidP="00623132">
      <w:pPr>
        <w:rPr>
          <w:rFonts w:ascii="Calibri" w:hAnsi="Calibri" w:cs="Calibri"/>
        </w:rPr>
      </w:pPr>
    </w:p>
    <w:p w14:paraId="397A17C4" w14:textId="77777777" w:rsidR="00623132" w:rsidRPr="00790E74" w:rsidRDefault="00623132" w:rsidP="008740A3">
      <w:pPr>
        <w:spacing w:after="0"/>
        <w:rPr>
          <w:b/>
          <w:bCs/>
          <w:sz w:val="32"/>
          <w:szCs w:val="32"/>
        </w:rPr>
      </w:pPr>
    </w:p>
    <w:sectPr w:rsidR="00623132" w:rsidRPr="00790E74" w:rsidSect="00DD188C">
      <w:headerReference w:type="even" r:id="rId95"/>
      <w:headerReference w:type="default" r:id="rId96"/>
      <w:footerReference w:type="even" r:id="rId97"/>
      <w:footerReference w:type="default" r:id="rId98"/>
      <w:headerReference w:type="first" r:id="rId99"/>
      <w:footerReference w:type="first" r:id="rId10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8546" w14:textId="77777777" w:rsidR="003F4EB6" w:rsidRDefault="003F4EB6" w:rsidP="00A35800">
      <w:r>
        <w:separator/>
      </w:r>
    </w:p>
  </w:endnote>
  <w:endnote w:type="continuationSeparator" w:id="0">
    <w:p w14:paraId="1F9C31C6" w14:textId="77777777" w:rsidR="003F4EB6" w:rsidRDefault="003F4EB6"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648D0449" w:rsidR="00214013" w:rsidRDefault="00277E78" w:rsidP="00A35800">
    <w:pPr>
      <w:pStyle w:val="Footer"/>
      <w:rPr>
        <w:rStyle w:val="PageNumber"/>
      </w:rPr>
    </w:pPr>
    <w:r>
      <w:rPr>
        <w:noProof/>
      </w:rPr>
      <mc:AlternateContent>
        <mc:Choice Requires="wps">
          <w:drawing>
            <wp:anchor distT="0" distB="0" distL="0" distR="0" simplePos="0" relativeHeight="251705344" behindDoc="0" locked="0" layoutInCell="1" allowOverlap="1" wp14:anchorId="10EA48AA" wp14:editId="03362DDF">
              <wp:simplePos x="635" y="635"/>
              <wp:positionH relativeFrom="page">
                <wp:align>center</wp:align>
              </wp:positionH>
              <wp:positionV relativeFrom="page">
                <wp:align>bottom</wp:align>
              </wp:positionV>
              <wp:extent cx="622300" cy="376555"/>
              <wp:effectExtent l="0" t="0" r="6350" b="0"/>
              <wp:wrapNone/>
              <wp:docPr id="9373201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40BF03" w14:textId="1DEC9C3A"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EA48AA"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B40BF03" w14:textId="1DEC9C3A"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v:textbox>
              <w10:wrap anchorx="page" anchory="page"/>
            </v:shape>
          </w:pict>
        </mc:Fallback>
      </mc:AlternateContent>
    </w:r>
    <w:r w:rsidR="00214013">
      <w:rPr>
        <w:rStyle w:val="PageNumber"/>
      </w:rPr>
      <w:fldChar w:fldCharType="begin"/>
    </w:r>
    <w:r w:rsidR="00214013">
      <w:rPr>
        <w:rStyle w:val="PageNumber"/>
      </w:rPr>
      <w:instrText xml:space="preserve">PAGE  </w:instrText>
    </w:r>
    <w:r w:rsidR="00214013">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9175" w14:textId="68A42446" w:rsidR="00010F8B" w:rsidRDefault="00277E78" w:rsidP="000E72C6">
    <w:pPr>
      <w:pStyle w:val="Footer"/>
      <w:jc w:val="center"/>
    </w:pPr>
    <w:r>
      <w:rPr>
        <w:noProof/>
      </w:rPr>
      <mc:AlternateContent>
        <mc:Choice Requires="wps">
          <w:drawing>
            <wp:anchor distT="0" distB="0" distL="0" distR="0" simplePos="0" relativeHeight="251706368" behindDoc="0" locked="0" layoutInCell="1" allowOverlap="1" wp14:anchorId="7C1091DA" wp14:editId="5CC6B320">
              <wp:simplePos x="1009650" y="9744075"/>
              <wp:positionH relativeFrom="page">
                <wp:align>center</wp:align>
              </wp:positionH>
              <wp:positionV relativeFrom="page">
                <wp:align>bottom</wp:align>
              </wp:positionV>
              <wp:extent cx="622300" cy="376555"/>
              <wp:effectExtent l="0" t="0" r="6350" b="0"/>
              <wp:wrapNone/>
              <wp:docPr id="2524132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0CBCD2" w14:textId="5EB4743E"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091DA"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70CBCD2" w14:textId="5EB4743E"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v:textbox>
              <w10:wrap anchorx="page" anchory="page"/>
            </v:shape>
          </w:pict>
        </mc:Fallback>
      </mc:AlternateContent>
    </w:r>
  </w:p>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2AB57A9" w14:textId="3BD66BF8" w:rsidR="00F9315A" w:rsidRPr="000E72C6" w:rsidRDefault="00F9315A" w:rsidP="00F9315A">
            <w:pPr>
              <w:pStyle w:val="Footer"/>
              <w:jc w:val="center"/>
              <w:rPr>
                <w:i/>
                <w:sz w:val="20"/>
              </w:rPr>
            </w:pPr>
            <w:r>
              <w:rPr>
                <w:i/>
                <w:sz w:val="20"/>
              </w:rPr>
              <w:t>Public Release Document, October 2025 DUSC Meeting</w:t>
            </w:r>
          </w:p>
          <w:p w14:paraId="10292A9A" w14:textId="7D864046"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0625AD4D" w:rsidR="007A5733" w:rsidRDefault="00277E78" w:rsidP="007A5733">
    <w:pPr>
      <w:pStyle w:val="Footer"/>
      <w:jc w:val="center"/>
      <w:rPr>
        <w:rStyle w:val="PageNumber"/>
      </w:rPr>
    </w:pPr>
    <w:r>
      <w:rPr>
        <w:noProof/>
      </w:rPr>
      <mc:AlternateContent>
        <mc:Choice Requires="wps">
          <w:drawing>
            <wp:anchor distT="0" distB="0" distL="0" distR="0" simplePos="0" relativeHeight="251704320" behindDoc="0" locked="0" layoutInCell="1" allowOverlap="1" wp14:anchorId="6E760BE2" wp14:editId="00FD0BD5">
              <wp:simplePos x="635" y="635"/>
              <wp:positionH relativeFrom="page">
                <wp:align>center</wp:align>
              </wp:positionH>
              <wp:positionV relativeFrom="page">
                <wp:align>bottom</wp:align>
              </wp:positionV>
              <wp:extent cx="622300" cy="376555"/>
              <wp:effectExtent l="0" t="0" r="6350" b="0"/>
              <wp:wrapNone/>
              <wp:docPr id="10775092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23C1AA" w14:textId="53C93720"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60BE2"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123C1AA" w14:textId="53C93720"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v:textbox>
              <w10:wrap anchorx="page" anchory="page"/>
            </v:shape>
          </w:pict>
        </mc:Fallback>
      </mc:AlternateContent>
    </w:r>
    <w:r w:rsidR="007A5733">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9AB4" w14:textId="77777777" w:rsidR="003F4EB6" w:rsidRDefault="003F4EB6" w:rsidP="00A35800">
      <w:r>
        <w:separator/>
      </w:r>
    </w:p>
  </w:footnote>
  <w:footnote w:type="continuationSeparator" w:id="0">
    <w:p w14:paraId="318AAB1B" w14:textId="77777777" w:rsidR="003F4EB6" w:rsidRDefault="003F4EB6" w:rsidP="00A35800">
      <w:r>
        <w:continuationSeparator/>
      </w:r>
    </w:p>
  </w:footnote>
  <w:footnote w:id="1">
    <w:p w14:paraId="5D87DD91" w14:textId="77777777" w:rsidR="00DD1724" w:rsidRDefault="00DD1724" w:rsidP="00DD1724">
      <w:pPr>
        <w:pStyle w:val="FootnoteText"/>
      </w:pPr>
      <w:r>
        <w:rPr>
          <w:rStyle w:val="FootnoteReference"/>
        </w:rPr>
        <w:footnoteRef/>
      </w:r>
      <w:r>
        <w:t xml:space="preserve"> </w:t>
      </w:r>
      <w:hyperlink r:id="rId1" w:history="1">
        <w:r w:rsidRPr="00072291">
          <w:rPr>
            <w:rStyle w:val="Hyperlink"/>
          </w:rPr>
          <w:t xml:space="preserve">Definition of </w:t>
        </w:r>
        <w:r>
          <w:rPr>
            <w:rStyle w:val="Hyperlink"/>
          </w:rPr>
          <w:t>CLL OR SLL</w:t>
        </w:r>
        <w:r w:rsidRPr="00072291">
          <w:rPr>
            <w:rStyle w:val="Hyperlink"/>
          </w:rPr>
          <w:t xml:space="preserve"> - NCI Dictionary of Cancer Terms - NCI</w:t>
        </w:r>
      </w:hyperlink>
      <w:r>
        <w:t xml:space="preserve"> (accessed 2 July 2025).</w:t>
      </w:r>
    </w:p>
  </w:footnote>
  <w:footnote w:id="2">
    <w:p w14:paraId="404BF21F" w14:textId="77777777" w:rsidR="00DD1724" w:rsidRDefault="00DD1724" w:rsidP="00DD1724">
      <w:pPr>
        <w:pStyle w:val="FootnoteText"/>
      </w:pPr>
      <w:r>
        <w:rPr>
          <w:rStyle w:val="FootnoteReference"/>
        </w:rPr>
        <w:footnoteRef/>
      </w:r>
      <w:r>
        <w:t xml:space="preserve"> </w:t>
      </w:r>
      <w:hyperlink r:id="rId2" w:history="1">
        <w:r w:rsidRPr="00694C6E">
          <w:rPr>
            <w:rStyle w:val="Hyperlink"/>
          </w:rPr>
          <w:t>Chronic lymphocytic leukaemia (CLL) - Leukaemia Foundation</w:t>
        </w:r>
      </w:hyperlink>
      <w:r>
        <w:t xml:space="preserve"> (accessed 2 July 2025).</w:t>
      </w:r>
    </w:p>
  </w:footnote>
  <w:footnote w:id="3">
    <w:p w14:paraId="3D108EAF" w14:textId="77777777" w:rsidR="00DD1724" w:rsidRDefault="00DD1724" w:rsidP="00DD1724">
      <w:pPr>
        <w:pStyle w:val="FootnoteText"/>
      </w:pPr>
      <w:r>
        <w:rPr>
          <w:rStyle w:val="FootnoteReference"/>
        </w:rPr>
        <w:footnoteRef/>
      </w:r>
      <w:r>
        <w:t xml:space="preserve"> </w:t>
      </w:r>
      <w:hyperlink r:id="rId3" w:history="1">
        <w:r w:rsidRPr="00E05C98">
          <w:rPr>
            <w:rStyle w:val="Hyperlink"/>
          </w:rPr>
          <w:t>Chronic lymphocytic leukaemia Australasian consensus practice statement - PubMed</w:t>
        </w:r>
      </w:hyperlink>
      <w:r>
        <w:t xml:space="preserve"> (accessed 2 July 2025).</w:t>
      </w:r>
    </w:p>
  </w:footnote>
  <w:footnote w:id="4">
    <w:p w14:paraId="6446F222" w14:textId="77777777" w:rsidR="00DD1724" w:rsidRPr="0084478C" w:rsidRDefault="00DD1724" w:rsidP="00DD1724">
      <w:pPr>
        <w:spacing w:after="0"/>
        <w:rPr>
          <w:rFonts w:ascii="Calibri" w:hAnsi="Calibri" w:cs="Calibri"/>
        </w:rPr>
      </w:pPr>
      <w:r>
        <w:rPr>
          <w:rStyle w:val="FootnoteReference"/>
        </w:rPr>
        <w:footnoteRef/>
      </w:r>
      <w:r>
        <w:t xml:space="preserve"> </w:t>
      </w:r>
      <w:hyperlink r:id="rId4" w:history="1">
        <w:r w:rsidRPr="001470CF">
          <w:rPr>
            <w:rStyle w:val="Hyperlink"/>
            <w:rFonts w:ascii="Calibri" w:hAnsi="Calibri" w:cs="Calibri"/>
            <w:sz w:val="18"/>
            <w:szCs w:val="18"/>
          </w:rPr>
          <w:t>Cancer data in Australia, Blood cancer incidence and survival by histology (experimental data) - Australian Institute of Health and Welfare</w:t>
        </w:r>
      </w:hyperlink>
      <w:r w:rsidRPr="001470CF">
        <w:rPr>
          <w:rFonts w:ascii="Calibri" w:hAnsi="Calibri" w:cs="Calibri"/>
          <w:sz w:val="18"/>
          <w:szCs w:val="18"/>
        </w:rPr>
        <w:t xml:space="preserve"> (accessed 2 July 2025).</w:t>
      </w:r>
    </w:p>
  </w:footnote>
  <w:footnote w:id="5">
    <w:p w14:paraId="5F088976" w14:textId="77777777" w:rsidR="00DD1724" w:rsidRDefault="00DD1724" w:rsidP="00DD1724">
      <w:pPr>
        <w:rPr>
          <w:rFonts w:ascii="Calibri" w:hAnsi="Calibri" w:cs="Calibri"/>
        </w:rPr>
      </w:pPr>
      <w:r>
        <w:rPr>
          <w:rStyle w:val="FootnoteReference"/>
        </w:rPr>
        <w:footnoteRef/>
      </w:r>
      <w:r>
        <w:t xml:space="preserve"> </w:t>
      </w:r>
      <w:hyperlink r:id="rId5" w:history="1">
        <w:r w:rsidRPr="0084478C">
          <w:rPr>
            <w:rStyle w:val="Hyperlink"/>
            <w:rFonts w:ascii="Calibri" w:hAnsi="Calibri" w:cs="Calibri"/>
            <w:sz w:val="18"/>
            <w:szCs w:val="18"/>
          </w:rPr>
          <w:t>Cancer data in Australia, Cancer incidence by age visualisation - Australian Institute of Health and Welfare</w:t>
        </w:r>
      </w:hyperlink>
      <w:r>
        <w:rPr>
          <w:sz w:val="18"/>
          <w:szCs w:val="18"/>
        </w:rPr>
        <w:t xml:space="preserve"> (accessed 2 July 2025).</w:t>
      </w:r>
    </w:p>
    <w:p w14:paraId="658E6036" w14:textId="77777777" w:rsidR="00DD1724" w:rsidRDefault="00DD1724" w:rsidP="00DD1724">
      <w:pPr>
        <w:pStyle w:val="FootnoteText"/>
      </w:pPr>
    </w:p>
  </w:footnote>
  <w:footnote w:id="6">
    <w:p w14:paraId="68097565" w14:textId="3BE914E9" w:rsidR="00B85392" w:rsidRDefault="00B85392">
      <w:pPr>
        <w:pStyle w:val="FootnoteText"/>
      </w:pPr>
      <w:r>
        <w:rPr>
          <w:rStyle w:val="FootnoteReference"/>
        </w:rPr>
        <w:footnoteRef/>
      </w:r>
      <w:r>
        <w:t xml:space="preserve"> </w:t>
      </w:r>
      <w:hyperlink r:id="rId6" w:history="1">
        <w:r w:rsidRPr="001470CF">
          <w:rPr>
            <w:rStyle w:val="Hyperlink"/>
            <w:rFonts w:ascii="Calibri" w:hAnsi="Calibri" w:cs="Calibri"/>
            <w:szCs w:val="18"/>
          </w:rPr>
          <w:t>Cancer data in Australia, Blood cancer incidence and survival by histology (experimental data) - Australian Institute of Health and Welfare</w:t>
        </w:r>
      </w:hyperlink>
      <w:r w:rsidRPr="001470CF">
        <w:rPr>
          <w:rFonts w:ascii="Calibri" w:hAnsi="Calibri" w:cs="Calibri"/>
          <w:szCs w:val="18"/>
        </w:rPr>
        <w:t xml:space="preserve"> (accessed 2 July 2025).</w:t>
      </w:r>
    </w:p>
  </w:footnote>
  <w:footnote w:id="7">
    <w:p w14:paraId="5F2EC815" w14:textId="55CF1581" w:rsidR="00F04A69" w:rsidRDefault="00F04A69">
      <w:pPr>
        <w:pStyle w:val="FootnoteText"/>
      </w:pPr>
      <w:r>
        <w:rPr>
          <w:rStyle w:val="FootnoteReference"/>
        </w:rPr>
        <w:footnoteRef/>
      </w:r>
      <w:r>
        <w:t xml:space="preserve"> </w:t>
      </w:r>
      <w:hyperlink r:id="rId7" w:history="1">
        <w:r w:rsidRPr="00F04A69">
          <w:rPr>
            <w:rStyle w:val="Hyperlink"/>
          </w:rPr>
          <w:t>Pharmaceutical Benefits Scheme (PBS) | Analysis of the utilisation of idelalisib for refractory follicular B-cell non-Hodgkin's lymphoma, October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AE3" w14:textId="556804A4" w:rsidR="00010F8B" w:rsidRDefault="00277E78">
    <w:pPr>
      <w:pStyle w:val="Header"/>
    </w:pPr>
    <w:r>
      <w:rPr>
        <w:noProof/>
      </w:rPr>
      <mc:AlternateContent>
        <mc:Choice Requires="wps">
          <w:drawing>
            <wp:anchor distT="0" distB="0" distL="0" distR="0" simplePos="0" relativeHeight="251702272" behindDoc="0" locked="0" layoutInCell="1" allowOverlap="1" wp14:anchorId="1286FCB2" wp14:editId="5F31AAF8">
              <wp:simplePos x="635" y="635"/>
              <wp:positionH relativeFrom="page">
                <wp:align>center</wp:align>
              </wp:positionH>
              <wp:positionV relativeFrom="page">
                <wp:align>top</wp:align>
              </wp:positionV>
              <wp:extent cx="622300" cy="376555"/>
              <wp:effectExtent l="0" t="0" r="6350" b="4445"/>
              <wp:wrapNone/>
              <wp:docPr id="2727379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1B1917" w14:textId="129E4480"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6FCB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81B1917" w14:textId="129E4480"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7B84" w14:textId="2B0E484E" w:rsidR="00FB77FA" w:rsidRDefault="00277E78" w:rsidP="00FB77FA">
    <w:pPr>
      <w:pStyle w:val="Header"/>
    </w:pPr>
    <w:r>
      <w:rPr>
        <w:noProof/>
      </w:rPr>
      <mc:AlternateContent>
        <mc:Choice Requires="wps">
          <w:drawing>
            <wp:anchor distT="0" distB="0" distL="0" distR="0" simplePos="0" relativeHeight="251703296" behindDoc="0" locked="0" layoutInCell="1" allowOverlap="1" wp14:anchorId="5DF89002" wp14:editId="2982D3DD">
              <wp:simplePos x="1009650" y="447675"/>
              <wp:positionH relativeFrom="page">
                <wp:align>center</wp:align>
              </wp:positionH>
              <wp:positionV relativeFrom="page">
                <wp:align>top</wp:align>
              </wp:positionV>
              <wp:extent cx="622300" cy="376555"/>
              <wp:effectExtent l="0" t="0" r="6350" b="4445"/>
              <wp:wrapNone/>
              <wp:docPr id="19308837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CA0D11" w14:textId="0E640205"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F8900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CCA0D11" w14:textId="0E640205"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v:textbox>
              <w10:wrap anchorx="page" anchory="page"/>
            </v:shape>
          </w:pict>
        </mc:Fallback>
      </mc:AlternateContent>
    </w:r>
  </w:p>
  <w:p w14:paraId="3A96F15D" w14:textId="77777777" w:rsidR="00FB77FA" w:rsidRDefault="00FB7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62B0" w14:textId="7F266241" w:rsidR="00010F8B" w:rsidRDefault="00277E78">
    <w:pPr>
      <w:pStyle w:val="Header"/>
    </w:pPr>
    <w:r>
      <w:rPr>
        <w:noProof/>
      </w:rPr>
      <mc:AlternateContent>
        <mc:Choice Requires="wps">
          <w:drawing>
            <wp:anchor distT="0" distB="0" distL="0" distR="0" simplePos="0" relativeHeight="251701248" behindDoc="0" locked="0" layoutInCell="1" allowOverlap="1" wp14:anchorId="7E94481D" wp14:editId="7B4A97F2">
              <wp:simplePos x="635" y="635"/>
              <wp:positionH relativeFrom="page">
                <wp:align>center</wp:align>
              </wp:positionH>
              <wp:positionV relativeFrom="page">
                <wp:align>top</wp:align>
              </wp:positionV>
              <wp:extent cx="622300" cy="376555"/>
              <wp:effectExtent l="0" t="0" r="6350" b="4445"/>
              <wp:wrapNone/>
              <wp:docPr id="1661662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7394E4" w14:textId="2523AD05"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94481D"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87394E4" w14:textId="2523AD05" w:rsidR="00277E78" w:rsidRPr="00277E78" w:rsidRDefault="00277E78" w:rsidP="00277E78">
                    <w:pPr>
                      <w:spacing w:after="0"/>
                      <w:rPr>
                        <w:rFonts w:ascii="Aptos" w:eastAsia="Aptos" w:hAnsi="Aptos" w:cs="Aptos"/>
                        <w:noProof/>
                        <w:color w:val="FF0000"/>
                      </w:rPr>
                    </w:pPr>
                    <w:r w:rsidRPr="00277E78">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589"/>
    <w:multiLevelType w:val="hybridMultilevel"/>
    <w:tmpl w:val="7DE89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043FB2"/>
    <w:multiLevelType w:val="hybridMultilevel"/>
    <w:tmpl w:val="4CA23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E71797"/>
    <w:multiLevelType w:val="hybridMultilevel"/>
    <w:tmpl w:val="81203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F914BF"/>
    <w:multiLevelType w:val="hybridMultilevel"/>
    <w:tmpl w:val="E98AC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B8D44C0"/>
    <w:multiLevelType w:val="hybridMultilevel"/>
    <w:tmpl w:val="5888E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2880EB7"/>
    <w:multiLevelType w:val="hybridMultilevel"/>
    <w:tmpl w:val="AFBEB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93705361">
    <w:abstractNumId w:val="7"/>
  </w:num>
  <w:num w:numId="2" w16cid:durableId="114913772">
    <w:abstractNumId w:val="5"/>
  </w:num>
  <w:num w:numId="3" w16cid:durableId="719983799">
    <w:abstractNumId w:val="3"/>
  </w:num>
  <w:num w:numId="4" w16cid:durableId="503320689">
    <w:abstractNumId w:val="1"/>
  </w:num>
  <w:num w:numId="5" w16cid:durableId="1176459977">
    <w:abstractNumId w:val="2"/>
  </w:num>
  <w:num w:numId="6" w16cid:durableId="746194086">
    <w:abstractNumId w:val="0"/>
  </w:num>
  <w:num w:numId="7" w16cid:durableId="1072194685">
    <w:abstractNumId w:val="6"/>
  </w:num>
  <w:num w:numId="8" w16cid:durableId="1010139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3931"/>
    <w:rsid w:val="00004D92"/>
    <w:rsid w:val="00007D2D"/>
    <w:rsid w:val="00007E85"/>
    <w:rsid w:val="00010CF5"/>
    <w:rsid w:val="00010F8B"/>
    <w:rsid w:val="00013465"/>
    <w:rsid w:val="000162FE"/>
    <w:rsid w:val="00016A22"/>
    <w:rsid w:val="000226B3"/>
    <w:rsid w:val="00024549"/>
    <w:rsid w:val="00030ECF"/>
    <w:rsid w:val="00030F3E"/>
    <w:rsid w:val="000368AE"/>
    <w:rsid w:val="00036B34"/>
    <w:rsid w:val="00041168"/>
    <w:rsid w:val="0005063F"/>
    <w:rsid w:val="00050D66"/>
    <w:rsid w:val="000521AE"/>
    <w:rsid w:val="00052210"/>
    <w:rsid w:val="000544B6"/>
    <w:rsid w:val="00056133"/>
    <w:rsid w:val="000604AF"/>
    <w:rsid w:val="00060C95"/>
    <w:rsid w:val="00065E93"/>
    <w:rsid w:val="00072277"/>
    <w:rsid w:val="00072291"/>
    <w:rsid w:val="00076E9E"/>
    <w:rsid w:val="00086C11"/>
    <w:rsid w:val="00092855"/>
    <w:rsid w:val="00094192"/>
    <w:rsid w:val="00094DCF"/>
    <w:rsid w:val="00095189"/>
    <w:rsid w:val="000964ED"/>
    <w:rsid w:val="000A6CFD"/>
    <w:rsid w:val="000B0982"/>
    <w:rsid w:val="000B1841"/>
    <w:rsid w:val="000B796C"/>
    <w:rsid w:val="000C46BB"/>
    <w:rsid w:val="000C4D9D"/>
    <w:rsid w:val="000C7C4B"/>
    <w:rsid w:val="000C7D8B"/>
    <w:rsid w:val="000D0240"/>
    <w:rsid w:val="000D72A2"/>
    <w:rsid w:val="000D7E04"/>
    <w:rsid w:val="000E24C7"/>
    <w:rsid w:val="000E3C13"/>
    <w:rsid w:val="000E44DE"/>
    <w:rsid w:val="000E485D"/>
    <w:rsid w:val="000E72C6"/>
    <w:rsid w:val="000E78D9"/>
    <w:rsid w:val="000F1893"/>
    <w:rsid w:val="000F2F51"/>
    <w:rsid w:val="000F47BE"/>
    <w:rsid w:val="000F50A3"/>
    <w:rsid w:val="00100AE7"/>
    <w:rsid w:val="0010547C"/>
    <w:rsid w:val="00112466"/>
    <w:rsid w:val="00113CF8"/>
    <w:rsid w:val="00113D74"/>
    <w:rsid w:val="00117A14"/>
    <w:rsid w:val="00117C5C"/>
    <w:rsid w:val="001310AE"/>
    <w:rsid w:val="00131372"/>
    <w:rsid w:val="00134D25"/>
    <w:rsid w:val="00134EC1"/>
    <w:rsid w:val="001351E1"/>
    <w:rsid w:val="00141CE7"/>
    <w:rsid w:val="001420B3"/>
    <w:rsid w:val="001460C4"/>
    <w:rsid w:val="001470CF"/>
    <w:rsid w:val="00150324"/>
    <w:rsid w:val="0015198F"/>
    <w:rsid w:val="00153BF6"/>
    <w:rsid w:val="0015662E"/>
    <w:rsid w:val="00156873"/>
    <w:rsid w:val="0015691C"/>
    <w:rsid w:val="00161528"/>
    <w:rsid w:val="001621F7"/>
    <w:rsid w:val="001624D7"/>
    <w:rsid w:val="00162CB4"/>
    <w:rsid w:val="0016665E"/>
    <w:rsid w:val="001676C4"/>
    <w:rsid w:val="0017113F"/>
    <w:rsid w:val="00173113"/>
    <w:rsid w:val="00177B86"/>
    <w:rsid w:val="001813D4"/>
    <w:rsid w:val="00182585"/>
    <w:rsid w:val="0019026B"/>
    <w:rsid w:val="00191182"/>
    <w:rsid w:val="0019664D"/>
    <w:rsid w:val="001A062C"/>
    <w:rsid w:val="001A4D79"/>
    <w:rsid w:val="001A6103"/>
    <w:rsid w:val="001B027D"/>
    <w:rsid w:val="001B3568"/>
    <w:rsid w:val="001B3715"/>
    <w:rsid w:val="001B4A24"/>
    <w:rsid w:val="001B51A4"/>
    <w:rsid w:val="001B5D37"/>
    <w:rsid w:val="001C2940"/>
    <w:rsid w:val="001C4016"/>
    <w:rsid w:val="001C548D"/>
    <w:rsid w:val="001C6A5D"/>
    <w:rsid w:val="001D1BE2"/>
    <w:rsid w:val="001D38F6"/>
    <w:rsid w:val="001D46CF"/>
    <w:rsid w:val="001D614D"/>
    <w:rsid w:val="001E31A6"/>
    <w:rsid w:val="001E42C7"/>
    <w:rsid w:val="001E4CAB"/>
    <w:rsid w:val="001E4FEE"/>
    <w:rsid w:val="001E5BF4"/>
    <w:rsid w:val="001E75BE"/>
    <w:rsid w:val="001F0A4E"/>
    <w:rsid w:val="001F2A0D"/>
    <w:rsid w:val="001F2F3E"/>
    <w:rsid w:val="001F3035"/>
    <w:rsid w:val="001F4703"/>
    <w:rsid w:val="001F4906"/>
    <w:rsid w:val="001F7C4A"/>
    <w:rsid w:val="002008C5"/>
    <w:rsid w:val="0020578A"/>
    <w:rsid w:val="00205E9F"/>
    <w:rsid w:val="00207631"/>
    <w:rsid w:val="00207822"/>
    <w:rsid w:val="00210376"/>
    <w:rsid w:val="002135E1"/>
    <w:rsid w:val="00214013"/>
    <w:rsid w:val="00216240"/>
    <w:rsid w:val="00220FC1"/>
    <w:rsid w:val="002211ED"/>
    <w:rsid w:val="0022151C"/>
    <w:rsid w:val="00222E9A"/>
    <w:rsid w:val="00223A04"/>
    <w:rsid w:val="0023179D"/>
    <w:rsid w:val="0023297D"/>
    <w:rsid w:val="00234142"/>
    <w:rsid w:val="00237C7E"/>
    <w:rsid w:val="002418E5"/>
    <w:rsid w:val="0024466B"/>
    <w:rsid w:val="00251D23"/>
    <w:rsid w:val="0025389D"/>
    <w:rsid w:val="00254E02"/>
    <w:rsid w:val="0026265F"/>
    <w:rsid w:val="002715A9"/>
    <w:rsid w:val="00275181"/>
    <w:rsid w:val="00276DDA"/>
    <w:rsid w:val="0027733E"/>
    <w:rsid w:val="00277E78"/>
    <w:rsid w:val="002818C2"/>
    <w:rsid w:val="00286C3A"/>
    <w:rsid w:val="00291F02"/>
    <w:rsid w:val="002930F5"/>
    <w:rsid w:val="0029491B"/>
    <w:rsid w:val="002A06B7"/>
    <w:rsid w:val="002A4CE9"/>
    <w:rsid w:val="002A56DD"/>
    <w:rsid w:val="002A6948"/>
    <w:rsid w:val="002B0725"/>
    <w:rsid w:val="002B5F75"/>
    <w:rsid w:val="002B6BA5"/>
    <w:rsid w:val="002B7EE4"/>
    <w:rsid w:val="002C0076"/>
    <w:rsid w:val="002C27F0"/>
    <w:rsid w:val="002C2A25"/>
    <w:rsid w:val="002C5314"/>
    <w:rsid w:val="002C6E0C"/>
    <w:rsid w:val="002D10FD"/>
    <w:rsid w:val="002D144A"/>
    <w:rsid w:val="002D2650"/>
    <w:rsid w:val="002D505E"/>
    <w:rsid w:val="002E19A3"/>
    <w:rsid w:val="002E212B"/>
    <w:rsid w:val="002E3337"/>
    <w:rsid w:val="002E39EB"/>
    <w:rsid w:val="002E4160"/>
    <w:rsid w:val="002E54D6"/>
    <w:rsid w:val="002E6D03"/>
    <w:rsid w:val="002E7898"/>
    <w:rsid w:val="002F08DC"/>
    <w:rsid w:val="002F2047"/>
    <w:rsid w:val="002F44C0"/>
    <w:rsid w:val="002F49A8"/>
    <w:rsid w:val="002F5E66"/>
    <w:rsid w:val="002F61CA"/>
    <w:rsid w:val="002F6534"/>
    <w:rsid w:val="0030010D"/>
    <w:rsid w:val="003040D8"/>
    <w:rsid w:val="003126B0"/>
    <w:rsid w:val="0031395A"/>
    <w:rsid w:val="00315811"/>
    <w:rsid w:val="00321185"/>
    <w:rsid w:val="0032266B"/>
    <w:rsid w:val="0033504C"/>
    <w:rsid w:val="00336816"/>
    <w:rsid w:val="003370D0"/>
    <w:rsid w:val="00337355"/>
    <w:rsid w:val="003402E4"/>
    <w:rsid w:val="00340F95"/>
    <w:rsid w:val="003415E7"/>
    <w:rsid w:val="003428B2"/>
    <w:rsid w:val="00344970"/>
    <w:rsid w:val="003453A0"/>
    <w:rsid w:val="00351F17"/>
    <w:rsid w:val="003531ED"/>
    <w:rsid w:val="003609A4"/>
    <w:rsid w:val="00360B9A"/>
    <w:rsid w:val="00364461"/>
    <w:rsid w:val="00367C95"/>
    <w:rsid w:val="0037144B"/>
    <w:rsid w:val="00372DAE"/>
    <w:rsid w:val="00373D60"/>
    <w:rsid w:val="00376693"/>
    <w:rsid w:val="00382114"/>
    <w:rsid w:val="003837BF"/>
    <w:rsid w:val="0038692D"/>
    <w:rsid w:val="0039017F"/>
    <w:rsid w:val="00394AEE"/>
    <w:rsid w:val="003A63D6"/>
    <w:rsid w:val="003A6CF4"/>
    <w:rsid w:val="003A7966"/>
    <w:rsid w:val="003C0E32"/>
    <w:rsid w:val="003C2D98"/>
    <w:rsid w:val="003C364E"/>
    <w:rsid w:val="003C6A00"/>
    <w:rsid w:val="003D3A96"/>
    <w:rsid w:val="003D3B9C"/>
    <w:rsid w:val="003D3E8F"/>
    <w:rsid w:val="003D5B14"/>
    <w:rsid w:val="003E252B"/>
    <w:rsid w:val="003E5EFC"/>
    <w:rsid w:val="003E6B37"/>
    <w:rsid w:val="003F4EB6"/>
    <w:rsid w:val="003F5AC7"/>
    <w:rsid w:val="003F71B4"/>
    <w:rsid w:val="00402F6C"/>
    <w:rsid w:val="00404F03"/>
    <w:rsid w:val="00405A20"/>
    <w:rsid w:val="00412051"/>
    <w:rsid w:val="00413E05"/>
    <w:rsid w:val="00422067"/>
    <w:rsid w:val="00423B94"/>
    <w:rsid w:val="004254B8"/>
    <w:rsid w:val="00426DE3"/>
    <w:rsid w:val="00432509"/>
    <w:rsid w:val="00437AC5"/>
    <w:rsid w:val="004412CB"/>
    <w:rsid w:val="00441A49"/>
    <w:rsid w:val="00454671"/>
    <w:rsid w:val="004616EB"/>
    <w:rsid w:val="0046257C"/>
    <w:rsid w:val="00463731"/>
    <w:rsid w:val="0046400A"/>
    <w:rsid w:val="0046419C"/>
    <w:rsid w:val="004667EE"/>
    <w:rsid w:val="00467B25"/>
    <w:rsid w:val="00472AEC"/>
    <w:rsid w:val="00475FF6"/>
    <w:rsid w:val="004767FE"/>
    <w:rsid w:val="00476CD0"/>
    <w:rsid w:val="00481108"/>
    <w:rsid w:val="004843FE"/>
    <w:rsid w:val="0049042B"/>
    <w:rsid w:val="00494750"/>
    <w:rsid w:val="00495473"/>
    <w:rsid w:val="00495A93"/>
    <w:rsid w:val="004A1026"/>
    <w:rsid w:val="004A458E"/>
    <w:rsid w:val="004A7824"/>
    <w:rsid w:val="004B1B28"/>
    <w:rsid w:val="004B23E7"/>
    <w:rsid w:val="004B306F"/>
    <w:rsid w:val="004C21B2"/>
    <w:rsid w:val="004C2683"/>
    <w:rsid w:val="004C3186"/>
    <w:rsid w:val="004C5042"/>
    <w:rsid w:val="004C64FB"/>
    <w:rsid w:val="004D1E1F"/>
    <w:rsid w:val="004D491A"/>
    <w:rsid w:val="004E0045"/>
    <w:rsid w:val="004E1C8D"/>
    <w:rsid w:val="004E38DA"/>
    <w:rsid w:val="004E4422"/>
    <w:rsid w:val="004F0F18"/>
    <w:rsid w:val="005032E9"/>
    <w:rsid w:val="00503583"/>
    <w:rsid w:val="00503998"/>
    <w:rsid w:val="005045E0"/>
    <w:rsid w:val="0050623B"/>
    <w:rsid w:val="00507180"/>
    <w:rsid w:val="00507A30"/>
    <w:rsid w:val="005103F0"/>
    <w:rsid w:val="00511176"/>
    <w:rsid w:val="00512219"/>
    <w:rsid w:val="00512CF9"/>
    <w:rsid w:val="00513011"/>
    <w:rsid w:val="00523181"/>
    <w:rsid w:val="0052495A"/>
    <w:rsid w:val="00524D13"/>
    <w:rsid w:val="00530076"/>
    <w:rsid w:val="005339F6"/>
    <w:rsid w:val="005441D4"/>
    <w:rsid w:val="0054757C"/>
    <w:rsid w:val="00550B68"/>
    <w:rsid w:val="005527B4"/>
    <w:rsid w:val="0055397F"/>
    <w:rsid w:val="005545AC"/>
    <w:rsid w:val="00557F15"/>
    <w:rsid w:val="00561E6D"/>
    <w:rsid w:val="00564E06"/>
    <w:rsid w:val="00574CAA"/>
    <w:rsid w:val="00574DB5"/>
    <w:rsid w:val="00576B18"/>
    <w:rsid w:val="00576C9E"/>
    <w:rsid w:val="00580537"/>
    <w:rsid w:val="00583E7B"/>
    <w:rsid w:val="00585246"/>
    <w:rsid w:val="00587724"/>
    <w:rsid w:val="005901F5"/>
    <w:rsid w:val="00591512"/>
    <w:rsid w:val="00592F91"/>
    <w:rsid w:val="00597374"/>
    <w:rsid w:val="00597D41"/>
    <w:rsid w:val="005A0800"/>
    <w:rsid w:val="005A2947"/>
    <w:rsid w:val="005B2D91"/>
    <w:rsid w:val="005B48B4"/>
    <w:rsid w:val="005B6671"/>
    <w:rsid w:val="005C4A13"/>
    <w:rsid w:val="005C6661"/>
    <w:rsid w:val="005C6D76"/>
    <w:rsid w:val="005C6E3B"/>
    <w:rsid w:val="005D239A"/>
    <w:rsid w:val="005D474B"/>
    <w:rsid w:val="005D50D2"/>
    <w:rsid w:val="005D7C38"/>
    <w:rsid w:val="005E085C"/>
    <w:rsid w:val="005E147D"/>
    <w:rsid w:val="005E22C2"/>
    <w:rsid w:val="005E57BB"/>
    <w:rsid w:val="005F0017"/>
    <w:rsid w:val="005F454C"/>
    <w:rsid w:val="005F4A89"/>
    <w:rsid w:val="005F5C1E"/>
    <w:rsid w:val="005F6B13"/>
    <w:rsid w:val="005F6B30"/>
    <w:rsid w:val="005F704C"/>
    <w:rsid w:val="006014F1"/>
    <w:rsid w:val="00603227"/>
    <w:rsid w:val="00605CB4"/>
    <w:rsid w:val="0061357B"/>
    <w:rsid w:val="00614A7D"/>
    <w:rsid w:val="006200B7"/>
    <w:rsid w:val="00620B5B"/>
    <w:rsid w:val="00622C40"/>
    <w:rsid w:val="00623132"/>
    <w:rsid w:val="00623258"/>
    <w:rsid w:val="00625217"/>
    <w:rsid w:val="0063343E"/>
    <w:rsid w:val="0063631C"/>
    <w:rsid w:val="00637036"/>
    <w:rsid w:val="0063757B"/>
    <w:rsid w:val="00637690"/>
    <w:rsid w:val="006377CE"/>
    <w:rsid w:val="00642F3A"/>
    <w:rsid w:val="0064425B"/>
    <w:rsid w:val="00644A6C"/>
    <w:rsid w:val="00646A8F"/>
    <w:rsid w:val="006523B2"/>
    <w:rsid w:val="006537D9"/>
    <w:rsid w:val="006577FF"/>
    <w:rsid w:val="00657A86"/>
    <w:rsid w:val="006632F3"/>
    <w:rsid w:val="00664A48"/>
    <w:rsid w:val="00665DEF"/>
    <w:rsid w:val="00670B25"/>
    <w:rsid w:val="006716F9"/>
    <w:rsid w:val="00674A68"/>
    <w:rsid w:val="00675BB1"/>
    <w:rsid w:val="006775F1"/>
    <w:rsid w:val="00680313"/>
    <w:rsid w:val="00680336"/>
    <w:rsid w:val="00681B32"/>
    <w:rsid w:val="00682916"/>
    <w:rsid w:val="00684297"/>
    <w:rsid w:val="00687D10"/>
    <w:rsid w:val="00692AA7"/>
    <w:rsid w:val="00694C6E"/>
    <w:rsid w:val="00697682"/>
    <w:rsid w:val="00697FEC"/>
    <w:rsid w:val="006A175F"/>
    <w:rsid w:val="006A1E7A"/>
    <w:rsid w:val="006A44F5"/>
    <w:rsid w:val="006A49EB"/>
    <w:rsid w:val="006A5877"/>
    <w:rsid w:val="006B03F1"/>
    <w:rsid w:val="006B4537"/>
    <w:rsid w:val="006B59DF"/>
    <w:rsid w:val="006B5F85"/>
    <w:rsid w:val="006B6929"/>
    <w:rsid w:val="006B709B"/>
    <w:rsid w:val="006B7C64"/>
    <w:rsid w:val="006C3A7C"/>
    <w:rsid w:val="006C54AF"/>
    <w:rsid w:val="006D1B33"/>
    <w:rsid w:val="006D1DE3"/>
    <w:rsid w:val="006D2AAC"/>
    <w:rsid w:val="006E0181"/>
    <w:rsid w:val="006E2BCA"/>
    <w:rsid w:val="006E35A8"/>
    <w:rsid w:val="006E4098"/>
    <w:rsid w:val="006E5889"/>
    <w:rsid w:val="006E78DD"/>
    <w:rsid w:val="00700C0E"/>
    <w:rsid w:val="00705DAD"/>
    <w:rsid w:val="00706686"/>
    <w:rsid w:val="00710412"/>
    <w:rsid w:val="0071098F"/>
    <w:rsid w:val="00712B92"/>
    <w:rsid w:val="00722F12"/>
    <w:rsid w:val="007247B9"/>
    <w:rsid w:val="007273C2"/>
    <w:rsid w:val="00727D85"/>
    <w:rsid w:val="007346C7"/>
    <w:rsid w:val="007348F3"/>
    <w:rsid w:val="00735A9B"/>
    <w:rsid w:val="00736041"/>
    <w:rsid w:val="007361A9"/>
    <w:rsid w:val="007408C7"/>
    <w:rsid w:val="007465DA"/>
    <w:rsid w:val="00747741"/>
    <w:rsid w:val="00747E61"/>
    <w:rsid w:val="00752C7F"/>
    <w:rsid w:val="0075405A"/>
    <w:rsid w:val="007541E1"/>
    <w:rsid w:val="00771C76"/>
    <w:rsid w:val="00772810"/>
    <w:rsid w:val="00774671"/>
    <w:rsid w:val="00776598"/>
    <w:rsid w:val="00784AB0"/>
    <w:rsid w:val="00786B05"/>
    <w:rsid w:val="00786E27"/>
    <w:rsid w:val="0078785A"/>
    <w:rsid w:val="00787FEE"/>
    <w:rsid w:val="00790E74"/>
    <w:rsid w:val="00792948"/>
    <w:rsid w:val="00796E84"/>
    <w:rsid w:val="007A12AF"/>
    <w:rsid w:val="007A2A88"/>
    <w:rsid w:val="007A2FF4"/>
    <w:rsid w:val="007A3ADE"/>
    <w:rsid w:val="007A5733"/>
    <w:rsid w:val="007A5774"/>
    <w:rsid w:val="007B13F9"/>
    <w:rsid w:val="007B4224"/>
    <w:rsid w:val="007B6185"/>
    <w:rsid w:val="007B62E1"/>
    <w:rsid w:val="007B6321"/>
    <w:rsid w:val="007C0CA7"/>
    <w:rsid w:val="007C1F75"/>
    <w:rsid w:val="007C2505"/>
    <w:rsid w:val="007C2995"/>
    <w:rsid w:val="007C5090"/>
    <w:rsid w:val="007C64D2"/>
    <w:rsid w:val="007D11A5"/>
    <w:rsid w:val="007D3737"/>
    <w:rsid w:val="007D6D28"/>
    <w:rsid w:val="007D7CB7"/>
    <w:rsid w:val="007F17FF"/>
    <w:rsid w:val="007F2E2C"/>
    <w:rsid w:val="007F4793"/>
    <w:rsid w:val="00801E74"/>
    <w:rsid w:val="0080485E"/>
    <w:rsid w:val="00811485"/>
    <w:rsid w:val="008142B4"/>
    <w:rsid w:val="00815857"/>
    <w:rsid w:val="008174A2"/>
    <w:rsid w:val="00825E63"/>
    <w:rsid w:val="00827651"/>
    <w:rsid w:val="008314E6"/>
    <w:rsid w:val="00832324"/>
    <w:rsid w:val="00832EB0"/>
    <w:rsid w:val="008336D4"/>
    <w:rsid w:val="00835337"/>
    <w:rsid w:val="008366C5"/>
    <w:rsid w:val="008374A5"/>
    <w:rsid w:val="00837DFF"/>
    <w:rsid w:val="0084478C"/>
    <w:rsid w:val="00846DCD"/>
    <w:rsid w:val="00847E32"/>
    <w:rsid w:val="00850FCE"/>
    <w:rsid w:val="00851D85"/>
    <w:rsid w:val="00851E45"/>
    <w:rsid w:val="00853246"/>
    <w:rsid w:val="00856784"/>
    <w:rsid w:val="00856E49"/>
    <w:rsid w:val="008570B7"/>
    <w:rsid w:val="00860CCB"/>
    <w:rsid w:val="008626DB"/>
    <w:rsid w:val="008715F4"/>
    <w:rsid w:val="008740A3"/>
    <w:rsid w:val="00875981"/>
    <w:rsid w:val="00875D16"/>
    <w:rsid w:val="00880FD1"/>
    <w:rsid w:val="00881315"/>
    <w:rsid w:val="00882A36"/>
    <w:rsid w:val="00885137"/>
    <w:rsid w:val="00885688"/>
    <w:rsid w:val="0089297B"/>
    <w:rsid w:val="00896615"/>
    <w:rsid w:val="00896BC3"/>
    <w:rsid w:val="008A06BD"/>
    <w:rsid w:val="008B33CC"/>
    <w:rsid w:val="008B591E"/>
    <w:rsid w:val="008B6DD8"/>
    <w:rsid w:val="008C31FD"/>
    <w:rsid w:val="008C36CA"/>
    <w:rsid w:val="008C6685"/>
    <w:rsid w:val="008D5342"/>
    <w:rsid w:val="008E00B8"/>
    <w:rsid w:val="008E17BC"/>
    <w:rsid w:val="008E1AC4"/>
    <w:rsid w:val="008E3F8C"/>
    <w:rsid w:val="009024B5"/>
    <w:rsid w:val="00902FD0"/>
    <w:rsid w:val="009053D3"/>
    <w:rsid w:val="0090691F"/>
    <w:rsid w:val="009075C7"/>
    <w:rsid w:val="00912C18"/>
    <w:rsid w:val="0091508A"/>
    <w:rsid w:val="00916F5E"/>
    <w:rsid w:val="009253FA"/>
    <w:rsid w:val="00925674"/>
    <w:rsid w:val="0093111F"/>
    <w:rsid w:val="009322B6"/>
    <w:rsid w:val="009328EC"/>
    <w:rsid w:val="00935689"/>
    <w:rsid w:val="009368FF"/>
    <w:rsid w:val="009402C4"/>
    <w:rsid w:val="00945DEA"/>
    <w:rsid w:val="00951BD0"/>
    <w:rsid w:val="00951DDE"/>
    <w:rsid w:val="0095272E"/>
    <w:rsid w:val="009529F6"/>
    <w:rsid w:val="0095303B"/>
    <w:rsid w:val="00953C04"/>
    <w:rsid w:val="0095467F"/>
    <w:rsid w:val="0095526B"/>
    <w:rsid w:val="00955E15"/>
    <w:rsid w:val="00960872"/>
    <w:rsid w:val="009663B6"/>
    <w:rsid w:val="00974A47"/>
    <w:rsid w:val="00975BFC"/>
    <w:rsid w:val="009765CF"/>
    <w:rsid w:val="00980286"/>
    <w:rsid w:val="00990DCF"/>
    <w:rsid w:val="00991385"/>
    <w:rsid w:val="00992B4A"/>
    <w:rsid w:val="00995228"/>
    <w:rsid w:val="009A0DEB"/>
    <w:rsid w:val="009A3541"/>
    <w:rsid w:val="009A36E3"/>
    <w:rsid w:val="009A4422"/>
    <w:rsid w:val="009A4CD6"/>
    <w:rsid w:val="009A537C"/>
    <w:rsid w:val="009A7FC5"/>
    <w:rsid w:val="009B0759"/>
    <w:rsid w:val="009B0DCC"/>
    <w:rsid w:val="009B5B4B"/>
    <w:rsid w:val="009C0886"/>
    <w:rsid w:val="009C19EE"/>
    <w:rsid w:val="009C2710"/>
    <w:rsid w:val="009C28D0"/>
    <w:rsid w:val="009C35F2"/>
    <w:rsid w:val="009C65DF"/>
    <w:rsid w:val="009C72AD"/>
    <w:rsid w:val="009C7782"/>
    <w:rsid w:val="009D00F1"/>
    <w:rsid w:val="009D1ED5"/>
    <w:rsid w:val="009D410B"/>
    <w:rsid w:val="009D4C13"/>
    <w:rsid w:val="009D56D4"/>
    <w:rsid w:val="009E1983"/>
    <w:rsid w:val="009E1D1C"/>
    <w:rsid w:val="009E21A7"/>
    <w:rsid w:val="009E26CE"/>
    <w:rsid w:val="009F1514"/>
    <w:rsid w:val="009F5FCE"/>
    <w:rsid w:val="00A055ED"/>
    <w:rsid w:val="00A062D7"/>
    <w:rsid w:val="00A103ED"/>
    <w:rsid w:val="00A13C60"/>
    <w:rsid w:val="00A15134"/>
    <w:rsid w:val="00A1555D"/>
    <w:rsid w:val="00A177E3"/>
    <w:rsid w:val="00A24CA8"/>
    <w:rsid w:val="00A32551"/>
    <w:rsid w:val="00A341A3"/>
    <w:rsid w:val="00A34DE4"/>
    <w:rsid w:val="00A35800"/>
    <w:rsid w:val="00A3603C"/>
    <w:rsid w:val="00A37CFF"/>
    <w:rsid w:val="00A437E3"/>
    <w:rsid w:val="00A526B6"/>
    <w:rsid w:val="00A52918"/>
    <w:rsid w:val="00A5471C"/>
    <w:rsid w:val="00A547B3"/>
    <w:rsid w:val="00A55D25"/>
    <w:rsid w:val="00A56458"/>
    <w:rsid w:val="00A70E82"/>
    <w:rsid w:val="00A731E3"/>
    <w:rsid w:val="00A81364"/>
    <w:rsid w:val="00A82415"/>
    <w:rsid w:val="00A84B1A"/>
    <w:rsid w:val="00A84CAD"/>
    <w:rsid w:val="00A90E50"/>
    <w:rsid w:val="00A9183C"/>
    <w:rsid w:val="00A93345"/>
    <w:rsid w:val="00A95FA5"/>
    <w:rsid w:val="00A96A1D"/>
    <w:rsid w:val="00A96D92"/>
    <w:rsid w:val="00AA32BE"/>
    <w:rsid w:val="00AA4B59"/>
    <w:rsid w:val="00AA738B"/>
    <w:rsid w:val="00AA7B16"/>
    <w:rsid w:val="00AB09C6"/>
    <w:rsid w:val="00AB199C"/>
    <w:rsid w:val="00AB3733"/>
    <w:rsid w:val="00AB588C"/>
    <w:rsid w:val="00AB6A09"/>
    <w:rsid w:val="00AB7897"/>
    <w:rsid w:val="00AC4712"/>
    <w:rsid w:val="00AC5054"/>
    <w:rsid w:val="00AE1927"/>
    <w:rsid w:val="00AE49C6"/>
    <w:rsid w:val="00AE4BAC"/>
    <w:rsid w:val="00AF1FE8"/>
    <w:rsid w:val="00AF5FFB"/>
    <w:rsid w:val="00AF67AB"/>
    <w:rsid w:val="00AF7306"/>
    <w:rsid w:val="00AF77A7"/>
    <w:rsid w:val="00B00329"/>
    <w:rsid w:val="00B034FC"/>
    <w:rsid w:val="00B05310"/>
    <w:rsid w:val="00B05EFF"/>
    <w:rsid w:val="00B0747D"/>
    <w:rsid w:val="00B10A0B"/>
    <w:rsid w:val="00B13A46"/>
    <w:rsid w:val="00B13D77"/>
    <w:rsid w:val="00B142DD"/>
    <w:rsid w:val="00B20C22"/>
    <w:rsid w:val="00B23B42"/>
    <w:rsid w:val="00B25E68"/>
    <w:rsid w:val="00B30D85"/>
    <w:rsid w:val="00B34E61"/>
    <w:rsid w:val="00B35A4A"/>
    <w:rsid w:val="00B372FE"/>
    <w:rsid w:val="00B41ED4"/>
    <w:rsid w:val="00B453CF"/>
    <w:rsid w:val="00B53051"/>
    <w:rsid w:val="00B53ED6"/>
    <w:rsid w:val="00B54037"/>
    <w:rsid w:val="00B55930"/>
    <w:rsid w:val="00B63FD7"/>
    <w:rsid w:val="00B70112"/>
    <w:rsid w:val="00B73220"/>
    <w:rsid w:val="00B8005C"/>
    <w:rsid w:val="00B816D9"/>
    <w:rsid w:val="00B819BC"/>
    <w:rsid w:val="00B85392"/>
    <w:rsid w:val="00B863DC"/>
    <w:rsid w:val="00B8706B"/>
    <w:rsid w:val="00B9120F"/>
    <w:rsid w:val="00B9216C"/>
    <w:rsid w:val="00B924A4"/>
    <w:rsid w:val="00B95BE3"/>
    <w:rsid w:val="00BA0E4B"/>
    <w:rsid w:val="00BA3A94"/>
    <w:rsid w:val="00BA4321"/>
    <w:rsid w:val="00BB0D1A"/>
    <w:rsid w:val="00BB1D3B"/>
    <w:rsid w:val="00BB263A"/>
    <w:rsid w:val="00BB3F92"/>
    <w:rsid w:val="00BC35ED"/>
    <w:rsid w:val="00BD2597"/>
    <w:rsid w:val="00BD2E2E"/>
    <w:rsid w:val="00BD48C3"/>
    <w:rsid w:val="00BD7100"/>
    <w:rsid w:val="00BE0C26"/>
    <w:rsid w:val="00BE205A"/>
    <w:rsid w:val="00BE3802"/>
    <w:rsid w:val="00BE4D30"/>
    <w:rsid w:val="00BF12BE"/>
    <w:rsid w:val="00BF238E"/>
    <w:rsid w:val="00BF2F4A"/>
    <w:rsid w:val="00BF3275"/>
    <w:rsid w:val="00BF544D"/>
    <w:rsid w:val="00C0076F"/>
    <w:rsid w:val="00C00A25"/>
    <w:rsid w:val="00C01A13"/>
    <w:rsid w:val="00C0301C"/>
    <w:rsid w:val="00C03169"/>
    <w:rsid w:val="00C050B6"/>
    <w:rsid w:val="00C10F12"/>
    <w:rsid w:val="00C14A44"/>
    <w:rsid w:val="00C14BB5"/>
    <w:rsid w:val="00C245EA"/>
    <w:rsid w:val="00C256F6"/>
    <w:rsid w:val="00C26687"/>
    <w:rsid w:val="00C3097E"/>
    <w:rsid w:val="00C309EA"/>
    <w:rsid w:val="00C343AC"/>
    <w:rsid w:val="00C35024"/>
    <w:rsid w:val="00C35530"/>
    <w:rsid w:val="00C35ECC"/>
    <w:rsid w:val="00C35F6D"/>
    <w:rsid w:val="00C361A8"/>
    <w:rsid w:val="00C405E0"/>
    <w:rsid w:val="00C41246"/>
    <w:rsid w:val="00C42C2E"/>
    <w:rsid w:val="00C45E5F"/>
    <w:rsid w:val="00C46291"/>
    <w:rsid w:val="00C470F6"/>
    <w:rsid w:val="00C55807"/>
    <w:rsid w:val="00C559FB"/>
    <w:rsid w:val="00C60785"/>
    <w:rsid w:val="00C61AF1"/>
    <w:rsid w:val="00C63412"/>
    <w:rsid w:val="00C70295"/>
    <w:rsid w:val="00C703E9"/>
    <w:rsid w:val="00C70611"/>
    <w:rsid w:val="00C714D0"/>
    <w:rsid w:val="00C7199E"/>
    <w:rsid w:val="00C741F1"/>
    <w:rsid w:val="00C8417C"/>
    <w:rsid w:val="00C90ABA"/>
    <w:rsid w:val="00C90EF4"/>
    <w:rsid w:val="00C93030"/>
    <w:rsid w:val="00C966D4"/>
    <w:rsid w:val="00CA015A"/>
    <w:rsid w:val="00CA07B2"/>
    <w:rsid w:val="00CA1387"/>
    <w:rsid w:val="00CA34EE"/>
    <w:rsid w:val="00CB1008"/>
    <w:rsid w:val="00CB1870"/>
    <w:rsid w:val="00CB6A68"/>
    <w:rsid w:val="00CC1AA3"/>
    <w:rsid w:val="00CC3B87"/>
    <w:rsid w:val="00CC4C8F"/>
    <w:rsid w:val="00CD4486"/>
    <w:rsid w:val="00CD59C6"/>
    <w:rsid w:val="00CE085E"/>
    <w:rsid w:val="00CE2E34"/>
    <w:rsid w:val="00CE3558"/>
    <w:rsid w:val="00CE3C25"/>
    <w:rsid w:val="00CE6CAD"/>
    <w:rsid w:val="00CF5E22"/>
    <w:rsid w:val="00D014B5"/>
    <w:rsid w:val="00D040A1"/>
    <w:rsid w:val="00D048DF"/>
    <w:rsid w:val="00D06A44"/>
    <w:rsid w:val="00D07F48"/>
    <w:rsid w:val="00D11DE7"/>
    <w:rsid w:val="00D13254"/>
    <w:rsid w:val="00D1488D"/>
    <w:rsid w:val="00D151EB"/>
    <w:rsid w:val="00D176F9"/>
    <w:rsid w:val="00D204BF"/>
    <w:rsid w:val="00D300E0"/>
    <w:rsid w:val="00D301E1"/>
    <w:rsid w:val="00D3720F"/>
    <w:rsid w:val="00D374CD"/>
    <w:rsid w:val="00D46A7B"/>
    <w:rsid w:val="00D47F7C"/>
    <w:rsid w:val="00D52A9A"/>
    <w:rsid w:val="00D650CE"/>
    <w:rsid w:val="00D6549C"/>
    <w:rsid w:val="00D6646A"/>
    <w:rsid w:val="00D71719"/>
    <w:rsid w:val="00D72F8C"/>
    <w:rsid w:val="00D76103"/>
    <w:rsid w:val="00D7651D"/>
    <w:rsid w:val="00D776DA"/>
    <w:rsid w:val="00D816AB"/>
    <w:rsid w:val="00D81D69"/>
    <w:rsid w:val="00D83BF2"/>
    <w:rsid w:val="00D84DC2"/>
    <w:rsid w:val="00D85BF6"/>
    <w:rsid w:val="00D8758B"/>
    <w:rsid w:val="00D90A14"/>
    <w:rsid w:val="00D93735"/>
    <w:rsid w:val="00D942B3"/>
    <w:rsid w:val="00D94863"/>
    <w:rsid w:val="00DA0299"/>
    <w:rsid w:val="00DA0981"/>
    <w:rsid w:val="00DA1A1E"/>
    <w:rsid w:val="00DA73AB"/>
    <w:rsid w:val="00DA7D09"/>
    <w:rsid w:val="00DB0601"/>
    <w:rsid w:val="00DB4932"/>
    <w:rsid w:val="00DC2630"/>
    <w:rsid w:val="00DC49E9"/>
    <w:rsid w:val="00DC55E4"/>
    <w:rsid w:val="00DC72D5"/>
    <w:rsid w:val="00DC7D71"/>
    <w:rsid w:val="00DD1724"/>
    <w:rsid w:val="00DD188C"/>
    <w:rsid w:val="00DD29A3"/>
    <w:rsid w:val="00DD48EE"/>
    <w:rsid w:val="00DD4AE7"/>
    <w:rsid w:val="00DD616A"/>
    <w:rsid w:val="00DD744E"/>
    <w:rsid w:val="00DE0B96"/>
    <w:rsid w:val="00DE10B9"/>
    <w:rsid w:val="00DE16B4"/>
    <w:rsid w:val="00DE1CA8"/>
    <w:rsid w:val="00DE581F"/>
    <w:rsid w:val="00DF0B13"/>
    <w:rsid w:val="00DF2EB8"/>
    <w:rsid w:val="00DF4A94"/>
    <w:rsid w:val="00DF6003"/>
    <w:rsid w:val="00E00095"/>
    <w:rsid w:val="00E01874"/>
    <w:rsid w:val="00E023F6"/>
    <w:rsid w:val="00E0446A"/>
    <w:rsid w:val="00E0479A"/>
    <w:rsid w:val="00E05952"/>
    <w:rsid w:val="00E05C98"/>
    <w:rsid w:val="00E066C3"/>
    <w:rsid w:val="00E07866"/>
    <w:rsid w:val="00E10D8C"/>
    <w:rsid w:val="00E1298B"/>
    <w:rsid w:val="00E1353A"/>
    <w:rsid w:val="00E1486A"/>
    <w:rsid w:val="00E1564B"/>
    <w:rsid w:val="00E179C2"/>
    <w:rsid w:val="00E20590"/>
    <w:rsid w:val="00E208A0"/>
    <w:rsid w:val="00E21822"/>
    <w:rsid w:val="00E239F2"/>
    <w:rsid w:val="00E24D18"/>
    <w:rsid w:val="00E25B49"/>
    <w:rsid w:val="00E301F3"/>
    <w:rsid w:val="00E33211"/>
    <w:rsid w:val="00E34700"/>
    <w:rsid w:val="00E3695F"/>
    <w:rsid w:val="00E371EA"/>
    <w:rsid w:val="00E419EC"/>
    <w:rsid w:val="00E42106"/>
    <w:rsid w:val="00E4448A"/>
    <w:rsid w:val="00E56A3C"/>
    <w:rsid w:val="00E64429"/>
    <w:rsid w:val="00E64E21"/>
    <w:rsid w:val="00E677DD"/>
    <w:rsid w:val="00E7594B"/>
    <w:rsid w:val="00E77ABB"/>
    <w:rsid w:val="00EA1092"/>
    <w:rsid w:val="00EA430F"/>
    <w:rsid w:val="00EA6F3A"/>
    <w:rsid w:val="00EB25AF"/>
    <w:rsid w:val="00EB354E"/>
    <w:rsid w:val="00EB4688"/>
    <w:rsid w:val="00EB4957"/>
    <w:rsid w:val="00EB6C07"/>
    <w:rsid w:val="00EC028D"/>
    <w:rsid w:val="00EC30BC"/>
    <w:rsid w:val="00ED08E2"/>
    <w:rsid w:val="00ED0E3D"/>
    <w:rsid w:val="00ED16DE"/>
    <w:rsid w:val="00ED633B"/>
    <w:rsid w:val="00EE105F"/>
    <w:rsid w:val="00EE2BBB"/>
    <w:rsid w:val="00EE478C"/>
    <w:rsid w:val="00EE75BE"/>
    <w:rsid w:val="00EF28AC"/>
    <w:rsid w:val="00EF40BD"/>
    <w:rsid w:val="00EF5431"/>
    <w:rsid w:val="00F014A3"/>
    <w:rsid w:val="00F02802"/>
    <w:rsid w:val="00F03F2F"/>
    <w:rsid w:val="00F04A69"/>
    <w:rsid w:val="00F074D1"/>
    <w:rsid w:val="00F1132C"/>
    <w:rsid w:val="00F12317"/>
    <w:rsid w:val="00F14B1A"/>
    <w:rsid w:val="00F1519D"/>
    <w:rsid w:val="00F15559"/>
    <w:rsid w:val="00F15DD5"/>
    <w:rsid w:val="00F16318"/>
    <w:rsid w:val="00F17971"/>
    <w:rsid w:val="00F17D4B"/>
    <w:rsid w:val="00F20965"/>
    <w:rsid w:val="00F23139"/>
    <w:rsid w:val="00F476D9"/>
    <w:rsid w:val="00F52476"/>
    <w:rsid w:val="00F528ED"/>
    <w:rsid w:val="00F537E6"/>
    <w:rsid w:val="00F55B42"/>
    <w:rsid w:val="00F64725"/>
    <w:rsid w:val="00F64E32"/>
    <w:rsid w:val="00F66CD5"/>
    <w:rsid w:val="00F67A9A"/>
    <w:rsid w:val="00F70F4E"/>
    <w:rsid w:val="00F7189E"/>
    <w:rsid w:val="00F73113"/>
    <w:rsid w:val="00F75BEE"/>
    <w:rsid w:val="00F75FC4"/>
    <w:rsid w:val="00F76F07"/>
    <w:rsid w:val="00F84DC1"/>
    <w:rsid w:val="00F85981"/>
    <w:rsid w:val="00F8722B"/>
    <w:rsid w:val="00F87263"/>
    <w:rsid w:val="00F90AC9"/>
    <w:rsid w:val="00F9315A"/>
    <w:rsid w:val="00F93725"/>
    <w:rsid w:val="00F93DC4"/>
    <w:rsid w:val="00FA1BA3"/>
    <w:rsid w:val="00FA43FB"/>
    <w:rsid w:val="00FA47BE"/>
    <w:rsid w:val="00FA4890"/>
    <w:rsid w:val="00FA77D7"/>
    <w:rsid w:val="00FB1983"/>
    <w:rsid w:val="00FB1F2D"/>
    <w:rsid w:val="00FB77FA"/>
    <w:rsid w:val="00FC3C70"/>
    <w:rsid w:val="00FC4A73"/>
    <w:rsid w:val="00FC4B72"/>
    <w:rsid w:val="00FC559C"/>
    <w:rsid w:val="00FC65BF"/>
    <w:rsid w:val="00FC7DFE"/>
    <w:rsid w:val="00FC7F0D"/>
    <w:rsid w:val="00FD5D60"/>
    <w:rsid w:val="00FE006E"/>
    <w:rsid w:val="00FE2B75"/>
    <w:rsid w:val="00FE2DCD"/>
    <w:rsid w:val="00FE645A"/>
    <w:rsid w:val="00FE67B5"/>
    <w:rsid w:val="00FF6102"/>
    <w:rsid w:val="168E8591"/>
    <w:rsid w:val="3A153476"/>
    <w:rsid w:val="552C6A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A55D25"/>
    <w:pPr>
      <w:spacing w:after="0" w:line="240" w:lineRule="auto"/>
    </w:pPr>
    <w:rPr>
      <w:sz w:val="24"/>
      <w:szCs w:val="24"/>
    </w:rPr>
  </w:style>
  <w:style w:type="character" w:styleId="UnresolvedMention">
    <w:name w:val="Unresolved Mention"/>
    <w:basedOn w:val="DefaultParagraphFont"/>
    <w:uiPriority w:val="99"/>
    <w:semiHidden/>
    <w:unhideWhenUsed/>
    <w:rsid w:val="0075405A"/>
    <w:rPr>
      <w:color w:val="605E5C"/>
      <w:shd w:val="clear" w:color="auto" w:fill="E1DFDD"/>
    </w:rPr>
  </w:style>
  <w:style w:type="character" w:styleId="FollowedHyperlink">
    <w:name w:val="FollowedHyperlink"/>
    <w:basedOn w:val="DefaultParagraphFont"/>
    <w:uiPriority w:val="99"/>
    <w:semiHidden/>
    <w:unhideWhenUsed/>
    <w:rsid w:val="003714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4119">
      <w:bodyDiv w:val="1"/>
      <w:marLeft w:val="0"/>
      <w:marRight w:val="0"/>
      <w:marTop w:val="0"/>
      <w:marBottom w:val="0"/>
      <w:divBdr>
        <w:top w:val="none" w:sz="0" w:space="0" w:color="auto"/>
        <w:left w:val="none" w:sz="0" w:space="0" w:color="auto"/>
        <w:bottom w:val="none" w:sz="0" w:space="0" w:color="auto"/>
        <w:right w:val="none" w:sz="0" w:space="0" w:color="auto"/>
      </w:divBdr>
    </w:div>
    <w:div w:id="190149369">
      <w:bodyDiv w:val="1"/>
      <w:marLeft w:val="0"/>
      <w:marRight w:val="0"/>
      <w:marTop w:val="0"/>
      <w:marBottom w:val="0"/>
      <w:divBdr>
        <w:top w:val="none" w:sz="0" w:space="0" w:color="auto"/>
        <w:left w:val="none" w:sz="0" w:space="0" w:color="auto"/>
        <w:bottom w:val="none" w:sz="0" w:space="0" w:color="auto"/>
        <w:right w:val="none" w:sz="0" w:space="0" w:color="auto"/>
      </w:divBdr>
    </w:div>
    <w:div w:id="26990075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33682891">
      <w:bodyDiv w:val="1"/>
      <w:marLeft w:val="0"/>
      <w:marRight w:val="0"/>
      <w:marTop w:val="0"/>
      <w:marBottom w:val="0"/>
      <w:divBdr>
        <w:top w:val="none" w:sz="0" w:space="0" w:color="auto"/>
        <w:left w:val="none" w:sz="0" w:space="0" w:color="auto"/>
        <w:bottom w:val="none" w:sz="0" w:space="0" w:color="auto"/>
        <w:right w:val="none" w:sz="0" w:space="0" w:color="auto"/>
      </w:divBdr>
    </w:div>
    <w:div w:id="634021983">
      <w:bodyDiv w:val="1"/>
      <w:marLeft w:val="0"/>
      <w:marRight w:val="0"/>
      <w:marTop w:val="0"/>
      <w:marBottom w:val="0"/>
      <w:divBdr>
        <w:top w:val="none" w:sz="0" w:space="0" w:color="auto"/>
        <w:left w:val="none" w:sz="0" w:space="0" w:color="auto"/>
        <w:bottom w:val="none" w:sz="0" w:space="0" w:color="auto"/>
        <w:right w:val="none" w:sz="0" w:space="0" w:color="auto"/>
      </w:divBdr>
    </w:div>
    <w:div w:id="73593261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594706728">
      <w:bodyDiv w:val="1"/>
      <w:marLeft w:val="0"/>
      <w:marRight w:val="0"/>
      <w:marTop w:val="0"/>
      <w:marBottom w:val="0"/>
      <w:divBdr>
        <w:top w:val="none" w:sz="0" w:space="0" w:color="auto"/>
        <w:left w:val="none" w:sz="0" w:space="0" w:color="auto"/>
        <w:bottom w:val="none" w:sz="0" w:space="0" w:color="auto"/>
        <w:right w:val="none" w:sz="0" w:space="0" w:color="auto"/>
      </w:divBdr>
    </w:div>
    <w:div w:id="1904438507">
      <w:bodyDiv w:val="1"/>
      <w:marLeft w:val="0"/>
      <w:marRight w:val="0"/>
      <w:marTop w:val="0"/>
      <w:marBottom w:val="0"/>
      <w:divBdr>
        <w:top w:val="none" w:sz="0" w:space="0" w:color="auto"/>
        <w:left w:val="none" w:sz="0" w:space="0" w:color="auto"/>
        <w:bottom w:val="none" w:sz="0" w:space="0" w:color="auto"/>
        <w:right w:val="none" w:sz="0" w:space="0" w:color="auto"/>
      </w:divBdr>
    </w:div>
    <w:div w:id="1915821839">
      <w:bodyDiv w:val="1"/>
      <w:marLeft w:val="0"/>
      <w:marRight w:val="0"/>
      <w:marTop w:val="0"/>
      <w:marBottom w:val="0"/>
      <w:divBdr>
        <w:top w:val="none" w:sz="0" w:space="0" w:color="auto"/>
        <w:left w:val="none" w:sz="0" w:space="0" w:color="auto"/>
        <w:bottom w:val="none" w:sz="0" w:space="0" w:color="auto"/>
        <w:right w:val="none" w:sz="0" w:space="0" w:color="auto"/>
      </w:divBdr>
    </w:div>
    <w:div w:id="20613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bs.gov.au/info/industry/listing/elements/pbac-meetings/psd/2018-11/Venetoclax-psd-november-2018" TargetMode="External"/><Relationship Id="rId21" Type="http://schemas.openxmlformats.org/officeDocument/2006/relationships/hyperlink" Target="https://www.pbs.gov.au/info/industry/listing/elements/pbac-meetings/psd/2019-11/ibrutinib-capsule-140-mg-imbruvica" TargetMode="External"/><Relationship Id="rId42" Type="http://schemas.openxmlformats.org/officeDocument/2006/relationships/image" Target="media/image8.png"/><Relationship Id="rId47" Type="http://schemas.openxmlformats.org/officeDocument/2006/relationships/chart" Target="charts/chart4.xml"/><Relationship Id="rId63" Type="http://schemas.openxmlformats.org/officeDocument/2006/relationships/hyperlink" Target="https://www.pbs.gov.au/medicine/item/14604p" TargetMode="External"/><Relationship Id="rId68" Type="http://schemas.openxmlformats.org/officeDocument/2006/relationships/hyperlink" Target="https://www.pbs.gov.au/medicine/item/14621m" TargetMode="External"/><Relationship Id="rId84" Type="http://schemas.openxmlformats.org/officeDocument/2006/relationships/hyperlink" Target="https://www.pbs.gov.au/medicine/item/14581k" TargetMode="External"/><Relationship Id="rId89" Type="http://schemas.openxmlformats.org/officeDocument/2006/relationships/hyperlink" Target="https://www.pbs.gov.au/medicine/item/13616p" TargetMode="External"/><Relationship Id="rId16" Type="http://schemas.openxmlformats.org/officeDocument/2006/relationships/hyperlink" Target="https://www.pbs.gov.au/pbs/home" TargetMode="External"/><Relationship Id="rId11" Type="http://schemas.openxmlformats.org/officeDocument/2006/relationships/hyperlink" Target="https://www.ebs.tga.gov.au/ebs/picmi/picmirepository.nsf/pdf?OpenAgent&amp;id=CP-2014-PI-01899-1" TargetMode="External"/><Relationship Id="rId32" Type="http://schemas.openxmlformats.org/officeDocument/2006/relationships/hyperlink" Target="https://www.pbs.gov.au/info/industry/listing/participants/public-release-docs/2023-09/Venetoclax-review-DUSC-PRD-2023-09" TargetMode="External"/><Relationship Id="rId37" Type="http://schemas.openxmlformats.org/officeDocument/2006/relationships/image" Target="media/image4.png"/><Relationship Id="rId53" Type="http://schemas.openxmlformats.org/officeDocument/2006/relationships/hyperlink" Target="https://www.pbs.gov.au/medicine/item/13810w" TargetMode="External"/><Relationship Id="rId58" Type="http://schemas.openxmlformats.org/officeDocument/2006/relationships/hyperlink" Target="https://www.pbs.gov.au/medicine/item/14580j" TargetMode="External"/><Relationship Id="rId74" Type="http://schemas.openxmlformats.org/officeDocument/2006/relationships/hyperlink" Target="https://www.pbs.gov.au/medicine/item/12204h" TargetMode="External"/><Relationship Id="rId79" Type="http://schemas.openxmlformats.org/officeDocument/2006/relationships/hyperlink" Target="https://www.pbs.gov.au/medicine/item/11648c"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pbs.gov.au/medicine/item/13628g" TargetMode="External"/><Relationship Id="rId95" Type="http://schemas.openxmlformats.org/officeDocument/2006/relationships/header" Target="header1.xml"/><Relationship Id="rId22" Type="http://schemas.openxmlformats.org/officeDocument/2006/relationships/hyperlink" Target="https://www.pbs.gov.au/info/industry/listing/elements/pbac-meetings/psd/2024-03/ibrutinib-Imbruvica-PSD-March-2024" TargetMode="External"/><Relationship Id="rId27" Type="http://schemas.openxmlformats.org/officeDocument/2006/relationships/hyperlink" Target="https://www.pbs.gov.au/info/industry/listing/elements/pbac-meetings/psd/2020-07/venetoclax-pack-containing-14-tablets-venetoclax-10-mg" TargetMode="External"/><Relationship Id="rId43" Type="http://schemas.openxmlformats.org/officeDocument/2006/relationships/chart" Target="charts/chart3.xml"/><Relationship Id="rId48" Type="http://schemas.openxmlformats.org/officeDocument/2006/relationships/chart" Target="charts/chart5.xml"/><Relationship Id="rId64" Type="http://schemas.openxmlformats.org/officeDocument/2006/relationships/hyperlink" Target="https://www.pbs.gov.au/medicine/item/14612c" TargetMode="External"/><Relationship Id="rId69" Type="http://schemas.openxmlformats.org/officeDocument/2006/relationships/hyperlink" Target="https://www.pbs.gov.au/medicine/item/11162l" TargetMode="External"/><Relationship Id="rId80" Type="http://schemas.openxmlformats.org/officeDocument/2006/relationships/hyperlink" Target="https://www.pbs.gov.au/medicine/item/12188l" TargetMode="External"/><Relationship Id="rId85" Type="http://schemas.openxmlformats.org/officeDocument/2006/relationships/hyperlink" Target="https://www.pbs.gov.au/medicine/item/14584n" TargetMode="External"/><Relationship Id="rId12" Type="http://schemas.openxmlformats.org/officeDocument/2006/relationships/hyperlink" Target="https://www.ebs.tga.gov.au/ebs/picmi/picmirepository.nsf/pdf?OpenAgent&amp;id=CP-2017-PI-01048-1" TargetMode="External"/><Relationship Id="rId17" Type="http://schemas.openxmlformats.org/officeDocument/2006/relationships/hyperlink" Target="https://www.pbs.gov.au/info/industry/listing/elements/pbac-meetings/psd/2023-03/zanubrutinib-naive-cll-sll-brukinsa-PSD-March-2023" TargetMode="External"/><Relationship Id="rId25" Type="http://schemas.openxmlformats.org/officeDocument/2006/relationships/hyperlink" Target="https://www.pbs.gov.au/info/industry/listing/elements/pbac-meetings/psd/2017-07/venetoclax-psd-july-2017" TargetMode="External"/><Relationship Id="rId33" Type="http://schemas.openxmlformats.org/officeDocument/2006/relationships/image" Target="media/image1.png"/><Relationship Id="rId38" Type="http://schemas.openxmlformats.org/officeDocument/2006/relationships/image" Target="media/image5.png"/><Relationship Id="rId46" Type="http://schemas.openxmlformats.org/officeDocument/2006/relationships/image" Target="media/image11.png"/><Relationship Id="rId59" Type="http://schemas.openxmlformats.org/officeDocument/2006/relationships/hyperlink" Target="https://www.pbs.gov.au/medicine/item/14596f" TargetMode="External"/><Relationship Id="rId67" Type="http://schemas.openxmlformats.org/officeDocument/2006/relationships/hyperlink" Target="https://www.pbs.gov.au/medicine/item/14620l" TargetMode="External"/><Relationship Id="rId20" Type="http://schemas.openxmlformats.org/officeDocument/2006/relationships/hyperlink" Target="https://www.pbs.gov.au/info/industry/listing/elements/pbac-meetings/psd/2023-07/acalabrutinib-calquence-PSD-July-2023" TargetMode="External"/><Relationship Id="rId41" Type="http://schemas.openxmlformats.org/officeDocument/2006/relationships/image" Target="media/image7.png"/><Relationship Id="rId54" Type="http://schemas.openxmlformats.org/officeDocument/2006/relationships/hyperlink" Target="https://www.pbs.gov.au/medicine/item/11213e" TargetMode="External"/><Relationship Id="rId62" Type="http://schemas.openxmlformats.org/officeDocument/2006/relationships/hyperlink" Target="https://www.pbs.gov.au/medicine/item/14603n" TargetMode="External"/><Relationship Id="rId70" Type="http://schemas.openxmlformats.org/officeDocument/2006/relationships/hyperlink" Target="https://www.pbs.gov.au/medicine/item/11170x" TargetMode="External"/><Relationship Id="rId75" Type="http://schemas.openxmlformats.org/officeDocument/2006/relationships/hyperlink" Target="https://www.pbs.gov.au/medicine/item/13787p" TargetMode="External"/><Relationship Id="rId83" Type="http://schemas.openxmlformats.org/officeDocument/2006/relationships/hyperlink" Target="https://www.pbs.gov.au/medicine/item/12999e" TargetMode="External"/><Relationship Id="rId88" Type="http://schemas.openxmlformats.org/officeDocument/2006/relationships/hyperlink" Target="https://www.pbs.gov.au/medicine/item/14599j" TargetMode="External"/><Relationship Id="rId91" Type="http://schemas.openxmlformats.org/officeDocument/2006/relationships/image" Target="media/image12.png"/><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products/australian-register-therapeutic-goods-artg/product-information-pi" TargetMode="External"/><Relationship Id="rId23" Type="http://schemas.openxmlformats.org/officeDocument/2006/relationships/hyperlink" Target="https://www.pbs.gov.au/info/industry/listing/elements/pbac-meetings/psd/2016-07/idelalisib-cll-psd-july-2016" TargetMode="External"/><Relationship Id="rId28" Type="http://schemas.openxmlformats.org/officeDocument/2006/relationships/hyperlink" Target="https://www.pbs.gov.au/info/industry/listing/elements/pbac-meetings/psd/2023-03/zanubrutinib-relapsed-refractory-cll-sll-Brukinsa-PSD-March-2023" TargetMode="External"/><Relationship Id="rId36" Type="http://schemas.openxmlformats.org/officeDocument/2006/relationships/chart" Target="charts/chart1.xml"/><Relationship Id="rId49" Type="http://schemas.openxmlformats.org/officeDocument/2006/relationships/chart" Target="charts/chart6.xml"/><Relationship Id="rId57" Type="http://schemas.openxmlformats.org/officeDocument/2006/relationships/hyperlink" Target="https://www.pbs.gov.au/medicine/item/14579h" TargetMode="External"/><Relationship Id="rId10" Type="http://schemas.openxmlformats.org/officeDocument/2006/relationships/hyperlink" Target="https://www.ebs.tga.gov.au/ebs/picmi/picmirepository.nsf/pdf?OpenAgent&amp;id=CP-2015-PI-01225-1" TargetMode="External"/><Relationship Id="rId31" Type="http://schemas.openxmlformats.org/officeDocument/2006/relationships/hyperlink" Target="https://www.pbs.gov.au/info/industry/listing/participants/public-release-docs/2023-09/Venetoclax-review-DUSC-PRD-2023-09" TargetMode="External"/><Relationship Id="rId44" Type="http://schemas.openxmlformats.org/officeDocument/2006/relationships/image" Target="media/image9.png"/><Relationship Id="rId52" Type="http://schemas.openxmlformats.org/officeDocument/2006/relationships/hyperlink" Target="https://www.pbs.gov.au/medicine/item/13792x" TargetMode="External"/><Relationship Id="rId60" Type="http://schemas.openxmlformats.org/officeDocument/2006/relationships/hyperlink" Target="https://www.pbs.gov.au/medicine/item/14597g" TargetMode="External"/><Relationship Id="rId65" Type="http://schemas.openxmlformats.org/officeDocument/2006/relationships/hyperlink" Target="https://www.pbs.gov.au/medicine/item/14613d" TargetMode="External"/><Relationship Id="rId73" Type="http://schemas.openxmlformats.org/officeDocument/2006/relationships/hyperlink" Target="https://www.pbs.gov.au/medicine/item/12193r" TargetMode="External"/><Relationship Id="rId78" Type="http://schemas.openxmlformats.org/officeDocument/2006/relationships/hyperlink" Target="https://www.pbs.gov.au/medicine/item/11639n" TargetMode="External"/><Relationship Id="rId81" Type="http://schemas.openxmlformats.org/officeDocument/2006/relationships/hyperlink" Target="https://www.pbs.gov.au/medicine/item/12199c" TargetMode="External"/><Relationship Id="rId86" Type="http://schemas.openxmlformats.org/officeDocument/2006/relationships/hyperlink" Target="https://www.pbs.gov.au/medicine/item/14585p" TargetMode="External"/><Relationship Id="rId94" Type="http://schemas.openxmlformats.org/officeDocument/2006/relationships/image" Target="media/image15.png"/><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bs.tga.gov.au/ebs/picmi/picmirepository.nsf/pdf?OpenAgent&amp;id=CP-2015-PI-01676-1" TargetMode="External"/><Relationship Id="rId13" Type="http://schemas.openxmlformats.org/officeDocument/2006/relationships/hyperlink" Target="https://www.ebs.tga.gov.au/ebs/picmi/picmirepository.nsf/pdf?OpenAgent&amp;id=CP-2021-PI-02239-1" TargetMode="External"/><Relationship Id="rId18" Type="http://schemas.openxmlformats.org/officeDocument/2006/relationships/hyperlink" Target="https://www.pbs.gov.au/pbs/home" TargetMode="External"/><Relationship Id="rId39" Type="http://schemas.openxmlformats.org/officeDocument/2006/relationships/image" Target="media/image6.png"/><Relationship Id="rId34" Type="http://schemas.openxmlformats.org/officeDocument/2006/relationships/image" Target="media/image2.png"/><Relationship Id="rId50" Type="http://schemas.openxmlformats.org/officeDocument/2006/relationships/chart" Target="charts/chart7.xml"/><Relationship Id="rId55" Type="http://schemas.openxmlformats.org/officeDocument/2006/relationships/hyperlink" Target="https://www.pbs.gov.au/medicine/item/14074r" TargetMode="External"/><Relationship Id="rId76" Type="http://schemas.openxmlformats.org/officeDocument/2006/relationships/hyperlink" Target="https://www.pbs.gov.au/medicine/item/13793y"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pbs.gov.au/medicine/item/10407r" TargetMode="External"/><Relationship Id="rId92" Type="http://schemas.openxmlformats.org/officeDocument/2006/relationships/image" Target="media/image13.png"/><Relationship Id="rId2" Type="http://schemas.openxmlformats.org/officeDocument/2006/relationships/numbering" Target="numbering.xml"/><Relationship Id="rId29" Type="http://schemas.openxmlformats.org/officeDocument/2006/relationships/hyperlink" Target="https://www.pbs.gov.au/info/industry/listing/elements/pbac-meetings/psd/2023-03/zanubrutinib-naive-cll-sll-brukinsa-PSD-March-2023" TargetMode="External"/><Relationship Id="rId24" Type="http://schemas.openxmlformats.org/officeDocument/2006/relationships/hyperlink" Target="https://www.pbs.gov.au/info/industry/listing/elements/pbac-meetings/psd/2015-03/obinutuzumab-gazyva-psd-03-2015" TargetMode="External"/><Relationship Id="rId40" Type="http://schemas.openxmlformats.org/officeDocument/2006/relationships/chart" Target="charts/chart2.xml"/><Relationship Id="rId45" Type="http://schemas.openxmlformats.org/officeDocument/2006/relationships/image" Target="media/image10.png"/><Relationship Id="rId66" Type="http://schemas.openxmlformats.org/officeDocument/2006/relationships/hyperlink" Target="https://www.pbs.gov.au/medicine/item/14619k" TargetMode="External"/><Relationship Id="rId87" Type="http://schemas.openxmlformats.org/officeDocument/2006/relationships/hyperlink" Target="https://www.pbs.gov.au/medicine/item/14595e" TargetMode="External"/><Relationship Id="rId61" Type="http://schemas.openxmlformats.org/officeDocument/2006/relationships/hyperlink" Target="https://www.pbs.gov.au/medicine/item/14598h" TargetMode="External"/><Relationship Id="rId82" Type="http://schemas.openxmlformats.org/officeDocument/2006/relationships/hyperlink" Target="https://www.pbs.gov.au/medicine/item/12205j" TargetMode="External"/><Relationship Id="rId19" Type="http://schemas.openxmlformats.org/officeDocument/2006/relationships/hyperlink" Target="https://www.pbs.gov.au/info/industry/listing/elements/pbac-meetings/psd/2020-03/acalabrutinib-capsule-100-mg-calquence" TargetMode="External"/><Relationship Id="rId14" Type="http://schemas.openxmlformats.org/officeDocument/2006/relationships/hyperlink" Target="https://www.ebs.tga.gov.au/ebs/picmi/picmirepository.nsf/pdf?OpenAgent&amp;id=CP-2017-PI-02752-1" TargetMode="External"/><Relationship Id="rId30" Type="http://schemas.openxmlformats.org/officeDocument/2006/relationships/hyperlink" Target="https://www.pbs.gov.au/info/industry/listing/participants/public-release-docs/2020-10/ibrutinib-for-chronic-lymphocytic-oct-2020" TargetMode="External"/><Relationship Id="rId35" Type="http://schemas.openxmlformats.org/officeDocument/2006/relationships/image" Target="media/image3.png"/><Relationship Id="rId56" Type="http://schemas.openxmlformats.org/officeDocument/2006/relationships/hyperlink" Target="https://www.pbs.gov.au/medicine/item/14085h" TargetMode="External"/><Relationship Id="rId77" Type="http://schemas.openxmlformats.org/officeDocument/2006/relationships/hyperlink" Target="https://www.pbs.gov.au/medicine/item/11630d" TargetMode="External"/><Relationship Id="rId100" Type="http://schemas.openxmlformats.org/officeDocument/2006/relationships/footer" Target="footer3.xml"/><Relationship Id="rId8" Type="http://schemas.openxmlformats.org/officeDocument/2006/relationships/hyperlink" Target="https://www.ebs.tga.gov.au/ebs/picmi/picmirepository.nsf/pdf?OpenAgent&amp;id=CP-2019-PI-02285-1&amp;d=20250706172310101" TargetMode="External"/><Relationship Id="rId51" Type="http://schemas.openxmlformats.org/officeDocument/2006/relationships/hyperlink" Target="http://www.pbs.gov.au/pbs/home" TargetMode="External"/><Relationship Id="rId72" Type="http://schemas.openxmlformats.org/officeDocument/2006/relationships/hyperlink" Target="https://www.pbs.gov.au/medicine/item/10418h" TargetMode="External"/><Relationship Id="rId93" Type="http://schemas.openxmlformats.org/officeDocument/2006/relationships/image" Target="media/image14.png"/><Relationship Id="rId98" Type="http://schemas.openxmlformats.org/officeDocument/2006/relationships/footer" Target="foot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pubmed.ncbi.nlm.nih.gov/37743239/" TargetMode="External"/><Relationship Id="rId7" Type="http://schemas.openxmlformats.org/officeDocument/2006/relationships/hyperlink" Target="https://www.pbs.gov.au/info/industry/listing/participants/public-release-docs/2024-10/analysis-of-idelalisib-for-refractory-follicular-b-cell-non-hodgkin" TargetMode="External"/><Relationship Id="rId2" Type="http://schemas.openxmlformats.org/officeDocument/2006/relationships/hyperlink" Target="https://www.leukaemia.org.au/blood-cancer/types-of-blood-cancer/leukaemia/chronic-lymphocytic-leukaemia/" TargetMode="External"/><Relationship Id="rId1" Type="http://schemas.openxmlformats.org/officeDocument/2006/relationships/hyperlink" Target="https://www.cancer.gov/publications/dictionaries/cancer-terms/def/cll-sll" TargetMode="External"/><Relationship Id="rId6" Type="http://schemas.openxmlformats.org/officeDocument/2006/relationships/hyperlink" Target="https://www.aihw.gov.au/reports/cancer/cancer-data-in-australia/contents/blood-cancer-incidence-and-survival-by-histology-e" TargetMode="External"/><Relationship Id="rId5" Type="http://schemas.openxmlformats.org/officeDocument/2006/relationships/hyperlink" Target="https://www.aihw.gov.au/reports/cancer/cancer-data-in-australia/contents/cancer-incidence-by-age-visualisation" TargetMode="External"/><Relationship Id="rId4" Type="http://schemas.openxmlformats.org/officeDocument/2006/relationships/hyperlink" Target="https://www.aihw.gov.au/reports/cancer/cancer-data-in-australia/contents/blood-cancer-incidence-and-survival-by-histology-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WFILP37\DFSApps_ServerApps$\Staging\DUSC\DUSC%20Database\Data%20Requests\Requests%202025\D1708%20-%20Drugs%20for%20CLL%20or%20SLL%20DUSC%20Review\1st%20li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WFILP37\DFSApps_ServerApps$\Staging\DUSC\DUSC%20Database\Data%20Requests\Requests%202025\D1708%20-%20Drugs%20for%20CLL%20or%20SLL%20DUSC%20Review\2nd%20lin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5\D1708%20-%20Drugs%20for%20CCL%20or%20SLL%20DUSC%20Review\age%20and%20gend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WFILP37\DFSApps_ServerApps$\Staging\DUSC\DUSC%20Database\Data%20Requests\Requests%202025\D1708%20-%20Drugs%20for%20CLL%20or%20SLL%20DUSC%20Review\Cost%201st%20line%20F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WFILP37\DFSApps_ServerApps$\Staging\DUSC\DUSC%20Database\Data%20Requests\Requests%202025\D1708%20-%20Drugs%20for%20CLL%20or%20SLL%20DUSC%20Review\Cost%202nd%20line%20F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WFILP37\DFSApps_ServerApps$\Staging\DUSC\DUSC%20Database\Data%20Requests\Requests%202025\D1708%20-%20Drugs%20for%20CLL%20or%20SLL%20DUSC%20Review\Settings%201st%20lin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WFILP37\DFSApps_ServerApps$\Staging\DUSC\DUSC%20Database\Data%20Requests\Requests%202025\D1708%20-%20Drugs%20for%20CLL%20or%20SLL%20DUSC%20Review\Settings%202nd%20line.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All First Line Therapies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'1st line all therapies'!$B$1</c:f>
              <c:strCache>
                <c:ptCount val="1"/>
                <c:pt idx="0">
                  <c:v>Incident all therapies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'1st line all therapies'!$A$2:$A$17</c:f>
              <c:strCache>
                <c:ptCount val="16"/>
                <c:pt idx="0">
                  <c:v>2021Q3</c:v>
                </c:pt>
                <c:pt idx="1">
                  <c:v>2021Q4</c:v>
                </c:pt>
                <c:pt idx="2">
                  <c:v>2022Q1</c:v>
                </c:pt>
                <c:pt idx="3">
                  <c:v>2022Q2</c:v>
                </c:pt>
                <c:pt idx="4">
                  <c:v>2022Q3</c:v>
                </c:pt>
                <c:pt idx="5">
                  <c:v>2022Q4</c:v>
                </c:pt>
                <c:pt idx="6">
                  <c:v>2023Q1</c:v>
                </c:pt>
                <c:pt idx="7">
                  <c:v>2023Q2</c:v>
                </c:pt>
                <c:pt idx="8">
                  <c:v>2023Q3</c:v>
                </c:pt>
                <c:pt idx="9">
                  <c:v>2023Q4</c:v>
                </c:pt>
                <c:pt idx="10">
                  <c:v>2024Q1</c:v>
                </c:pt>
                <c:pt idx="11">
                  <c:v>2024Q2</c:v>
                </c:pt>
                <c:pt idx="12">
                  <c:v>2024Q3</c:v>
                </c:pt>
                <c:pt idx="13">
                  <c:v>2024Q4</c:v>
                </c:pt>
                <c:pt idx="14">
                  <c:v>2025Q1</c:v>
                </c:pt>
                <c:pt idx="15">
                  <c:v>2025Q2</c:v>
                </c:pt>
              </c:strCache>
            </c:strRef>
          </c:cat>
          <c:val>
            <c:numRef>
              <c:f>'1st line all therapies'!$B$2:$B$17</c:f>
              <c:numCache>
                <c:formatCode>General</c:formatCode>
                <c:ptCount val="16"/>
                <c:pt idx="1">
                  <c:v>196</c:v>
                </c:pt>
                <c:pt idx="2">
                  <c:v>169</c:v>
                </c:pt>
                <c:pt idx="3">
                  <c:v>166</c:v>
                </c:pt>
                <c:pt idx="4">
                  <c:v>189</c:v>
                </c:pt>
                <c:pt idx="5">
                  <c:v>164</c:v>
                </c:pt>
                <c:pt idx="6">
                  <c:v>195</c:v>
                </c:pt>
                <c:pt idx="7">
                  <c:v>181</c:v>
                </c:pt>
                <c:pt idx="8">
                  <c:v>220</c:v>
                </c:pt>
                <c:pt idx="9">
                  <c:v>280</c:v>
                </c:pt>
                <c:pt idx="10">
                  <c:v>374</c:v>
                </c:pt>
                <c:pt idx="11">
                  <c:v>356</c:v>
                </c:pt>
                <c:pt idx="12">
                  <c:v>374</c:v>
                </c:pt>
                <c:pt idx="13">
                  <c:v>453</c:v>
                </c:pt>
                <c:pt idx="14">
                  <c:v>427</c:v>
                </c:pt>
                <c:pt idx="15">
                  <c:v>410</c:v>
                </c:pt>
              </c:numCache>
            </c:numRef>
          </c:val>
          <c:smooth val="0"/>
          <c:extLst>
            <c:ext xmlns:c16="http://schemas.microsoft.com/office/drawing/2014/chart" uri="{C3380CC4-5D6E-409C-BE32-E72D297353CC}">
              <c16:uniqueId val="{00000000-9E71-4DF4-8833-EF0AACA2F4CD}"/>
            </c:ext>
          </c:extLst>
        </c:ser>
        <c:ser>
          <c:idx val="1"/>
          <c:order val="1"/>
          <c:tx>
            <c:strRef>
              <c:f>'1st line all therapies'!$C$1</c:f>
              <c:strCache>
                <c:ptCount val="1"/>
                <c:pt idx="0">
                  <c:v>Prevalent all therapies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'1st line all therapies'!$A$2:$A$17</c:f>
              <c:strCache>
                <c:ptCount val="16"/>
                <c:pt idx="0">
                  <c:v>2021Q3</c:v>
                </c:pt>
                <c:pt idx="1">
                  <c:v>2021Q4</c:v>
                </c:pt>
                <c:pt idx="2">
                  <c:v>2022Q1</c:v>
                </c:pt>
                <c:pt idx="3">
                  <c:v>2022Q2</c:v>
                </c:pt>
                <c:pt idx="4">
                  <c:v>2022Q3</c:v>
                </c:pt>
                <c:pt idx="5">
                  <c:v>2022Q4</c:v>
                </c:pt>
                <c:pt idx="6">
                  <c:v>2023Q1</c:v>
                </c:pt>
                <c:pt idx="7">
                  <c:v>2023Q2</c:v>
                </c:pt>
                <c:pt idx="8">
                  <c:v>2023Q3</c:v>
                </c:pt>
                <c:pt idx="9">
                  <c:v>2023Q4</c:v>
                </c:pt>
                <c:pt idx="10">
                  <c:v>2024Q1</c:v>
                </c:pt>
                <c:pt idx="11">
                  <c:v>2024Q2</c:v>
                </c:pt>
                <c:pt idx="12">
                  <c:v>2024Q3</c:v>
                </c:pt>
                <c:pt idx="13">
                  <c:v>2024Q4</c:v>
                </c:pt>
                <c:pt idx="14">
                  <c:v>2025Q1</c:v>
                </c:pt>
                <c:pt idx="15">
                  <c:v>2025Q2</c:v>
                </c:pt>
              </c:strCache>
            </c:strRef>
          </c:cat>
          <c:val>
            <c:numRef>
              <c:f>'1st line all therapies'!$C$2:$C$17</c:f>
              <c:numCache>
                <c:formatCode>General</c:formatCode>
                <c:ptCount val="16"/>
                <c:pt idx="0">
                  <c:v>553</c:v>
                </c:pt>
                <c:pt idx="1">
                  <c:v>603</c:v>
                </c:pt>
                <c:pt idx="2">
                  <c:v>619</c:v>
                </c:pt>
                <c:pt idx="3">
                  <c:v>603</c:v>
                </c:pt>
                <c:pt idx="4">
                  <c:v>626</c:v>
                </c:pt>
                <c:pt idx="5">
                  <c:v>636</c:v>
                </c:pt>
                <c:pt idx="6">
                  <c:v>674</c:v>
                </c:pt>
                <c:pt idx="7">
                  <c:v>721</c:v>
                </c:pt>
                <c:pt idx="8">
                  <c:v>742</c:v>
                </c:pt>
                <c:pt idx="9">
                  <c:v>854</c:v>
                </c:pt>
                <c:pt idx="10">
                  <c:v>1016</c:v>
                </c:pt>
                <c:pt idx="11">
                  <c:v>1130</c:v>
                </c:pt>
                <c:pt idx="12">
                  <c:v>1261</c:v>
                </c:pt>
                <c:pt idx="13">
                  <c:v>1455</c:v>
                </c:pt>
                <c:pt idx="14">
                  <c:v>1528</c:v>
                </c:pt>
                <c:pt idx="15">
                  <c:v>1646</c:v>
                </c:pt>
              </c:numCache>
            </c:numRef>
          </c:val>
          <c:smooth val="0"/>
          <c:extLst>
            <c:ext xmlns:c16="http://schemas.microsoft.com/office/drawing/2014/chart" uri="{C3380CC4-5D6E-409C-BE32-E72D297353CC}">
              <c16:uniqueId val="{00000001-9E71-4DF4-8833-EF0AACA2F4CD}"/>
            </c:ext>
          </c:extLst>
        </c:ser>
        <c:ser>
          <c:idx val="2"/>
          <c:order val="2"/>
          <c:tx>
            <c:strRef>
              <c:f>'1st line all therapies'!$D$1</c:f>
              <c:strCache>
                <c:ptCount val="1"/>
                <c:pt idx="0">
                  <c:v>Scripts all therapies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'1st line all therapies'!$A$2:$A$17</c:f>
              <c:strCache>
                <c:ptCount val="16"/>
                <c:pt idx="0">
                  <c:v>2021Q3</c:v>
                </c:pt>
                <c:pt idx="1">
                  <c:v>2021Q4</c:v>
                </c:pt>
                <c:pt idx="2">
                  <c:v>2022Q1</c:v>
                </c:pt>
                <c:pt idx="3">
                  <c:v>2022Q2</c:v>
                </c:pt>
                <c:pt idx="4">
                  <c:v>2022Q3</c:v>
                </c:pt>
                <c:pt idx="5">
                  <c:v>2022Q4</c:v>
                </c:pt>
                <c:pt idx="6">
                  <c:v>2023Q1</c:v>
                </c:pt>
                <c:pt idx="7">
                  <c:v>2023Q2</c:v>
                </c:pt>
                <c:pt idx="8">
                  <c:v>2023Q3</c:v>
                </c:pt>
                <c:pt idx="9">
                  <c:v>2023Q4</c:v>
                </c:pt>
                <c:pt idx="10">
                  <c:v>2024Q1</c:v>
                </c:pt>
                <c:pt idx="11">
                  <c:v>2024Q2</c:v>
                </c:pt>
                <c:pt idx="12">
                  <c:v>2024Q3</c:v>
                </c:pt>
                <c:pt idx="13">
                  <c:v>2024Q4</c:v>
                </c:pt>
                <c:pt idx="14">
                  <c:v>2025Q1</c:v>
                </c:pt>
                <c:pt idx="15">
                  <c:v>2025Q2</c:v>
                </c:pt>
              </c:strCache>
            </c:strRef>
          </c:cat>
          <c:val>
            <c:numRef>
              <c:f>'1st line all therapies'!$D$2:$D$17</c:f>
              <c:numCache>
                <c:formatCode>General</c:formatCode>
                <c:ptCount val="16"/>
                <c:pt idx="0">
                  <c:v>2114</c:v>
                </c:pt>
                <c:pt idx="1">
                  <c:v>2273</c:v>
                </c:pt>
                <c:pt idx="2">
                  <c:v>2100</c:v>
                </c:pt>
                <c:pt idx="3">
                  <c:v>2079</c:v>
                </c:pt>
                <c:pt idx="4">
                  <c:v>2290</c:v>
                </c:pt>
                <c:pt idx="5">
                  <c:v>2397</c:v>
                </c:pt>
                <c:pt idx="6">
                  <c:v>2596</c:v>
                </c:pt>
                <c:pt idx="7">
                  <c:v>2724</c:v>
                </c:pt>
                <c:pt idx="8">
                  <c:v>2500</c:v>
                </c:pt>
                <c:pt idx="9">
                  <c:v>2818</c:v>
                </c:pt>
                <c:pt idx="10">
                  <c:v>3208</c:v>
                </c:pt>
                <c:pt idx="11">
                  <c:v>3660</c:v>
                </c:pt>
                <c:pt idx="12">
                  <c:v>3990</c:v>
                </c:pt>
                <c:pt idx="13">
                  <c:v>4300</c:v>
                </c:pt>
                <c:pt idx="14">
                  <c:v>4296</c:v>
                </c:pt>
                <c:pt idx="15">
                  <c:v>4987</c:v>
                </c:pt>
              </c:numCache>
            </c:numRef>
          </c:val>
          <c:smooth val="0"/>
          <c:extLst>
            <c:ext xmlns:c16="http://schemas.microsoft.com/office/drawing/2014/chart" uri="{C3380CC4-5D6E-409C-BE32-E72D297353CC}">
              <c16:uniqueId val="{00000002-9E71-4DF4-8833-EF0AACA2F4CD}"/>
            </c:ext>
          </c:extLst>
        </c:ser>
        <c:dLbls>
          <c:showLegendKey val="0"/>
          <c:showVal val="0"/>
          <c:showCatName val="0"/>
          <c:showSerName val="0"/>
          <c:showPercent val="0"/>
          <c:showBubbleSize val="0"/>
        </c:dLbls>
        <c:marker val="1"/>
        <c:smooth val="0"/>
        <c:axId val="617316720"/>
        <c:axId val="617320320"/>
      </c:lineChart>
      <c:catAx>
        <c:axId val="61731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320320"/>
        <c:crosses val="autoZero"/>
        <c:auto val="1"/>
        <c:lblAlgn val="ctr"/>
        <c:lblOffset val="100"/>
        <c:noMultiLvlLbl val="0"/>
      </c:catAx>
      <c:valAx>
        <c:axId val="61732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31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All Second Line therapies</a:t>
            </a:r>
          </a:p>
        </c:rich>
      </c:tx>
      <c:layout>
        <c:manualLayout>
          <c:xMode val="edge"/>
          <c:yMode val="edge"/>
          <c:x val="0.33692647021332889"/>
          <c:y val="2.23964165733482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'All 2nd line therapies'!$B$1</c:f>
              <c:strCache>
                <c:ptCount val="1"/>
                <c:pt idx="0">
                  <c:v>Incident all therapies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'All 2nd line therapies'!$A$2:$A$17</c:f>
              <c:strCache>
                <c:ptCount val="16"/>
                <c:pt idx="0">
                  <c:v>2021Q3</c:v>
                </c:pt>
                <c:pt idx="1">
                  <c:v>2021Q4</c:v>
                </c:pt>
                <c:pt idx="2">
                  <c:v>2022Q1</c:v>
                </c:pt>
                <c:pt idx="3">
                  <c:v>2022Q2</c:v>
                </c:pt>
                <c:pt idx="4">
                  <c:v>2022Q3</c:v>
                </c:pt>
                <c:pt idx="5">
                  <c:v>2022Q4</c:v>
                </c:pt>
                <c:pt idx="6">
                  <c:v>2023Q1</c:v>
                </c:pt>
                <c:pt idx="7">
                  <c:v>2023Q2</c:v>
                </c:pt>
                <c:pt idx="8">
                  <c:v>2023Q3</c:v>
                </c:pt>
                <c:pt idx="9">
                  <c:v>2023Q4</c:v>
                </c:pt>
                <c:pt idx="10">
                  <c:v>2024Q1</c:v>
                </c:pt>
                <c:pt idx="11">
                  <c:v>2024Q2</c:v>
                </c:pt>
                <c:pt idx="12">
                  <c:v>2024Q3</c:v>
                </c:pt>
                <c:pt idx="13">
                  <c:v>2024Q4</c:v>
                </c:pt>
                <c:pt idx="14">
                  <c:v>2025Q1</c:v>
                </c:pt>
                <c:pt idx="15">
                  <c:v>2025Q2</c:v>
                </c:pt>
              </c:strCache>
            </c:strRef>
          </c:cat>
          <c:val>
            <c:numRef>
              <c:f>'All 2nd line therapies'!$B$2:$B$17</c:f>
              <c:numCache>
                <c:formatCode>General</c:formatCode>
                <c:ptCount val="16"/>
                <c:pt idx="1">
                  <c:v>317</c:v>
                </c:pt>
                <c:pt idx="2">
                  <c:v>267</c:v>
                </c:pt>
                <c:pt idx="3">
                  <c:v>281</c:v>
                </c:pt>
                <c:pt idx="4">
                  <c:v>250</c:v>
                </c:pt>
                <c:pt idx="5">
                  <c:v>289</c:v>
                </c:pt>
                <c:pt idx="6">
                  <c:v>253</c:v>
                </c:pt>
                <c:pt idx="7">
                  <c:v>223</c:v>
                </c:pt>
                <c:pt idx="8">
                  <c:v>262</c:v>
                </c:pt>
                <c:pt idx="9">
                  <c:v>270</c:v>
                </c:pt>
                <c:pt idx="10">
                  <c:v>269</c:v>
                </c:pt>
                <c:pt idx="11">
                  <c:v>246</c:v>
                </c:pt>
                <c:pt idx="12">
                  <c:v>236</c:v>
                </c:pt>
                <c:pt idx="13">
                  <c:v>218</c:v>
                </c:pt>
                <c:pt idx="14">
                  <c:v>233</c:v>
                </c:pt>
                <c:pt idx="15">
                  <c:v>232</c:v>
                </c:pt>
              </c:numCache>
            </c:numRef>
          </c:val>
          <c:smooth val="0"/>
          <c:extLst>
            <c:ext xmlns:c16="http://schemas.microsoft.com/office/drawing/2014/chart" uri="{C3380CC4-5D6E-409C-BE32-E72D297353CC}">
              <c16:uniqueId val="{00000000-8EFC-4429-A671-62E62B81DB90}"/>
            </c:ext>
          </c:extLst>
        </c:ser>
        <c:ser>
          <c:idx val="1"/>
          <c:order val="1"/>
          <c:tx>
            <c:strRef>
              <c:f>'All 2nd line therapies'!$C$1</c:f>
              <c:strCache>
                <c:ptCount val="1"/>
                <c:pt idx="0">
                  <c:v>Prevalent all therapies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'All 2nd line therapies'!$A$2:$A$17</c:f>
              <c:strCache>
                <c:ptCount val="16"/>
                <c:pt idx="0">
                  <c:v>2021Q3</c:v>
                </c:pt>
                <c:pt idx="1">
                  <c:v>2021Q4</c:v>
                </c:pt>
                <c:pt idx="2">
                  <c:v>2022Q1</c:v>
                </c:pt>
                <c:pt idx="3">
                  <c:v>2022Q2</c:v>
                </c:pt>
                <c:pt idx="4">
                  <c:v>2022Q3</c:v>
                </c:pt>
                <c:pt idx="5">
                  <c:v>2022Q4</c:v>
                </c:pt>
                <c:pt idx="6">
                  <c:v>2023Q1</c:v>
                </c:pt>
                <c:pt idx="7">
                  <c:v>2023Q2</c:v>
                </c:pt>
                <c:pt idx="8">
                  <c:v>2023Q3</c:v>
                </c:pt>
                <c:pt idx="9">
                  <c:v>2023Q4</c:v>
                </c:pt>
                <c:pt idx="10">
                  <c:v>2024Q1</c:v>
                </c:pt>
                <c:pt idx="11">
                  <c:v>2024Q2</c:v>
                </c:pt>
                <c:pt idx="12">
                  <c:v>2024Q3</c:v>
                </c:pt>
                <c:pt idx="13">
                  <c:v>2024Q4</c:v>
                </c:pt>
                <c:pt idx="14">
                  <c:v>2025Q1</c:v>
                </c:pt>
                <c:pt idx="15">
                  <c:v>2025Q2</c:v>
                </c:pt>
              </c:strCache>
            </c:strRef>
          </c:cat>
          <c:val>
            <c:numRef>
              <c:f>'All 2nd line therapies'!$C$2:$C$17</c:f>
              <c:numCache>
                <c:formatCode>General</c:formatCode>
                <c:ptCount val="16"/>
                <c:pt idx="0">
                  <c:v>2008</c:v>
                </c:pt>
                <c:pt idx="1">
                  <c:v>2032</c:v>
                </c:pt>
                <c:pt idx="2">
                  <c:v>2018</c:v>
                </c:pt>
                <c:pt idx="3">
                  <c:v>2053</c:v>
                </c:pt>
                <c:pt idx="4">
                  <c:v>2001</c:v>
                </c:pt>
                <c:pt idx="5">
                  <c:v>2059</c:v>
                </c:pt>
                <c:pt idx="6">
                  <c:v>2024</c:v>
                </c:pt>
                <c:pt idx="7">
                  <c:v>2016</c:v>
                </c:pt>
                <c:pt idx="8">
                  <c:v>2061</c:v>
                </c:pt>
                <c:pt idx="9">
                  <c:v>2049</c:v>
                </c:pt>
                <c:pt idx="10">
                  <c:v>2065</c:v>
                </c:pt>
                <c:pt idx="11">
                  <c:v>2051</c:v>
                </c:pt>
                <c:pt idx="12">
                  <c:v>1980</c:v>
                </c:pt>
                <c:pt idx="13">
                  <c:v>1951</c:v>
                </c:pt>
                <c:pt idx="14">
                  <c:v>1915</c:v>
                </c:pt>
                <c:pt idx="15">
                  <c:v>1910</c:v>
                </c:pt>
              </c:numCache>
            </c:numRef>
          </c:val>
          <c:smooth val="0"/>
          <c:extLst>
            <c:ext xmlns:c16="http://schemas.microsoft.com/office/drawing/2014/chart" uri="{C3380CC4-5D6E-409C-BE32-E72D297353CC}">
              <c16:uniqueId val="{00000001-8EFC-4429-A671-62E62B81DB90}"/>
            </c:ext>
          </c:extLst>
        </c:ser>
        <c:ser>
          <c:idx val="2"/>
          <c:order val="2"/>
          <c:tx>
            <c:strRef>
              <c:f>'All 2nd line therapies'!$D$1</c:f>
              <c:strCache>
                <c:ptCount val="1"/>
                <c:pt idx="0">
                  <c:v>Scripts all therapies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'All 2nd line therapies'!$A$2:$A$17</c:f>
              <c:strCache>
                <c:ptCount val="16"/>
                <c:pt idx="0">
                  <c:v>2021Q3</c:v>
                </c:pt>
                <c:pt idx="1">
                  <c:v>2021Q4</c:v>
                </c:pt>
                <c:pt idx="2">
                  <c:v>2022Q1</c:v>
                </c:pt>
                <c:pt idx="3">
                  <c:v>2022Q2</c:v>
                </c:pt>
                <c:pt idx="4">
                  <c:v>2022Q3</c:v>
                </c:pt>
                <c:pt idx="5">
                  <c:v>2022Q4</c:v>
                </c:pt>
                <c:pt idx="6">
                  <c:v>2023Q1</c:v>
                </c:pt>
                <c:pt idx="7">
                  <c:v>2023Q2</c:v>
                </c:pt>
                <c:pt idx="8">
                  <c:v>2023Q3</c:v>
                </c:pt>
                <c:pt idx="9">
                  <c:v>2023Q4</c:v>
                </c:pt>
                <c:pt idx="10">
                  <c:v>2024Q1</c:v>
                </c:pt>
                <c:pt idx="11">
                  <c:v>2024Q2</c:v>
                </c:pt>
                <c:pt idx="12">
                  <c:v>2024Q3</c:v>
                </c:pt>
                <c:pt idx="13">
                  <c:v>2024Q4</c:v>
                </c:pt>
                <c:pt idx="14">
                  <c:v>2025Q1</c:v>
                </c:pt>
                <c:pt idx="15">
                  <c:v>2025Q2</c:v>
                </c:pt>
              </c:strCache>
            </c:strRef>
          </c:cat>
          <c:val>
            <c:numRef>
              <c:f>'All 2nd line therapies'!$D$2:$D$17</c:f>
              <c:numCache>
                <c:formatCode>General</c:formatCode>
                <c:ptCount val="16"/>
                <c:pt idx="0">
                  <c:v>4896</c:v>
                </c:pt>
                <c:pt idx="1">
                  <c:v>5106</c:v>
                </c:pt>
                <c:pt idx="2">
                  <c:v>4749</c:v>
                </c:pt>
                <c:pt idx="3">
                  <c:v>4899</c:v>
                </c:pt>
                <c:pt idx="4">
                  <c:v>4913</c:v>
                </c:pt>
                <c:pt idx="5">
                  <c:v>5178</c:v>
                </c:pt>
                <c:pt idx="6">
                  <c:v>4941</c:v>
                </c:pt>
                <c:pt idx="7">
                  <c:v>5033</c:v>
                </c:pt>
                <c:pt idx="8">
                  <c:v>4931</c:v>
                </c:pt>
                <c:pt idx="9">
                  <c:v>5176</c:v>
                </c:pt>
                <c:pt idx="10">
                  <c:v>4967</c:v>
                </c:pt>
                <c:pt idx="11">
                  <c:v>5053</c:v>
                </c:pt>
                <c:pt idx="12">
                  <c:v>4798</c:v>
                </c:pt>
                <c:pt idx="13">
                  <c:v>4918</c:v>
                </c:pt>
                <c:pt idx="14">
                  <c:v>4430</c:v>
                </c:pt>
                <c:pt idx="15">
                  <c:v>4602</c:v>
                </c:pt>
              </c:numCache>
            </c:numRef>
          </c:val>
          <c:smooth val="0"/>
          <c:extLst>
            <c:ext xmlns:c16="http://schemas.microsoft.com/office/drawing/2014/chart" uri="{C3380CC4-5D6E-409C-BE32-E72D297353CC}">
              <c16:uniqueId val="{00000002-8EFC-4429-A671-62E62B81DB90}"/>
            </c:ext>
          </c:extLst>
        </c:ser>
        <c:dLbls>
          <c:showLegendKey val="0"/>
          <c:showVal val="0"/>
          <c:showCatName val="0"/>
          <c:showSerName val="0"/>
          <c:showPercent val="0"/>
          <c:showBubbleSize val="0"/>
        </c:dLbls>
        <c:marker val="1"/>
        <c:smooth val="0"/>
        <c:axId val="777722592"/>
        <c:axId val="777726552"/>
      </c:lineChart>
      <c:catAx>
        <c:axId val="77772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726552"/>
        <c:crosses val="autoZero"/>
        <c:auto val="1"/>
        <c:lblAlgn val="ctr"/>
        <c:lblOffset val="100"/>
        <c:noMultiLvlLbl val="0"/>
      </c:catAx>
      <c:valAx>
        <c:axId val="777726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72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CLL/SLL</a:t>
            </a:r>
            <a:r>
              <a:rPr lang="en-AU" baseline="0"/>
              <a:t> Incidence by age and gender</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clustered"/>
        <c:varyColors val="0"/>
        <c:ser>
          <c:idx val="0"/>
          <c:order val="0"/>
          <c:tx>
            <c:strRef>
              <c:f>'Disase incident'!$B$1</c:f>
              <c:strCache>
                <c:ptCount val="1"/>
                <c:pt idx="0">
                  <c:v>F</c:v>
                </c:pt>
              </c:strCache>
            </c:strRef>
          </c:tx>
          <c:spPr>
            <a:solidFill>
              <a:schemeClr val="accent1"/>
            </a:solidFill>
            <a:ln>
              <a:noFill/>
            </a:ln>
            <a:effectLst/>
          </c:spPr>
          <c:invertIfNegative val="0"/>
          <c:cat>
            <c:strRef>
              <c:f>'Disase incident'!$A$2:$A$10</c:f>
              <c:strCache>
                <c:ptCount val="9"/>
                <c:pt idx="0">
                  <c:v>0-14yrs</c:v>
                </c:pt>
                <c:pt idx="1">
                  <c:v>15-24 yrs</c:v>
                </c:pt>
                <c:pt idx="2">
                  <c:v>25-34 yrs</c:v>
                </c:pt>
                <c:pt idx="3">
                  <c:v>35-44 yrs</c:v>
                </c:pt>
                <c:pt idx="4">
                  <c:v>45-54 yrs</c:v>
                </c:pt>
                <c:pt idx="5">
                  <c:v>55-64 yrs</c:v>
                </c:pt>
                <c:pt idx="6">
                  <c:v>65-74 yrs</c:v>
                </c:pt>
                <c:pt idx="7">
                  <c:v>75-84 yrs</c:v>
                </c:pt>
                <c:pt idx="8">
                  <c:v>85+   yrs</c:v>
                </c:pt>
              </c:strCache>
            </c:strRef>
          </c:cat>
          <c:val>
            <c:numRef>
              <c:f>'Disase incident'!$B$2:$B$10</c:f>
              <c:numCache>
                <c:formatCode>General</c:formatCode>
                <c:ptCount val="9"/>
                <c:pt idx="0">
                  <c:v>0</c:v>
                </c:pt>
                <c:pt idx="1">
                  <c:v>0</c:v>
                </c:pt>
                <c:pt idx="2">
                  <c:v>1</c:v>
                </c:pt>
                <c:pt idx="3">
                  <c:v>9</c:v>
                </c:pt>
                <c:pt idx="4">
                  <c:v>50</c:v>
                </c:pt>
                <c:pt idx="5">
                  <c:v>139</c:v>
                </c:pt>
                <c:pt idx="6">
                  <c:v>228</c:v>
                </c:pt>
                <c:pt idx="7">
                  <c:v>191</c:v>
                </c:pt>
                <c:pt idx="8">
                  <c:v>108</c:v>
                </c:pt>
              </c:numCache>
            </c:numRef>
          </c:val>
          <c:extLst>
            <c:ext xmlns:c16="http://schemas.microsoft.com/office/drawing/2014/chart" uri="{C3380CC4-5D6E-409C-BE32-E72D297353CC}">
              <c16:uniqueId val="{00000000-6BA7-426C-8AE6-E2BB2196972C}"/>
            </c:ext>
          </c:extLst>
        </c:ser>
        <c:ser>
          <c:idx val="1"/>
          <c:order val="1"/>
          <c:tx>
            <c:strRef>
              <c:f>'Disase incident'!$C$1</c:f>
              <c:strCache>
                <c:ptCount val="1"/>
                <c:pt idx="0">
                  <c:v>M</c:v>
                </c:pt>
              </c:strCache>
            </c:strRef>
          </c:tx>
          <c:spPr>
            <a:solidFill>
              <a:schemeClr val="accent2"/>
            </a:solidFill>
            <a:ln>
              <a:noFill/>
            </a:ln>
            <a:effectLst/>
          </c:spPr>
          <c:invertIfNegative val="0"/>
          <c:cat>
            <c:strRef>
              <c:f>'Disase incident'!$A$2:$A$10</c:f>
              <c:strCache>
                <c:ptCount val="9"/>
                <c:pt idx="0">
                  <c:v>0-14yrs</c:v>
                </c:pt>
                <c:pt idx="1">
                  <c:v>15-24 yrs</c:v>
                </c:pt>
                <c:pt idx="2">
                  <c:v>25-34 yrs</c:v>
                </c:pt>
                <c:pt idx="3">
                  <c:v>35-44 yrs</c:v>
                </c:pt>
                <c:pt idx="4">
                  <c:v>45-54 yrs</c:v>
                </c:pt>
                <c:pt idx="5">
                  <c:v>55-64 yrs</c:v>
                </c:pt>
                <c:pt idx="6">
                  <c:v>65-74 yrs</c:v>
                </c:pt>
                <c:pt idx="7">
                  <c:v>75-84 yrs</c:v>
                </c:pt>
                <c:pt idx="8">
                  <c:v>85+   yrs</c:v>
                </c:pt>
              </c:strCache>
            </c:strRef>
          </c:cat>
          <c:val>
            <c:numRef>
              <c:f>'Disase incident'!$C$2:$C$10</c:f>
              <c:numCache>
                <c:formatCode>General</c:formatCode>
                <c:ptCount val="9"/>
                <c:pt idx="0">
                  <c:v>0</c:v>
                </c:pt>
                <c:pt idx="1">
                  <c:v>0</c:v>
                </c:pt>
                <c:pt idx="2">
                  <c:v>6</c:v>
                </c:pt>
                <c:pt idx="3">
                  <c:v>24</c:v>
                </c:pt>
                <c:pt idx="4">
                  <c:v>92</c:v>
                </c:pt>
                <c:pt idx="5">
                  <c:v>226</c:v>
                </c:pt>
                <c:pt idx="6">
                  <c:v>410</c:v>
                </c:pt>
                <c:pt idx="7">
                  <c:v>333</c:v>
                </c:pt>
                <c:pt idx="8">
                  <c:v>125</c:v>
                </c:pt>
              </c:numCache>
            </c:numRef>
          </c:val>
          <c:extLst>
            <c:ext xmlns:c16="http://schemas.microsoft.com/office/drawing/2014/chart" uri="{C3380CC4-5D6E-409C-BE32-E72D297353CC}">
              <c16:uniqueId val="{00000001-6BA7-426C-8AE6-E2BB2196972C}"/>
            </c:ext>
          </c:extLst>
        </c:ser>
        <c:dLbls>
          <c:showLegendKey val="0"/>
          <c:showVal val="0"/>
          <c:showCatName val="0"/>
          <c:showSerName val="0"/>
          <c:showPercent val="0"/>
          <c:showBubbleSize val="0"/>
        </c:dLbls>
        <c:gapWidth val="219"/>
        <c:overlap val="-27"/>
        <c:axId val="792380960"/>
        <c:axId val="792381320"/>
      </c:barChart>
      <c:catAx>
        <c:axId val="79238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381320"/>
        <c:crosses val="autoZero"/>
        <c:auto val="1"/>
        <c:lblAlgn val="ctr"/>
        <c:lblOffset val="100"/>
        <c:noMultiLvlLbl val="0"/>
      </c:catAx>
      <c:valAx>
        <c:axId val="792381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38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Cost</a:t>
            </a:r>
            <a:r>
              <a:rPr lang="en-AU" baseline="0"/>
              <a:t> to Government of First Line Therapies</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manualLayout>
          <c:layoutTarget val="inner"/>
          <c:xMode val="edge"/>
          <c:yMode val="edge"/>
          <c:x val="0.11070489310705944"/>
          <c:y val="0.13152482269503546"/>
          <c:w val="0.8648098536931631"/>
          <c:h val="0.59930753336683973"/>
        </c:manualLayout>
      </c:layout>
      <c:barChart>
        <c:barDir val="col"/>
        <c:grouping val="stacked"/>
        <c:varyColors val="0"/>
        <c:ser>
          <c:idx val="0"/>
          <c:order val="0"/>
          <c:tx>
            <c:strRef>
              <c:f>Main!$B$1</c:f>
              <c:strCache>
                <c:ptCount val="1"/>
                <c:pt idx="0">
                  <c:v>ZANUBRUTINIB</c:v>
                </c:pt>
              </c:strCache>
            </c:strRef>
          </c:tx>
          <c:spPr>
            <a:solidFill>
              <a:schemeClr val="accent1"/>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Main!$B$2:$B$6</c:f>
              <c:numCache>
                <c:formatCode>General</c:formatCode>
                <c:ptCount val="5"/>
                <c:pt idx="3" formatCode="&quot;$&quot;#,##0.00_);[Red]\(&quot;$&quot;#,##0.00\)">
                  <c:v>15216194.260000005</c:v>
                </c:pt>
                <c:pt idx="4" formatCode="&quot;$&quot;#,##0.00_);[Red]\(&quot;$&quot;#,##0.00\)">
                  <c:v>32068942.000000097</c:v>
                </c:pt>
              </c:numCache>
            </c:numRef>
          </c:val>
          <c:extLst>
            <c:ext xmlns:c16="http://schemas.microsoft.com/office/drawing/2014/chart" uri="{C3380CC4-5D6E-409C-BE32-E72D297353CC}">
              <c16:uniqueId val="{00000000-CC6D-4088-99B9-CFB59580A2C2}"/>
            </c:ext>
          </c:extLst>
        </c:ser>
        <c:ser>
          <c:idx val="1"/>
          <c:order val="1"/>
          <c:tx>
            <c:strRef>
              <c:f>Main!$C$1</c:f>
              <c:strCache>
                <c:ptCount val="1"/>
                <c:pt idx="0">
                  <c:v>VENETOCLAX+IBRUTINIB</c:v>
                </c:pt>
              </c:strCache>
            </c:strRef>
          </c:tx>
          <c:spPr>
            <a:solidFill>
              <a:schemeClr val="accent2"/>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Main!$C$2:$C$6</c:f>
              <c:numCache>
                <c:formatCode>General</c:formatCode>
                <c:ptCount val="5"/>
                <c:pt idx="4" formatCode="&quot;$&quot;#,##0.00_);[Red]\(&quot;$&quot;#,##0.00\)">
                  <c:v>13334359.540000001</c:v>
                </c:pt>
              </c:numCache>
            </c:numRef>
          </c:val>
          <c:extLst>
            <c:ext xmlns:c16="http://schemas.microsoft.com/office/drawing/2014/chart" uri="{C3380CC4-5D6E-409C-BE32-E72D297353CC}">
              <c16:uniqueId val="{00000001-CC6D-4088-99B9-CFB59580A2C2}"/>
            </c:ext>
          </c:extLst>
        </c:ser>
        <c:ser>
          <c:idx val="2"/>
          <c:order val="2"/>
          <c:tx>
            <c:strRef>
              <c:f>Main!$D$1</c:f>
              <c:strCache>
                <c:ptCount val="1"/>
                <c:pt idx="0">
                  <c:v>RITUXIMAB+Chemotherapy</c:v>
                </c:pt>
              </c:strCache>
            </c:strRef>
          </c:tx>
          <c:spPr>
            <a:solidFill>
              <a:schemeClr val="accent3"/>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Main!$D$2:$D$6</c:f>
              <c:numCache>
                <c:formatCode>"$"#,##0.00_);[Red]\("$"#,##0.00\)</c:formatCode>
                <c:ptCount val="5"/>
                <c:pt idx="0" formatCode="&quot;$&quot;#,##0.00">
                  <c:v>462469.74</c:v>
                </c:pt>
                <c:pt idx="1">
                  <c:v>296130.19</c:v>
                </c:pt>
                <c:pt idx="2">
                  <c:v>30929.759999999998</c:v>
                </c:pt>
              </c:numCache>
            </c:numRef>
          </c:val>
          <c:extLst>
            <c:ext xmlns:c16="http://schemas.microsoft.com/office/drawing/2014/chart" uri="{C3380CC4-5D6E-409C-BE32-E72D297353CC}">
              <c16:uniqueId val="{00000002-CC6D-4088-99B9-CFB59580A2C2}"/>
            </c:ext>
          </c:extLst>
        </c:ser>
        <c:ser>
          <c:idx val="3"/>
          <c:order val="3"/>
          <c:tx>
            <c:strRef>
              <c:f>Main!$E$1</c:f>
              <c:strCache>
                <c:ptCount val="1"/>
                <c:pt idx="0">
                  <c:v>OBINUTUZUMAB+CHLORAMBUCIL</c:v>
                </c:pt>
              </c:strCache>
            </c:strRef>
          </c:tx>
          <c:spPr>
            <a:solidFill>
              <a:schemeClr val="accent4"/>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Main!$E$2:$E$6</c:f>
              <c:numCache>
                <c:formatCode>"$"#,##0.00</c:formatCode>
                <c:ptCount val="5"/>
                <c:pt idx="0">
                  <c:v>11586862.609999999</c:v>
                </c:pt>
                <c:pt idx="1">
                  <c:v>4257654.0299999993</c:v>
                </c:pt>
                <c:pt idx="2" formatCode="&quot;$&quot;#,##0.00_);[Red]\(&quot;$&quot;#,##0.00\)">
                  <c:v>2563529.2799999998</c:v>
                </c:pt>
                <c:pt idx="3" formatCode="&quot;$&quot;#,##0.00_);[Red]\(&quot;$&quot;#,##0.00\)">
                  <c:v>1372292.13</c:v>
                </c:pt>
                <c:pt idx="4" formatCode="&quot;$&quot;#,##0.00_);[Red]\(&quot;$&quot;#,##0.00\)">
                  <c:v>911258.51</c:v>
                </c:pt>
              </c:numCache>
            </c:numRef>
          </c:val>
          <c:extLst>
            <c:ext xmlns:c16="http://schemas.microsoft.com/office/drawing/2014/chart" uri="{C3380CC4-5D6E-409C-BE32-E72D297353CC}">
              <c16:uniqueId val="{00000003-CC6D-4088-99B9-CFB59580A2C2}"/>
            </c:ext>
          </c:extLst>
        </c:ser>
        <c:ser>
          <c:idx val="4"/>
          <c:order val="4"/>
          <c:tx>
            <c:strRef>
              <c:f>Main!$F$1</c:f>
              <c:strCache>
                <c:ptCount val="1"/>
                <c:pt idx="0">
                  <c:v>ACALABRUTINIB+OBINUTUZUMAB</c:v>
                </c:pt>
              </c:strCache>
            </c:strRef>
          </c:tx>
          <c:spPr>
            <a:solidFill>
              <a:schemeClr val="accent5"/>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Main!$F$2:$F$6</c:f>
              <c:numCache>
                <c:formatCode>General</c:formatCode>
                <c:ptCount val="5"/>
                <c:pt idx="3" formatCode="&quot;$&quot;#,##0.00">
                  <c:v>1513365.7</c:v>
                </c:pt>
                <c:pt idx="4" formatCode="&quot;$&quot;#,##0.00">
                  <c:v>5818520.0299999993</c:v>
                </c:pt>
              </c:numCache>
            </c:numRef>
          </c:val>
          <c:extLst>
            <c:ext xmlns:c16="http://schemas.microsoft.com/office/drawing/2014/chart" uri="{C3380CC4-5D6E-409C-BE32-E72D297353CC}">
              <c16:uniqueId val="{00000004-CC6D-4088-99B9-CFB59580A2C2}"/>
            </c:ext>
          </c:extLst>
        </c:ser>
        <c:ser>
          <c:idx val="5"/>
          <c:order val="5"/>
          <c:tx>
            <c:strRef>
              <c:f>Main!$G$1</c:f>
              <c:strCache>
                <c:ptCount val="1"/>
                <c:pt idx="0">
                  <c:v>ACALABRUTINIB</c:v>
                </c:pt>
              </c:strCache>
            </c:strRef>
          </c:tx>
          <c:spPr>
            <a:solidFill>
              <a:schemeClr val="accent6"/>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Main!$G$2:$G$6</c:f>
              <c:numCache>
                <c:formatCode>General</c:formatCode>
                <c:ptCount val="5"/>
                <c:pt idx="3" formatCode="&quot;$&quot;#,##0.00">
                  <c:v>3088147.4</c:v>
                </c:pt>
                <c:pt idx="4" formatCode="&quot;$&quot;#,##0.00_);[Red]\(&quot;$&quot;#,##0.00\)">
                  <c:v>16746519.529999999</c:v>
                </c:pt>
              </c:numCache>
            </c:numRef>
          </c:val>
          <c:extLst>
            <c:ext xmlns:c16="http://schemas.microsoft.com/office/drawing/2014/chart" uri="{C3380CC4-5D6E-409C-BE32-E72D297353CC}">
              <c16:uniqueId val="{00000005-CC6D-4088-99B9-CFB59580A2C2}"/>
            </c:ext>
          </c:extLst>
        </c:ser>
        <c:ser>
          <c:idx val="6"/>
          <c:order val="6"/>
          <c:tx>
            <c:strRef>
              <c:f>Main!$H$1</c:f>
              <c:strCache>
                <c:ptCount val="1"/>
                <c:pt idx="0">
                  <c:v>VENETOCLAX+OBINUTUZUMAB</c:v>
                </c:pt>
              </c:strCache>
            </c:strRef>
          </c:tx>
          <c:spPr>
            <a:solidFill>
              <a:schemeClr val="accent1">
                <a:lumMod val="60000"/>
              </a:schemeClr>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Main!$H$2:$H$6</c:f>
              <c:numCache>
                <c:formatCode>"$"#,##0.00_);[Red]\("$"#,##0.00\)</c:formatCode>
                <c:ptCount val="5"/>
                <c:pt idx="0" formatCode="&quot;$&quot;#,##0.00">
                  <c:v>13737110.48</c:v>
                </c:pt>
                <c:pt idx="1">
                  <c:v>46953694.700000003</c:v>
                </c:pt>
                <c:pt idx="2">
                  <c:v>58033242.289999992</c:v>
                </c:pt>
                <c:pt idx="3">
                  <c:v>56254664.159999996</c:v>
                </c:pt>
                <c:pt idx="4">
                  <c:v>49578347.730000004</c:v>
                </c:pt>
              </c:numCache>
            </c:numRef>
          </c:val>
          <c:extLst>
            <c:ext xmlns:c16="http://schemas.microsoft.com/office/drawing/2014/chart" uri="{C3380CC4-5D6E-409C-BE32-E72D297353CC}">
              <c16:uniqueId val="{00000006-CC6D-4088-99B9-CFB59580A2C2}"/>
            </c:ext>
          </c:extLst>
        </c:ser>
        <c:dLbls>
          <c:showLegendKey val="0"/>
          <c:showVal val="0"/>
          <c:showCatName val="0"/>
          <c:showSerName val="0"/>
          <c:showPercent val="0"/>
          <c:showBubbleSize val="0"/>
        </c:dLbls>
        <c:gapWidth val="150"/>
        <c:overlap val="100"/>
        <c:axId val="763148448"/>
        <c:axId val="763138368"/>
      </c:barChart>
      <c:catAx>
        <c:axId val="763148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Financial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138368"/>
        <c:crosses val="autoZero"/>
        <c:auto val="1"/>
        <c:lblAlgn val="ctr"/>
        <c:lblOffset val="100"/>
        <c:noMultiLvlLbl val="0"/>
      </c:catAx>
      <c:valAx>
        <c:axId val="76313836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3148448"/>
        <c:crosses val="autoZero"/>
        <c:crossBetween val="between"/>
        <c:dispUnits>
          <c:builtInUnit val="millions"/>
          <c:dispUnitsLbl>
            <c:layout>
              <c:manualLayout>
                <c:xMode val="edge"/>
                <c:yMode val="edge"/>
                <c:x val="2.4485253199777408E-2"/>
                <c:y val="0.22017730496453899"/>
              </c:manualLayout>
            </c:layout>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Cost to Government (Millions)</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5"/>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6"/>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1.5877205666487013E-2"/>
          <c:y val="0.85460825375551464"/>
          <c:w val="0.95488982074235718"/>
          <c:h val="0.124115150499804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Cost</a:t>
            </a:r>
            <a:r>
              <a:rPr lang="en-AU" baseline="0"/>
              <a:t> to Government of Second Line Therapies</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stacked"/>
        <c:varyColors val="0"/>
        <c:ser>
          <c:idx val="0"/>
          <c:order val="0"/>
          <c:tx>
            <c:strRef>
              <c:f>Main!$B$1</c:f>
              <c:strCache>
                <c:ptCount val="1"/>
                <c:pt idx="0">
                  <c:v>ZANUBRUTINIB</c:v>
                </c:pt>
              </c:strCache>
            </c:strRef>
          </c:tx>
          <c:spPr>
            <a:solidFill>
              <a:schemeClr val="accent1"/>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Main!$B$2:$B$6</c:f>
              <c:numCache>
                <c:formatCode>General</c:formatCode>
                <c:ptCount val="5"/>
                <c:pt idx="3" formatCode="&quot;$&quot;#,##0.00">
                  <c:v>8408515.7300000004</c:v>
                </c:pt>
                <c:pt idx="4" formatCode="&quot;$&quot;#,##0.00">
                  <c:v>18305271.390000001</c:v>
                </c:pt>
              </c:numCache>
            </c:numRef>
          </c:val>
          <c:extLst>
            <c:ext xmlns:c16="http://schemas.microsoft.com/office/drawing/2014/chart" uri="{C3380CC4-5D6E-409C-BE32-E72D297353CC}">
              <c16:uniqueId val="{00000000-D6A0-471E-850D-9DA10F0194D3}"/>
            </c:ext>
          </c:extLst>
        </c:ser>
        <c:ser>
          <c:idx val="1"/>
          <c:order val="1"/>
          <c:tx>
            <c:strRef>
              <c:f>Main!$C$1</c:f>
              <c:strCache>
                <c:ptCount val="1"/>
                <c:pt idx="0">
                  <c:v>VENETOCLAX</c:v>
                </c:pt>
              </c:strCache>
            </c:strRef>
          </c:tx>
          <c:spPr>
            <a:solidFill>
              <a:schemeClr val="accent2"/>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Main!$C$2:$C$6</c:f>
              <c:numCache>
                <c:formatCode>"$"#,##0.00</c:formatCode>
                <c:ptCount val="5"/>
                <c:pt idx="0">
                  <c:v>496051.37999999995</c:v>
                </c:pt>
                <c:pt idx="1">
                  <c:v>444875.9</c:v>
                </c:pt>
                <c:pt idx="2">
                  <c:v>466632.14</c:v>
                </c:pt>
                <c:pt idx="3">
                  <c:v>421228.66000000003</c:v>
                </c:pt>
                <c:pt idx="4">
                  <c:v>341432.31</c:v>
                </c:pt>
              </c:numCache>
            </c:numRef>
          </c:val>
          <c:extLst>
            <c:ext xmlns:c16="http://schemas.microsoft.com/office/drawing/2014/chart" uri="{C3380CC4-5D6E-409C-BE32-E72D297353CC}">
              <c16:uniqueId val="{00000001-D6A0-471E-850D-9DA10F0194D3}"/>
            </c:ext>
          </c:extLst>
        </c:ser>
        <c:ser>
          <c:idx val="2"/>
          <c:order val="2"/>
          <c:tx>
            <c:strRef>
              <c:f>Main!$D$1</c:f>
              <c:strCache>
                <c:ptCount val="1"/>
                <c:pt idx="0">
                  <c:v>VENETOCLAX+RITUXIMAB</c:v>
                </c:pt>
              </c:strCache>
            </c:strRef>
          </c:tx>
          <c:spPr>
            <a:solidFill>
              <a:schemeClr val="accent3"/>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Main!$D$2:$D$6</c:f>
              <c:numCache>
                <c:formatCode>"$"#,##0.00</c:formatCode>
                <c:ptCount val="5"/>
                <c:pt idx="0">
                  <c:v>27995155.730000004</c:v>
                </c:pt>
                <c:pt idx="1">
                  <c:v>30636740.32</c:v>
                </c:pt>
                <c:pt idx="2">
                  <c:v>29836577.530000001</c:v>
                </c:pt>
                <c:pt idx="3">
                  <c:v>28714748.84</c:v>
                </c:pt>
                <c:pt idx="4">
                  <c:v>25014020.23</c:v>
                </c:pt>
              </c:numCache>
            </c:numRef>
          </c:val>
          <c:extLst>
            <c:ext xmlns:c16="http://schemas.microsoft.com/office/drawing/2014/chart" uri="{C3380CC4-5D6E-409C-BE32-E72D297353CC}">
              <c16:uniqueId val="{00000002-D6A0-471E-850D-9DA10F0194D3}"/>
            </c:ext>
          </c:extLst>
        </c:ser>
        <c:ser>
          <c:idx val="3"/>
          <c:order val="3"/>
          <c:tx>
            <c:strRef>
              <c:f>Main!$E$1</c:f>
              <c:strCache>
                <c:ptCount val="1"/>
                <c:pt idx="0">
                  <c:v>IDELALISIB+RITUXIMAB</c:v>
                </c:pt>
              </c:strCache>
            </c:strRef>
          </c:tx>
          <c:spPr>
            <a:solidFill>
              <a:schemeClr val="accent4"/>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Main!$E$2:$E$6</c:f>
              <c:numCache>
                <c:formatCode>"$"#,##0.00</c:formatCode>
                <c:ptCount val="5"/>
                <c:pt idx="0">
                  <c:v>241928.1</c:v>
                </c:pt>
                <c:pt idx="1">
                  <c:v>390439.75</c:v>
                </c:pt>
                <c:pt idx="2">
                  <c:v>549076.24</c:v>
                </c:pt>
                <c:pt idx="3">
                  <c:v>542456.97</c:v>
                </c:pt>
                <c:pt idx="4">
                  <c:v>543273.58000000007</c:v>
                </c:pt>
              </c:numCache>
            </c:numRef>
          </c:val>
          <c:extLst>
            <c:ext xmlns:c16="http://schemas.microsoft.com/office/drawing/2014/chart" uri="{C3380CC4-5D6E-409C-BE32-E72D297353CC}">
              <c16:uniqueId val="{00000003-D6A0-471E-850D-9DA10F0194D3}"/>
            </c:ext>
          </c:extLst>
        </c:ser>
        <c:ser>
          <c:idx val="4"/>
          <c:order val="4"/>
          <c:tx>
            <c:strRef>
              <c:f>Main!$F$1</c:f>
              <c:strCache>
                <c:ptCount val="1"/>
                <c:pt idx="0">
                  <c:v>IBRUTINIB</c:v>
                </c:pt>
              </c:strCache>
            </c:strRef>
          </c:tx>
          <c:spPr>
            <a:solidFill>
              <a:schemeClr val="accent5"/>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Main!$F$2:$F$6</c:f>
              <c:numCache>
                <c:formatCode>"$"#,##0.00</c:formatCode>
                <c:ptCount val="5"/>
                <c:pt idx="0">
                  <c:v>117318181.40000001</c:v>
                </c:pt>
                <c:pt idx="1">
                  <c:v>104429799.96000001</c:v>
                </c:pt>
                <c:pt idx="2">
                  <c:v>89538039.25</c:v>
                </c:pt>
                <c:pt idx="3">
                  <c:v>67727106.700000003</c:v>
                </c:pt>
                <c:pt idx="4">
                  <c:v>48713117.640000001</c:v>
                </c:pt>
              </c:numCache>
            </c:numRef>
          </c:val>
          <c:extLst>
            <c:ext xmlns:c16="http://schemas.microsoft.com/office/drawing/2014/chart" uri="{C3380CC4-5D6E-409C-BE32-E72D297353CC}">
              <c16:uniqueId val="{00000004-D6A0-471E-850D-9DA10F0194D3}"/>
            </c:ext>
          </c:extLst>
        </c:ser>
        <c:ser>
          <c:idx val="5"/>
          <c:order val="5"/>
          <c:tx>
            <c:strRef>
              <c:f>Main!$G$1</c:f>
              <c:strCache>
                <c:ptCount val="1"/>
                <c:pt idx="0">
                  <c:v>ACALABRUTINIB</c:v>
                </c:pt>
              </c:strCache>
            </c:strRef>
          </c:tx>
          <c:spPr>
            <a:solidFill>
              <a:schemeClr val="accent6"/>
            </a:solidFill>
            <a:ln>
              <a:noFill/>
            </a:ln>
            <a:effectLst/>
          </c:spPr>
          <c:invertIfNegative val="0"/>
          <c:cat>
            <c:strRef>
              <c:f>Main!$A$2:$A$6</c:f>
              <c:strCache>
                <c:ptCount val="5"/>
                <c:pt idx="0">
                  <c:v>2020-21</c:v>
                </c:pt>
                <c:pt idx="1">
                  <c:v>2021-22</c:v>
                </c:pt>
                <c:pt idx="2">
                  <c:v>2022-23</c:v>
                </c:pt>
                <c:pt idx="3">
                  <c:v>2023-24</c:v>
                </c:pt>
                <c:pt idx="4">
                  <c:v>2024-25</c:v>
                </c:pt>
              </c:strCache>
            </c:strRef>
          </c:cat>
          <c:val>
            <c:numRef>
              <c:f>Main!$G$2:$G$6</c:f>
              <c:numCache>
                <c:formatCode>"$"#,##0.00</c:formatCode>
                <c:ptCount val="5"/>
                <c:pt idx="0">
                  <c:v>9952890.3000000007</c:v>
                </c:pt>
                <c:pt idx="1">
                  <c:v>29387479.050000001</c:v>
                </c:pt>
                <c:pt idx="2">
                  <c:v>46419716.329999998</c:v>
                </c:pt>
                <c:pt idx="3">
                  <c:v>53281801.789999992</c:v>
                </c:pt>
                <c:pt idx="4">
                  <c:v>48400663.950000003</c:v>
                </c:pt>
              </c:numCache>
            </c:numRef>
          </c:val>
          <c:extLst>
            <c:ext xmlns:c16="http://schemas.microsoft.com/office/drawing/2014/chart" uri="{C3380CC4-5D6E-409C-BE32-E72D297353CC}">
              <c16:uniqueId val="{00000005-D6A0-471E-850D-9DA10F0194D3}"/>
            </c:ext>
          </c:extLst>
        </c:ser>
        <c:dLbls>
          <c:showLegendKey val="0"/>
          <c:showVal val="0"/>
          <c:showCatName val="0"/>
          <c:showSerName val="0"/>
          <c:showPercent val="0"/>
          <c:showBubbleSize val="0"/>
        </c:dLbls>
        <c:gapWidth val="150"/>
        <c:overlap val="100"/>
        <c:axId val="976816040"/>
        <c:axId val="976816400"/>
      </c:barChart>
      <c:catAx>
        <c:axId val="976816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Financial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6816400"/>
        <c:crosses val="autoZero"/>
        <c:auto val="1"/>
        <c:lblAlgn val="ctr"/>
        <c:lblOffset val="100"/>
        <c:noMultiLvlLbl val="0"/>
      </c:catAx>
      <c:valAx>
        <c:axId val="97681640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6816040"/>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Cost to Government (Millions)</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5"/>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Supply Settings</a:t>
            </a:r>
            <a:r>
              <a:rPr lang="en-AU" baseline="0"/>
              <a:t> First Line Therapy</a:t>
            </a:r>
            <a:r>
              <a:rPr lang="en-A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066392448962191E-2"/>
          <c:y val="0.17853188929001204"/>
          <c:w val="0.8913718123070945"/>
          <c:h val="0.46116163407501998"/>
        </c:manualLayout>
      </c:layout>
      <c:barChart>
        <c:barDir val="col"/>
        <c:grouping val="clustered"/>
        <c:varyColors val="0"/>
        <c:ser>
          <c:idx val="0"/>
          <c:order val="0"/>
          <c:tx>
            <c:strRef>
              <c:f>Main!$B$1</c:f>
              <c:strCache>
                <c:ptCount val="1"/>
                <c:pt idx="0">
                  <c:v>ZANUBRUTINIB</c:v>
                </c:pt>
              </c:strCache>
            </c:strRef>
          </c:tx>
          <c:spPr>
            <a:solidFill>
              <a:schemeClr val="accent1"/>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Main!$B$2:$B$5</c:f>
              <c:numCache>
                <c:formatCode>General</c:formatCode>
                <c:ptCount val="4"/>
                <c:pt idx="0">
                  <c:v>4829</c:v>
                </c:pt>
                <c:pt idx="1">
                  <c:v>85</c:v>
                </c:pt>
                <c:pt idx="2">
                  <c:v>754</c:v>
                </c:pt>
                <c:pt idx="3">
                  <c:v>239</c:v>
                </c:pt>
              </c:numCache>
            </c:numRef>
          </c:val>
          <c:extLst>
            <c:ext xmlns:c16="http://schemas.microsoft.com/office/drawing/2014/chart" uri="{C3380CC4-5D6E-409C-BE32-E72D297353CC}">
              <c16:uniqueId val="{00000000-F54A-4E69-82DB-F0F6276093C2}"/>
            </c:ext>
          </c:extLst>
        </c:ser>
        <c:ser>
          <c:idx val="1"/>
          <c:order val="1"/>
          <c:tx>
            <c:strRef>
              <c:f>Main!$C$1</c:f>
              <c:strCache>
                <c:ptCount val="1"/>
                <c:pt idx="0">
                  <c:v>VENETOCLAX+IBRUTINIB</c:v>
                </c:pt>
              </c:strCache>
            </c:strRef>
          </c:tx>
          <c:spPr>
            <a:solidFill>
              <a:schemeClr val="accent2"/>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Main!$C$2:$C$5</c:f>
              <c:numCache>
                <c:formatCode>General</c:formatCode>
                <c:ptCount val="4"/>
                <c:pt idx="0">
                  <c:v>1355</c:v>
                </c:pt>
                <c:pt idx="1">
                  <c:v>38</c:v>
                </c:pt>
                <c:pt idx="2">
                  <c:v>261</c:v>
                </c:pt>
                <c:pt idx="3">
                  <c:v>172</c:v>
                </c:pt>
              </c:numCache>
            </c:numRef>
          </c:val>
          <c:extLst>
            <c:ext xmlns:c16="http://schemas.microsoft.com/office/drawing/2014/chart" uri="{C3380CC4-5D6E-409C-BE32-E72D297353CC}">
              <c16:uniqueId val="{00000001-F54A-4E69-82DB-F0F6276093C2}"/>
            </c:ext>
          </c:extLst>
        </c:ser>
        <c:ser>
          <c:idx val="2"/>
          <c:order val="2"/>
          <c:tx>
            <c:strRef>
              <c:f>Main!$D$1</c:f>
              <c:strCache>
                <c:ptCount val="1"/>
                <c:pt idx="0">
                  <c:v>RITUXIMAB+Chemotherapy</c:v>
                </c:pt>
              </c:strCache>
            </c:strRef>
          </c:tx>
          <c:spPr>
            <a:solidFill>
              <a:schemeClr val="accent3"/>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Main!$D$2:$D$5</c:f>
              <c:numCache>
                <c:formatCode>General</c:formatCode>
                <c:ptCount val="4"/>
                <c:pt idx="0">
                  <c:v>217</c:v>
                </c:pt>
                <c:pt idx="1">
                  <c:v>0</c:v>
                </c:pt>
                <c:pt idx="2">
                  <c:v>0</c:v>
                </c:pt>
                <c:pt idx="3">
                  <c:v>104</c:v>
                </c:pt>
              </c:numCache>
            </c:numRef>
          </c:val>
          <c:extLst>
            <c:ext xmlns:c16="http://schemas.microsoft.com/office/drawing/2014/chart" uri="{C3380CC4-5D6E-409C-BE32-E72D297353CC}">
              <c16:uniqueId val="{00000002-F54A-4E69-82DB-F0F6276093C2}"/>
            </c:ext>
          </c:extLst>
        </c:ser>
        <c:ser>
          <c:idx val="3"/>
          <c:order val="3"/>
          <c:tx>
            <c:strRef>
              <c:f>Main!$E$1</c:f>
              <c:strCache>
                <c:ptCount val="1"/>
                <c:pt idx="0">
                  <c:v>OBINUTUZUMAB+CHLORAMBUCIL</c:v>
                </c:pt>
              </c:strCache>
            </c:strRef>
          </c:tx>
          <c:spPr>
            <a:solidFill>
              <a:schemeClr val="accent4"/>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Main!$E$2:$E$5</c:f>
              <c:numCache>
                <c:formatCode>General</c:formatCode>
                <c:ptCount val="4"/>
                <c:pt idx="0">
                  <c:v>789</c:v>
                </c:pt>
                <c:pt idx="1">
                  <c:v>1</c:v>
                </c:pt>
                <c:pt idx="2">
                  <c:v>387</c:v>
                </c:pt>
                <c:pt idx="3">
                  <c:v>628</c:v>
                </c:pt>
              </c:numCache>
            </c:numRef>
          </c:val>
          <c:extLst>
            <c:ext xmlns:c16="http://schemas.microsoft.com/office/drawing/2014/chart" uri="{C3380CC4-5D6E-409C-BE32-E72D297353CC}">
              <c16:uniqueId val="{00000003-F54A-4E69-82DB-F0F6276093C2}"/>
            </c:ext>
          </c:extLst>
        </c:ser>
        <c:ser>
          <c:idx val="4"/>
          <c:order val="4"/>
          <c:tx>
            <c:strRef>
              <c:f>Main!$F$1</c:f>
              <c:strCache>
                <c:ptCount val="1"/>
                <c:pt idx="0">
                  <c:v>ACALABRUTINIB+OBINUTUZUMAB</c:v>
                </c:pt>
              </c:strCache>
            </c:strRef>
          </c:tx>
          <c:spPr>
            <a:solidFill>
              <a:schemeClr val="accent5"/>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Main!$F$2:$F$5</c:f>
              <c:numCache>
                <c:formatCode>General</c:formatCode>
                <c:ptCount val="4"/>
                <c:pt idx="0">
                  <c:v>768</c:v>
                </c:pt>
                <c:pt idx="1">
                  <c:v>1</c:v>
                </c:pt>
                <c:pt idx="2">
                  <c:v>154</c:v>
                </c:pt>
                <c:pt idx="3">
                  <c:v>237</c:v>
                </c:pt>
              </c:numCache>
            </c:numRef>
          </c:val>
          <c:extLst>
            <c:ext xmlns:c16="http://schemas.microsoft.com/office/drawing/2014/chart" uri="{C3380CC4-5D6E-409C-BE32-E72D297353CC}">
              <c16:uniqueId val="{00000004-F54A-4E69-82DB-F0F6276093C2}"/>
            </c:ext>
          </c:extLst>
        </c:ser>
        <c:ser>
          <c:idx val="5"/>
          <c:order val="5"/>
          <c:tx>
            <c:strRef>
              <c:f>Main!$G$1</c:f>
              <c:strCache>
                <c:ptCount val="1"/>
                <c:pt idx="0">
                  <c:v>ACALABRUTINIB</c:v>
                </c:pt>
              </c:strCache>
            </c:strRef>
          </c:tx>
          <c:spPr>
            <a:solidFill>
              <a:schemeClr val="accent6"/>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Main!$G$2:$G$5</c:f>
              <c:numCache>
                <c:formatCode>General</c:formatCode>
                <c:ptCount val="4"/>
                <c:pt idx="0">
                  <c:v>2203</c:v>
                </c:pt>
                <c:pt idx="1">
                  <c:v>81</c:v>
                </c:pt>
                <c:pt idx="2">
                  <c:v>303</c:v>
                </c:pt>
                <c:pt idx="3">
                  <c:v>71</c:v>
                </c:pt>
              </c:numCache>
            </c:numRef>
          </c:val>
          <c:extLst>
            <c:ext xmlns:c16="http://schemas.microsoft.com/office/drawing/2014/chart" uri="{C3380CC4-5D6E-409C-BE32-E72D297353CC}">
              <c16:uniqueId val="{00000005-F54A-4E69-82DB-F0F6276093C2}"/>
            </c:ext>
          </c:extLst>
        </c:ser>
        <c:ser>
          <c:idx val="6"/>
          <c:order val="6"/>
          <c:tx>
            <c:strRef>
              <c:f>Main!$H$1</c:f>
              <c:strCache>
                <c:ptCount val="1"/>
                <c:pt idx="0">
                  <c:v>VENETOCLAX+OBINUTUZUMAB</c:v>
                </c:pt>
              </c:strCache>
            </c:strRef>
          </c:tx>
          <c:spPr>
            <a:solidFill>
              <a:schemeClr val="accent1">
                <a:lumMod val="60000"/>
              </a:schemeClr>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Main!$H$2:$H$5</c:f>
              <c:numCache>
                <c:formatCode>General</c:formatCode>
                <c:ptCount val="4"/>
                <c:pt idx="0">
                  <c:v>16317</c:v>
                </c:pt>
                <c:pt idx="1">
                  <c:v>327</c:v>
                </c:pt>
                <c:pt idx="2">
                  <c:v>10291</c:v>
                </c:pt>
                <c:pt idx="3">
                  <c:v>7724</c:v>
                </c:pt>
              </c:numCache>
            </c:numRef>
          </c:val>
          <c:extLst>
            <c:ext xmlns:c16="http://schemas.microsoft.com/office/drawing/2014/chart" uri="{C3380CC4-5D6E-409C-BE32-E72D297353CC}">
              <c16:uniqueId val="{00000007-F54A-4E69-82DB-F0F6276093C2}"/>
            </c:ext>
          </c:extLst>
        </c:ser>
        <c:dLbls>
          <c:showLegendKey val="0"/>
          <c:showVal val="0"/>
          <c:showCatName val="0"/>
          <c:showSerName val="0"/>
          <c:showPercent val="0"/>
          <c:showBubbleSize val="0"/>
        </c:dLbls>
        <c:gapWidth val="219"/>
        <c:overlap val="-27"/>
        <c:axId val="777111336"/>
        <c:axId val="777113136"/>
      </c:barChart>
      <c:catAx>
        <c:axId val="777111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a:t>
                </a:r>
                <a:r>
                  <a:rPr lang="en-AU" baseline="0"/>
                  <a:t> setting</a:t>
                </a:r>
                <a:endParaRPr lang="en-AU"/>
              </a:p>
            </c:rich>
          </c:tx>
          <c:layout>
            <c:manualLayout>
              <c:xMode val="edge"/>
              <c:yMode val="edge"/>
              <c:x val="0.65655410442880691"/>
              <c:y val="0.712319878934052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77113136"/>
        <c:crosses val="autoZero"/>
        <c:auto val="1"/>
        <c:lblAlgn val="ctr"/>
        <c:lblOffset val="100"/>
        <c:noMultiLvlLbl val="0"/>
      </c:catAx>
      <c:valAx>
        <c:axId val="77711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111336"/>
        <c:crosses val="autoZero"/>
        <c:crossBetween val="between"/>
        <c:dispUnits>
          <c:builtInUnit val="thousand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Scripts (Thousands)</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5"/>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6"/>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2.7761158078975747E-2"/>
          <c:y val="0.81546649011215921"/>
          <c:w val="0.94224461754717859"/>
          <c:h val="0.155652660534550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400" b="0" i="0" u="none" strike="noStrike" kern="1200" spc="0" baseline="0">
                <a:solidFill>
                  <a:sysClr val="windowText" lastClr="000000">
                    <a:lumMod val="65000"/>
                    <a:lumOff val="35000"/>
                  </a:sysClr>
                </a:solidFill>
              </a:rPr>
              <a:t>Supply Settings Second Line Therapy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Main!$B$1</c:f>
              <c:strCache>
                <c:ptCount val="1"/>
                <c:pt idx="0">
                  <c:v>ZANUBRUTINIB</c:v>
                </c:pt>
              </c:strCache>
            </c:strRef>
          </c:tx>
          <c:spPr>
            <a:solidFill>
              <a:schemeClr val="accent1"/>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Main!$B$2:$B$5</c:f>
              <c:numCache>
                <c:formatCode>General</c:formatCode>
                <c:ptCount val="4"/>
                <c:pt idx="0">
                  <c:v>2729</c:v>
                </c:pt>
                <c:pt idx="1">
                  <c:v>65</c:v>
                </c:pt>
                <c:pt idx="2">
                  <c:v>415</c:v>
                </c:pt>
                <c:pt idx="3">
                  <c:v>165</c:v>
                </c:pt>
              </c:numCache>
            </c:numRef>
          </c:val>
          <c:extLst>
            <c:ext xmlns:c16="http://schemas.microsoft.com/office/drawing/2014/chart" uri="{C3380CC4-5D6E-409C-BE32-E72D297353CC}">
              <c16:uniqueId val="{00000000-A1AA-4184-B472-1C3014E4A404}"/>
            </c:ext>
          </c:extLst>
        </c:ser>
        <c:ser>
          <c:idx val="1"/>
          <c:order val="1"/>
          <c:tx>
            <c:strRef>
              <c:f>Main!$C$1</c:f>
              <c:strCache>
                <c:ptCount val="1"/>
                <c:pt idx="0">
                  <c:v>VENETOCLAX</c:v>
                </c:pt>
              </c:strCache>
            </c:strRef>
          </c:tx>
          <c:spPr>
            <a:solidFill>
              <a:schemeClr val="accent2"/>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Main!$C$2:$C$5</c:f>
              <c:numCache>
                <c:formatCode>General</c:formatCode>
                <c:ptCount val="4"/>
                <c:pt idx="0">
                  <c:v>484</c:v>
                </c:pt>
                <c:pt idx="1">
                  <c:v>8</c:v>
                </c:pt>
                <c:pt idx="2">
                  <c:v>302</c:v>
                </c:pt>
                <c:pt idx="3">
                  <c:v>180</c:v>
                </c:pt>
              </c:numCache>
            </c:numRef>
          </c:val>
          <c:extLst>
            <c:ext xmlns:c16="http://schemas.microsoft.com/office/drawing/2014/chart" uri="{C3380CC4-5D6E-409C-BE32-E72D297353CC}">
              <c16:uniqueId val="{00000001-A1AA-4184-B472-1C3014E4A404}"/>
            </c:ext>
          </c:extLst>
        </c:ser>
        <c:ser>
          <c:idx val="2"/>
          <c:order val="2"/>
          <c:tx>
            <c:strRef>
              <c:f>Main!$D$1</c:f>
              <c:strCache>
                <c:ptCount val="1"/>
                <c:pt idx="0">
                  <c:v>VENETOCLAX+RITUXIMAB</c:v>
                </c:pt>
              </c:strCache>
            </c:strRef>
          </c:tx>
          <c:spPr>
            <a:solidFill>
              <a:schemeClr val="accent3"/>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Main!$D$2:$D$5</c:f>
              <c:numCache>
                <c:formatCode>General</c:formatCode>
                <c:ptCount val="4"/>
                <c:pt idx="0">
                  <c:v>9369</c:v>
                </c:pt>
                <c:pt idx="1">
                  <c:v>342</c:v>
                </c:pt>
                <c:pt idx="2">
                  <c:v>3565</c:v>
                </c:pt>
                <c:pt idx="3">
                  <c:v>1660</c:v>
                </c:pt>
              </c:numCache>
            </c:numRef>
          </c:val>
          <c:extLst>
            <c:ext xmlns:c16="http://schemas.microsoft.com/office/drawing/2014/chart" uri="{C3380CC4-5D6E-409C-BE32-E72D297353CC}">
              <c16:uniqueId val="{00000002-A1AA-4184-B472-1C3014E4A404}"/>
            </c:ext>
          </c:extLst>
        </c:ser>
        <c:ser>
          <c:idx val="3"/>
          <c:order val="3"/>
          <c:tx>
            <c:strRef>
              <c:f>Main!$E$1</c:f>
              <c:strCache>
                <c:ptCount val="1"/>
                <c:pt idx="0">
                  <c:v>IDELALISIB+RITUXIMAB</c:v>
                </c:pt>
              </c:strCache>
            </c:strRef>
          </c:tx>
          <c:spPr>
            <a:solidFill>
              <a:schemeClr val="accent4"/>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Main!$E$2:$E$5</c:f>
              <c:numCache>
                <c:formatCode>General</c:formatCode>
                <c:ptCount val="4"/>
                <c:pt idx="0">
                  <c:v>255</c:v>
                </c:pt>
                <c:pt idx="1">
                  <c:v>1</c:v>
                </c:pt>
                <c:pt idx="2">
                  <c:v>95</c:v>
                </c:pt>
                <c:pt idx="3">
                  <c:v>39</c:v>
                </c:pt>
              </c:numCache>
            </c:numRef>
          </c:val>
          <c:extLst>
            <c:ext xmlns:c16="http://schemas.microsoft.com/office/drawing/2014/chart" uri="{C3380CC4-5D6E-409C-BE32-E72D297353CC}">
              <c16:uniqueId val="{00000003-A1AA-4184-B472-1C3014E4A404}"/>
            </c:ext>
          </c:extLst>
        </c:ser>
        <c:ser>
          <c:idx val="4"/>
          <c:order val="4"/>
          <c:tx>
            <c:strRef>
              <c:f>Main!$F$1</c:f>
              <c:strCache>
                <c:ptCount val="1"/>
                <c:pt idx="0">
                  <c:v>IBRUTINIB</c:v>
                </c:pt>
              </c:strCache>
            </c:strRef>
          </c:tx>
          <c:spPr>
            <a:solidFill>
              <a:schemeClr val="accent5"/>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Main!$F$2:$F$5</c:f>
              <c:numCache>
                <c:formatCode>General</c:formatCode>
                <c:ptCount val="4"/>
                <c:pt idx="0">
                  <c:v>30459</c:v>
                </c:pt>
                <c:pt idx="1">
                  <c:v>818</c:v>
                </c:pt>
                <c:pt idx="2">
                  <c:v>3922</c:v>
                </c:pt>
                <c:pt idx="3">
                  <c:v>1299</c:v>
                </c:pt>
              </c:numCache>
            </c:numRef>
          </c:val>
          <c:extLst>
            <c:ext xmlns:c16="http://schemas.microsoft.com/office/drawing/2014/chart" uri="{C3380CC4-5D6E-409C-BE32-E72D297353CC}">
              <c16:uniqueId val="{00000004-A1AA-4184-B472-1C3014E4A404}"/>
            </c:ext>
          </c:extLst>
        </c:ser>
        <c:ser>
          <c:idx val="5"/>
          <c:order val="5"/>
          <c:tx>
            <c:strRef>
              <c:f>Main!$G$1</c:f>
              <c:strCache>
                <c:ptCount val="1"/>
                <c:pt idx="0">
                  <c:v>ACALABRUTINIB</c:v>
                </c:pt>
              </c:strCache>
            </c:strRef>
          </c:tx>
          <c:spPr>
            <a:solidFill>
              <a:schemeClr val="accent6"/>
            </a:solidFill>
            <a:ln>
              <a:noFill/>
            </a:ln>
            <a:effectLst/>
          </c:spPr>
          <c:invertIfNegative val="0"/>
          <c:cat>
            <c:strRef>
              <c:f>Main!$A$2:$A$5</c:f>
              <c:strCache>
                <c:ptCount val="4"/>
                <c:pt idx="0">
                  <c:v>Approved community pharmacy</c:v>
                </c:pt>
                <c:pt idx="1">
                  <c:v>Approved community pharmacy (flagged as a friendly society)</c:v>
                </c:pt>
                <c:pt idx="2">
                  <c:v>Participating public hospital</c:v>
                </c:pt>
                <c:pt idx="3">
                  <c:v>Private hospital</c:v>
                </c:pt>
              </c:strCache>
            </c:strRef>
          </c:cat>
          <c:val>
            <c:numRef>
              <c:f>Main!$G$2:$G$5</c:f>
              <c:numCache>
                <c:formatCode>General</c:formatCode>
                <c:ptCount val="4"/>
                <c:pt idx="0">
                  <c:v>18564</c:v>
                </c:pt>
                <c:pt idx="1">
                  <c:v>534</c:v>
                </c:pt>
                <c:pt idx="2">
                  <c:v>2470</c:v>
                </c:pt>
                <c:pt idx="3">
                  <c:v>848</c:v>
                </c:pt>
              </c:numCache>
            </c:numRef>
          </c:val>
          <c:extLst>
            <c:ext xmlns:c16="http://schemas.microsoft.com/office/drawing/2014/chart" uri="{C3380CC4-5D6E-409C-BE32-E72D297353CC}">
              <c16:uniqueId val="{00000005-A1AA-4184-B472-1C3014E4A404}"/>
            </c:ext>
          </c:extLst>
        </c:ser>
        <c:dLbls>
          <c:showLegendKey val="0"/>
          <c:showVal val="0"/>
          <c:showCatName val="0"/>
          <c:showSerName val="0"/>
          <c:showPercent val="0"/>
          <c:showBubbleSize val="0"/>
        </c:dLbls>
        <c:gapWidth val="219"/>
        <c:overlap val="-27"/>
        <c:axId val="437903872"/>
        <c:axId val="437897032"/>
      </c:barChart>
      <c:catAx>
        <c:axId val="437903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setting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897032"/>
        <c:crosses val="autoZero"/>
        <c:auto val="1"/>
        <c:lblAlgn val="ctr"/>
        <c:lblOffset val="100"/>
        <c:noMultiLvlLbl val="0"/>
      </c:catAx>
      <c:valAx>
        <c:axId val="437897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903872"/>
        <c:crosses val="autoZero"/>
        <c:crossBetween val="between"/>
        <c:dispUnits>
          <c:builtInUnit val="thousands"/>
          <c:dispUnitsLbl>
            <c:layout>
              <c:manualLayout>
                <c:xMode val="edge"/>
                <c:yMode val="edge"/>
                <c:x val="2.2840531561461794E-2"/>
                <c:y val="0.2678072763028515"/>
              </c:manualLayout>
            </c:layout>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Scripts (Thousands)</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5"/>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8.192834907264512E-4"/>
          <c:y val="0.84955659303648989"/>
          <c:w val="0.94229814659795452"/>
          <c:h val="0.126844586904513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8782</Words>
  <Characters>48746</Characters>
  <Application>Microsoft Office Word</Application>
  <DocSecurity>0</DocSecurity>
  <Lines>1680</Lines>
  <Paragraphs>1009</Paragraphs>
  <ScaleCrop>false</ScaleCrop>
  <Company/>
  <LinksUpToDate>false</LinksUpToDate>
  <CharactersWithSpaces>56519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2026-03-02T22:07:00Z</dcterms:created>
  <dcterms:modified xsi:type="dcterms:W3CDTF">2026-03-02T22:09:00Z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9e77f03,1041a670,7316f295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40397c63,37de5eb0,f0b854d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2026-03-02T22:09:41Z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9118cba2-4be9-4c08-abdd-f86bf0c63640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