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45079707" w:rsidR="00832324" w:rsidRDefault="00966C08" w:rsidP="00F73113">
      <w:pPr>
        <w:pStyle w:val="Title"/>
      </w:pPr>
      <w:r>
        <w:t xml:space="preserve">Nivolumab </w:t>
      </w:r>
      <w:r w:rsidR="00802456">
        <w:t>for gastro-</w:t>
      </w:r>
      <w:r w:rsidR="002F401A">
        <w:t>oesophageal</w:t>
      </w:r>
      <w:r w:rsidR="00D516DD">
        <w:t xml:space="preserve"> </w:t>
      </w:r>
      <w:r w:rsidR="00802456">
        <w:t>cancer</w:t>
      </w:r>
      <w:r w:rsidR="007F0DF3">
        <w:t>s: 24 month predicted versus actual analysis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21745253" w:rsidR="009053D3" w:rsidRPr="00F73113" w:rsidRDefault="007F0DF3" w:rsidP="00F73113">
      <w:pPr>
        <w:pStyle w:val="Meetingdate"/>
      </w:pPr>
      <w:r>
        <w:t>June 202</w:t>
      </w:r>
      <w:r w:rsidR="000D2627">
        <w:t>5</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46D837A0" w14:textId="2E09B457" w:rsidR="00677755" w:rsidRPr="009910F4" w:rsidRDefault="00677755" w:rsidP="00677755">
      <w:pPr>
        <w:pStyle w:val="Heading3"/>
      </w:pPr>
      <w:r w:rsidRPr="009910F4">
        <w:rPr>
          <w:b w:val="0"/>
          <w:i w:val="0"/>
          <w:szCs w:val="24"/>
        </w:rPr>
        <w:t xml:space="preserve">Analysis of the predicted versus actual utilisation of nivolumab 24 months following its addition to the Pharmaceutical Benefits Scheme (PBS) for </w:t>
      </w:r>
      <w:r>
        <w:rPr>
          <w:b w:val="0"/>
          <w:i w:val="0"/>
          <w:szCs w:val="24"/>
        </w:rPr>
        <w:t>gastro-</w:t>
      </w:r>
      <w:r w:rsidR="002F401A">
        <w:rPr>
          <w:b w:val="0"/>
          <w:i w:val="0"/>
          <w:szCs w:val="24"/>
        </w:rPr>
        <w:t>oesophageal</w:t>
      </w:r>
      <w:r w:rsidR="00D516DD">
        <w:rPr>
          <w:b w:val="0"/>
          <w:i w:val="0"/>
          <w:szCs w:val="24"/>
        </w:rPr>
        <w:t xml:space="preserve"> </w:t>
      </w:r>
      <w:r>
        <w:rPr>
          <w:b w:val="0"/>
          <w:i w:val="0"/>
          <w:szCs w:val="24"/>
        </w:rPr>
        <w:t>cancers</w:t>
      </w:r>
      <w:r w:rsidRPr="009910F4">
        <w:rPr>
          <w:b w:val="0"/>
          <w:i w:val="0"/>
          <w:szCs w:val="24"/>
        </w:rPr>
        <w:t xml:space="preserve"> on </w:t>
      </w:r>
      <w:r w:rsidR="00DB54A0">
        <w:rPr>
          <w:b w:val="0"/>
          <w:i w:val="0"/>
          <w:szCs w:val="24"/>
        </w:rPr>
        <w:br/>
      </w:r>
      <w:r w:rsidRPr="009910F4">
        <w:rPr>
          <w:b w:val="0"/>
          <w:i w:val="0"/>
          <w:szCs w:val="24"/>
        </w:rPr>
        <w:t xml:space="preserve">1 </w:t>
      </w:r>
      <w:r w:rsidR="00A26862">
        <w:rPr>
          <w:b w:val="0"/>
          <w:i w:val="0"/>
          <w:szCs w:val="24"/>
        </w:rPr>
        <w:t>October</w:t>
      </w:r>
      <w:r w:rsidRPr="009910F4">
        <w:rPr>
          <w:b w:val="0"/>
          <w:i w:val="0"/>
          <w:szCs w:val="24"/>
        </w:rPr>
        <w:t xml:space="preserve"> 202</w:t>
      </w:r>
      <w:r w:rsidR="00A26862">
        <w:rPr>
          <w:b w:val="0"/>
          <w:i w:val="0"/>
          <w:szCs w:val="24"/>
        </w:rPr>
        <w:t>2</w:t>
      </w:r>
      <w:r w:rsidRPr="009910F4">
        <w:rPr>
          <w:b w:val="0"/>
          <w:i w:val="0"/>
          <w:szCs w:val="24"/>
        </w:rPr>
        <w:t>.</w:t>
      </w:r>
    </w:p>
    <w:p w14:paraId="526743BB" w14:textId="77777777" w:rsidR="005C6661" w:rsidRDefault="005C6661" w:rsidP="00CF5E22">
      <w:pPr>
        <w:pStyle w:val="Heading3"/>
      </w:pPr>
      <w:r>
        <w:t>Data Source / methodology</w:t>
      </w:r>
    </w:p>
    <w:p w14:paraId="113FE321" w14:textId="77777777" w:rsidR="00FD5AD3" w:rsidRDefault="00FD5AD3" w:rsidP="00FD5AD3">
      <w:pPr>
        <w:pStyle w:val="Heading3"/>
        <w:rPr>
          <w:b w:val="0"/>
          <w:i w:val="0"/>
          <w:szCs w:val="24"/>
        </w:rPr>
      </w:pPr>
      <w:r w:rsidRPr="009910F4">
        <w:rPr>
          <w:b w:val="0"/>
          <w:i w:val="0"/>
          <w:szCs w:val="24"/>
        </w:rPr>
        <w:t xml:space="preserve">PBS dispensing data was extracted from the PBS data maintained by the Department of Health and Aged Care, processed by Services Australia. </w:t>
      </w:r>
    </w:p>
    <w:p w14:paraId="7599E7C1" w14:textId="77777777" w:rsidR="005C6661" w:rsidRDefault="005C6661" w:rsidP="00CF5E22">
      <w:pPr>
        <w:pStyle w:val="Heading3"/>
      </w:pPr>
      <w:r>
        <w:t>Key Findings</w:t>
      </w:r>
    </w:p>
    <w:p w14:paraId="5EEA4BD6" w14:textId="77777777" w:rsidR="003A42CC" w:rsidRPr="00D516DD" w:rsidRDefault="00384B45" w:rsidP="00D516DD">
      <w:pPr>
        <w:pStyle w:val="ListParagraph"/>
        <w:numPr>
          <w:ilvl w:val="0"/>
          <w:numId w:val="12"/>
        </w:numPr>
      </w:pPr>
      <w:r w:rsidRPr="00D516DD">
        <w:t xml:space="preserve">The number of prevalent patients has increased steadily from 589 in the first quarter of listing to 1,029 by 2025Q1 while the number of initiating patients has been approximately 280-300 per quarter from the second quarter of listing. </w:t>
      </w:r>
    </w:p>
    <w:p w14:paraId="1CACC525" w14:textId="77777777" w:rsidR="003A42CC" w:rsidRPr="00D516DD" w:rsidRDefault="00384B45" w:rsidP="00D516DD">
      <w:pPr>
        <w:pStyle w:val="ListParagraph"/>
        <w:numPr>
          <w:ilvl w:val="0"/>
          <w:numId w:val="12"/>
        </w:numPr>
      </w:pPr>
      <w:r w:rsidRPr="00D516DD">
        <w:t xml:space="preserve">Both the number of prevalent patients and prescriptions per quarter have appeared to plateau. </w:t>
      </w:r>
    </w:p>
    <w:p w14:paraId="67C7AE1D" w14:textId="77777777" w:rsidR="004C7E14" w:rsidRPr="00D516DD" w:rsidRDefault="0044250A" w:rsidP="00D516DD">
      <w:pPr>
        <w:pStyle w:val="ListParagraph"/>
        <w:numPr>
          <w:ilvl w:val="0"/>
          <w:numId w:val="12"/>
        </w:numPr>
      </w:pPr>
      <w:r w:rsidRPr="00D516DD">
        <w:t>There were 3,301 unique patients by 2025Q1 and the majority were classified as males (2,387) with a median age of 68 years. The remaining 914 patients were classified as female and had a median age of 67 years.</w:t>
      </w:r>
    </w:p>
    <w:p w14:paraId="5FCC8B44" w14:textId="77777777" w:rsidR="00D516DD" w:rsidRDefault="004C7E14" w:rsidP="00D516DD">
      <w:pPr>
        <w:pStyle w:val="ListParagraph"/>
        <w:numPr>
          <w:ilvl w:val="0"/>
          <w:numId w:val="12"/>
        </w:numPr>
      </w:pPr>
      <w:r w:rsidRPr="00D516DD">
        <w:t>The median time to resupply for nivolumab was 21 days and the median time on treatment was 168 days.</w:t>
      </w:r>
    </w:p>
    <w:p w14:paraId="2C0EF696" w14:textId="29FFCA9E" w:rsidR="00A132F9" w:rsidRDefault="006A1937" w:rsidP="00D516DD">
      <w:pPr>
        <w:pStyle w:val="ListParagraph"/>
        <w:numPr>
          <w:ilvl w:val="0"/>
          <w:numId w:val="12"/>
        </w:numPr>
      </w:pPr>
      <w:r w:rsidRPr="00D516DD">
        <w:t xml:space="preserve">Using the Kaplan-Meier analysis </w:t>
      </w:r>
      <w:r w:rsidR="003B3053" w:rsidRPr="00D516DD">
        <w:t>and the interquartile range results</w:t>
      </w:r>
      <w:r w:rsidR="00BA0721">
        <w:t>,</w:t>
      </w:r>
      <w:r w:rsidR="003B3053" w:rsidRPr="00D516DD">
        <w:t xml:space="preserve"> </w:t>
      </w:r>
      <w:r w:rsidR="00BA0721">
        <w:t xml:space="preserve">the </w:t>
      </w:r>
      <w:r w:rsidRPr="00D516DD">
        <w:t xml:space="preserve">cost per treatment course of nivolumab </w:t>
      </w:r>
      <w:r w:rsidR="00BA0721">
        <w:t xml:space="preserve">ranged </w:t>
      </w:r>
      <w:r w:rsidRPr="00D516DD">
        <w:t xml:space="preserve">from $23,647 to $116,148 </w:t>
      </w:r>
      <w:r w:rsidR="00BA0721">
        <w:t xml:space="preserve">based on the published prices </w:t>
      </w:r>
      <w:r w:rsidRPr="00D516DD">
        <w:t>for the majority of patients.</w:t>
      </w:r>
      <w:r>
        <w:t xml:space="preserve"> </w:t>
      </w:r>
    </w:p>
    <w:p w14:paraId="38B57ECC" w14:textId="550CD1A2" w:rsidR="00BB0D1A" w:rsidRPr="00D516DD" w:rsidRDefault="00AD389F" w:rsidP="00D516DD">
      <w:pPr>
        <w:pStyle w:val="ListParagraph"/>
        <w:numPr>
          <w:ilvl w:val="0"/>
          <w:numId w:val="12"/>
        </w:numPr>
      </w:pPr>
      <w:r>
        <w:t>Since first listing t</w:t>
      </w:r>
      <w:r w:rsidR="00A132F9">
        <w:t>here have been 3,103 patients who have initiated nivolumab up to 23</w:t>
      </w:r>
      <w:r w:rsidR="00A132F9" w:rsidRPr="00D052D2">
        <w:rPr>
          <w:vertAlign w:val="superscript"/>
        </w:rPr>
        <w:t>rd</w:t>
      </w:r>
      <w:r w:rsidR="00A132F9">
        <w:t xml:space="preserve"> February 2025 and of these</w:t>
      </w:r>
      <w:r>
        <w:t>,</w:t>
      </w:r>
      <w:r w:rsidR="00A132F9">
        <w:t xml:space="preserve"> 50.4% may be considered alive according to date of death data up to 23</w:t>
      </w:r>
      <w:r w:rsidR="00A132F9" w:rsidRPr="008173A0">
        <w:rPr>
          <w:vertAlign w:val="superscript"/>
        </w:rPr>
        <w:t>rd</w:t>
      </w:r>
      <w:r w:rsidR="00A132F9">
        <w:t xml:space="preserve"> February 2025. </w:t>
      </w:r>
      <w:r w:rsidR="00BB0D1A">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61C15057" w14:textId="47A31AD2" w:rsidR="00FD5AD3" w:rsidRPr="009910F4" w:rsidRDefault="00FD5AD3" w:rsidP="00FD5AD3">
      <w:pPr>
        <w:pStyle w:val="Heading3"/>
      </w:pPr>
      <w:r w:rsidRPr="009910F4">
        <w:rPr>
          <w:b w:val="0"/>
          <w:i w:val="0"/>
          <w:szCs w:val="24"/>
        </w:rPr>
        <w:t xml:space="preserve">Analysis of the predicted versus actual utilisation of nivolumab 24 months following its addition to the Pharmaceutical Benefits Scheme (PBS) for </w:t>
      </w:r>
      <w:r>
        <w:rPr>
          <w:b w:val="0"/>
          <w:i w:val="0"/>
          <w:szCs w:val="24"/>
        </w:rPr>
        <w:t>gastro-</w:t>
      </w:r>
      <w:r w:rsidR="002F401A">
        <w:rPr>
          <w:b w:val="0"/>
          <w:i w:val="0"/>
          <w:szCs w:val="24"/>
        </w:rPr>
        <w:t>oesophageal</w:t>
      </w:r>
      <w:r w:rsidR="00C6147A">
        <w:rPr>
          <w:b w:val="0"/>
          <w:i w:val="0"/>
          <w:szCs w:val="24"/>
        </w:rPr>
        <w:t xml:space="preserve"> </w:t>
      </w:r>
      <w:r>
        <w:rPr>
          <w:b w:val="0"/>
          <w:i w:val="0"/>
          <w:szCs w:val="24"/>
        </w:rPr>
        <w:t>cancers</w:t>
      </w:r>
      <w:r w:rsidRPr="009910F4">
        <w:rPr>
          <w:b w:val="0"/>
          <w:i w:val="0"/>
          <w:szCs w:val="24"/>
        </w:rPr>
        <w:t xml:space="preserve"> on </w:t>
      </w:r>
      <w:r w:rsidR="00AD389F">
        <w:rPr>
          <w:b w:val="0"/>
          <w:i w:val="0"/>
          <w:szCs w:val="24"/>
        </w:rPr>
        <w:br/>
      </w:r>
      <w:r w:rsidRPr="009910F4">
        <w:rPr>
          <w:b w:val="0"/>
          <w:i w:val="0"/>
          <w:szCs w:val="24"/>
        </w:rPr>
        <w:t xml:space="preserve">1 </w:t>
      </w:r>
      <w:r>
        <w:rPr>
          <w:b w:val="0"/>
          <w:i w:val="0"/>
          <w:szCs w:val="24"/>
        </w:rPr>
        <w:t>October</w:t>
      </w:r>
      <w:r w:rsidRPr="009910F4">
        <w:rPr>
          <w:b w:val="0"/>
          <w:i w:val="0"/>
          <w:szCs w:val="24"/>
        </w:rPr>
        <w:t xml:space="preserve"> 202</w:t>
      </w:r>
      <w:r>
        <w:rPr>
          <w:b w:val="0"/>
          <w:i w:val="0"/>
          <w:szCs w:val="24"/>
        </w:rPr>
        <w:t>2</w:t>
      </w:r>
      <w:r w:rsidRPr="009910F4">
        <w:rPr>
          <w:b w:val="0"/>
          <w:i w:val="0"/>
          <w:szCs w:val="24"/>
        </w:rPr>
        <w:t>.</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758C9A8F" w14:textId="3EE635C4" w:rsidR="00F1280A" w:rsidRPr="00C6147A" w:rsidRDefault="00F409CC" w:rsidP="00EE2BBB">
      <w:r>
        <w:t xml:space="preserve">Stomach and </w:t>
      </w:r>
      <w:r w:rsidR="00D86986">
        <w:t xml:space="preserve">oesophageal cancers are typically solid tumours </w:t>
      </w:r>
      <w:r w:rsidR="00AA6E31">
        <w:t xml:space="preserve">formed by an abnormal growth </w:t>
      </w:r>
      <w:r w:rsidR="00546DE1">
        <w:t>of cells</w:t>
      </w:r>
      <w:r w:rsidR="00F054C7">
        <w:t xml:space="preserve"> in the stomach or </w:t>
      </w:r>
      <w:r w:rsidR="002C7822">
        <w:t>oesophagus</w:t>
      </w:r>
      <w:r w:rsidR="006403D0">
        <w:t xml:space="preserve">. This area of the body is commonly referred to as the upper gastrointestinal tract. </w:t>
      </w:r>
      <w:r w:rsidR="00F1280A">
        <w:t xml:space="preserve">Treatment </w:t>
      </w:r>
      <w:r w:rsidR="00C6147A">
        <w:t xml:space="preserve">options </w:t>
      </w:r>
      <w:r w:rsidR="00F1280A">
        <w:t xml:space="preserve">for </w:t>
      </w:r>
      <w:r w:rsidR="00C6147A">
        <w:t xml:space="preserve">gastric-oesophageal cancers depend on </w:t>
      </w:r>
      <w:r w:rsidR="00C90501">
        <w:t xml:space="preserve">location and staging of the disease but may </w:t>
      </w:r>
      <w:r w:rsidR="00857E8A">
        <w:t>include</w:t>
      </w:r>
      <w:r w:rsidR="00C90501">
        <w:t xml:space="preserve"> surgical interventions, radiotherapy and systemic therapies. </w:t>
      </w:r>
      <w:r w:rsidR="00E84278">
        <w:t>Systemic therapies can include chemotherapy or immunotherapy</w:t>
      </w:r>
      <w:r w:rsidR="00347943">
        <w:t xml:space="preserve"> with both nivolumab and trastuzumab currently listed for the treatment of gastric-oesophageal cancers. </w:t>
      </w:r>
    </w:p>
    <w:p w14:paraId="0183A567" w14:textId="413DF87B" w:rsidR="007247B9" w:rsidRDefault="007247B9" w:rsidP="00CF5E22">
      <w:pPr>
        <w:pStyle w:val="Heading2"/>
      </w:pPr>
      <w:r>
        <w:t>Pharmacology</w:t>
      </w:r>
    </w:p>
    <w:p w14:paraId="393C1519" w14:textId="77777777" w:rsidR="000F5372" w:rsidRDefault="000F5372" w:rsidP="000F5372">
      <w:r w:rsidRPr="008B430F">
        <w:t>Nivolumab is a protein which helps the immune system to attack and destroy cancer cells</w:t>
      </w:r>
      <w:r>
        <w:t>.</w:t>
      </w:r>
      <w:r w:rsidRPr="008B430F">
        <w:rPr>
          <w:rStyle w:val="FootnoteReference"/>
        </w:rPr>
        <w:footnoteReference w:id="1"/>
      </w:r>
      <w:r>
        <w:t xml:space="preserve"> </w:t>
      </w:r>
      <w:r w:rsidRPr="008B430F">
        <w:t>It is a human anti PD-1 monoclonal antibody which inhibits the programmed death 1 (PD-1) receptor from binding to its ligands (PD-L1 and PD-L2) on tumour cells, reactivating cytotoxic T lymphocytes and anti-tumour immunity.</w:t>
      </w:r>
      <w:r w:rsidRPr="008B430F">
        <w:rPr>
          <w:rStyle w:val="FootnoteReference"/>
        </w:rPr>
        <w:footnoteReference w:id="2"/>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13D39B3E" w14:textId="77777777" w:rsidR="001350C3" w:rsidRDefault="001350C3" w:rsidP="001350C3">
      <w:r>
        <w:t>Nivolumab has been approved by the TGA for the following indications:</w:t>
      </w:r>
    </w:p>
    <w:p w14:paraId="37F766B3" w14:textId="77777777" w:rsidR="001350C3" w:rsidRDefault="001350C3" w:rsidP="001350C3">
      <w:pPr>
        <w:pStyle w:val="ListParagraph"/>
        <w:numPr>
          <w:ilvl w:val="0"/>
          <w:numId w:val="4"/>
        </w:numPr>
      </w:pPr>
      <w:r>
        <w:t>Melanoma monotherapy or in combination with ipilimumab</w:t>
      </w:r>
    </w:p>
    <w:p w14:paraId="292BBE51" w14:textId="77777777" w:rsidR="001350C3" w:rsidRDefault="001350C3" w:rsidP="001350C3">
      <w:pPr>
        <w:pStyle w:val="ListParagraph"/>
        <w:numPr>
          <w:ilvl w:val="0"/>
          <w:numId w:val="4"/>
        </w:numPr>
      </w:pPr>
      <w:r>
        <w:t>Non-small cell lung cancer monotherapy or in combination with platinum therapy or ipilimumab</w:t>
      </w:r>
    </w:p>
    <w:p w14:paraId="0E30E260" w14:textId="77777777" w:rsidR="001350C3" w:rsidRDefault="001350C3" w:rsidP="001350C3">
      <w:pPr>
        <w:pStyle w:val="ListParagraph"/>
        <w:numPr>
          <w:ilvl w:val="0"/>
          <w:numId w:val="4"/>
        </w:numPr>
      </w:pPr>
      <w:r>
        <w:t>Malignant pleural mesothelioma in combination with ipilimumab</w:t>
      </w:r>
    </w:p>
    <w:p w14:paraId="04693227" w14:textId="77777777" w:rsidR="001350C3" w:rsidRDefault="001350C3" w:rsidP="001350C3">
      <w:pPr>
        <w:pStyle w:val="ListParagraph"/>
        <w:numPr>
          <w:ilvl w:val="0"/>
          <w:numId w:val="4"/>
        </w:numPr>
      </w:pPr>
      <w:r>
        <w:t>Renal cell carcinoma monotherapy or in combination with ipilimumab or cabozantinib</w:t>
      </w:r>
    </w:p>
    <w:p w14:paraId="52B5BB43" w14:textId="77777777" w:rsidR="001350C3" w:rsidRDefault="001350C3" w:rsidP="001350C3">
      <w:pPr>
        <w:pStyle w:val="ListParagraph"/>
        <w:numPr>
          <w:ilvl w:val="0"/>
          <w:numId w:val="4"/>
        </w:numPr>
      </w:pPr>
      <w:r>
        <w:t>Classical Hodgkin lymphoma</w:t>
      </w:r>
    </w:p>
    <w:p w14:paraId="20DDE2EB" w14:textId="77777777" w:rsidR="001350C3" w:rsidRDefault="001350C3" w:rsidP="001350C3">
      <w:pPr>
        <w:pStyle w:val="ListParagraph"/>
        <w:numPr>
          <w:ilvl w:val="0"/>
          <w:numId w:val="4"/>
        </w:numPr>
      </w:pPr>
      <w:r>
        <w:t>Squamous cell carcinoma of the head and neck</w:t>
      </w:r>
    </w:p>
    <w:p w14:paraId="7B570239" w14:textId="77777777" w:rsidR="001350C3" w:rsidRDefault="001350C3" w:rsidP="001350C3">
      <w:pPr>
        <w:pStyle w:val="ListParagraph"/>
        <w:numPr>
          <w:ilvl w:val="0"/>
          <w:numId w:val="4"/>
        </w:numPr>
      </w:pPr>
      <w:r>
        <w:t>Urothelial carcinoma</w:t>
      </w:r>
    </w:p>
    <w:p w14:paraId="53FD2F08" w14:textId="77777777" w:rsidR="001350C3" w:rsidRDefault="001350C3" w:rsidP="001350C3">
      <w:pPr>
        <w:pStyle w:val="ListParagraph"/>
        <w:numPr>
          <w:ilvl w:val="0"/>
          <w:numId w:val="4"/>
        </w:numPr>
      </w:pPr>
      <w:r>
        <w:t>Hepatocellular carcinoma</w:t>
      </w:r>
    </w:p>
    <w:p w14:paraId="33021628" w14:textId="20A96AD4" w:rsidR="001350C3" w:rsidRDefault="002F401A" w:rsidP="001350C3">
      <w:pPr>
        <w:pStyle w:val="ListParagraph"/>
        <w:numPr>
          <w:ilvl w:val="0"/>
          <w:numId w:val="4"/>
        </w:numPr>
      </w:pPr>
      <w:r>
        <w:t>Oesophageal</w:t>
      </w:r>
      <w:r w:rsidR="00371B6C">
        <w:t xml:space="preserve"> </w:t>
      </w:r>
      <w:r w:rsidR="001350C3">
        <w:t>squamous cell carcinoma monotherapy or in combination with ipilimumab or platinum therapy</w:t>
      </w:r>
    </w:p>
    <w:p w14:paraId="7218C49C" w14:textId="64C1C9E6" w:rsidR="001350C3" w:rsidRDefault="001350C3" w:rsidP="001350C3">
      <w:pPr>
        <w:pStyle w:val="ListParagraph"/>
        <w:numPr>
          <w:ilvl w:val="0"/>
          <w:numId w:val="4"/>
        </w:numPr>
      </w:pPr>
      <w:r>
        <w:lastRenderedPageBreak/>
        <w:t xml:space="preserve">Adjuvant </w:t>
      </w:r>
      <w:r w:rsidR="002F401A">
        <w:t>oesophageal</w:t>
      </w:r>
      <w:r w:rsidR="00371B6C">
        <w:t xml:space="preserve"> </w:t>
      </w:r>
      <w:r>
        <w:t>or gastro-</w:t>
      </w:r>
      <w:r w:rsidR="002F401A">
        <w:t>oesophageal</w:t>
      </w:r>
      <w:r w:rsidR="00371B6C">
        <w:t xml:space="preserve"> </w:t>
      </w:r>
      <w:r>
        <w:t>junction carcinoma</w:t>
      </w:r>
    </w:p>
    <w:p w14:paraId="3B3B8AD6" w14:textId="60835925" w:rsidR="001350C3" w:rsidRDefault="001350C3" w:rsidP="001350C3">
      <w:pPr>
        <w:pStyle w:val="ListParagraph"/>
        <w:numPr>
          <w:ilvl w:val="0"/>
          <w:numId w:val="4"/>
        </w:numPr>
      </w:pPr>
      <w:r>
        <w:t>Gastric cancer, gastro-</w:t>
      </w:r>
      <w:r w:rsidR="002F401A">
        <w:t>oesophageal</w:t>
      </w:r>
      <w:r w:rsidR="00371B6C">
        <w:t xml:space="preserve"> </w:t>
      </w:r>
      <w:r>
        <w:t xml:space="preserve">junction carcinoma, or </w:t>
      </w:r>
      <w:r w:rsidR="002F401A">
        <w:t>oesophageal</w:t>
      </w:r>
      <w:r w:rsidR="00371B6C">
        <w:t xml:space="preserve"> </w:t>
      </w:r>
      <w:r>
        <w:t xml:space="preserve">adenocarcinoma in combination with platinum therapy. </w:t>
      </w:r>
    </w:p>
    <w:p w14:paraId="15E919C1" w14:textId="1B3BA560" w:rsidR="006B709B" w:rsidRDefault="006B709B" w:rsidP="00CF5E22">
      <w:pPr>
        <w:pStyle w:val="Heading2"/>
      </w:pPr>
      <w:r>
        <w:t>Dosage and administration</w:t>
      </w:r>
    </w:p>
    <w:p w14:paraId="54A009FE" w14:textId="68EBBD37" w:rsidR="00D51B1F" w:rsidRDefault="00D51B1F" w:rsidP="00D51B1F">
      <w:pPr>
        <w:rPr>
          <w:b/>
        </w:rPr>
      </w:pPr>
      <w:r w:rsidRPr="00AF3C3E">
        <w:t xml:space="preserve">The recommended dose of nivolumab is </w:t>
      </w:r>
      <w:r w:rsidR="00360395" w:rsidRPr="00360395">
        <w:t>360 mg every 3 weeks (30-minute intravenous infusion) with fluoropyrimidine and platinum</w:t>
      </w:r>
      <w:r w:rsidR="00235B01">
        <w:t xml:space="preserve"> </w:t>
      </w:r>
      <w:r w:rsidR="00360395" w:rsidRPr="00360395">
        <w:t>containing chemotherapy every 3 weeks or 240 mg every 2 weeks (30-minute intravenous infusion) with fluoropyrimidine and platinum</w:t>
      </w:r>
      <w:r w:rsidR="00235B01">
        <w:t xml:space="preserve"> </w:t>
      </w:r>
      <w:r w:rsidR="00360395" w:rsidRPr="00360395">
        <w:t>containing chemotherapy every 2 weeks</w:t>
      </w:r>
      <w:r w:rsidR="00360395">
        <w:t>.</w:t>
      </w:r>
    </w:p>
    <w:p w14:paraId="1294F42B" w14:textId="77777777" w:rsidR="00360395" w:rsidRDefault="00360395" w:rsidP="00F17D4B">
      <w:r w:rsidRPr="00360395">
        <w:t>Treatment should be continued until disease progression, is no longer tolerated or up to 2 years in patients without disease progression.</w:t>
      </w:r>
    </w:p>
    <w:p w14:paraId="6682A05C" w14:textId="613533C9" w:rsidR="00F17D4B" w:rsidRPr="002F61CA"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6E2BB42" w14:textId="73F9A57B" w:rsidR="00DF0B13" w:rsidRPr="00C22EF3" w:rsidDel="00EE2BBB" w:rsidRDefault="00DF0B13" w:rsidP="00CF5E22">
      <w:pPr>
        <w:pStyle w:val="Heading2"/>
      </w:pPr>
      <w:r w:rsidRPr="007247B9" w:rsidDel="00EE2BBB">
        <w:t>PBS listing details</w:t>
      </w:r>
      <w:r w:rsidR="00D151EB" w:rsidDel="00EE2BBB">
        <w:t xml:space="preserve"> (as at </w:t>
      </w:r>
      <w:r w:rsidR="00907CFF">
        <w:t>31/3/25</w:t>
      </w:r>
      <w:r w:rsidR="00D151EB" w:rsidDel="00EE2BBB">
        <w:t>)</w:t>
      </w:r>
      <w:r w:rsidR="00C22EF3">
        <w:rPr>
          <w:rStyle w:val="FootnoteReference"/>
        </w:rPr>
        <w:footnoteReference w:id="3"/>
      </w:r>
    </w:p>
    <w:p w14:paraId="1D47784A" w14:textId="22F89151" w:rsidR="001420B3" w:rsidRPr="001420B3" w:rsidDel="00EE2BBB" w:rsidRDefault="001420B3" w:rsidP="00CF5E22">
      <w:pPr>
        <w:pStyle w:val="Tabletitle"/>
      </w:pPr>
      <w:r w:rsidRPr="001420B3" w:rsidDel="00EE2BBB">
        <w:t xml:space="preserve">Table </w:t>
      </w:r>
      <w:r w:rsidR="00907CFF">
        <w:t>1</w:t>
      </w:r>
      <w:r w:rsidRPr="001420B3" w:rsidDel="00EE2BBB">
        <w:t xml:space="preserve">: </w:t>
      </w:r>
      <w:r w:rsidR="009663B6" w:rsidDel="00EE2BBB">
        <w:t>PB</w:t>
      </w:r>
      <w:r w:rsidR="00D151EB" w:rsidDel="00EE2BBB">
        <w:t xml:space="preserve">S listing of </w:t>
      </w:r>
      <w:r w:rsidR="00907CFF">
        <w:t xml:space="preserve">nivolumab </w:t>
      </w:r>
      <w:r w:rsidR="007C30AC">
        <w:t>for advanced or metastatic gastric-oesophageal cancers</w:t>
      </w:r>
      <w:r w:rsidR="00D151EB" w:rsidDel="00EE2BBB">
        <w:t xml:space="preserve"> </w:t>
      </w:r>
    </w:p>
    <w:tbl>
      <w:tblPr>
        <w:tblStyle w:val="TableGrid"/>
        <w:tblW w:w="9064" w:type="dxa"/>
        <w:tblLayout w:type="fixed"/>
        <w:tblLook w:val="04A0" w:firstRow="1" w:lastRow="0" w:firstColumn="1" w:lastColumn="0" w:noHBand="0" w:noVBand="1"/>
      </w:tblPr>
      <w:tblGrid>
        <w:gridCol w:w="969"/>
        <w:gridCol w:w="2400"/>
        <w:gridCol w:w="1701"/>
        <w:gridCol w:w="850"/>
        <w:gridCol w:w="1040"/>
        <w:gridCol w:w="2104"/>
      </w:tblGrid>
      <w:tr w:rsidR="0093111F" w:rsidRPr="00A35800" w:rsidDel="00EE2BBB" w14:paraId="6AA19A37" w14:textId="77B518AD" w:rsidTr="0093111F">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r w:rsidRPr="00A35800" w:rsidDel="00EE2BBB">
              <w:rPr>
                <w:sz w:val="20"/>
                <w:szCs w:val="20"/>
              </w:rPr>
              <w:t xml:space="preserve">Rpts </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AD750E" w:rsidRPr="00A35800" w:rsidDel="00EE2BBB" w14:paraId="2AF9D84B" w14:textId="0D323411" w:rsidTr="0093111F">
        <w:trPr>
          <w:trHeight w:val="552"/>
          <w:tblHeader/>
        </w:trPr>
        <w:tc>
          <w:tcPr>
            <w:tcW w:w="969" w:type="dxa"/>
          </w:tcPr>
          <w:p w14:paraId="0A3E3442" w14:textId="1C9366E2" w:rsidR="00AD750E" w:rsidRPr="00A35800" w:rsidDel="00EE2BBB" w:rsidRDefault="00AD750E" w:rsidP="00561981">
            <w:pPr>
              <w:pStyle w:val="Tablewriting"/>
            </w:pPr>
            <w:r>
              <w:t>13117J</w:t>
            </w:r>
          </w:p>
        </w:tc>
        <w:tc>
          <w:tcPr>
            <w:tcW w:w="2400" w:type="dxa"/>
            <w:vMerge w:val="restart"/>
          </w:tcPr>
          <w:p w14:paraId="5502D32B" w14:textId="77777777" w:rsidR="00AD750E" w:rsidRPr="00A47023" w:rsidRDefault="00AD750E" w:rsidP="00561981">
            <w:pPr>
              <w:pStyle w:val="Tablewriting"/>
            </w:pPr>
            <w:r>
              <w:t>Nivolumab, i</w:t>
            </w:r>
            <w:r w:rsidRPr="00A47023">
              <w:t>njection</w:t>
            </w:r>
          </w:p>
          <w:p w14:paraId="686BF1A2" w14:textId="77777777" w:rsidR="00AD750E" w:rsidRPr="00A47023" w:rsidRDefault="00AD750E" w:rsidP="00561981">
            <w:pPr>
              <w:pStyle w:val="Tablewriting"/>
            </w:pPr>
            <w:r w:rsidRPr="00A47023">
              <w:t>concentrate for</w:t>
            </w:r>
          </w:p>
          <w:p w14:paraId="1021CBF7" w14:textId="77777777" w:rsidR="00AD750E" w:rsidRPr="00A47023" w:rsidRDefault="00AD750E" w:rsidP="00561981">
            <w:pPr>
              <w:pStyle w:val="Tablewriting"/>
            </w:pPr>
            <w:r w:rsidRPr="00A47023">
              <w:t>I.V. infusion 100</w:t>
            </w:r>
          </w:p>
          <w:p w14:paraId="7B9A7CB9" w14:textId="77777777" w:rsidR="00AD750E" w:rsidRPr="00A47023" w:rsidRDefault="00AD750E" w:rsidP="00561981">
            <w:pPr>
              <w:pStyle w:val="Tablewriting"/>
            </w:pPr>
            <w:r w:rsidRPr="00A47023">
              <w:t>mg in 10 mL &amp; 40</w:t>
            </w:r>
          </w:p>
          <w:p w14:paraId="0F676F51" w14:textId="70AFB5AC" w:rsidR="00AD750E" w:rsidRPr="00A35800" w:rsidDel="00EE2BBB" w:rsidRDefault="00AD750E" w:rsidP="00561981">
            <w:pPr>
              <w:pStyle w:val="Tablewriting"/>
            </w:pPr>
            <w:r w:rsidRPr="00A47023">
              <w:t>mg in 4 mL</w:t>
            </w:r>
          </w:p>
        </w:tc>
        <w:tc>
          <w:tcPr>
            <w:tcW w:w="1701" w:type="dxa"/>
            <w:vMerge w:val="restart"/>
          </w:tcPr>
          <w:p w14:paraId="0E2637C4" w14:textId="62865D0A" w:rsidR="00AD750E" w:rsidRPr="00A35800" w:rsidDel="00EE2BBB" w:rsidRDefault="00AD750E" w:rsidP="00561981">
            <w:pPr>
              <w:pStyle w:val="Tablewriting"/>
            </w:pPr>
            <w:r>
              <w:t>480mg</w:t>
            </w:r>
          </w:p>
        </w:tc>
        <w:tc>
          <w:tcPr>
            <w:tcW w:w="850" w:type="dxa"/>
            <w:vMerge w:val="restart"/>
          </w:tcPr>
          <w:p w14:paraId="6B361CAA" w14:textId="18F4B771" w:rsidR="00AD750E" w:rsidRPr="00A35800" w:rsidDel="00EE2BBB" w:rsidRDefault="00AD750E" w:rsidP="00561981">
            <w:pPr>
              <w:pStyle w:val="Tablewriting"/>
            </w:pPr>
            <w:r>
              <w:t>13</w:t>
            </w:r>
          </w:p>
        </w:tc>
        <w:tc>
          <w:tcPr>
            <w:tcW w:w="1040" w:type="dxa"/>
          </w:tcPr>
          <w:p w14:paraId="15F68405" w14:textId="479F949B" w:rsidR="00AD750E" w:rsidRPr="00A35800" w:rsidDel="00EE2BBB" w:rsidRDefault="00AD750E" w:rsidP="00561981">
            <w:pPr>
              <w:pStyle w:val="Tablewriting"/>
            </w:pPr>
            <w:r>
              <w:t>$9736.96</w:t>
            </w:r>
          </w:p>
        </w:tc>
        <w:tc>
          <w:tcPr>
            <w:tcW w:w="2104" w:type="dxa"/>
            <w:vMerge w:val="restart"/>
          </w:tcPr>
          <w:p w14:paraId="2D337AC6" w14:textId="1383C707" w:rsidR="00AD750E" w:rsidRPr="00A35800" w:rsidDel="00EE2BBB" w:rsidRDefault="00AD750E" w:rsidP="00561981">
            <w:pPr>
              <w:pStyle w:val="Tablewriting"/>
            </w:pPr>
            <w:r w:rsidRPr="002F299E">
              <w:t>Bristol-Myers Squibb Australia Pty Ltd</w:t>
            </w:r>
          </w:p>
        </w:tc>
      </w:tr>
      <w:tr w:rsidR="00AD750E" w:rsidRPr="00A35800" w:rsidDel="00EE2BBB" w14:paraId="5A26F6DA" w14:textId="5F9D4936" w:rsidTr="0093111F">
        <w:trPr>
          <w:trHeight w:val="546"/>
          <w:tblHeader/>
        </w:trPr>
        <w:tc>
          <w:tcPr>
            <w:tcW w:w="969" w:type="dxa"/>
          </w:tcPr>
          <w:p w14:paraId="76F26606" w14:textId="17FD9D1B" w:rsidR="00AD750E" w:rsidRPr="00A35800" w:rsidDel="00EE2BBB" w:rsidRDefault="00AD750E" w:rsidP="00561981">
            <w:pPr>
              <w:pStyle w:val="Tablewriting"/>
            </w:pPr>
            <w:r>
              <w:t>13121N</w:t>
            </w:r>
          </w:p>
        </w:tc>
        <w:tc>
          <w:tcPr>
            <w:tcW w:w="2400" w:type="dxa"/>
            <w:vMerge/>
          </w:tcPr>
          <w:p w14:paraId="4C40F7E7" w14:textId="6A600047" w:rsidR="00AD750E" w:rsidRPr="00A35800" w:rsidDel="00EE2BBB" w:rsidRDefault="00AD750E" w:rsidP="00561981">
            <w:pPr>
              <w:pStyle w:val="Tablewriting"/>
            </w:pPr>
          </w:p>
        </w:tc>
        <w:tc>
          <w:tcPr>
            <w:tcW w:w="1701" w:type="dxa"/>
            <w:vMerge/>
          </w:tcPr>
          <w:p w14:paraId="73733F58" w14:textId="7FF7A651" w:rsidR="00AD750E" w:rsidRPr="00A35800" w:rsidDel="00EE2BBB" w:rsidRDefault="00AD750E" w:rsidP="00561981">
            <w:pPr>
              <w:pStyle w:val="Tablewriting"/>
            </w:pPr>
          </w:p>
        </w:tc>
        <w:tc>
          <w:tcPr>
            <w:tcW w:w="850" w:type="dxa"/>
            <w:vMerge/>
          </w:tcPr>
          <w:p w14:paraId="2751F86C" w14:textId="5AB45B4C" w:rsidR="00AD750E" w:rsidRPr="00A35800" w:rsidDel="00EE2BBB" w:rsidRDefault="00AD750E" w:rsidP="00561981">
            <w:pPr>
              <w:pStyle w:val="Tablewriting"/>
            </w:pPr>
          </w:p>
        </w:tc>
        <w:tc>
          <w:tcPr>
            <w:tcW w:w="1040" w:type="dxa"/>
          </w:tcPr>
          <w:p w14:paraId="0EB41EFB" w14:textId="22ADB2C0" w:rsidR="00AD750E" w:rsidRPr="00A35800" w:rsidDel="00EE2BBB" w:rsidRDefault="00AD750E" w:rsidP="00561981">
            <w:pPr>
              <w:pStyle w:val="Tablewriting"/>
            </w:pPr>
            <w:r>
              <w:t>$9559.69</w:t>
            </w:r>
          </w:p>
        </w:tc>
        <w:tc>
          <w:tcPr>
            <w:tcW w:w="2104" w:type="dxa"/>
            <w:vMerge/>
          </w:tcPr>
          <w:p w14:paraId="2F152B32" w14:textId="53903DBC" w:rsidR="00AD750E" w:rsidRPr="00A35800" w:rsidDel="00EE2BBB" w:rsidRDefault="00AD750E" w:rsidP="00561981">
            <w:pPr>
              <w:pStyle w:val="Tablewriting"/>
            </w:pPr>
          </w:p>
        </w:tc>
      </w:tr>
    </w:tbl>
    <w:p w14:paraId="1183F151" w14:textId="195F36D9" w:rsidR="007247B9" w:rsidRPr="00A35800" w:rsidDel="00EE2BBB" w:rsidRDefault="007408C7" w:rsidP="00BB1D3B">
      <w:pPr>
        <w:pStyle w:val="Notes"/>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r w:rsidR="0080485E" w:rsidDel="00EE2BBB">
        <w:t xml:space="preserve">  </w:t>
      </w:r>
      <w:r w:rsidR="0080485E" w:rsidRPr="0080485E" w:rsidDel="00EE2BBB">
        <w:t>If a Special Pricing Arrangement is in place this should be noted.</w:t>
      </w:r>
    </w:p>
    <w:p w14:paraId="1AFA1485" w14:textId="3186A599" w:rsidR="004C3186" w:rsidDel="00EE2BBB" w:rsidRDefault="004C3186" w:rsidP="00CF5E22">
      <w:pPr>
        <w:pStyle w:val="Heading3"/>
      </w:pPr>
      <w:r w:rsidDel="00EE2BBB">
        <w:t>Restriction</w:t>
      </w:r>
    </w:p>
    <w:p w14:paraId="082E8C2F" w14:textId="77777777" w:rsid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Advanced or metastatic gastro-oesophageal cancers</w:t>
      </w:r>
    </w:p>
    <w:p w14:paraId="1275E75D"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p>
    <w:p w14:paraId="7CC49D52"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b/>
          <w:bCs/>
          <w:color w:val="222222"/>
          <w:bdr w:val="none" w:sz="0" w:space="0" w:color="auto" w:frame="1"/>
        </w:rPr>
        <w:t>Clinical criteria:</w:t>
      </w:r>
    </w:p>
    <w:p w14:paraId="1DD4401D" w14:textId="77777777" w:rsidR="00A72E67" w:rsidRPr="00A72E67" w:rsidRDefault="00A72E67" w:rsidP="00A72E67">
      <w:pPr>
        <w:pStyle w:val="NormalWeb"/>
        <w:numPr>
          <w:ilvl w:val="0"/>
          <w:numId w:val="5"/>
        </w:numPr>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Patient must have/have had, at the time of initiating treatment with this drug, a WHO performance status no higher than 1,</w:t>
      </w:r>
    </w:p>
    <w:p w14:paraId="72AC4C9C" w14:textId="683799B0" w:rsidR="00A72E67" w:rsidRPr="00A72E67" w:rsidRDefault="00A72E67" w:rsidP="00C22EF3">
      <w:pPr>
        <w:pStyle w:val="NormalWeb"/>
        <w:shd w:val="clear" w:color="auto" w:fill="FFFFFF"/>
        <w:tabs>
          <w:tab w:val="right" w:pos="8957"/>
        </w:tabs>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b/>
          <w:bCs/>
          <w:color w:val="222222"/>
          <w:bdr w:val="none" w:sz="0" w:space="0" w:color="auto" w:frame="1"/>
        </w:rPr>
        <w:t>AND</w:t>
      </w:r>
      <w:r w:rsidR="00C22EF3">
        <w:rPr>
          <w:rFonts w:asciiTheme="minorHAnsi" w:hAnsiTheme="minorHAnsi" w:cstheme="minorHAnsi"/>
          <w:b/>
          <w:bCs/>
          <w:color w:val="222222"/>
          <w:bdr w:val="none" w:sz="0" w:space="0" w:color="auto" w:frame="1"/>
        </w:rPr>
        <w:tab/>
      </w:r>
    </w:p>
    <w:p w14:paraId="5703DFBA" w14:textId="77777777" w:rsidR="00A72E67" w:rsidRDefault="00A72E67" w:rsidP="00A72E67">
      <w:pPr>
        <w:pStyle w:val="NormalWeb"/>
        <w:numPr>
          <w:ilvl w:val="0"/>
          <w:numId w:val="6"/>
        </w:numPr>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Patient must be untreated (up until initiating this drug) with programmed cell death-1/ligand-1 (PD-1/PD-L1) inhibitor therapy for gastro-oesophageal cancer.</w:t>
      </w:r>
    </w:p>
    <w:p w14:paraId="4E7D4AB2"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p>
    <w:p w14:paraId="4AAAC181"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b/>
          <w:bCs/>
          <w:color w:val="222222"/>
          <w:bdr w:val="none" w:sz="0" w:space="0" w:color="auto" w:frame="1"/>
        </w:rPr>
        <w:t>Treatment criteria:</w:t>
      </w:r>
    </w:p>
    <w:p w14:paraId="13CE5106" w14:textId="77777777" w:rsidR="00A72E67" w:rsidRDefault="00A72E67" w:rsidP="00A72E67">
      <w:pPr>
        <w:pStyle w:val="NormalWeb"/>
        <w:numPr>
          <w:ilvl w:val="0"/>
          <w:numId w:val="7"/>
        </w:numPr>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 xml:space="preserve">Patient must not be undergoing treatment with this drug as a PBS benefit where the treatment duration extends beyond the following, whichever comes first: (i) disease </w:t>
      </w:r>
      <w:r w:rsidRPr="00A72E67">
        <w:rPr>
          <w:rFonts w:asciiTheme="minorHAnsi" w:hAnsiTheme="minorHAnsi" w:cstheme="minorHAnsi"/>
          <w:color w:val="222222"/>
        </w:rPr>
        <w:lastRenderedPageBreak/>
        <w:t>progression despite treatment with this drug, (ii) 24 months from treatment initiation; annotate any remaining repeat prescriptions with the word 'cancelled' where this occurs.</w:t>
      </w:r>
    </w:p>
    <w:p w14:paraId="2E49988D"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p>
    <w:p w14:paraId="6D0720E1"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b/>
          <w:bCs/>
          <w:color w:val="222222"/>
          <w:bdr w:val="none" w:sz="0" w:space="0" w:color="auto" w:frame="1"/>
        </w:rPr>
        <w:t>Population criteria:</w:t>
      </w:r>
    </w:p>
    <w:p w14:paraId="45853F70" w14:textId="77777777" w:rsidR="00A72E67" w:rsidRDefault="00A72E67" w:rsidP="00A72E67">
      <w:pPr>
        <w:pStyle w:val="NormalWeb"/>
        <w:numPr>
          <w:ilvl w:val="0"/>
          <w:numId w:val="8"/>
        </w:numPr>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Patient must be in one of the three population subsets described below.</w:t>
      </w:r>
    </w:p>
    <w:p w14:paraId="15175098"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p>
    <w:p w14:paraId="23DF9484"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b/>
          <w:bCs/>
          <w:color w:val="222222"/>
          <w:bdr w:val="none" w:sz="0" w:space="0" w:color="auto" w:frame="1"/>
        </w:rPr>
        <w:t>Population 1</w:t>
      </w:r>
    </w:p>
    <w:p w14:paraId="535143D9"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Conditions: gastric cancer, gastro-oesophageal junction cancer, oesophageal adenocarcinoma</w:t>
      </w:r>
    </w:p>
    <w:p w14:paraId="6FA4C900"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Concomitant therapies: chemotherapy containing at least a fluoropyrimidine drug plus a platinum drug</w:t>
      </w:r>
    </w:p>
    <w:p w14:paraId="1FBFF7CB"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Line of treatment: first-line drug treatment</w:t>
      </w:r>
    </w:p>
    <w:p w14:paraId="2291E4B7" w14:textId="77777777" w:rsid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Additional clinical finding: HER2 negative</w:t>
      </w:r>
    </w:p>
    <w:p w14:paraId="30ACDE87"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p>
    <w:p w14:paraId="51FFFC46"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b/>
          <w:bCs/>
          <w:color w:val="222222"/>
          <w:bdr w:val="none" w:sz="0" w:space="0" w:color="auto" w:frame="1"/>
        </w:rPr>
        <w:t>Population 2</w:t>
      </w:r>
    </w:p>
    <w:p w14:paraId="647DE152"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Condition: oesophageal squamous cell carcinoma (can be recurrent)</w:t>
      </w:r>
    </w:p>
    <w:p w14:paraId="4C39E31A"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Concomitant therapies: chemotherapy containing at least a fluoropyrimidine drug plus a platinum drug</w:t>
      </w:r>
    </w:p>
    <w:p w14:paraId="63CA2DE4"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Line of treatment: first-line drug treatment</w:t>
      </w:r>
    </w:p>
    <w:p w14:paraId="5E4F6EAD" w14:textId="77777777" w:rsid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Additional clinical finding: unresectable</w:t>
      </w:r>
    </w:p>
    <w:p w14:paraId="55D463EA"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p>
    <w:p w14:paraId="2855BD70"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b/>
          <w:bCs/>
          <w:color w:val="222222"/>
          <w:bdr w:val="none" w:sz="0" w:space="0" w:color="auto" w:frame="1"/>
        </w:rPr>
        <w:t>Population 3</w:t>
      </w:r>
    </w:p>
    <w:p w14:paraId="7C513C50"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Condition: oesophageal squamous cell carcinoma (can be recurrent)</w:t>
      </w:r>
    </w:p>
    <w:p w14:paraId="5383C5F8"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Line of treatment: second-line drug treatment after chemotherapy containing at least a fluoropyrimidine drug plus a platinum drug</w:t>
      </w:r>
    </w:p>
    <w:p w14:paraId="014E8D25" w14:textId="77777777" w:rsid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r w:rsidRPr="00A72E67">
        <w:rPr>
          <w:rFonts w:asciiTheme="minorHAnsi" w:hAnsiTheme="minorHAnsi" w:cstheme="minorHAnsi"/>
          <w:color w:val="222222"/>
        </w:rPr>
        <w:t>Additional clinical finding: unresectable</w:t>
      </w:r>
    </w:p>
    <w:p w14:paraId="36C4B79A" w14:textId="77777777" w:rsidR="00A72E67" w:rsidRPr="00A72E67" w:rsidRDefault="00A72E67" w:rsidP="00A72E67">
      <w:pPr>
        <w:pStyle w:val="NormalWeb"/>
        <w:shd w:val="clear" w:color="auto" w:fill="FFFFFF"/>
        <w:spacing w:before="0" w:beforeAutospacing="0" w:after="0" w:afterAutospacing="0" w:line="300" w:lineRule="atLeast"/>
        <w:rPr>
          <w:rFonts w:asciiTheme="minorHAnsi" w:hAnsiTheme="minorHAnsi" w:cstheme="minorHAnsi"/>
          <w:color w:val="222222"/>
        </w:rPr>
      </w:pPr>
    </w:p>
    <w:p w14:paraId="22433632" w14:textId="1CD36C01" w:rsidR="006775F1" w:rsidRPr="006775F1" w:rsidDel="00EE2BBB" w:rsidRDefault="006775F1" w:rsidP="00A35800">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18DBDED0" w14:textId="77777777" w:rsidR="00907CFF" w:rsidRDefault="00907CFF">
      <w:pPr>
        <w:spacing w:line="276" w:lineRule="auto"/>
        <w:rPr>
          <w:b/>
          <w:sz w:val="28"/>
        </w:rPr>
      </w:pPr>
      <w:r>
        <w:br w:type="page"/>
      </w:r>
    </w:p>
    <w:p w14:paraId="383E312E" w14:textId="20668A7F" w:rsidR="00736041" w:rsidRPr="005E22C2" w:rsidRDefault="00394AEE" w:rsidP="00CF5E22">
      <w:pPr>
        <w:pStyle w:val="Heading2"/>
      </w:pPr>
      <w:r>
        <w:lastRenderedPageBreak/>
        <w:t>Relevant aspects of</w:t>
      </w:r>
      <w:r w:rsidR="00736041" w:rsidRPr="005E22C2">
        <w:t xml:space="preserve"> consideration</w:t>
      </w:r>
      <w:r>
        <w:t xml:space="preserve"> by the Pharmaceutical Benefits Advisory Committee (PBAC)</w:t>
      </w:r>
    </w:p>
    <w:p w14:paraId="4CEC1BEC" w14:textId="09F4E31D" w:rsidR="003D3704" w:rsidRDefault="003D3704" w:rsidP="00D94863">
      <w:r w:rsidRPr="003D3704">
        <w:t>The</w:t>
      </w:r>
      <w:r w:rsidR="001520D8">
        <w:t xml:space="preserve"> submission was first considered by the</w:t>
      </w:r>
      <w:r w:rsidRPr="003D3704">
        <w:t xml:space="preserve"> PBAC</w:t>
      </w:r>
      <w:r w:rsidR="001520D8">
        <w:t xml:space="preserve"> </w:t>
      </w:r>
      <w:r w:rsidR="00F6243A">
        <w:t xml:space="preserve">at the </w:t>
      </w:r>
      <w:r w:rsidR="009E65D7">
        <w:t>November</w:t>
      </w:r>
      <w:r w:rsidR="00F6243A">
        <w:t xml:space="preserve"> 2021 meeting</w:t>
      </w:r>
      <w:r w:rsidR="000D3E03">
        <w:t xml:space="preserve"> and was not recommended</w:t>
      </w:r>
      <w:r w:rsidR="00F6243A">
        <w:t>. The PBAC</w:t>
      </w:r>
      <w:r w:rsidRPr="003D3704">
        <w:t xml:space="preserve"> considered the estimated patient numbers provided with the submission (with the addition of the &lt; 500 patients on compassionate access in the pre-PBAC response) were reasonable but noted there would be an impact on nivolumab utilisation should pembrolizumab be recommended for PBS listing in a similar population. </w:t>
      </w:r>
      <w:r w:rsidR="00DC09F1">
        <w:t>The PBAC also expressed a preference</w:t>
      </w:r>
      <w:r w:rsidR="00162101">
        <w:t xml:space="preserve"> for an aligned restriction </w:t>
      </w:r>
      <w:r w:rsidR="002C52B3">
        <w:t>across all gastric, gastro-o</w:t>
      </w:r>
      <w:r w:rsidR="000C254C">
        <w:t>e</w:t>
      </w:r>
      <w:r w:rsidR="002C52B3">
        <w:t xml:space="preserve">sophageal junction </w:t>
      </w:r>
      <w:r w:rsidR="000C254C">
        <w:t>and o</w:t>
      </w:r>
      <w:r w:rsidR="002A463C">
        <w:t>e</w:t>
      </w:r>
      <w:r w:rsidR="000C254C">
        <w:t>sophageal cancers</w:t>
      </w:r>
      <w:r w:rsidR="002A463C">
        <w:t xml:space="preserve">. </w:t>
      </w:r>
    </w:p>
    <w:p w14:paraId="70539E18" w14:textId="052A1E49" w:rsidR="00D94863" w:rsidRDefault="00D94863" w:rsidP="00D94863">
      <w:r>
        <w:t xml:space="preserve">For further details refer to </w:t>
      </w:r>
      <w:r w:rsidRPr="00F65F0D">
        <w:t xml:space="preserve">the </w:t>
      </w:r>
      <w:hyperlink r:id="rId12" w:history="1">
        <w:r w:rsidR="00585068">
          <w:rPr>
            <w:rStyle w:val="Hyperlink"/>
          </w:rPr>
          <w:t>November</w:t>
        </w:r>
        <w:r w:rsidR="006A6E1F" w:rsidRPr="006A6E1F">
          <w:rPr>
            <w:rStyle w:val="Hyperlink"/>
          </w:rPr>
          <w:t xml:space="preserve"> 2021</w:t>
        </w:r>
        <w:r w:rsidRPr="006A6E1F">
          <w:rPr>
            <w:rStyle w:val="Hyperlink"/>
          </w:rPr>
          <w:t xml:space="preserve"> PBAC</w:t>
        </w:r>
      </w:hyperlink>
      <w:r>
        <w:t xml:space="preserve"> meeting.</w:t>
      </w:r>
    </w:p>
    <w:p w14:paraId="08B15958" w14:textId="2C70A410" w:rsidR="006A6E1F" w:rsidRDefault="008B65E9" w:rsidP="00D94863">
      <w:r>
        <w:t>A resubmission was considered by the</w:t>
      </w:r>
      <w:r w:rsidRPr="003D3704">
        <w:t xml:space="preserve"> PBAC</w:t>
      </w:r>
      <w:r>
        <w:t xml:space="preserve"> </w:t>
      </w:r>
      <w:r w:rsidR="00F44731">
        <w:t xml:space="preserve">out of session </w:t>
      </w:r>
      <w:r>
        <w:t xml:space="preserve">at the </w:t>
      </w:r>
      <w:r w:rsidR="007943CE">
        <w:t>March</w:t>
      </w:r>
      <w:r>
        <w:t xml:space="preserve"> 202</w:t>
      </w:r>
      <w:r w:rsidR="007943CE">
        <w:t>2</w:t>
      </w:r>
      <w:r>
        <w:t xml:space="preserve"> meeting however no substantial changes were made to the financial estimates. </w:t>
      </w:r>
      <w:r w:rsidR="00475F11">
        <w:t>The</w:t>
      </w:r>
      <w:r w:rsidR="00797B80">
        <w:t xml:space="preserve"> PBAC </w:t>
      </w:r>
      <w:r w:rsidR="00CD697A">
        <w:t>recommended the</w:t>
      </w:r>
      <w:r w:rsidR="00475F11">
        <w:t xml:space="preserve"> submission </w:t>
      </w:r>
      <w:r w:rsidR="00CD697A">
        <w:t>with an aligned restriction criteria</w:t>
      </w:r>
      <w:r w:rsidR="000F4B5A">
        <w:t xml:space="preserve"> for all ‘gastric-oesophageal cancers’</w:t>
      </w:r>
      <w:r w:rsidR="00475F11">
        <w:t xml:space="preserve">. </w:t>
      </w:r>
    </w:p>
    <w:p w14:paraId="4E662037" w14:textId="05D64D42" w:rsidR="008B65E9" w:rsidRDefault="008B65E9" w:rsidP="008B65E9">
      <w:r>
        <w:t xml:space="preserve">For further details refer to </w:t>
      </w:r>
      <w:r w:rsidRPr="00F65F0D">
        <w:t xml:space="preserve">the </w:t>
      </w:r>
      <w:hyperlink r:id="rId13" w:history="1">
        <w:r w:rsidRPr="006A6E1F">
          <w:rPr>
            <w:rStyle w:val="Hyperlink"/>
          </w:rPr>
          <w:t>March 202</w:t>
        </w:r>
        <w:r w:rsidR="002A463C">
          <w:rPr>
            <w:rStyle w:val="Hyperlink"/>
          </w:rPr>
          <w:t>2</w:t>
        </w:r>
        <w:r w:rsidRPr="006A6E1F">
          <w:rPr>
            <w:rStyle w:val="Hyperlink"/>
          </w:rPr>
          <w:t xml:space="preserve"> PBAC</w:t>
        </w:r>
      </w:hyperlink>
      <w:r>
        <w:t xml:space="preserve"> meeting.</w:t>
      </w:r>
    </w:p>
    <w:p w14:paraId="51008CD0" w14:textId="3E38F39E" w:rsidR="008B65E9" w:rsidRDefault="00F22DD6" w:rsidP="008865CB">
      <w:r>
        <w:t>The PBAC</w:t>
      </w:r>
      <w:r w:rsidR="002613CE">
        <w:t xml:space="preserve"> recommended a submission for </w:t>
      </w:r>
      <w:r w:rsidR="0072459A">
        <w:t xml:space="preserve">nivolumab </w:t>
      </w:r>
      <w:r w:rsidR="0021579B">
        <w:t>for second line treatment of o</w:t>
      </w:r>
      <w:r w:rsidR="00186174">
        <w:t xml:space="preserve">ral squamous cell carcinoma </w:t>
      </w:r>
      <w:r w:rsidR="000512B5">
        <w:t>in the March 2022 meeting and th</w:t>
      </w:r>
      <w:r w:rsidR="00E535B6">
        <w:t xml:space="preserve">is was also recommended to be aligned with the overall gastric-oesophageal restriction. </w:t>
      </w:r>
    </w:p>
    <w:p w14:paraId="31FB707D" w14:textId="10384C42" w:rsidR="00E535B6" w:rsidRDefault="00E535B6" w:rsidP="008865CB">
      <w:r>
        <w:t xml:space="preserve">For further details refer to the </w:t>
      </w:r>
      <w:hyperlink r:id="rId14" w:history="1">
        <w:r w:rsidRPr="00E535B6">
          <w:rPr>
            <w:rStyle w:val="Hyperlink"/>
          </w:rPr>
          <w:t>March 2022 PBAC</w:t>
        </w:r>
      </w:hyperlink>
      <w:r>
        <w:t xml:space="preserve"> meeting. </w:t>
      </w:r>
    </w:p>
    <w:p w14:paraId="74954F6C" w14:textId="77777777" w:rsidR="008B65E9" w:rsidRPr="00F65F0D" w:rsidRDefault="008B65E9" w:rsidP="00D94863"/>
    <w:p w14:paraId="1AB1D94A" w14:textId="01B34204" w:rsidR="00E40552"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54BFFEE2" w14:textId="5A930257" w:rsidR="00E40552" w:rsidRPr="00E40552" w:rsidRDefault="00E40552" w:rsidP="00E40552">
      <w:r>
        <w:t xml:space="preserve">The </w:t>
      </w:r>
      <w:r w:rsidR="00496701">
        <w:t xml:space="preserve">March 2021 submission for nivolumab used an epidemiological approach to estimating use and financial implications. </w:t>
      </w:r>
      <w:r w:rsidR="009A4D0D">
        <w:t>The number of persons diagnosed with GC</w:t>
      </w:r>
      <w:r w:rsidR="009F5C98">
        <w:t>,</w:t>
      </w:r>
      <w:r w:rsidR="009A4D0D">
        <w:t xml:space="preserve"> GOJC </w:t>
      </w:r>
      <w:r w:rsidR="009F5C98">
        <w:t xml:space="preserve">or OC were estimated based on </w:t>
      </w:r>
      <w:r w:rsidR="007E2083">
        <w:t>data from the Australian Institute of Health and Welfare</w:t>
      </w:r>
      <w:r w:rsidR="0059275C">
        <w:t xml:space="preserve"> (AIHW)</w:t>
      </w:r>
      <w:r w:rsidR="007E2083">
        <w:t>. Th</w:t>
      </w:r>
      <w:r w:rsidR="007C6D84">
        <w:t xml:space="preserve">e proportion of patients with </w:t>
      </w:r>
      <w:r w:rsidR="001F4575">
        <w:t xml:space="preserve">diagnosed with advanced or metastatic disease and </w:t>
      </w:r>
      <w:r w:rsidR="00E96811">
        <w:t xml:space="preserve">non-HER2 positive was then applied using </w:t>
      </w:r>
      <w:r w:rsidR="007664CE">
        <w:t xml:space="preserve">literature and </w:t>
      </w:r>
      <w:r w:rsidR="0002398D">
        <w:t xml:space="preserve">advisory board recommendations. </w:t>
      </w:r>
    </w:p>
    <w:p w14:paraId="0312FFEC" w14:textId="5C6A9662" w:rsidR="00E677DD" w:rsidRPr="005E22C2" w:rsidRDefault="00E677DD" w:rsidP="00CF5E22">
      <w:pPr>
        <w:pStyle w:val="Heading1"/>
      </w:pPr>
      <w:r w:rsidRPr="005E22C2">
        <w:t>Method</w:t>
      </w:r>
      <w:r w:rsidR="001B5D37" w:rsidRPr="005E22C2">
        <w:t>s</w:t>
      </w:r>
    </w:p>
    <w:p w14:paraId="1E4E1AFB" w14:textId="4D6DFDB0" w:rsidR="00D64F61" w:rsidRDefault="00D64F61" w:rsidP="00D64F61">
      <w:r>
        <w:t xml:space="preserve">Data from 1 October 2022 to 31 March 2025 were extracted from the PBS data maintained by Department of Health and Aged Care, processed by Services Australia on or before </w:t>
      </w:r>
      <w:r w:rsidR="006C7286">
        <w:br/>
      </w:r>
      <w:r>
        <w:t>1</w:t>
      </w:r>
      <w:r w:rsidR="00AC5842">
        <w:t>0</w:t>
      </w:r>
      <w:r>
        <w:t xml:space="preserve"> </w:t>
      </w:r>
      <w:r w:rsidR="00AC5842">
        <w:t>April</w:t>
      </w:r>
      <w:r>
        <w:t xml:space="preserve"> 202</w:t>
      </w:r>
      <w:r w:rsidR="00AC5842">
        <w:t>5</w:t>
      </w:r>
      <w:r>
        <w:t xml:space="preserve"> for the PBS item codes corresponding to the listings of nivolumab for </w:t>
      </w:r>
      <w:r w:rsidR="00AC5842">
        <w:t>advanced or metastatic gastric cancers</w:t>
      </w:r>
      <w:r>
        <w:t xml:space="preserve">. </w:t>
      </w:r>
    </w:p>
    <w:p w14:paraId="356DCE6D" w14:textId="3F978FEE" w:rsidR="00D64F61" w:rsidRDefault="00D64F61" w:rsidP="00D64F61">
      <w:r>
        <w:t xml:space="preserve">PBS prescription data were used to determine the number of prescriptions supplied and the PBS expenditure based on the published list prices. These data were also used to count the number of patients, both incident (new to treatment) and prevalent (number treated in each time period, i.e. year or quarter). </w:t>
      </w:r>
    </w:p>
    <w:p w14:paraId="5094EAC3" w14:textId="77777777" w:rsidR="00D64F61" w:rsidRDefault="00D64F61" w:rsidP="00D64F61">
      <w:r>
        <w:lastRenderedPageBreak/>
        <w:t xml:space="preserve">PBS prescription data also contains age and gender information. This information was used to perform a breakdown of prevalent patients by age and gender. </w:t>
      </w:r>
    </w:p>
    <w:p w14:paraId="7BFF1965" w14:textId="4E76CA46" w:rsidR="00D64F61" w:rsidRDefault="00D64F61" w:rsidP="00D64F61">
      <w:r>
        <w:t xml:space="preserve">The Kaplan-Meier method was used to determine the length of treatment for patients on nivolumab. A break in treatment was defined as a gap of more than three times the median time between supplies. A patient was deemed to be continuing treatment (classified as censored in the Kaplan-Meier analysis) at the end of the data period (i.e. the end of </w:t>
      </w:r>
      <w:r w:rsidR="00053D77">
        <w:t>March</w:t>
      </w:r>
      <w:r>
        <w:t xml:space="preserve"> 202</w:t>
      </w:r>
      <w:r w:rsidR="00053D77">
        <w:t>5</w:t>
      </w:r>
      <w:r>
        <w:t>) if their last prescription was within three times the median time to resupply of this end date. Otherwise the patient was deemed to have ceased treatment with the treatment coverage end date being the supply date of their last prescription plus a median time to resupply. If a patient’s supply was after a gap of more than three times the median time to resupply, then the patient was deemed to have been re-treated.</w:t>
      </w:r>
    </w:p>
    <w:p w14:paraId="5EC13746" w14:textId="347C10D4" w:rsidR="004D0E93" w:rsidRDefault="00773CCB" w:rsidP="002E0533">
      <w:pPr>
        <w:rPr>
          <w:rFonts w:eastAsia="Calibri" w:cs="Times New Roman"/>
        </w:rPr>
      </w:pPr>
      <w:r>
        <w:rPr>
          <w:rFonts w:eastAsia="Calibri" w:cs="Times New Roman"/>
        </w:rPr>
        <w:t xml:space="preserve">The </w:t>
      </w:r>
      <w:r w:rsidR="00671896">
        <w:rPr>
          <w:rFonts w:eastAsia="Calibri" w:cs="Times New Roman"/>
        </w:rPr>
        <w:t xml:space="preserve">Kaplan-Meier method was repeated for all medicines </w:t>
      </w:r>
      <w:r w:rsidR="007C30AC">
        <w:rPr>
          <w:rFonts w:eastAsia="Calibri" w:cs="Times New Roman"/>
        </w:rPr>
        <w:t xml:space="preserve">currently PBS listed for gastric-cancers </w:t>
      </w:r>
      <w:r w:rsidR="00651164">
        <w:rPr>
          <w:rFonts w:eastAsia="Calibri" w:cs="Times New Roman"/>
        </w:rPr>
        <w:t xml:space="preserve">and the </w:t>
      </w:r>
      <w:r w:rsidR="00ED04D5">
        <w:rPr>
          <w:rFonts w:eastAsia="Calibri" w:cs="Times New Roman"/>
        </w:rPr>
        <w:t xml:space="preserve">interquartile range, median and mean time on treatments were used to inform an estimate of the cost per treatment course of each medication. This estimate was </w:t>
      </w:r>
      <w:r w:rsidR="0030088D">
        <w:rPr>
          <w:rFonts w:eastAsia="Calibri" w:cs="Times New Roman"/>
        </w:rPr>
        <w:t>done</w:t>
      </w:r>
      <w:r w:rsidR="00ED04D5">
        <w:rPr>
          <w:rFonts w:eastAsia="Calibri" w:cs="Times New Roman"/>
        </w:rPr>
        <w:t xml:space="preserve"> </w:t>
      </w:r>
      <w:r w:rsidR="0030088D">
        <w:rPr>
          <w:rFonts w:eastAsia="Calibri" w:cs="Times New Roman"/>
        </w:rPr>
        <w:t xml:space="preserve">using </w:t>
      </w:r>
      <w:r w:rsidR="00ED04D5">
        <w:rPr>
          <w:rFonts w:eastAsia="Calibri" w:cs="Times New Roman"/>
        </w:rPr>
        <w:t>the most commonly dispensed item code</w:t>
      </w:r>
      <w:r w:rsidR="0030088D">
        <w:rPr>
          <w:rFonts w:eastAsia="Calibri" w:cs="Times New Roman"/>
        </w:rPr>
        <w:t xml:space="preserve"> and </w:t>
      </w:r>
      <w:r w:rsidR="004D0E93">
        <w:rPr>
          <w:rFonts w:eastAsia="Calibri" w:cs="Times New Roman"/>
        </w:rPr>
        <w:t xml:space="preserve">median </w:t>
      </w:r>
      <w:r w:rsidR="0030088D">
        <w:rPr>
          <w:rFonts w:eastAsia="Calibri" w:cs="Times New Roman"/>
        </w:rPr>
        <w:t>quantity</w:t>
      </w:r>
      <w:r w:rsidR="00FD34F5">
        <w:rPr>
          <w:rFonts w:eastAsia="Calibri" w:cs="Times New Roman"/>
        </w:rPr>
        <w:t xml:space="preserve"> which was then applied to the currently listed Dispensed Price Maximum Quantity (DPMQ) for that item code available on the PBS website. </w:t>
      </w:r>
    </w:p>
    <w:p w14:paraId="54DC3294" w14:textId="1E9B9E32" w:rsidR="002E0533" w:rsidRPr="002E0533" w:rsidRDefault="002E0533" w:rsidP="002E0533">
      <w:pPr>
        <w:rPr>
          <w:rFonts w:eastAsia="Calibri" w:cs="Times New Roman"/>
        </w:rPr>
      </w:pPr>
      <w:r>
        <w:rPr>
          <w:rFonts w:eastAsia="Calibri" w:cs="Times New Roman"/>
        </w:rPr>
        <w:t xml:space="preserve">Date of death data was provided by </w:t>
      </w:r>
      <w:r w:rsidR="009800ED">
        <w:rPr>
          <w:rFonts w:eastAsia="Calibri" w:cs="Times New Roman"/>
        </w:rPr>
        <w:t>Services Australia and current up to 31</w:t>
      </w:r>
      <w:r w:rsidR="009800ED" w:rsidRPr="009800ED">
        <w:rPr>
          <w:rFonts w:eastAsia="Calibri" w:cs="Times New Roman"/>
          <w:vertAlign w:val="superscript"/>
        </w:rPr>
        <w:t>st</w:t>
      </w:r>
      <w:r w:rsidR="009800ED">
        <w:rPr>
          <w:rFonts w:eastAsia="Calibri" w:cs="Times New Roman"/>
        </w:rPr>
        <w:t xml:space="preserve"> August 2024. The number of patients utilising nivolumab for </w:t>
      </w:r>
      <w:r w:rsidR="00A10C17">
        <w:rPr>
          <w:rFonts w:eastAsia="Calibri" w:cs="Times New Roman"/>
        </w:rPr>
        <w:t xml:space="preserve">advanced or metastatic cancer </w:t>
      </w:r>
      <w:r w:rsidR="000F2120">
        <w:rPr>
          <w:rFonts w:eastAsia="Calibri" w:cs="Times New Roman"/>
        </w:rPr>
        <w:t xml:space="preserve">were then </w:t>
      </w:r>
      <w:r w:rsidR="00183ED9">
        <w:rPr>
          <w:rFonts w:eastAsia="Calibri" w:cs="Times New Roman"/>
        </w:rPr>
        <w:t xml:space="preserve">compared with the date of death data </w:t>
      </w:r>
      <w:r w:rsidR="009837D8">
        <w:rPr>
          <w:rFonts w:eastAsia="Calibri" w:cs="Times New Roman"/>
        </w:rPr>
        <w:t xml:space="preserve">to ascertain the number of patients who had passed away. </w:t>
      </w:r>
    </w:p>
    <w:p w14:paraId="5FD1BE76" w14:textId="61500759" w:rsidR="004D0E93" w:rsidRDefault="004D0E93">
      <w:pPr>
        <w:spacing w:line="276" w:lineRule="auto"/>
        <w:rPr>
          <w:rFonts w:eastAsiaTheme="majorEastAsia" w:cstheme="majorBidi"/>
          <w:b/>
          <w:bCs/>
          <w:sz w:val="32"/>
          <w:szCs w:val="32"/>
        </w:rPr>
      </w:pPr>
      <w:r>
        <w:br w:type="page"/>
      </w:r>
    </w:p>
    <w:p w14:paraId="4F91A98A" w14:textId="2349C330"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CF5E22">
      <w:pPr>
        <w:pStyle w:val="Heading3"/>
      </w:pPr>
      <w:r w:rsidRPr="005E22C2">
        <w:t>Overall utilisation</w:t>
      </w:r>
    </w:p>
    <w:p w14:paraId="5114CC1E" w14:textId="2C3A705F" w:rsidR="009F6083" w:rsidRDefault="009F6083" w:rsidP="00FE645A">
      <w:pPr>
        <w:pStyle w:val="Figurecaption"/>
        <w:rPr>
          <w:highlight w:val="green"/>
        </w:rPr>
      </w:pPr>
      <w:r>
        <w:rPr>
          <w:noProof/>
        </w:rPr>
        <w:drawing>
          <wp:inline distT="0" distB="0" distL="0" distR="0" wp14:anchorId="58F5BD0F" wp14:editId="494996A5">
            <wp:extent cx="5687695" cy="4009390"/>
            <wp:effectExtent l="0" t="0" r="8255" b="10160"/>
            <wp:docPr id="395873322" name="Chart 1" descr=": Utilisation of nivolumab for the treatment of advanced or metastatic gastric-oesophageal cancers">
              <a:extLst xmlns:a="http://schemas.openxmlformats.org/drawingml/2006/main">
                <a:ext uri="{FF2B5EF4-FFF2-40B4-BE49-F238E27FC236}">
                  <a16:creationId xmlns:a16="http://schemas.microsoft.com/office/drawing/2014/main" id="{E47460C3-E843-513B-4405-2E18E388CA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BAC8FA" w14:textId="60FA18B6" w:rsidR="00752825" w:rsidRDefault="00B92A4C" w:rsidP="00B92A4C">
      <w:pPr>
        <w:pStyle w:val="Figuretitle"/>
      </w:pPr>
      <w:r>
        <w:t>Figure 1: Utilisation of nivolumab for the treatment of</w:t>
      </w:r>
      <w:r w:rsidR="007C30AC">
        <w:t xml:space="preserve"> advanced or metastatic</w:t>
      </w:r>
      <w:r>
        <w:t xml:space="preserve"> gastr</w:t>
      </w:r>
      <w:r w:rsidR="007C30AC">
        <w:t>ic</w:t>
      </w:r>
      <w:r>
        <w:t>-</w:t>
      </w:r>
      <w:r w:rsidR="004D5594">
        <w:t>oesophageal</w:t>
      </w:r>
      <w:r>
        <w:t xml:space="preserve"> cancers</w:t>
      </w:r>
    </w:p>
    <w:p w14:paraId="6A85E3C5" w14:textId="5F92E707" w:rsidR="00B92A4C" w:rsidRDefault="00516469" w:rsidP="007C6401">
      <w:r>
        <w:t xml:space="preserve">Prescription data between 2022Q4 to 2025Q1 presented as prevalent and initiating patients utilising the PBS item codes related to </w:t>
      </w:r>
      <w:r w:rsidR="002F401A">
        <w:t>oesophageal</w:t>
      </w:r>
      <w:r w:rsidR="00093EFB">
        <w:t xml:space="preserve"> </w:t>
      </w:r>
      <w:r w:rsidR="00770219">
        <w:t>cancers</w:t>
      </w:r>
      <w:r>
        <w:t xml:space="preserve"> for nivolumab</w:t>
      </w:r>
      <w:r w:rsidR="00D36BF5">
        <w:t xml:space="preserve"> (excluding adjuvant treatments)</w:t>
      </w:r>
      <w:r>
        <w:t xml:space="preserve"> can be seen in Figure 1. The number of prevalent patients has increased steadily from </w:t>
      </w:r>
      <w:r w:rsidR="00EF2AB4">
        <w:t>589</w:t>
      </w:r>
      <w:r>
        <w:t xml:space="preserve"> in the first quarter of listing to </w:t>
      </w:r>
      <w:r w:rsidR="0031447E">
        <w:t>1,029</w:t>
      </w:r>
      <w:r>
        <w:t xml:space="preserve"> by 202</w:t>
      </w:r>
      <w:r w:rsidR="0031447E">
        <w:t>5</w:t>
      </w:r>
      <w:r>
        <w:t>Q</w:t>
      </w:r>
      <w:r w:rsidR="0031447E">
        <w:t>1</w:t>
      </w:r>
      <w:r>
        <w:t xml:space="preserve"> while the number of initiating patients has </w:t>
      </w:r>
      <w:r w:rsidR="00344BEC">
        <w:t xml:space="preserve">been approximately </w:t>
      </w:r>
      <w:r w:rsidR="00CC1AC5">
        <w:t>280-300</w:t>
      </w:r>
      <w:r>
        <w:t xml:space="preserve"> per quarter </w:t>
      </w:r>
      <w:r w:rsidR="00CC1AC5">
        <w:t>from the second quarter of listing</w:t>
      </w:r>
      <w:r>
        <w:t xml:space="preserve">. </w:t>
      </w:r>
      <w:r w:rsidR="00E43355">
        <w:t xml:space="preserve">Both the number of prevalent patients </w:t>
      </w:r>
      <w:r w:rsidR="00237291">
        <w:t xml:space="preserve">and prescriptions </w:t>
      </w:r>
      <w:r w:rsidR="00E43355">
        <w:t xml:space="preserve">per quarter </w:t>
      </w:r>
      <w:r w:rsidR="00237291">
        <w:t>have appeared to plateau</w:t>
      </w:r>
      <w:r w:rsidR="005C310D">
        <w:t xml:space="preserve">. </w:t>
      </w:r>
    </w:p>
    <w:p w14:paraId="148BB8FB" w14:textId="2CACC707" w:rsidR="00591E4A" w:rsidRDefault="00736041" w:rsidP="00CF5E22">
      <w:pPr>
        <w:pStyle w:val="Heading3"/>
      </w:pPr>
      <w:r w:rsidRPr="005E22C2">
        <w:lastRenderedPageBreak/>
        <w:t>Utilisation by relevant sub-populations/regions</w:t>
      </w:r>
      <w:r w:rsidR="001B5D37" w:rsidRPr="005E22C2">
        <w:t xml:space="preserve"> or patient level analysis</w:t>
      </w:r>
      <w:r w:rsidR="006545EC">
        <w:rPr>
          <w:noProof/>
        </w:rPr>
        <w:drawing>
          <wp:inline distT="0" distB="0" distL="0" distR="0" wp14:anchorId="1C0541C9" wp14:editId="6ED615F0">
            <wp:extent cx="5687695" cy="4001135"/>
            <wp:effectExtent l="0" t="0" r="8255" b="18415"/>
            <wp:docPr id="1401916482" name="Chart 1" descr="Age and gender distribution of patients initiating nivolumab for the treatment of advanced or metastatic gastric-oesophageal cancers">
              <a:extLst xmlns:a="http://schemas.openxmlformats.org/drawingml/2006/main">
                <a:ext uri="{FF2B5EF4-FFF2-40B4-BE49-F238E27FC236}">
                  <a16:creationId xmlns:a16="http://schemas.microsoft.com/office/drawing/2014/main" id="{4C30B667-B3ED-D7A3-47B6-39626F7F90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CA19A3" w14:textId="370581EA" w:rsidR="003E2C26" w:rsidRDefault="003E2C26" w:rsidP="003E2C26">
      <w:pPr>
        <w:pStyle w:val="Figuretitle"/>
      </w:pPr>
      <w:r>
        <w:t xml:space="preserve">Figure 2: Age and gender distribution of patients initiating nivolumab for </w:t>
      </w:r>
      <w:r w:rsidR="007C30AC">
        <w:t>the treatment of advanced or metastatic gastric-oesophageal cancers</w:t>
      </w:r>
    </w:p>
    <w:p w14:paraId="50467AC6" w14:textId="5C7D0B5A" w:rsidR="003E2C26" w:rsidRDefault="003E2C26" w:rsidP="003E2C26">
      <w:r>
        <w:t xml:space="preserve">The age and gender distribution for patients initiating on nivolumab can be seen in Figure 3. There were </w:t>
      </w:r>
      <w:r w:rsidR="00DC0A9B">
        <w:t>3</w:t>
      </w:r>
      <w:r>
        <w:t>,</w:t>
      </w:r>
      <w:r w:rsidR="00DC0A9B">
        <w:t>301</w:t>
      </w:r>
      <w:r>
        <w:t xml:space="preserve"> unique patients by 202</w:t>
      </w:r>
      <w:r w:rsidR="00DC0A9B">
        <w:t>5</w:t>
      </w:r>
      <w:r>
        <w:t>Q</w:t>
      </w:r>
      <w:r w:rsidR="00DC0A9B">
        <w:t>1</w:t>
      </w:r>
      <w:r>
        <w:t xml:space="preserve"> and the majority were classified as males (</w:t>
      </w:r>
      <w:r w:rsidR="001C2BAF">
        <w:t>2,387</w:t>
      </w:r>
      <w:r>
        <w:t xml:space="preserve">) with a median age of </w:t>
      </w:r>
      <w:r w:rsidR="00D1262B">
        <w:t>68</w:t>
      </w:r>
      <w:r>
        <w:t xml:space="preserve"> years. The remaining </w:t>
      </w:r>
      <w:r w:rsidR="001C2BAF">
        <w:t>914</w:t>
      </w:r>
      <w:r>
        <w:t xml:space="preserve"> patients were classified as female and had a median age of </w:t>
      </w:r>
      <w:r w:rsidR="00926C1C">
        <w:t>67</w:t>
      </w:r>
      <w:r>
        <w:t xml:space="preserve"> years.  </w:t>
      </w:r>
    </w:p>
    <w:p w14:paraId="213178D1" w14:textId="652B5F1A" w:rsidR="007C6401" w:rsidRDefault="007D08AC" w:rsidP="007C6401">
      <w:r w:rsidRPr="007D08AC">
        <w:rPr>
          <w:noProof/>
        </w:rPr>
        <w:lastRenderedPageBreak/>
        <w:drawing>
          <wp:inline distT="0" distB="0" distL="0" distR="0" wp14:anchorId="4BEC4F8C" wp14:editId="7E1B1EA6">
            <wp:extent cx="5687695" cy="4231005"/>
            <wp:effectExtent l="0" t="0" r="8255" b="0"/>
            <wp:docPr id="229481430" name="Picture 1" descr="Dose distribution for all nivolumab prescri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81430" name="Picture 1" descr="Dose distribution for all nivolumab prescriptions"/>
                    <pic:cNvPicPr/>
                  </pic:nvPicPr>
                  <pic:blipFill>
                    <a:blip r:embed="rId17"/>
                    <a:stretch>
                      <a:fillRect/>
                    </a:stretch>
                  </pic:blipFill>
                  <pic:spPr>
                    <a:xfrm>
                      <a:off x="0" y="0"/>
                      <a:ext cx="5687695" cy="4231005"/>
                    </a:xfrm>
                    <a:prstGeom prst="rect">
                      <a:avLst/>
                    </a:prstGeom>
                  </pic:spPr>
                </pic:pic>
              </a:graphicData>
            </a:graphic>
          </wp:inline>
        </w:drawing>
      </w:r>
    </w:p>
    <w:p w14:paraId="4373144F" w14:textId="5B052D87" w:rsidR="00780AD5" w:rsidRDefault="00780AD5" w:rsidP="00780AD5">
      <w:pPr>
        <w:pStyle w:val="Figuretitle"/>
      </w:pPr>
      <w:r>
        <w:t>Figure 3: Dose distribution for all nivolumab prescriptions</w:t>
      </w:r>
    </w:p>
    <w:p w14:paraId="74C84E5C" w14:textId="3CD28926" w:rsidR="00780AD5" w:rsidRPr="007C6401" w:rsidRDefault="00780AD5" w:rsidP="00780AD5">
      <w:r>
        <w:t xml:space="preserve">Approximately 76% of nivolumab prescriptions were dispensed according to the flat-dosing regimen of 240mg and the remaining </w:t>
      </w:r>
      <w:r w:rsidR="00ED48DB">
        <w:t xml:space="preserve">24% was split evenly with </w:t>
      </w:r>
      <w:r>
        <w:t xml:space="preserve">the </w:t>
      </w:r>
      <w:r w:rsidR="00ED48DB">
        <w:t>360</w:t>
      </w:r>
      <w:r>
        <w:t>mg</w:t>
      </w:r>
      <w:r w:rsidR="00ED48DB">
        <w:t xml:space="preserve"> and 480mg</w:t>
      </w:r>
      <w:r>
        <w:t xml:space="preserve"> flat-dosing regimen (Figure </w:t>
      </w:r>
      <w:r w:rsidR="00ED48DB">
        <w:t>3</w:t>
      </w:r>
      <w:r>
        <w:t xml:space="preserve">).  </w:t>
      </w:r>
    </w:p>
    <w:p w14:paraId="2AB320B5" w14:textId="3C2F8407" w:rsidR="00591E4A" w:rsidRDefault="00767874" w:rsidP="00591E4A">
      <w:r>
        <w:rPr>
          <w:noProof/>
        </w:rPr>
        <w:lastRenderedPageBreak/>
        <w:drawing>
          <wp:inline distT="0" distB="0" distL="0" distR="0" wp14:anchorId="05E8D67D" wp14:editId="25F9D25F">
            <wp:extent cx="5687695" cy="4248150"/>
            <wp:effectExtent l="0" t="0" r="8255" b="0"/>
            <wp:docPr id="2" name="Picture 1" descr=": Kaplan-Meier analysis of the time on treatment of patients supplied nivolumab for gastric-oesophageal cancers including treatment breaks ">
              <a:extLst xmlns:a="http://schemas.openxmlformats.org/drawingml/2006/main">
                <a:ext uri="{FF2B5EF4-FFF2-40B4-BE49-F238E27FC236}">
                  <a16:creationId xmlns:a16="http://schemas.microsoft.com/office/drawing/2014/main" id="{A029FD28-BA70-F5C3-BAD2-5BE591BDC0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Kaplan-Meier analysis of the time on treatment of patients supplied nivolumab for gastric-oesophageal cancers including treatment breaks ">
                      <a:extLst>
                        <a:ext uri="{FF2B5EF4-FFF2-40B4-BE49-F238E27FC236}">
                          <a16:creationId xmlns:a16="http://schemas.microsoft.com/office/drawing/2014/main" id="{A029FD28-BA70-F5C3-BAD2-5BE591BDC031}"/>
                        </a:ext>
                      </a:extLst>
                    </pic:cNvPr>
                    <pic:cNvPicPr>
                      <a:picLocks noChangeAspect="1"/>
                    </pic:cNvPicPr>
                  </pic:nvPicPr>
                  <pic:blipFill>
                    <a:blip r:embed="rId18"/>
                    <a:stretch>
                      <a:fillRect/>
                    </a:stretch>
                  </pic:blipFill>
                  <pic:spPr>
                    <a:xfrm>
                      <a:off x="0" y="0"/>
                      <a:ext cx="5687695" cy="4248150"/>
                    </a:xfrm>
                    <a:prstGeom prst="rect">
                      <a:avLst/>
                    </a:prstGeom>
                  </pic:spPr>
                </pic:pic>
              </a:graphicData>
            </a:graphic>
          </wp:inline>
        </w:drawing>
      </w:r>
    </w:p>
    <w:tbl>
      <w:tblPr>
        <w:tblStyle w:val="TableGrid"/>
        <w:tblW w:w="0" w:type="auto"/>
        <w:tblLook w:val="04A0" w:firstRow="1" w:lastRow="0" w:firstColumn="1" w:lastColumn="0" w:noHBand="0" w:noVBand="1"/>
      </w:tblPr>
      <w:tblGrid>
        <w:gridCol w:w="1353"/>
        <w:gridCol w:w="1262"/>
        <w:gridCol w:w="1264"/>
        <w:gridCol w:w="1264"/>
        <w:gridCol w:w="1267"/>
        <w:gridCol w:w="1267"/>
        <w:gridCol w:w="1270"/>
      </w:tblGrid>
      <w:tr w:rsidR="00387CB9" w14:paraId="10066FF6" w14:textId="77777777" w:rsidTr="00E73F52">
        <w:tc>
          <w:tcPr>
            <w:tcW w:w="1353" w:type="dxa"/>
            <w:vMerge w:val="restart"/>
            <w:shd w:val="clear" w:color="auto" w:fill="D9D9D9" w:themeFill="background1" w:themeFillShade="D9"/>
          </w:tcPr>
          <w:p w14:paraId="665BEF81" w14:textId="77777777" w:rsidR="00387CB9" w:rsidRDefault="00387CB9" w:rsidP="00E73F52">
            <w:pPr>
              <w:pStyle w:val="Tablewriting"/>
            </w:pPr>
          </w:p>
        </w:tc>
        <w:tc>
          <w:tcPr>
            <w:tcW w:w="3790" w:type="dxa"/>
            <w:gridSpan w:val="3"/>
            <w:shd w:val="clear" w:color="auto" w:fill="D9D9D9" w:themeFill="background1" w:themeFillShade="D9"/>
          </w:tcPr>
          <w:p w14:paraId="70001050" w14:textId="77777777" w:rsidR="00387CB9" w:rsidRDefault="00387CB9" w:rsidP="00E73F52">
            <w:pPr>
              <w:pStyle w:val="Tablewriting"/>
            </w:pPr>
            <w:r>
              <w:t>Quartile estimates (days)</w:t>
            </w:r>
          </w:p>
        </w:tc>
        <w:tc>
          <w:tcPr>
            <w:tcW w:w="3804" w:type="dxa"/>
            <w:gridSpan w:val="3"/>
            <w:shd w:val="clear" w:color="auto" w:fill="D9D9D9" w:themeFill="background1" w:themeFillShade="D9"/>
          </w:tcPr>
          <w:p w14:paraId="4D7EAED8" w14:textId="77777777" w:rsidR="00387CB9" w:rsidRDefault="00387CB9" w:rsidP="00E73F52">
            <w:pPr>
              <w:pStyle w:val="Tablewriting"/>
            </w:pPr>
            <w:r>
              <w:t>Censoring (patients)</w:t>
            </w:r>
          </w:p>
        </w:tc>
      </w:tr>
      <w:tr w:rsidR="00387CB9" w14:paraId="7EDD3A65" w14:textId="77777777" w:rsidTr="00E73F52">
        <w:tc>
          <w:tcPr>
            <w:tcW w:w="1353" w:type="dxa"/>
            <w:vMerge/>
            <w:shd w:val="clear" w:color="auto" w:fill="D9D9D9" w:themeFill="background1" w:themeFillShade="D9"/>
          </w:tcPr>
          <w:p w14:paraId="6201DB86" w14:textId="77777777" w:rsidR="00387CB9" w:rsidRDefault="00387CB9" w:rsidP="00E73F52">
            <w:pPr>
              <w:pStyle w:val="Tablewriting"/>
            </w:pPr>
          </w:p>
        </w:tc>
        <w:tc>
          <w:tcPr>
            <w:tcW w:w="1262" w:type="dxa"/>
            <w:shd w:val="clear" w:color="auto" w:fill="D9D9D9" w:themeFill="background1" w:themeFillShade="D9"/>
          </w:tcPr>
          <w:p w14:paraId="7C4F957E" w14:textId="77777777" w:rsidR="00387CB9" w:rsidRDefault="00387CB9" w:rsidP="00E73F52">
            <w:pPr>
              <w:pStyle w:val="Tablewriting"/>
            </w:pPr>
            <w:r>
              <w:t>25</w:t>
            </w:r>
            <w:r w:rsidRPr="009C7C43">
              <w:rPr>
                <w:vertAlign w:val="superscript"/>
              </w:rPr>
              <w:t>th</w:t>
            </w:r>
            <w:r>
              <w:t xml:space="preserve"> Percentile</w:t>
            </w:r>
          </w:p>
        </w:tc>
        <w:tc>
          <w:tcPr>
            <w:tcW w:w="1264" w:type="dxa"/>
            <w:shd w:val="clear" w:color="auto" w:fill="D9D9D9" w:themeFill="background1" w:themeFillShade="D9"/>
          </w:tcPr>
          <w:p w14:paraId="1426FF9B" w14:textId="77777777" w:rsidR="00387CB9" w:rsidRDefault="00387CB9" w:rsidP="00E73F52">
            <w:pPr>
              <w:pStyle w:val="Tablewriting"/>
            </w:pPr>
            <w:r>
              <w:t>Median</w:t>
            </w:r>
          </w:p>
        </w:tc>
        <w:tc>
          <w:tcPr>
            <w:tcW w:w="1264" w:type="dxa"/>
            <w:shd w:val="clear" w:color="auto" w:fill="D9D9D9" w:themeFill="background1" w:themeFillShade="D9"/>
          </w:tcPr>
          <w:p w14:paraId="3728A876" w14:textId="77777777" w:rsidR="00387CB9" w:rsidRDefault="00387CB9" w:rsidP="00E73F52">
            <w:pPr>
              <w:pStyle w:val="Tablewriting"/>
            </w:pPr>
            <w:r>
              <w:t>75</w:t>
            </w:r>
            <w:r w:rsidRPr="009C7C43">
              <w:rPr>
                <w:vertAlign w:val="superscript"/>
              </w:rPr>
              <w:t>th</w:t>
            </w:r>
            <w:r>
              <w:t xml:space="preserve"> Percentile</w:t>
            </w:r>
          </w:p>
        </w:tc>
        <w:tc>
          <w:tcPr>
            <w:tcW w:w="1267" w:type="dxa"/>
            <w:shd w:val="clear" w:color="auto" w:fill="D9D9D9" w:themeFill="background1" w:themeFillShade="D9"/>
          </w:tcPr>
          <w:p w14:paraId="2DD397D3" w14:textId="77777777" w:rsidR="00387CB9" w:rsidRDefault="00387CB9" w:rsidP="00E73F52">
            <w:pPr>
              <w:pStyle w:val="Tablewriting"/>
            </w:pPr>
            <w:r>
              <w:t>Total</w:t>
            </w:r>
          </w:p>
        </w:tc>
        <w:tc>
          <w:tcPr>
            <w:tcW w:w="1267" w:type="dxa"/>
            <w:shd w:val="clear" w:color="auto" w:fill="D9D9D9" w:themeFill="background1" w:themeFillShade="D9"/>
          </w:tcPr>
          <w:p w14:paraId="29745524" w14:textId="77777777" w:rsidR="00387CB9" w:rsidRDefault="00387CB9" w:rsidP="00E73F52">
            <w:pPr>
              <w:pStyle w:val="Tablewriting"/>
            </w:pPr>
            <w:r>
              <w:t>Failed</w:t>
            </w:r>
          </w:p>
        </w:tc>
        <w:tc>
          <w:tcPr>
            <w:tcW w:w="1270" w:type="dxa"/>
            <w:shd w:val="clear" w:color="auto" w:fill="D9D9D9" w:themeFill="background1" w:themeFillShade="D9"/>
          </w:tcPr>
          <w:p w14:paraId="6EF31799" w14:textId="77777777" w:rsidR="00387CB9" w:rsidRDefault="00387CB9" w:rsidP="00E73F52">
            <w:pPr>
              <w:pStyle w:val="Tablewriting"/>
            </w:pPr>
            <w:r>
              <w:t>Percent Censored</w:t>
            </w:r>
          </w:p>
        </w:tc>
      </w:tr>
      <w:tr w:rsidR="00387CB9" w:rsidRPr="005D79E7" w14:paraId="11F836BB" w14:textId="77777777" w:rsidTr="00E73F52">
        <w:tc>
          <w:tcPr>
            <w:tcW w:w="1353" w:type="dxa"/>
          </w:tcPr>
          <w:p w14:paraId="0816319A" w14:textId="77777777" w:rsidR="00387CB9" w:rsidRDefault="00387CB9" w:rsidP="00E73F52">
            <w:pPr>
              <w:pStyle w:val="Tablewriting"/>
            </w:pPr>
            <w:r>
              <w:t>Nivolumab</w:t>
            </w:r>
          </w:p>
        </w:tc>
        <w:tc>
          <w:tcPr>
            <w:tcW w:w="1262" w:type="dxa"/>
          </w:tcPr>
          <w:p w14:paraId="56798CA1" w14:textId="4233CA6E" w:rsidR="00387CB9" w:rsidRPr="005D79E7" w:rsidRDefault="00387CB9" w:rsidP="00E73F52">
            <w:pPr>
              <w:pStyle w:val="Tablewriting"/>
            </w:pPr>
            <w:r>
              <w:t>68</w:t>
            </w:r>
          </w:p>
        </w:tc>
        <w:tc>
          <w:tcPr>
            <w:tcW w:w="1264" w:type="dxa"/>
          </w:tcPr>
          <w:p w14:paraId="1014D25C" w14:textId="6FFA3D12" w:rsidR="00387CB9" w:rsidRPr="005D79E7" w:rsidRDefault="00387CB9" w:rsidP="00E73F52">
            <w:pPr>
              <w:pStyle w:val="Tablewriting"/>
            </w:pPr>
            <w:r>
              <w:t>168</w:t>
            </w:r>
          </w:p>
        </w:tc>
        <w:tc>
          <w:tcPr>
            <w:tcW w:w="1264" w:type="dxa"/>
          </w:tcPr>
          <w:p w14:paraId="09D6CD0C" w14:textId="3206A2FD" w:rsidR="00387CB9" w:rsidRPr="005D79E7" w:rsidRDefault="00387CB9" w:rsidP="00E73F52">
            <w:pPr>
              <w:pStyle w:val="Tablewriting"/>
            </w:pPr>
            <w:r>
              <w:t>334</w:t>
            </w:r>
          </w:p>
        </w:tc>
        <w:tc>
          <w:tcPr>
            <w:tcW w:w="1267" w:type="dxa"/>
          </w:tcPr>
          <w:p w14:paraId="1084ECA0" w14:textId="1BFD45E4" w:rsidR="00387CB9" w:rsidRPr="005D79E7" w:rsidRDefault="0003537B" w:rsidP="00E73F52">
            <w:pPr>
              <w:pStyle w:val="Tablewriting"/>
            </w:pPr>
            <w:r>
              <w:t>3</w:t>
            </w:r>
            <w:r w:rsidR="00923C0D">
              <w:t>,</w:t>
            </w:r>
            <w:r>
              <w:t>241</w:t>
            </w:r>
          </w:p>
        </w:tc>
        <w:tc>
          <w:tcPr>
            <w:tcW w:w="1267" w:type="dxa"/>
          </w:tcPr>
          <w:p w14:paraId="5676707E" w14:textId="5E6EECE8" w:rsidR="00387CB9" w:rsidRPr="005D79E7" w:rsidRDefault="0003537B" w:rsidP="00E73F52">
            <w:pPr>
              <w:pStyle w:val="Tablewriting"/>
            </w:pPr>
            <w:r>
              <w:t>2</w:t>
            </w:r>
            <w:r w:rsidR="00923C0D">
              <w:t>,</w:t>
            </w:r>
            <w:r>
              <w:t>387</w:t>
            </w:r>
          </w:p>
        </w:tc>
        <w:tc>
          <w:tcPr>
            <w:tcW w:w="1270" w:type="dxa"/>
          </w:tcPr>
          <w:p w14:paraId="18C67EB9" w14:textId="0387030D" w:rsidR="00387CB9" w:rsidRPr="005D79E7" w:rsidRDefault="00387CB9" w:rsidP="00E73F52">
            <w:pPr>
              <w:pStyle w:val="Tablewriting"/>
            </w:pPr>
            <w:r>
              <w:t>26.35%</w:t>
            </w:r>
          </w:p>
        </w:tc>
      </w:tr>
    </w:tbl>
    <w:p w14:paraId="32CBBD7C" w14:textId="7C7E6DA0" w:rsidR="00332828" w:rsidRDefault="00332828" w:rsidP="00332828">
      <w:pPr>
        <w:pStyle w:val="Figuretitle"/>
      </w:pPr>
      <w:r>
        <w:t>Figure 4: Kaplan-Meier analysis of the time on treatment of patients supplied nivolumab for gastric-</w:t>
      </w:r>
      <w:r w:rsidR="004D5594">
        <w:t>oesophageal</w:t>
      </w:r>
      <w:r>
        <w:t xml:space="preserve"> cancers including treatment breaks </w:t>
      </w:r>
    </w:p>
    <w:p w14:paraId="119F683F" w14:textId="0960F0EF" w:rsidR="003A5851" w:rsidRDefault="003A5851" w:rsidP="003A5851">
      <w:r>
        <w:t xml:space="preserve">The median time to resupply for nivolumab was 21 days. The Kaplan-Meier analysis in Figure </w:t>
      </w:r>
      <w:r w:rsidR="003A3E70">
        <w:t>4</w:t>
      </w:r>
      <w:r>
        <w:t xml:space="preserve"> includes patients with identified treatment breaks of longer than three times th</w:t>
      </w:r>
      <w:r w:rsidR="003A3E70">
        <w:t>e</w:t>
      </w:r>
      <w:r>
        <w:t xml:space="preserve"> median time to resupply. Figure </w:t>
      </w:r>
      <w:r w:rsidR="003A3E70">
        <w:t>4</w:t>
      </w:r>
      <w:r>
        <w:t xml:space="preserve"> shows this analysis where </w:t>
      </w:r>
      <w:r w:rsidR="003A3E70">
        <w:t>26.35</w:t>
      </w:r>
      <w:r>
        <w:t xml:space="preserve">% of patients were censored and the median time on treatment for the remaining patients was </w:t>
      </w:r>
      <w:r w:rsidR="006604CB">
        <w:t>168</w:t>
      </w:r>
      <w:r>
        <w:t xml:space="preserve"> days</w:t>
      </w:r>
      <w:r w:rsidR="006604CB">
        <w:t>.</w:t>
      </w:r>
      <w:r>
        <w:t xml:space="preserve"> </w:t>
      </w:r>
    </w:p>
    <w:p w14:paraId="1577E3BD" w14:textId="77777777" w:rsidR="000C765B" w:rsidRDefault="000C765B" w:rsidP="00591E4A"/>
    <w:p w14:paraId="4A2B1E2C" w14:textId="77777777" w:rsidR="000C765B" w:rsidRDefault="000C765B" w:rsidP="00591E4A"/>
    <w:p w14:paraId="46CC6DC8" w14:textId="77777777" w:rsidR="000C765B" w:rsidRDefault="000C765B" w:rsidP="00591E4A"/>
    <w:p w14:paraId="040F7620" w14:textId="30A43D4C" w:rsidR="00591E4A" w:rsidRDefault="000C765B" w:rsidP="000C765B">
      <w:r>
        <w:rPr>
          <w:noProof/>
        </w:rPr>
        <w:lastRenderedPageBreak/>
        <w:drawing>
          <wp:inline distT="0" distB="0" distL="0" distR="0" wp14:anchorId="0A0A6B30" wp14:editId="2DDAE90C">
            <wp:extent cx="5687695" cy="4270375"/>
            <wp:effectExtent l="0" t="0" r="8255" b="0"/>
            <wp:docPr id="1098766832" name="Picture 1" descr="Kaplan-Meier analysis of the time on treatment of patients supplied nivolumab for gastric-oesophageal cancers without treatment breaks ">
              <a:extLst xmlns:a="http://schemas.openxmlformats.org/drawingml/2006/main">
                <a:ext uri="{FF2B5EF4-FFF2-40B4-BE49-F238E27FC236}">
                  <a16:creationId xmlns:a16="http://schemas.microsoft.com/office/drawing/2014/main" id="{9A8C5C04-D0A5-2995-CEB6-79E32674C3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66832" name="Picture 1" descr="Kaplan-Meier analysis of the time on treatment of patients supplied nivolumab for gastric-oesophageal cancers without treatment breaks ">
                      <a:extLst>
                        <a:ext uri="{FF2B5EF4-FFF2-40B4-BE49-F238E27FC236}">
                          <a16:creationId xmlns:a16="http://schemas.microsoft.com/office/drawing/2014/main" id="{9A8C5C04-D0A5-2995-CEB6-79E32674C312}"/>
                        </a:ext>
                      </a:extLst>
                    </pic:cNvPr>
                    <pic:cNvPicPr>
                      <a:picLocks noChangeAspect="1"/>
                    </pic:cNvPicPr>
                  </pic:nvPicPr>
                  <pic:blipFill>
                    <a:blip r:embed="rId19"/>
                    <a:stretch>
                      <a:fillRect/>
                    </a:stretch>
                  </pic:blipFill>
                  <pic:spPr>
                    <a:xfrm>
                      <a:off x="0" y="0"/>
                      <a:ext cx="5687695" cy="4270375"/>
                    </a:xfrm>
                    <a:prstGeom prst="rect">
                      <a:avLst/>
                    </a:prstGeom>
                  </pic:spPr>
                </pic:pic>
              </a:graphicData>
            </a:graphic>
          </wp:inline>
        </w:drawing>
      </w:r>
    </w:p>
    <w:tbl>
      <w:tblPr>
        <w:tblStyle w:val="TableGrid"/>
        <w:tblW w:w="0" w:type="auto"/>
        <w:tblLook w:val="04A0" w:firstRow="1" w:lastRow="0" w:firstColumn="1" w:lastColumn="0" w:noHBand="0" w:noVBand="1"/>
      </w:tblPr>
      <w:tblGrid>
        <w:gridCol w:w="1353"/>
        <w:gridCol w:w="1262"/>
        <w:gridCol w:w="1264"/>
        <w:gridCol w:w="1264"/>
        <w:gridCol w:w="1267"/>
        <w:gridCol w:w="1267"/>
        <w:gridCol w:w="1270"/>
      </w:tblGrid>
      <w:tr w:rsidR="0003537B" w14:paraId="436641FD" w14:textId="77777777" w:rsidTr="00E73F52">
        <w:tc>
          <w:tcPr>
            <w:tcW w:w="1353" w:type="dxa"/>
            <w:vMerge w:val="restart"/>
            <w:shd w:val="clear" w:color="auto" w:fill="D9D9D9" w:themeFill="background1" w:themeFillShade="D9"/>
          </w:tcPr>
          <w:p w14:paraId="7E2E16BC" w14:textId="77777777" w:rsidR="0003537B" w:rsidRDefault="0003537B" w:rsidP="00E73F52">
            <w:pPr>
              <w:pStyle w:val="Tablewriting"/>
            </w:pPr>
          </w:p>
        </w:tc>
        <w:tc>
          <w:tcPr>
            <w:tcW w:w="3790" w:type="dxa"/>
            <w:gridSpan w:val="3"/>
            <w:shd w:val="clear" w:color="auto" w:fill="D9D9D9" w:themeFill="background1" w:themeFillShade="D9"/>
          </w:tcPr>
          <w:p w14:paraId="492B1AEA" w14:textId="77777777" w:rsidR="0003537B" w:rsidRDefault="0003537B" w:rsidP="00E73F52">
            <w:pPr>
              <w:pStyle w:val="Tablewriting"/>
            </w:pPr>
            <w:r>
              <w:t>Quartile estimates (days)</w:t>
            </w:r>
          </w:p>
        </w:tc>
        <w:tc>
          <w:tcPr>
            <w:tcW w:w="3804" w:type="dxa"/>
            <w:gridSpan w:val="3"/>
            <w:shd w:val="clear" w:color="auto" w:fill="D9D9D9" w:themeFill="background1" w:themeFillShade="D9"/>
          </w:tcPr>
          <w:p w14:paraId="15B45D26" w14:textId="77777777" w:rsidR="0003537B" w:rsidRDefault="0003537B" w:rsidP="00E73F52">
            <w:pPr>
              <w:pStyle w:val="Tablewriting"/>
            </w:pPr>
            <w:r>
              <w:t>Censoring (patients)</w:t>
            </w:r>
          </w:p>
        </w:tc>
      </w:tr>
      <w:tr w:rsidR="0003537B" w14:paraId="65766BC6" w14:textId="77777777" w:rsidTr="00E73F52">
        <w:tc>
          <w:tcPr>
            <w:tcW w:w="1353" w:type="dxa"/>
            <w:vMerge/>
            <w:shd w:val="clear" w:color="auto" w:fill="D9D9D9" w:themeFill="background1" w:themeFillShade="D9"/>
          </w:tcPr>
          <w:p w14:paraId="44FE4FD1" w14:textId="77777777" w:rsidR="0003537B" w:rsidRDefault="0003537B" w:rsidP="00E73F52">
            <w:pPr>
              <w:pStyle w:val="Tablewriting"/>
            </w:pPr>
          </w:p>
        </w:tc>
        <w:tc>
          <w:tcPr>
            <w:tcW w:w="1262" w:type="dxa"/>
            <w:shd w:val="clear" w:color="auto" w:fill="D9D9D9" w:themeFill="background1" w:themeFillShade="D9"/>
          </w:tcPr>
          <w:p w14:paraId="6B48D4A6" w14:textId="77777777" w:rsidR="0003537B" w:rsidRDefault="0003537B" w:rsidP="00E73F52">
            <w:pPr>
              <w:pStyle w:val="Tablewriting"/>
            </w:pPr>
            <w:r>
              <w:t>25</w:t>
            </w:r>
            <w:r w:rsidRPr="009C7C43">
              <w:rPr>
                <w:vertAlign w:val="superscript"/>
              </w:rPr>
              <w:t>th</w:t>
            </w:r>
            <w:r>
              <w:t xml:space="preserve"> Percentile</w:t>
            </w:r>
          </w:p>
        </w:tc>
        <w:tc>
          <w:tcPr>
            <w:tcW w:w="1264" w:type="dxa"/>
            <w:shd w:val="clear" w:color="auto" w:fill="D9D9D9" w:themeFill="background1" w:themeFillShade="D9"/>
          </w:tcPr>
          <w:p w14:paraId="6412C855" w14:textId="77777777" w:rsidR="0003537B" w:rsidRDefault="0003537B" w:rsidP="00E73F52">
            <w:pPr>
              <w:pStyle w:val="Tablewriting"/>
            </w:pPr>
            <w:r>
              <w:t>Median</w:t>
            </w:r>
          </w:p>
        </w:tc>
        <w:tc>
          <w:tcPr>
            <w:tcW w:w="1264" w:type="dxa"/>
            <w:shd w:val="clear" w:color="auto" w:fill="D9D9D9" w:themeFill="background1" w:themeFillShade="D9"/>
          </w:tcPr>
          <w:p w14:paraId="3F9C519A" w14:textId="77777777" w:rsidR="0003537B" w:rsidRDefault="0003537B" w:rsidP="00E73F52">
            <w:pPr>
              <w:pStyle w:val="Tablewriting"/>
            </w:pPr>
            <w:r>
              <w:t>75</w:t>
            </w:r>
            <w:r w:rsidRPr="009C7C43">
              <w:rPr>
                <w:vertAlign w:val="superscript"/>
              </w:rPr>
              <w:t>th</w:t>
            </w:r>
            <w:r>
              <w:t xml:space="preserve"> Percentile</w:t>
            </w:r>
          </w:p>
        </w:tc>
        <w:tc>
          <w:tcPr>
            <w:tcW w:w="1267" w:type="dxa"/>
            <w:shd w:val="clear" w:color="auto" w:fill="D9D9D9" w:themeFill="background1" w:themeFillShade="D9"/>
          </w:tcPr>
          <w:p w14:paraId="6AF349EC" w14:textId="77777777" w:rsidR="0003537B" w:rsidRDefault="0003537B" w:rsidP="00E73F52">
            <w:pPr>
              <w:pStyle w:val="Tablewriting"/>
            </w:pPr>
            <w:r>
              <w:t>Total</w:t>
            </w:r>
          </w:p>
        </w:tc>
        <w:tc>
          <w:tcPr>
            <w:tcW w:w="1267" w:type="dxa"/>
            <w:shd w:val="clear" w:color="auto" w:fill="D9D9D9" w:themeFill="background1" w:themeFillShade="D9"/>
          </w:tcPr>
          <w:p w14:paraId="1267DFCB" w14:textId="77777777" w:rsidR="0003537B" w:rsidRDefault="0003537B" w:rsidP="00E73F52">
            <w:pPr>
              <w:pStyle w:val="Tablewriting"/>
            </w:pPr>
            <w:r>
              <w:t>Failed</w:t>
            </w:r>
          </w:p>
        </w:tc>
        <w:tc>
          <w:tcPr>
            <w:tcW w:w="1270" w:type="dxa"/>
            <w:shd w:val="clear" w:color="auto" w:fill="D9D9D9" w:themeFill="background1" w:themeFillShade="D9"/>
          </w:tcPr>
          <w:p w14:paraId="3601285E" w14:textId="77777777" w:rsidR="0003537B" w:rsidRDefault="0003537B" w:rsidP="00E73F52">
            <w:pPr>
              <w:pStyle w:val="Tablewriting"/>
            </w:pPr>
            <w:r>
              <w:t>Percent Censored</w:t>
            </w:r>
          </w:p>
        </w:tc>
      </w:tr>
      <w:tr w:rsidR="0003537B" w:rsidRPr="005D79E7" w14:paraId="099E213D" w14:textId="77777777" w:rsidTr="00E73F52">
        <w:tc>
          <w:tcPr>
            <w:tcW w:w="1353" w:type="dxa"/>
          </w:tcPr>
          <w:p w14:paraId="0B116BAA" w14:textId="77777777" w:rsidR="0003537B" w:rsidRDefault="0003537B" w:rsidP="00E73F52">
            <w:pPr>
              <w:pStyle w:val="Tablewriting"/>
            </w:pPr>
            <w:r>
              <w:t>Nivolumab</w:t>
            </w:r>
          </w:p>
        </w:tc>
        <w:tc>
          <w:tcPr>
            <w:tcW w:w="1262" w:type="dxa"/>
          </w:tcPr>
          <w:p w14:paraId="365C1F57" w14:textId="0B2ABCA7" w:rsidR="0003537B" w:rsidRPr="005D79E7" w:rsidRDefault="009E4E27" w:rsidP="00E73F52">
            <w:pPr>
              <w:pStyle w:val="Tablewriting"/>
            </w:pPr>
            <w:r>
              <w:t>44</w:t>
            </w:r>
          </w:p>
        </w:tc>
        <w:tc>
          <w:tcPr>
            <w:tcW w:w="1264" w:type="dxa"/>
          </w:tcPr>
          <w:p w14:paraId="072B2A7F" w14:textId="76C5D797" w:rsidR="0003537B" w:rsidRPr="005D79E7" w:rsidRDefault="009E4E27" w:rsidP="00E73F52">
            <w:pPr>
              <w:pStyle w:val="Tablewriting"/>
            </w:pPr>
            <w:r>
              <w:t>125</w:t>
            </w:r>
          </w:p>
        </w:tc>
        <w:tc>
          <w:tcPr>
            <w:tcW w:w="1264" w:type="dxa"/>
          </w:tcPr>
          <w:p w14:paraId="1E09EE1B" w14:textId="46E23ACA" w:rsidR="0003537B" w:rsidRPr="005D79E7" w:rsidRDefault="009E4E27" w:rsidP="00E73F52">
            <w:pPr>
              <w:pStyle w:val="Tablewriting"/>
            </w:pPr>
            <w:r>
              <w:t>244</w:t>
            </w:r>
          </w:p>
        </w:tc>
        <w:tc>
          <w:tcPr>
            <w:tcW w:w="1267" w:type="dxa"/>
          </w:tcPr>
          <w:p w14:paraId="7E003C79" w14:textId="451D2A6B" w:rsidR="0003537B" w:rsidRPr="005D79E7" w:rsidRDefault="009E4E27" w:rsidP="00E73F52">
            <w:pPr>
              <w:pStyle w:val="Tablewriting"/>
            </w:pPr>
            <w:r>
              <w:t>3</w:t>
            </w:r>
            <w:r w:rsidR="00923C0D">
              <w:t>,</w:t>
            </w:r>
            <w:r>
              <w:t>241</w:t>
            </w:r>
          </w:p>
        </w:tc>
        <w:tc>
          <w:tcPr>
            <w:tcW w:w="1267" w:type="dxa"/>
          </w:tcPr>
          <w:p w14:paraId="6A1CF6C6" w14:textId="23726877" w:rsidR="0003537B" w:rsidRPr="005D79E7" w:rsidRDefault="009E4E27" w:rsidP="00E73F52">
            <w:pPr>
              <w:pStyle w:val="Tablewriting"/>
            </w:pPr>
            <w:r>
              <w:t>692</w:t>
            </w:r>
          </w:p>
        </w:tc>
        <w:tc>
          <w:tcPr>
            <w:tcW w:w="1270" w:type="dxa"/>
          </w:tcPr>
          <w:p w14:paraId="7433FDD7" w14:textId="6A58230D" w:rsidR="0003537B" w:rsidRPr="005D79E7" w:rsidRDefault="009E4E27" w:rsidP="00E73F52">
            <w:pPr>
              <w:pStyle w:val="Tablewriting"/>
            </w:pPr>
            <w:r>
              <w:t>21.35%</w:t>
            </w:r>
          </w:p>
        </w:tc>
      </w:tr>
    </w:tbl>
    <w:p w14:paraId="2AE215ED" w14:textId="75E231EC" w:rsidR="0011161D" w:rsidRDefault="0011161D" w:rsidP="0011161D">
      <w:pPr>
        <w:pStyle w:val="Figuretitle"/>
      </w:pPr>
      <w:r>
        <w:t>Figure 5: Kaplan-Meier analysis of the time on treatment of patients supplied nivolumab for gastric-</w:t>
      </w:r>
      <w:r w:rsidR="004D5594">
        <w:t>oesophageal</w:t>
      </w:r>
      <w:r>
        <w:t xml:space="preserve"> cancers </w:t>
      </w:r>
      <w:r w:rsidR="00993516">
        <w:t>without</w:t>
      </w:r>
      <w:r>
        <w:t xml:space="preserve"> treatment breaks </w:t>
      </w:r>
    </w:p>
    <w:p w14:paraId="355F0F51" w14:textId="3F64D2E7" w:rsidR="00783CF1" w:rsidRDefault="00783CF1" w:rsidP="00783CF1">
      <w:r>
        <w:t>Figure 5 represents a Kaplan-Meier analysis which does not include treatment breaks and therefore is representative of a patient’s first episode of treatment. Approximately 21.35% of patients were censored and the median time on treatment for the remaining patients was 125 days for nivolumab.</w:t>
      </w:r>
    </w:p>
    <w:p w14:paraId="2A5E3ACA" w14:textId="281B651E" w:rsidR="000352DA" w:rsidRDefault="000352DA" w:rsidP="000352DA">
      <w:pPr>
        <w:pStyle w:val="Tabletitle"/>
      </w:pPr>
      <w:r>
        <w:t xml:space="preserve">Table </w:t>
      </w:r>
      <w:r w:rsidR="005E6B44">
        <w:t xml:space="preserve">2: </w:t>
      </w:r>
      <w:r w:rsidR="00397025">
        <w:t xml:space="preserve">Basic survival statistics </w:t>
      </w:r>
      <w:r w:rsidR="00B46338">
        <w:t>for patients utilising nivolumab for advanced or metastatic gastric-oesophageal cancers</w:t>
      </w:r>
      <w:r w:rsidR="00DA2056">
        <w:t xml:space="preserve"> </w:t>
      </w:r>
    </w:p>
    <w:tbl>
      <w:tblPr>
        <w:tblStyle w:val="TableGrid"/>
        <w:tblW w:w="0" w:type="auto"/>
        <w:tblLook w:val="04A0" w:firstRow="1" w:lastRow="0" w:firstColumn="1" w:lastColumn="0" w:noHBand="0" w:noVBand="1"/>
      </w:tblPr>
      <w:tblGrid>
        <w:gridCol w:w="1262"/>
        <w:gridCol w:w="1264"/>
        <w:gridCol w:w="1264"/>
      </w:tblGrid>
      <w:tr w:rsidR="000352DA" w14:paraId="425C11BA" w14:textId="77777777" w:rsidTr="000079C7">
        <w:tc>
          <w:tcPr>
            <w:tcW w:w="1262" w:type="dxa"/>
            <w:shd w:val="clear" w:color="auto" w:fill="D9D9D9" w:themeFill="background1" w:themeFillShade="D9"/>
          </w:tcPr>
          <w:p w14:paraId="4C178E71" w14:textId="1B107734" w:rsidR="000352DA" w:rsidRDefault="000352DA" w:rsidP="000079C7">
            <w:pPr>
              <w:pStyle w:val="Tablewriting"/>
            </w:pPr>
            <w:r>
              <w:t xml:space="preserve">Total initiators (up to </w:t>
            </w:r>
            <w:r w:rsidR="00B5748D">
              <w:t>23 February 2025</w:t>
            </w:r>
            <w:r>
              <w:t>)</w:t>
            </w:r>
          </w:p>
        </w:tc>
        <w:tc>
          <w:tcPr>
            <w:tcW w:w="1264" w:type="dxa"/>
            <w:shd w:val="clear" w:color="auto" w:fill="D9D9D9" w:themeFill="background1" w:themeFillShade="D9"/>
          </w:tcPr>
          <w:p w14:paraId="3EC07332" w14:textId="610FA833" w:rsidR="000352DA" w:rsidRDefault="000352DA" w:rsidP="000079C7">
            <w:pPr>
              <w:pStyle w:val="Tablewriting"/>
            </w:pPr>
            <w:r>
              <w:t xml:space="preserve">Total reported deaths (up to </w:t>
            </w:r>
            <w:r w:rsidR="00B5748D">
              <w:t>23 February 2025</w:t>
            </w:r>
            <w:r>
              <w:t>)</w:t>
            </w:r>
          </w:p>
        </w:tc>
        <w:tc>
          <w:tcPr>
            <w:tcW w:w="1264" w:type="dxa"/>
            <w:shd w:val="clear" w:color="auto" w:fill="D9D9D9" w:themeFill="background1" w:themeFillShade="D9"/>
          </w:tcPr>
          <w:p w14:paraId="78101F73" w14:textId="568D92EE" w:rsidR="000352DA" w:rsidRDefault="000352DA" w:rsidP="000079C7">
            <w:pPr>
              <w:pStyle w:val="Tablewriting"/>
            </w:pPr>
            <w:r>
              <w:t>Percent alive</w:t>
            </w:r>
          </w:p>
        </w:tc>
      </w:tr>
      <w:tr w:rsidR="000352DA" w:rsidRPr="005D79E7" w14:paraId="3D580890" w14:textId="77777777" w:rsidTr="000079C7">
        <w:tc>
          <w:tcPr>
            <w:tcW w:w="1262" w:type="dxa"/>
          </w:tcPr>
          <w:p w14:paraId="489B4024" w14:textId="75566EF1" w:rsidR="000352DA" w:rsidRPr="005D79E7" w:rsidRDefault="00EA725A" w:rsidP="000079C7">
            <w:pPr>
              <w:pStyle w:val="Tablewriting"/>
            </w:pPr>
            <w:r w:rsidRPr="00EA725A">
              <w:t>3</w:t>
            </w:r>
            <w:r w:rsidR="00923C0D">
              <w:t>,</w:t>
            </w:r>
            <w:r w:rsidRPr="00EA725A">
              <w:t>103</w:t>
            </w:r>
          </w:p>
        </w:tc>
        <w:tc>
          <w:tcPr>
            <w:tcW w:w="1264" w:type="dxa"/>
          </w:tcPr>
          <w:p w14:paraId="06F87EEC" w14:textId="61873B5D" w:rsidR="000352DA" w:rsidRPr="005D79E7" w:rsidRDefault="00EE5E47" w:rsidP="000079C7">
            <w:pPr>
              <w:pStyle w:val="Tablewriting"/>
            </w:pPr>
            <w:r w:rsidRPr="00EE5E47">
              <w:t>1</w:t>
            </w:r>
            <w:r w:rsidR="00923C0D">
              <w:t>,</w:t>
            </w:r>
            <w:r w:rsidRPr="00EE5E47">
              <w:t>536</w:t>
            </w:r>
          </w:p>
        </w:tc>
        <w:tc>
          <w:tcPr>
            <w:tcW w:w="1264" w:type="dxa"/>
          </w:tcPr>
          <w:p w14:paraId="0629CF0C" w14:textId="311A81D5" w:rsidR="000352DA" w:rsidRPr="005D79E7" w:rsidRDefault="00C753B8" w:rsidP="000079C7">
            <w:pPr>
              <w:pStyle w:val="Tablewriting"/>
            </w:pPr>
            <w:r>
              <w:t>5</w:t>
            </w:r>
            <w:r w:rsidR="0015183C">
              <w:t>0</w:t>
            </w:r>
            <w:r w:rsidR="000352DA">
              <w:t>.</w:t>
            </w:r>
            <w:r>
              <w:t>4</w:t>
            </w:r>
            <w:r w:rsidR="000352DA">
              <w:t>%</w:t>
            </w:r>
          </w:p>
        </w:tc>
      </w:tr>
    </w:tbl>
    <w:p w14:paraId="7ABC86D7" w14:textId="6ED44E04" w:rsidR="009A15E1" w:rsidRDefault="009A15E1">
      <w:pPr>
        <w:spacing w:line="276" w:lineRule="auto"/>
      </w:pPr>
    </w:p>
    <w:p w14:paraId="68A66B41" w14:textId="095E97A6" w:rsidR="005A49A6" w:rsidRDefault="00ED1B21">
      <w:pPr>
        <w:spacing w:line="276" w:lineRule="auto"/>
      </w:pPr>
      <w:r>
        <w:lastRenderedPageBreak/>
        <w:t xml:space="preserve">Table 2 shows the percentage of patients who began treatment with nivolumab for advanced or metastatic gastric-oesophageal cancers </w:t>
      </w:r>
      <w:r w:rsidR="00EA25F4">
        <w:t xml:space="preserve">that are still alive according to date of death data up to </w:t>
      </w:r>
      <w:r w:rsidR="00A3143D">
        <w:t>23</w:t>
      </w:r>
      <w:r w:rsidR="00A3143D" w:rsidRPr="00A3143D">
        <w:rPr>
          <w:vertAlign w:val="superscript"/>
        </w:rPr>
        <w:t>rd</w:t>
      </w:r>
      <w:r w:rsidR="00A3143D">
        <w:t xml:space="preserve"> February</w:t>
      </w:r>
      <w:r w:rsidR="00EA25F4">
        <w:t xml:space="preserve"> 202</w:t>
      </w:r>
      <w:r w:rsidR="00A3143D">
        <w:t>5</w:t>
      </w:r>
      <w:r w:rsidR="00EA25F4">
        <w:t xml:space="preserve">. </w:t>
      </w:r>
      <w:r w:rsidR="003F0C13">
        <w:t>There have been 3,</w:t>
      </w:r>
      <w:r w:rsidR="00D052D2">
        <w:t>1</w:t>
      </w:r>
      <w:r w:rsidR="003F0C13">
        <w:t>0</w:t>
      </w:r>
      <w:r w:rsidR="00D052D2">
        <w:t>3</w:t>
      </w:r>
      <w:r w:rsidR="003F0C13">
        <w:t xml:space="preserve"> patients who have initiated nivolumab up to </w:t>
      </w:r>
      <w:r w:rsidR="00D052D2">
        <w:t>23</w:t>
      </w:r>
      <w:r w:rsidR="00D052D2" w:rsidRPr="00D052D2">
        <w:rPr>
          <w:vertAlign w:val="superscript"/>
        </w:rPr>
        <w:t>rd</w:t>
      </w:r>
      <w:r w:rsidR="00D052D2">
        <w:t xml:space="preserve"> February</w:t>
      </w:r>
      <w:r w:rsidR="003F0C13">
        <w:t xml:space="preserve"> 2025 and of these </w:t>
      </w:r>
      <w:r w:rsidR="00D052D2">
        <w:t>50</w:t>
      </w:r>
      <w:r w:rsidR="003F0C13">
        <w:t>.</w:t>
      </w:r>
      <w:r w:rsidR="00D052D2">
        <w:t>4</w:t>
      </w:r>
      <w:r w:rsidR="003F0C13">
        <w:t xml:space="preserve">% </w:t>
      </w:r>
      <w:r w:rsidR="00DF0187">
        <w:t xml:space="preserve">may be considered alive </w:t>
      </w:r>
      <w:r w:rsidR="00D93EED">
        <w:t xml:space="preserve">according to date of death data up to </w:t>
      </w:r>
      <w:r w:rsidR="008173A0">
        <w:t>23</w:t>
      </w:r>
      <w:r w:rsidR="008173A0" w:rsidRPr="008173A0">
        <w:rPr>
          <w:vertAlign w:val="superscript"/>
        </w:rPr>
        <w:t>rd</w:t>
      </w:r>
      <w:r w:rsidR="008173A0">
        <w:t xml:space="preserve"> February</w:t>
      </w:r>
      <w:r w:rsidR="00D93EED">
        <w:t xml:space="preserve"> 202</w:t>
      </w:r>
      <w:r w:rsidR="008173A0">
        <w:t>5</w:t>
      </w:r>
      <w:r w:rsidR="00D93EED">
        <w:t xml:space="preserve">. </w:t>
      </w:r>
    </w:p>
    <w:p w14:paraId="1792F746" w14:textId="2D8DDBF8" w:rsidR="00D0559E" w:rsidRDefault="00D0559E">
      <w:pPr>
        <w:spacing w:line="276" w:lineRule="auto"/>
      </w:pPr>
    </w:p>
    <w:p w14:paraId="035D13F7" w14:textId="77777777" w:rsidR="00B46338" w:rsidRDefault="00B46338">
      <w:pPr>
        <w:spacing w:line="276" w:lineRule="auto"/>
        <w:rPr>
          <w:b/>
          <w:i/>
          <w:szCs w:val="28"/>
        </w:rPr>
      </w:pPr>
    </w:p>
    <w:p w14:paraId="16939AB4" w14:textId="13038BE2" w:rsidR="00D0559E" w:rsidRDefault="00DC49E9" w:rsidP="008868C0">
      <w:pPr>
        <w:pStyle w:val="Heading3"/>
      </w:pPr>
      <w:r w:rsidRPr="005E22C2">
        <w:t>Changes in the use of other drugs</w:t>
      </w:r>
      <w:r w:rsidR="00B05A74">
        <w:rPr>
          <w:noProof/>
        </w:rPr>
        <w:drawing>
          <wp:inline distT="0" distB="0" distL="0" distR="0" wp14:anchorId="3E0B3B6B" wp14:editId="6D877E8B">
            <wp:extent cx="5687695" cy="3298190"/>
            <wp:effectExtent l="0" t="0" r="8255" b="16510"/>
            <wp:docPr id="416289458" name="Chart 1" descr="Number of prevalent patients on all PBS listed medications listed for gastric-oesophageal cancer">
              <a:extLst xmlns:a="http://schemas.openxmlformats.org/drawingml/2006/main">
                <a:ext uri="{FF2B5EF4-FFF2-40B4-BE49-F238E27FC236}">
                  <a16:creationId xmlns:a16="http://schemas.microsoft.com/office/drawing/2014/main" id="{53456EA3-E795-D3D0-4AC2-6FC40DF6C9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7B1119" w14:textId="5151DCAC" w:rsidR="008868C0" w:rsidRDefault="00DC1F89" w:rsidP="00DC1F89">
      <w:pPr>
        <w:pStyle w:val="Figuretitle"/>
      </w:pPr>
      <w:r>
        <w:t xml:space="preserve">Figure 6: </w:t>
      </w:r>
      <w:r w:rsidR="009959DF">
        <w:t xml:space="preserve">Number of prevalent patients on </w:t>
      </w:r>
      <w:r w:rsidR="00DF1423">
        <w:t>all PBS listed medications listed for gastric-</w:t>
      </w:r>
      <w:r w:rsidR="004D5594">
        <w:t>oesophageal</w:t>
      </w:r>
      <w:r w:rsidR="00DF1423">
        <w:t xml:space="preserve"> </w:t>
      </w:r>
      <w:r w:rsidR="002F401A">
        <w:t>cancer</w:t>
      </w:r>
    </w:p>
    <w:p w14:paraId="769586B8" w14:textId="31753A98" w:rsidR="00D0559E" w:rsidRDefault="003D632B" w:rsidP="00E10976">
      <w:pPr>
        <w:rPr>
          <w:sz w:val="28"/>
        </w:rPr>
      </w:pPr>
      <w:r>
        <w:t xml:space="preserve">The number of prevalent patients per year for all PBS listed medications for gastric-oesophageal cancer can be seen in Figure 6. </w:t>
      </w:r>
      <w:r w:rsidR="00D66271">
        <w:t>The number of patients on trifluridine and tipiracil appears to have slightly decreased i</w:t>
      </w:r>
      <w:r w:rsidR="00253D09">
        <w:t>n the lead up to t</w:t>
      </w:r>
      <w:r w:rsidR="00241FEA">
        <w:t>he listing of nivolumab for gastric-oesophageal cancer in 2022</w:t>
      </w:r>
      <w:r w:rsidR="00115110">
        <w:t xml:space="preserve"> </w:t>
      </w:r>
      <w:r w:rsidR="00CE258A">
        <w:t xml:space="preserve">before rising again in 2024. </w:t>
      </w:r>
      <w:r w:rsidR="00BC54E9">
        <w:t xml:space="preserve">The listing of nivolumab has had no impact on the utilisation of trastuzumab which is to be expected given the HER2 negative requirement of the nivolumab listing. It is unclear what impact the listing of adjuvant nivolumab has had on the advanced and metastatic listing and further data would be required.  </w:t>
      </w:r>
      <w:r w:rsidR="00BC54E9">
        <w:br w:type="page"/>
      </w:r>
    </w:p>
    <w:p w14:paraId="4F8723A6" w14:textId="37A2AB61" w:rsidR="00736041" w:rsidRPr="005E22C2" w:rsidRDefault="001B5D37" w:rsidP="00F73113">
      <w:pPr>
        <w:pStyle w:val="Heading2"/>
      </w:pPr>
      <w:r w:rsidRPr="005E22C2">
        <w:lastRenderedPageBreak/>
        <w:t xml:space="preserve">Analysis </w:t>
      </w:r>
      <w:r w:rsidR="00481108" w:rsidRPr="005E22C2">
        <w:t xml:space="preserve">of </w:t>
      </w:r>
      <w:r w:rsidR="0063631C">
        <w:t>e</w:t>
      </w:r>
      <w:r w:rsidR="00736041" w:rsidRPr="005E22C2">
        <w:t>xpenditure</w:t>
      </w:r>
    </w:p>
    <w:p w14:paraId="6977F074" w14:textId="003FCB4F" w:rsidR="00B63FD7" w:rsidRDefault="000D18EC" w:rsidP="000D18EC">
      <w:r>
        <w:rPr>
          <w:noProof/>
        </w:rPr>
        <w:drawing>
          <wp:inline distT="0" distB="0" distL="0" distR="0" wp14:anchorId="18280D68" wp14:editId="6B33E7B2">
            <wp:extent cx="5687695" cy="4017645"/>
            <wp:effectExtent l="0" t="0" r="8255" b="1905"/>
            <wp:docPr id="1577637184" name="Chart 2" descr="Cost to the PBS/RPBS for all PBS listed medications listed for gastric-oesophageal cancers">
              <a:extLst xmlns:a="http://schemas.openxmlformats.org/drawingml/2006/main">
                <a:ext uri="{FF2B5EF4-FFF2-40B4-BE49-F238E27FC236}">
                  <a16:creationId xmlns:a16="http://schemas.microsoft.com/office/drawing/2014/main" id="{2E467CD9-E727-6BCA-1D98-85E3FE908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1038DF" w14:textId="45CC3749" w:rsidR="00EB2C15" w:rsidRDefault="00EB2C15" w:rsidP="00EB2C15">
      <w:pPr>
        <w:pStyle w:val="Figuretitle"/>
      </w:pPr>
      <w:r>
        <w:t>Figure 7: Cost to the PBS</w:t>
      </w:r>
      <w:r w:rsidR="002D023D">
        <w:t>/RPBS for</w:t>
      </w:r>
      <w:r>
        <w:t xml:space="preserve"> all PBS listed medications listed for gastric-oesophageal cancer</w:t>
      </w:r>
      <w:r w:rsidR="00483AAA">
        <w:t>s</w:t>
      </w:r>
    </w:p>
    <w:p w14:paraId="1241D6B5" w14:textId="742BBAE2" w:rsidR="008603DB" w:rsidRPr="008603DB" w:rsidRDefault="008603DB" w:rsidP="00EB2C15">
      <w:pPr>
        <w:pStyle w:val="Figuretitle"/>
        <w:rPr>
          <w:b w:val="0"/>
          <w:bCs/>
          <w:sz w:val="20"/>
          <w:szCs w:val="20"/>
        </w:rPr>
      </w:pPr>
      <w:r w:rsidRPr="008603DB">
        <w:rPr>
          <w:b w:val="0"/>
          <w:bCs/>
          <w:sz w:val="20"/>
          <w:szCs w:val="20"/>
        </w:rPr>
        <w:t xml:space="preserve">Note: </w:t>
      </w:r>
      <w:r w:rsidR="001643E5">
        <w:rPr>
          <w:b w:val="0"/>
          <w:bCs/>
          <w:sz w:val="20"/>
          <w:szCs w:val="20"/>
        </w:rPr>
        <w:t>Special pricing arrangements apply for nivolumab</w:t>
      </w:r>
      <w:r w:rsidR="008F7033">
        <w:rPr>
          <w:b w:val="0"/>
          <w:bCs/>
          <w:sz w:val="20"/>
          <w:szCs w:val="20"/>
        </w:rPr>
        <w:t xml:space="preserve"> and trifluridine</w:t>
      </w:r>
      <w:r w:rsidR="00771A1D">
        <w:rPr>
          <w:b w:val="0"/>
          <w:bCs/>
          <w:sz w:val="20"/>
          <w:szCs w:val="20"/>
        </w:rPr>
        <w:t xml:space="preserve">+tipiracil and the actual cost to government </w:t>
      </w:r>
      <w:r w:rsidR="00DC4484">
        <w:rPr>
          <w:b w:val="0"/>
          <w:bCs/>
          <w:sz w:val="20"/>
          <w:szCs w:val="20"/>
        </w:rPr>
        <w:t xml:space="preserve">for these medicines </w:t>
      </w:r>
      <w:r w:rsidR="00771A1D">
        <w:rPr>
          <w:b w:val="0"/>
          <w:bCs/>
          <w:sz w:val="20"/>
          <w:szCs w:val="20"/>
        </w:rPr>
        <w:t>is less than presented.</w:t>
      </w:r>
    </w:p>
    <w:p w14:paraId="17A8BB42" w14:textId="77777777" w:rsidR="008603DB" w:rsidRDefault="008603DB" w:rsidP="00EB2C15">
      <w:pPr>
        <w:pStyle w:val="Figuretitle"/>
      </w:pPr>
    </w:p>
    <w:p w14:paraId="6F26C2C3" w14:textId="6AB31DA5" w:rsidR="000D18EC" w:rsidRDefault="00483AAA" w:rsidP="000D18EC">
      <w:r>
        <w:t>Figure 7 shows the cost to the government for all PBS listed medications for gastric-oesophageal cancers</w:t>
      </w:r>
      <w:r w:rsidR="00306293">
        <w:t xml:space="preserve"> based on the published prices</w:t>
      </w:r>
      <w:r>
        <w:t xml:space="preserve">. </w:t>
      </w:r>
      <w:r w:rsidR="00BF7C10">
        <w:t xml:space="preserve">Both trastuzumab and trifluridine and tipiracil </w:t>
      </w:r>
      <w:r w:rsidR="000C4696">
        <w:t>have cost less than $10 million per year while as of 2024 nivolumab</w:t>
      </w:r>
      <w:r w:rsidR="000C6AAA">
        <w:t xml:space="preserve"> (excl. adjuvant)</w:t>
      </w:r>
      <w:r w:rsidR="000C4696">
        <w:t xml:space="preserve"> has cost </w:t>
      </w:r>
      <w:r w:rsidR="00DC2CFE">
        <w:t xml:space="preserve">approximately $90 million.  </w:t>
      </w:r>
    </w:p>
    <w:p w14:paraId="0F94BDF6" w14:textId="77777777" w:rsidR="000C6AAA" w:rsidRDefault="000C6AAA" w:rsidP="00874C36"/>
    <w:p w14:paraId="65F6E41B" w14:textId="77777777" w:rsidR="000C6AAA" w:rsidRDefault="000C6AAA" w:rsidP="00874C36"/>
    <w:p w14:paraId="64319E70" w14:textId="77777777" w:rsidR="000C6AAA" w:rsidRDefault="000C6AAA" w:rsidP="00874C36"/>
    <w:p w14:paraId="0EF0CD8B" w14:textId="665DA372" w:rsidR="006A18EC" w:rsidRDefault="00573120" w:rsidP="000C6AAA">
      <w:pPr>
        <w:pStyle w:val="Figuretitle"/>
      </w:pPr>
      <w:r>
        <w:rPr>
          <w:noProof/>
        </w:rPr>
        <w:lastRenderedPageBreak/>
        <w:drawing>
          <wp:anchor distT="0" distB="0" distL="114300" distR="114300" simplePos="0" relativeHeight="251658240" behindDoc="0" locked="0" layoutInCell="1" allowOverlap="1" wp14:anchorId="5B31AFD3" wp14:editId="6D3BA90F">
            <wp:simplePos x="0" y="0"/>
            <wp:positionH relativeFrom="column">
              <wp:posOffset>-608330</wp:posOffset>
            </wp:positionH>
            <wp:positionV relativeFrom="paragraph">
              <wp:posOffset>3810</wp:posOffset>
            </wp:positionV>
            <wp:extent cx="6923405" cy="5977255"/>
            <wp:effectExtent l="0" t="0" r="0" b="4445"/>
            <wp:wrapSquare wrapText="bothSides"/>
            <wp:docPr id="1741855927" name="Picture 3" descr="Cost per course of treatment for all PBS listed medications listed for gastric-oesophageal can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55927" name="Picture 3" descr="Cost per course of treatment for all PBS listed medications listed for gastric-oesophageal cancers"/>
                    <pic:cNvPicPr/>
                  </pic:nvPicPr>
                  <pic:blipFill>
                    <a:blip r:embed="rId22"/>
                    <a:stretch>
                      <a:fillRect/>
                    </a:stretch>
                  </pic:blipFill>
                  <pic:spPr>
                    <a:xfrm>
                      <a:off x="0" y="0"/>
                      <a:ext cx="6923405" cy="5977255"/>
                    </a:xfrm>
                    <a:prstGeom prst="rect">
                      <a:avLst/>
                    </a:prstGeom>
                  </pic:spPr>
                </pic:pic>
              </a:graphicData>
            </a:graphic>
            <wp14:sizeRelH relativeFrom="page">
              <wp14:pctWidth>0</wp14:pctWidth>
            </wp14:sizeRelH>
            <wp14:sizeRelV relativeFrom="page">
              <wp14:pctHeight>0</wp14:pctHeight>
            </wp14:sizeRelV>
          </wp:anchor>
        </w:drawing>
      </w:r>
      <w:r w:rsidR="000C6AAA">
        <w:t xml:space="preserve">Figure </w:t>
      </w:r>
      <w:r w:rsidR="00101502">
        <w:t>8</w:t>
      </w:r>
      <w:r w:rsidR="000C6AAA">
        <w:t xml:space="preserve">: Cost per </w:t>
      </w:r>
      <w:r w:rsidR="00A256E5">
        <w:t>course of treatment</w:t>
      </w:r>
      <w:r w:rsidR="000C6AAA">
        <w:t xml:space="preserve"> for all PBS listed medications listed for gastric-oesophageal cancers</w:t>
      </w:r>
    </w:p>
    <w:p w14:paraId="3E33FB83" w14:textId="728EC528" w:rsidR="000C6AAA" w:rsidRDefault="005E32AE" w:rsidP="008868C0">
      <w:pPr>
        <w:pStyle w:val="Notes"/>
      </w:pPr>
      <w:r>
        <w:t xml:space="preserve">Note: Treatment durations were based on a Kaplan-Meier </w:t>
      </w:r>
      <w:r w:rsidR="00403E04">
        <w:t xml:space="preserve">analysis </w:t>
      </w:r>
      <w:r w:rsidR="00B65ABD">
        <w:t xml:space="preserve">where patients were censored if they had a recent prescription within three times the median time to resupply </w:t>
      </w:r>
      <w:r w:rsidR="006A18EC">
        <w:t>before the end date of the analysis (31/3/2025)</w:t>
      </w:r>
      <w:r w:rsidR="000E583B">
        <w:t xml:space="preserve">. Q1 represents the </w:t>
      </w:r>
      <w:r w:rsidR="0071642E">
        <w:t>25</w:t>
      </w:r>
      <w:r w:rsidR="0071642E" w:rsidRPr="0071642E">
        <w:rPr>
          <w:vertAlign w:val="superscript"/>
        </w:rPr>
        <w:t>th</w:t>
      </w:r>
      <w:r w:rsidR="0071642E">
        <w:t xml:space="preserve"> percentile treatment duration and Q3 represents the 75</w:t>
      </w:r>
      <w:r w:rsidR="0071642E" w:rsidRPr="0071642E">
        <w:rPr>
          <w:vertAlign w:val="superscript"/>
        </w:rPr>
        <w:t>th</w:t>
      </w:r>
      <w:r w:rsidR="0071642E">
        <w:t xml:space="preserve"> percentile treatment duration for each </w:t>
      </w:r>
      <w:r w:rsidR="00E1147D">
        <w:t>indication</w:t>
      </w:r>
      <w:r w:rsidR="00C85B2D">
        <w:t xml:space="preserve">. </w:t>
      </w:r>
      <w:r w:rsidR="00D86337">
        <w:t>Costs were calculated using the latest DPMQ</w:t>
      </w:r>
      <w:r w:rsidR="007232AE">
        <w:t>s</w:t>
      </w:r>
      <w:r w:rsidR="00001754">
        <w:t xml:space="preserve"> </w:t>
      </w:r>
      <w:r w:rsidR="00992409">
        <w:t xml:space="preserve">based on the published prices </w:t>
      </w:r>
      <w:r w:rsidR="00001754">
        <w:t xml:space="preserve">available on the PBS Website for the most common item codes </w:t>
      </w:r>
      <w:r w:rsidR="005D0CBC">
        <w:t>and</w:t>
      </w:r>
      <w:r w:rsidR="007232AE">
        <w:t xml:space="preserve"> for the median quantity supplied</w:t>
      </w:r>
      <w:r w:rsidR="00E1147D">
        <w:t>.</w:t>
      </w:r>
      <w:r w:rsidR="00C85B2D">
        <w:t xml:space="preserve"> </w:t>
      </w:r>
      <w:r w:rsidR="00E1147D">
        <w:t xml:space="preserve"> </w:t>
      </w:r>
      <w:r w:rsidR="00992409" w:rsidRPr="00992409">
        <w:rPr>
          <w:b/>
          <w:bCs/>
        </w:rPr>
        <w:t xml:space="preserve"> </w:t>
      </w:r>
      <w:r w:rsidR="00992409" w:rsidRPr="00992409">
        <w:t xml:space="preserve">Special pricing arrangements apply for nivolumab and trifluridine+tipiracil and the actual cost to government </w:t>
      </w:r>
      <w:r w:rsidR="00DC4484">
        <w:t xml:space="preserve">for these medicines </w:t>
      </w:r>
      <w:r w:rsidR="00992409" w:rsidRPr="00992409">
        <w:t>is less than presented.</w:t>
      </w:r>
    </w:p>
    <w:p w14:paraId="757719C0" w14:textId="09B70679" w:rsidR="008868C0" w:rsidRPr="00261E94" w:rsidRDefault="00AF5D40" w:rsidP="00261E94">
      <w:r>
        <w:t>Figure 8 shows the</w:t>
      </w:r>
      <w:r w:rsidR="005B41B3">
        <w:t xml:space="preserve"> range </w:t>
      </w:r>
      <w:r w:rsidR="0040373C">
        <w:t xml:space="preserve">of cost per treatment based on the </w:t>
      </w:r>
      <w:r w:rsidR="006735DF">
        <w:t xml:space="preserve">interquartile range of </w:t>
      </w:r>
      <w:r w:rsidR="0054267E">
        <w:t>treatment durations</w:t>
      </w:r>
      <w:r w:rsidR="00BB4157">
        <w:t xml:space="preserve"> established through a Kaplan-Meier analysis. The cost per treatment </w:t>
      </w:r>
      <w:r w:rsidR="000D23D6">
        <w:t xml:space="preserve">course of nivolumab </w:t>
      </w:r>
      <w:r w:rsidR="007C30AC">
        <w:t>for advanced or metastatic gastric-oesophageal cancers</w:t>
      </w:r>
      <w:r w:rsidR="000D23D6">
        <w:t xml:space="preserve"> ranges from $23,647 to </w:t>
      </w:r>
      <w:r w:rsidR="008F5AA8">
        <w:t>$116,148 for the majority of patients. The</w:t>
      </w:r>
      <w:r w:rsidR="00F36476">
        <w:t xml:space="preserve"> cost of adjuvant nivolumab is higher </w:t>
      </w:r>
      <w:r w:rsidR="00F36476">
        <w:lastRenderedPageBreak/>
        <w:t>than</w:t>
      </w:r>
      <w:r w:rsidR="007C0005">
        <w:t xml:space="preserve"> non-adjuvant treatment likely due to the </w:t>
      </w:r>
      <w:r w:rsidR="00EF24DE">
        <w:t xml:space="preserve">use of higher quantities however it should be noted that </w:t>
      </w:r>
      <w:r w:rsidR="00F21958">
        <w:t>adjuvant</w:t>
      </w:r>
      <w:r w:rsidR="004C6F5E">
        <w:t xml:space="preserve"> nivolumab was listed in </w:t>
      </w:r>
      <w:r w:rsidR="00B64F5B">
        <w:t>2023Q2</w:t>
      </w:r>
      <w:r w:rsidR="00261E94">
        <w:t xml:space="preserve"> and has limited available data. </w:t>
      </w:r>
    </w:p>
    <w:p w14:paraId="7FC381C1" w14:textId="052B12CF" w:rsidR="00316924" w:rsidRDefault="00D151EB" w:rsidP="008868C0">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4B46E173" w14:textId="582BA244" w:rsidR="00316924" w:rsidRPr="001B5E01" w:rsidRDefault="00316924" w:rsidP="00316924">
      <w:pPr>
        <w:pStyle w:val="Tabletitle"/>
      </w:pPr>
      <w:r>
        <w:t xml:space="preserve">Table </w:t>
      </w:r>
      <w:r w:rsidR="005E6B44">
        <w:t>3</w:t>
      </w:r>
      <w:r>
        <w:t xml:space="preserve">: Actual versus predicted utilisation and cost to the PBS/RPBS of </w:t>
      </w:r>
      <w:r w:rsidR="003806E6">
        <w:t xml:space="preserve">nivolumab </w:t>
      </w:r>
      <w:r w:rsidR="007C30AC">
        <w:t>for advanced or metastatic gastric-oesophageal cancers</w:t>
      </w:r>
    </w:p>
    <w:tbl>
      <w:tblPr>
        <w:tblStyle w:val="TableGrid"/>
        <w:tblW w:w="0" w:type="auto"/>
        <w:tblLook w:val="04A0" w:firstRow="1" w:lastRow="0" w:firstColumn="1" w:lastColumn="0" w:noHBand="0" w:noVBand="1"/>
      </w:tblPr>
      <w:tblGrid>
        <w:gridCol w:w="1299"/>
        <w:gridCol w:w="1130"/>
        <w:gridCol w:w="1559"/>
        <w:gridCol w:w="1560"/>
        <w:gridCol w:w="1559"/>
      </w:tblGrid>
      <w:tr w:rsidR="00316924" w14:paraId="7D8C5DBD" w14:textId="77777777" w:rsidTr="00E73F52">
        <w:tc>
          <w:tcPr>
            <w:tcW w:w="2429" w:type="dxa"/>
            <w:gridSpan w:val="2"/>
            <w:vMerge w:val="restart"/>
            <w:shd w:val="clear" w:color="auto" w:fill="BFBFBF" w:themeFill="background1" w:themeFillShade="BF"/>
          </w:tcPr>
          <w:p w14:paraId="7943CBF2" w14:textId="77777777" w:rsidR="00316924" w:rsidRDefault="00316924" w:rsidP="00E73F52">
            <w:pPr>
              <w:pStyle w:val="Tablewriting"/>
            </w:pPr>
          </w:p>
        </w:tc>
        <w:tc>
          <w:tcPr>
            <w:tcW w:w="1559" w:type="dxa"/>
            <w:shd w:val="clear" w:color="auto" w:fill="BFBFBF" w:themeFill="background1" w:themeFillShade="BF"/>
          </w:tcPr>
          <w:p w14:paraId="38F3F495" w14:textId="77777777" w:rsidR="00316924" w:rsidRPr="00A63CC6" w:rsidRDefault="00316924" w:rsidP="00E73F52">
            <w:pPr>
              <w:pStyle w:val="Tablewriting"/>
              <w:rPr>
                <w:b/>
                <w:bCs/>
              </w:rPr>
            </w:pPr>
            <w:r w:rsidRPr="00A63CC6">
              <w:rPr>
                <w:b/>
                <w:bCs/>
              </w:rPr>
              <w:t>Year 1</w:t>
            </w:r>
          </w:p>
        </w:tc>
        <w:tc>
          <w:tcPr>
            <w:tcW w:w="1560" w:type="dxa"/>
            <w:shd w:val="clear" w:color="auto" w:fill="BFBFBF" w:themeFill="background1" w:themeFillShade="BF"/>
          </w:tcPr>
          <w:p w14:paraId="01FAC0BD" w14:textId="77777777" w:rsidR="00316924" w:rsidRPr="00A63CC6" w:rsidRDefault="00316924" w:rsidP="00E73F52">
            <w:pPr>
              <w:pStyle w:val="Tablewriting"/>
              <w:rPr>
                <w:b/>
                <w:bCs/>
              </w:rPr>
            </w:pPr>
            <w:r w:rsidRPr="00A63CC6">
              <w:rPr>
                <w:b/>
                <w:bCs/>
              </w:rPr>
              <w:t>Year 2</w:t>
            </w:r>
          </w:p>
        </w:tc>
        <w:tc>
          <w:tcPr>
            <w:tcW w:w="1559" w:type="dxa"/>
            <w:shd w:val="clear" w:color="auto" w:fill="BFBFBF" w:themeFill="background1" w:themeFillShade="BF"/>
          </w:tcPr>
          <w:p w14:paraId="0BC0C684" w14:textId="77777777" w:rsidR="00316924" w:rsidRPr="00A63CC6" w:rsidRDefault="00316924" w:rsidP="00E73F52">
            <w:pPr>
              <w:pStyle w:val="Tablewriting"/>
              <w:rPr>
                <w:b/>
                <w:bCs/>
              </w:rPr>
            </w:pPr>
            <w:r w:rsidRPr="00A63CC6">
              <w:rPr>
                <w:b/>
                <w:bCs/>
              </w:rPr>
              <w:t>Year 3</w:t>
            </w:r>
          </w:p>
        </w:tc>
      </w:tr>
      <w:tr w:rsidR="00316924" w14:paraId="52576FEC" w14:textId="77777777" w:rsidTr="00E73F52">
        <w:tc>
          <w:tcPr>
            <w:tcW w:w="2429" w:type="dxa"/>
            <w:gridSpan w:val="2"/>
            <w:vMerge/>
            <w:shd w:val="clear" w:color="auto" w:fill="BFBFBF" w:themeFill="background1" w:themeFillShade="BF"/>
          </w:tcPr>
          <w:p w14:paraId="0CF51DCE" w14:textId="77777777" w:rsidR="00316924" w:rsidRDefault="00316924" w:rsidP="00E73F52">
            <w:pPr>
              <w:pStyle w:val="Tablewriting"/>
            </w:pPr>
          </w:p>
        </w:tc>
        <w:tc>
          <w:tcPr>
            <w:tcW w:w="1559" w:type="dxa"/>
            <w:shd w:val="clear" w:color="auto" w:fill="BFBFBF" w:themeFill="background1" w:themeFillShade="BF"/>
          </w:tcPr>
          <w:p w14:paraId="32851FA9" w14:textId="7777ACD2" w:rsidR="00316924" w:rsidRPr="00A63CC6" w:rsidRDefault="00316924" w:rsidP="00E73F52">
            <w:pPr>
              <w:pStyle w:val="Tablewriting"/>
              <w:rPr>
                <w:b/>
                <w:bCs/>
              </w:rPr>
            </w:pPr>
            <w:r w:rsidRPr="00A63CC6">
              <w:rPr>
                <w:b/>
                <w:bCs/>
              </w:rPr>
              <w:t>1</w:t>
            </w:r>
            <w:r w:rsidRPr="00A63CC6">
              <w:rPr>
                <w:b/>
                <w:bCs/>
                <w:vertAlign w:val="superscript"/>
              </w:rPr>
              <w:t>st</w:t>
            </w:r>
            <w:r w:rsidRPr="00A63CC6">
              <w:rPr>
                <w:b/>
                <w:bCs/>
              </w:rPr>
              <w:t xml:space="preserve"> </w:t>
            </w:r>
            <w:r w:rsidR="00C61B47">
              <w:rPr>
                <w:b/>
                <w:bCs/>
              </w:rPr>
              <w:t>October</w:t>
            </w:r>
            <w:r w:rsidRPr="00A63CC6">
              <w:rPr>
                <w:b/>
                <w:bCs/>
              </w:rPr>
              <w:t xml:space="preserve"> 202</w:t>
            </w:r>
            <w:r>
              <w:rPr>
                <w:b/>
                <w:bCs/>
              </w:rPr>
              <w:t>2</w:t>
            </w:r>
            <w:r w:rsidRPr="00A63CC6">
              <w:rPr>
                <w:b/>
                <w:bCs/>
              </w:rPr>
              <w:t xml:space="preserve"> to </w:t>
            </w:r>
            <w:r w:rsidR="00B859A2" w:rsidRPr="00A63CC6">
              <w:rPr>
                <w:b/>
                <w:bCs/>
              </w:rPr>
              <w:t>3</w:t>
            </w:r>
            <w:r w:rsidR="00B859A2">
              <w:rPr>
                <w:b/>
                <w:bCs/>
              </w:rPr>
              <w:t>1</w:t>
            </w:r>
            <w:r w:rsidR="00B859A2" w:rsidRPr="00A63CC6">
              <w:rPr>
                <w:b/>
                <w:bCs/>
                <w:vertAlign w:val="superscript"/>
              </w:rPr>
              <w:t>st</w:t>
            </w:r>
            <w:r w:rsidRPr="00A63CC6">
              <w:rPr>
                <w:b/>
                <w:bCs/>
              </w:rPr>
              <w:t xml:space="preserve"> </w:t>
            </w:r>
            <w:r w:rsidR="000C179C">
              <w:rPr>
                <w:b/>
                <w:bCs/>
              </w:rPr>
              <w:t>September</w:t>
            </w:r>
            <w:r w:rsidRPr="00A63CC6">
              <w:rPr>
                <w:b/>
                <w:bCs/>
              </w:rPr>
              <w:t xml:space="preserve"> 202</w:t>
            </w:r>
            <w:r>
              <w:rPr>
                <w:b/>
                <w:bCs/>
              </w:rPr>
              <w:t>3</w:t>
            </w:r>
          </w:p>
        </w:tc>
        <w:tc>
          <w:tcPr>
            <w:tcW w:w="1560" w:type="dxa"/>
            <w:shd w:val="clear" w:color="auto" w:fill="BFBFBF" w:themeFill="background1" w:themeFillShade="BF"/>
          </w:tcPr>
          <w:p w14:paraId="381C563C" w14:textId="601C7DC0" w:rsidR="00316924" w:rsidRPr="00A63CC6" w:rsidRDefault="00316924" w:rsidP="00E73F52">
            <w:pPr>
              <w:pStyle w:val="Tablewriting"/>
              <w:rPr>
                <w:b/>
                <w:bCs/>
              </w:rPr>
            </w:pPr>
            <w:r w:rsidRPr="00A63CC6">
              <w:rPr>
                <w:b/>
                <w:bCs/>
              </w:rPr>
              <w:t>1</w:t>
            </w:r>
            <w:r w:rsidRPr="00A63CC6">
              <w:rPr>
                <w:b/>
                <w:bCs/>
                <w:vertAlign w:val="superscript"/>
              </w:rPr>
              <w:t>st</w:t>
            </w:r>
            <w:r w:rsidRPr="00A63CC6">
              <w:rPr>
                <w:b/>
                <w:bCs/>
              </w:rPr>
              <w:t xml:space="preserve"> </w:t>
            </w:r>
            <w:r w:rsidR="000C179C">
              <w:rPr>
                <w:b/>
                <w:bCs/>
              </w:rPr>
              <w:t>October</w:t>
            </w:r>
            <w:r w:rsidR="000C179C" w:rsidRPr="00A63CC6">
              <w:rPr>
                <w:b/>
                <w:bCs/>
              </w:rPr>
              <w:t xml:space="preserve"> </w:t>
            </w:r>
            <w:r w:rsidRPr="00A63CC6">
              <w:rPr>
                <w:b/>
                <w:bCs/>
              </w:rPr>
              <w:t>202</w:t>
            </w:r>
            <w:r>
              <w:rPr>
                <w:b/>
                <w:bCs/>
              </w:rPr>
              <w:t>3</w:t>
            </w:r>
            <w:r w:rsidRPr="00A63CC6">
              <w:rPr>
                <w:b/>
                <w:bCs/>
              </w:rPr>
              <w:t xml:space="preserve"> to </w:t>
            </w:r>
            <w:r w:rsidR="00B859A2" w:rsidRPr="00A63CC6">
              <w:rPr>
                <w:b/>
                <w:bCs/>
              </w:rPr>
              <w:t>3</w:t>
            </w:r>
            <w:r w:rsidR="00B859A2">
              <w:rPr>
                <w:b/>
                <w:bCs/>
              </w:rPr>
              <w:t>1</w:t>
            </w:r>
            <w:r w:rsidR="00B859A2" w:rsidRPr="00A63CC6">
              <w:rPr>
                <w:b/>
                <w:bCs/>
                <w:vertAlign w:val="superscript"/>
              </w:rPr>
              <w:t>st</w:t>
            </w:r>
            <w:r w:rsidRPr="00A63CC6">
              <w:rPr>
                <w:b/>
                <w:bCs/>
              </w:rPr>
              <w:t xml:space="preserve"> </w:t>
            </w:r>
            <w:r w:rsidR="000C179C">
              <w:rPr>
                <w:b/>
                <w:bCs/>
              </w:rPr>
              <w:t>September</w:t>
            </w:r>
            <w:r w:rsidR="000C179C" w:rsidRPr="00A63CC6">
              <w:rPr>
                <w:b/>
                <w:bCs/>
              </w:rPr>
              <w:t xml:space="preserve"> </w:t>
            </w:r>
            <w:r w:rsidRPr="00A63CC6">
              <w:rPr>
                <w:b/>
                <w:bCs/>
              </w:rPr>
              <w:t>202</w:t>
            </w:r>
            <w:r>
              <w:rPr>
                <w:b/>
                <w:bCs/>
              </w:rPr>
              <w:t>4</w:t>
            </w:r>
          </w:p>
        </w:tc>
        <w:tc>
          <w:tcPr>
            <w:tcW w:w="1559" w:type="dxa"/>
            <w:shd w:val="clear" w:color="auto" w:fill="BFBFBF" w:themeFill="background1" w:themeFillShade="BF"/>
          </w:tcPr>
          <w:p w14:paraId="32250C59" w14:textId="07B4F60E" w:rsidR="00316924" w:rsidRPr="00A63CC6" w:rsidRDefault="00316924" w:rsidP="00E73F52">
            <w:pPr>
              <w:pStyle w:val="Tablewriting"/>
              <w:rPr>
                <w:b/>
                <w:bCs/>
              </w:rPr>
            </w:pPr>
            <w:r w:rsidRPr="00A63CC6">
              <w:rPr>
                <w:b/>
                <w:bCs/>
              </w:rPr>
              <w:t>1</w:t>
            </w:r>
            <w:r w:rsidRPr="00A63CC6">
              <w:rPr>
                <w:b/>
                <w:bCs/>
                <w:vertAlign w:val="superscript"/>
              </w:rPr>
              <w:t>st</w:t>
            </w:r>
            <w:r w:rsidRPr="00A63CC6">
              <w:rPr>
                <w:b/>
                <w:bCs/>
              </w:rPr>
              <w:t xml:space="preserve"> </w:t>
            </w:r>
            <w:r w:rsidR="000C179C">
              <w:rPr>
                <w:b/>
                <w:bCs/>
              </w:rPr>
              <w:t>October</w:t>
            </w:r>
            <w:r w:rsidR="000C179C" w:rsidRPr="00A63CC6">
              <w:rPr>
                <w:b/>
                <w:bCs/>
              </w:rPr>
              <w:t xml:space="preserve"> </w:t>
            </w:r>
            <w:r w:rsidRPr="00A63CC6">
              <w:rPr>
                <w:b/>
                <w:bCs/>
              </w:rPr>
              <w:t>202</w:t>
            </w:r>
            <w:r>
              <w:rPr>
                <w:b/>
                <w:bCs/>
              </w:rPr>
              <w:t>4</w:t>
            </w:r>
            <w:r w:rsidRPr="00A63CC6">
              <w:rPr>
                <w:b/>
                <w:bCs/>
              </w:rPr>
              <w:t xml:space="preserve"> to </w:t>
            </w:r>
            <w:r w:rsidR="00B859A2" w:rsidRPr="00A63CC6">
              <w:rPr>
                <w:b/>
                <w:bCs/>
              </w:rPr>
              <w:t>3</w:t>
            </w:r>
            <w:r w:rsidR="00B859A2">
              <w:rPr>
                <w:b/>
                <w:bCs/>
              </w:rPr>
              <w:t>1</w:t>
            </w:r>
            <w:r w:rsidR="00B859A2" w:rsidRPr="00A63CC6">
              <w:rPr>
                <w:b/>
                <w:bCs/>
                <w:vertAlign w:val="superscript"/>
              </w:rPr>
              <w:t>st</w:t>
            </w:r>
            <w:r w:rsidRPr="00A63CC6">
              <w:rPr>
                <w:b/>
                <w:bCs/>
              </w:rPr>
              <w:t xml:space="preserve"> </w:t>
            </w:r>
            <w:r w:rsidR="000C179C">
              <w:rPr>
                <w:b/>
                <w:bCs/>
              </w:rPr>
              <w:t>September</w:t>
            </w:r>
            <w:r w:rsidR="000C179C" w:rsidRPr="00A63CC6">
              <w:rPr>
                <w:b/>
                <w:bCs/>
              </w:rPr>
              <w:t xml:space="preserve"> </w:t>
            </w:r>
            <w:r w:rsidRPr="00A63CC6">
              <w:rPr>
                <w:b/>
                <w:bCs/>
              </w:rPr>
              <w:t>202</w:t>
            </w:r>
            <w:r>
              <w:rPr>
                <w:b/>
                <w:bCs/>
              </w:rPr>
              <w:t>5</w:t>
            </w:r>
            <w:r w:rsidRPr="00A63CC6">
              <w:rPr>
                <w:b/>
                <w:bCs/>
              </w:rPr>
              <w:t>*</w:t>
            </w:r>
          </w:p>
        </w:tc>
      </w:tr>
      <w:tr w:rsidR="00C104E6" w14:paraId="79907E4F" w14:textId="77777777" w:rsidTr="00A2106D">
        <w:tc>
          <w:tcPr>
            <w:tcW w:w="1299" w:type="dxa"/>
            <w:vAlign w:val="center"/>
          </w:tcPr>
          <w:p w14:paraId="7F6D9669" w14:textId="77777777" w:rsidR="00C104E6" w:rsidRPr="00C104E6" w:rsidRDefault="00C104E6" w:rsidP="00C104E6">
            <w:pPr>
              <w:pStyle w:val="Tablewriting"/>
              <w:rPr>
                <w:b/>
                <w:bCs/>
              </w:rPr>
            </w:pPr>
            <w:r w:rsidRPr="00C104E6">
              <w:rPr>
                <w:rFonts w:ascii="Calibri" w:hAnsi="Calibri"/>
                <w:b/>
                <w:bCs/>
              </w:rPr>
              <w:t>Patients</w:t>
            </w:r>
          </w:p>
        </w:tc>
        <w:tc>
          <w:tcPr>
            <w:tcW w:w="1130" w:type="dxa"/>
            <w:vAlign w:val="center"/>
          </w:tcPr>
          <w:p w14:paraId="2A3026A4" w14:textId="39563E61" w:rsidR="00C104E6" w:rsidRPr="00C104E6" w:rsidRDefault="00C104E6" w:rsidP="00C104E6">
            <w:pPr>
              <w:pStyle w:val="Tablewriting"/>
              <w:rPr>
                <w:b/>
                <w:bCs/>
              </w:rPr>
            </w:pPr>
            <w:r w:rsidRPr="00C104E6">
              <w:rPr>
                <w:rFonts w:ascii="Calibri" w:hAnsi="Calibri"/>
                <w:b/>
                <w:bCs/>
              </w:rPr>
              <w:t>Predicted</w:t>
            </w:r>
          </w:p>
        </w:tc>
        <w:tc>
          <w:tcPr>
            <w:tcW w:w="1559" w:type="dxa"/>
            <w:vAlign w:val="center"/>
          </w:tcPr>
          <w:p w14:paraId="14473C05" w14:textId="0CBAD821" w:rsidR="00C104E6" w:rsidRPr="00C22EF3" w:rsidRDefault="00C22EF3" w:rsidP="00C104E6">
            <w:pPr>
              <w:pStyle w:val="Tablewriting"/>
              <w:rPr>
                <w:color w:val="000000" w:themeColor="text1"/>
                <w:highlight w:val="black"/>
              </w:rPr>
            </w:pPr>
            <w:r w:rsidRPr="00C22EF3">
              <w:rPr>
                <w:rFonts w:ascii="Calibri" w:hAnsi="Calibri"/>
                <w:color w:val="000000" w:themeColor="text1"/>
                <w:highlight w:val="black"/>
              </w:rPr>
              <w:t>XXX</w:t>
            </w:r>
          </w:p>
        </w:tc>
        <w:tc>
          <w:tcPr>
            <w:tcW w:w="1560" w:type="dxa"/>
            <w:vAlign w:val="center"/>
          </w:tcPr>
          <w:p w14:paraId="0BD64883" w14:textId="26D2542C" w:rsidR="00C104E6" w:rsidRPr="00C22EF3" w:rsidRDefault="00C22EF3" w:rsidP="00C104E6">
            <w:pPr>
              <w:pStyle w:val="Tablewriting"/>
              <w:rPr>
                <w:color w:val="000000" w:themeColor="text1"/>
                <w:highlight w:val="black"/>
              </w:rPr>
            </w:pPr>
            <w:r w:rsidRPr="00C22EF3">
              <w:rPr>
                <w:rFonts w:ascii="Calibri" w:hAnsi="Calibri"/>
                <w:color w:val="000000" w:themeColor="text1"/>
                <w:highlight w:val="black"/>
              </w:rPr>
              <w:t>XXX</w:t>
            </w:r>
          </w:p>
        </w:tc>
        <w:tc>
          <w:tcPr>
            <w:tcW w:w="1559" w:type="dxa"/>
            <w:vAlign w:val="center"/>
          </w:tcPr>
          <w:p w14:paraId="36A88203" w14:textId="407E501B" w:rsidR="00C104E6" w:rsidRPr="00C22EF3" w:rsidRDefault="00C22EF3" w:rsidP="00C104E6">
            <w:pPr>
              <w:pStyle w:val="Tablewriting"/>
              <w:rPr>
                <w:color w:val="000000" w:themeColor="text1"/>
                <w:highlight w:val="black"/>
              </w:rPr>
            </w:pPr>
            <w:r w:rsidRPr="00C22EF3">
              <w:rPr>
                <w:rFonts w:ascii="Calibri" w:hAnsi="Calibri"/>
                <w:color w:val="000000" w:themeColor="text1"/>
                <w:highlight w:val="black"/>
              </w:rPr>
              <w:t>XXX</w:t>
            </w:r>
          </w:p>
        </w:tc>
      </w:tr>
      <w:tr w:rsidR="00C104E6" w14:paraId="7C9029C4" w14:textId="77777777" w:rsidTr="00E73F52">
        <w:tc>
          <w:tcPr>
            <w:tcW w:w="1299" w:type="dxa"/>
            <w:vAlign w:val="center"/>
          </w:tcPr>
          <w:p w14:paraId="4DEAC997" w14:textId="77777777" w:rsidR="00C104E6" w:rsidRPr="00C104E6" w:rsidRDefault="00C104E6" w:rsidP="00C104E6">
            <w:pPr>
              <w:pStyle w:val="Tablewriting"/>
              <w:rPr>
                <w:rFonts w:ascii="Calibri" w:hAnsi="Calibri"/>
                <w:b/>
                <w:bCs/>
              </w:rPr>
            </w:pPr>
          </w:p>
        </w:tc>
        <w:tc>
          <w:tcPr>
            <w:tcW w:w="1130" w:type="dxa"/>
            <w:vAlign w:val="center"/>
          </w:tcPr>
          <w:p w14:paraId="43448F48" w14:textId="767EBE0D" w:rsidR="00C104E6" w:rsidRPr="00C104E6" w:rsidRDefault="00C104E6" w:rsidP="00C104E6">
            <w:pPr>
              <w:pStyle w:val="Tablewriting"/>
              <w:rPr>
                <w:rFonts w:ascii="Calibri" w:hAnsi="Calibri"/>
                <w:b/>
                <w:bCs/>
              </w:rPr>
            </w:pPr>
            <w:r w:rsidRPr="00C104E6">
              <w:rPr>
                <w:rFonts w:ascii="Calibri" w:hAnsi="Calibri"/>
                <w:b/>
                <w:bCs/>
              </w:rPr>
              <w:t>Actual</w:t>
            </w:r>
          </w:p>
        </w:tc>
        <w:tc>
          <w:tcPr>
            <w:tcW w:w="1559" w:type="dxa"/>
            <w:vAlign w:val="center"/>
          </w:tcPr>
          <w:p w14:paraId="38398670" w14:textId="0530EF66" w:rsidR="00C104E6" w:rsidRPr="00C104E6" w:rsidRDefault="00C104E6" w:rsidP="00C104E6">
            <w:pPr>
              <w:pStyle w:val="Tablewriting"/>
              <w:rPr>
                <w:rFonts w:ascii="Calibri" w:hAnsi="Calibri"/>
              </w:rPr>
            </w:pPr>
            <w:r w:rsidRPr="00C104E6">
              <w:rPr>
                <w:rFonts w:ascii="Calibri" w:hAnsi="Calibri"/>
              </w:rPr>
              <w:t>1,472</w:t>
            </w:r>
          </w:p>
        </w:tc>
        <w:tc>
          <w:tcPr>
            <w:tcW w:w="1560" w:type="dxa"/>
            <w:vAlign w:val="center"/>
          </w:tcPr>
          <w:p w14:paraId="11E742E5" w14:textId="2338C78F" w:rsidR="00C104E6" w:rsidRPr="00C104E6" w:rsidRDefault="00C104E6" w:rsidP="00C104E6">
            <w:pPr>
              <w:pStyle w:val="Tablewriting"/>
              <w:rPr>
                <w:rFonts w:ascii="Calibri" w:hAnsi="Calibri"/>
              </w:rPr>
            </w:pPr>
            <w:r w:rsidRPr="00C104E6">
              <w:rPr>
                <w:rFonts w:ascii="Calibri" w:hAnsi="Calibri"/>
              </w:rPr>
              <w:t>1,851</w:t>
            </w:r>
          </w:p>
        </w:tc>
        <w:tc>
          <w:tcPr>
            <w:tcW w:w="1559" w:type="dxa"/>
            <w:vAlign w:val="center"/>
          </w:tcPr>
          <w:p w14:paraId="6FFDF440" w14:textId="1691791D" w:rsidR="00C104E6" w:rsidRPr="00C104E6" w:rsidRDefault="00C104E6" w:rsidP="00C104E6">
            <w:pPr>
              <w:pStyle w:val="Tablewriting"/>
              <w:rPr>
                <w:rFonts w:ascii="Calibri" w:hAnsi="Calibri"/>
              </w:rPr>
            </w:pPr>
            <w:r w:rsidRPr="00C104E6">
              <w:rPr>
                <w:rFonts w:ascii="Calibri" w:hAnsi="Calibri"/>
              </w:rPr>
              <w:t>1,399</w:t>
            </w:r>
          </w:p>
        </w:tc>
      </w:tr>
      <w:tr w:rsidR="00C104E6" w14:paraId="3821BEF8" w14:textId="77777777" w:rsidTr="00E73F52">
        <w:tc>
          <w:tcPr>
            <w:tcW w:w="1299" w:type="dxa"/>
            <w:vAlign w:val="center"/>
          </w:tcPr>
          <w:p w14:paraId="14BED244" w14:textId="77777777" w:rsidR="00C104E6" w:rsidRPr="00C104E6" w:rsidRDefault="00C104E6" w:rsidP="00C104E6">
            <w:pPr>
              <w:pStyle w:val="Tablewriting"/>
              <w:rPr>
                <w:rFonts w:ascii="Calibri" w:hAnsi="Calibri"/>
                <w:b/>
                <w:bCs/>
              </w:rPr>
            </w:pPr>
          </w:p>
        </w:tc>
        <w:tc>
          <w:tcPr>
            <w:tcW w:w="1130" w:type="dxa"/>
            <w:vAlign w:val="center"/>
          </w:tcPr>
          <w:p w14:paraId="779547F3" w14:textId="65DFFFCF" w:rsidR="00C104E6" w:rsidRPr="00C104E6" w:rsidRDefault="00C104E6" w:rsidP="00C104E6">
            <w:pPr>
              <w:pStyle w:val="Tablewriting"/>
              <w:rPr>
                <w:rFonts w:ascii="Calibri" w:hAnsi="Calibri"/>
                <w:b/>
                <w:bCs/>
              </w:rPr>
            </w:pPr>
            <w:r w:rsidRPr="00C104E6">
              <w:rPr>
                <w:rFonts w:ascii="Calibri" w:hAnsi="Calibri"/>
                <w:b/>
                <w:bCs/>
              </w:rPr>
              <w:t>Difference</w:t>
            </w:r>
          </w:p>
        </w:tc>
        <w:tc>
          <w:tcPr>
            <w:tcW w:w="1559" w:type="dxa"/>
            <w:vAlign w:val="center"/>
          </w:tcPr>
          <w:p w14:paraId="34F63FE5" w14:textId="08A11503" w:rsidR="00C104E6" w:rsidRPr="00C22EF3" w:rsidRDefault="00C22EF3" w:rsidP="00C104E6">
            <w:pPr>
              <w:pStyle w:val="Tablewriting"/>
              <w:rPr>
                <w:rFonts w:ascii="Calibri" w:hAnsi="Calibri"/>
                <w:highlight w:val="black"/>
              </w:rPr>
            </w:pPr>
            <w:r w:rsidRPr="00C22EF3">
              <w:rPr>
                <w:rFonts w:ascii="Calibri" w:hAnsi="Calibri"/>
                <w:highlight w:val="black"/>
              </w:rPr>
              <w:t>XXX</w:t>
            </w:r>
          </w:p>
        </w:tc>
        <w:tc>
          <w:tcPr>
            <w:tcW w:w="1560" w:type="dxa"/>
            <w:vAlign w:val="center"/>
          </w:tcPr>
          <w:p w14:paraId="65FE0F87" w14:textId="2A15499D" w:rsidR="00C104E6" w:rsidRPr="00C22EF3" w:rsidRDefault="00C22EF3" w:rsidP="00C104E6">
            <w:pPr>
              <w:pStyle w:val="Tablewriting"/>
              <w:rPr>
                <w:rFonts w:ascii="Calibri" w:hAnsi="Calibri"/>
                <w:highlight w:val="black"/>
              </w:rPr>
            </w:pPr>
            <w:r w:rsidRPr="00C22EF3">
              <w:rPr>
                <w:rFonts w:ascii="Calibri" w:hAnsi="Calibri"/>
                <w:highlight w:val="black"/>
              </w:rPr>
              <w:t>XXX</w:t>
            </w:r>
          </w:p>
        </w:tc>
        <w:tc>
          <w:tcPr>
            <w:tcW w:w="1559" w:type="dxa"/>
            <w:vAlign w:val="center"/>
          </w:tcPr>
          <w:p w14:paraId="5EA697FD" w14:textId="03F45078" w:rsidR="00C104E6" w:rsidRPr="00C22EF3" w:rsidRDefault="00C22EF3" w:rsidP="00C104E6">
            <w:pPr>
              <w:pStyle w:val="Tablewriting"/>
              <w:rPr>
                <w:rFonts w:ascii="Calibri" w:hAnsi="Calibri"/>
                <w:highlight w:val="black"/>
              </w:rPr>
            </w:pPr>
            <w:r w:rsidRPr="00C22EF3">
              <w:rPr>
                <w:rFonts w:ascii="Calibri" w:hAnsi="Calibri"/>
                <w:highlight w:val="black"/>
              </w:rPr>
              <w:t>XXX</w:t>
            </w:r>
          </w:p>
        </w:tc>
      </w:tr>
      <w:tr w:rsidR="00C104E6" w14:paraId="76863218" w14:textId="77777777" w:rsidTr="00E73F52">
        <w:tc>
          <w:tcPr>
            <w:tcW w:w="1299" w:type="dxa"/>
            <w:vMerge w:val="restart"/>
            <w:vAlign w:val="center"/>
          </w:tcPr>
          <w:p w14:paraId="374A9902" w14:textId="77777777" w:rsidR="00C104E6" w:rsidRPr="00C104E6" w:rsidRDefault="00C104E6" w:rsidP="00C104E6">
            <w:pPr>
              <w:pStyle w:val="Tablewriting"/>
              <w:rPr>
                <w:b/>
                <w:bCs/>
              </w:rPr>
            </w:pPr>
            <w:r w:rsidRPr="00C104E6">
              <w:rPr>
                <w:rFonts w:ascii="Calibri" w:hAnsi="Calibri"/>
                <w:b/>
                <w:bCs/>
              </w:rPr>
              <w:t>Prescriptions</w:t>
            </w:r>
          </w:p>
        </w:tc>
        <w:tc>
          <w:tcPr>
            <w:tcW w:w="1130" w:type="dxa"/>
            <w:vAlign w:val="center"/>
          </w:tcPr>
          <w:p w14:paraId="43DCA264" w14:textId="1B20EA48" w:rsidR="00C104E6" w:rsidRPr="00C104E6" w:rsidRDefault="00C104E6" w:rsidP="00C104E6">
            <w:pPr>
              <w:pStyle w:val="Tablewriting"/>
              <w:rPr>
                <w:b/>
                <w:bCs/>
              </w:rPr>
            </w:pPr>
            <w:r w:rsidRPr="00C104E6">
              <w:rPr>
                <w:rFonts w:ascii="Calibri" w:hAnsi="Calibri"/>
                <w:b/>
                <w:bCs/>
              </w:rPr>
              <w:t>Predicted</w:t>
            </w:r>
          </w:p>
        </w:tc>
        <w:tc>
          <w:tcPr>
            <w:tcW w:w="1559" w:type="dxa"/>
            <w:vAlign w:val="center"/>
          </w:tcPr>
          <w:p w14:paraId="024EA6CE" w14:textId="212B20A0" w:rsidR="00C104E6" w:rsidRPr="00C104E6" w:rsidRDefault="00C104E6" w:rsidP="00C104E6">
            <w:pPr>
              <w:pStyle w:val="Tablewriting"/>
              <w:rPr>
                <w:highlight w:val="yellow"/>
              </w:rPr>
            </w:pPr>
            <w:r w:rsidRPr="00C104E6">
              <w:rPr>
                <w:rFonts w:ascii="Calibri" w:hAnsi="Calibri"/>
              </w:rPr>
              <w:t>22,226</w:t>
            </w:r>
          </w:p>
        </w:tc>
        <w:tc>
          <w:tcPr>
            <w:tcW w:w="1560" w:type="dxa"/>
            <w:vAlign w:val="center"/>
          </w:tcPr>
          <w:p w14:paraId="1E61E376" w14:textId="2E5573F1" w:rsidR="00C104E6" w:rsidRPr="00C104E6" w:rsidRDefault="00C104E6" w:rsidP="00C104E6">
            <w:pPr>
              <w:pStyle w:val="Tablewriting"/>
              <w:rPr>
                <w:highlight w:val="yellow"/>
              </w:rPr>
            </w:pPr>
            <w:r w:rsidRPr="00C104E6">
              <w:rPr>
                <w:rFonts w:ascii="Calibri" w:hAnsi="Calibri"/>
              </w:rPr>
              <w:t>20,349</w:t>
            </w:r>
          </w:p>
        </w:tc>
        <w:tc>
          <w:tcPr>
            <w:tcW w:w="1559" w:type="dxa"/>
            <w:vAlign w:val="center"/>
          </w:tcPr>
          <w:p w14:paraId="2C5FE94E" w14:textId="01E77286" w:rsidR="00C104E6" w:rsidRPr="00C104E6" w:rsidRDefault="00C104E6" w:rsidP="00C104E6">
            <w:pPr>
              <w:pStyle w:val="Tablewriting"/>
              <w:rPr>
                <w:highlight w:val="yellow"/>
              </w:rPr>
            </w:pPr>
            <w:r w:rsidRPr="00C104E6">
              <w:rPr>
                <w:rFonts w:ascii="Calibri" w:hAnsi="Calibri"/>
              </w:rPr>
              <w:t>20,618</w:t>
            </w:r>
          </w:p>
        </w:tc>
      </w:tr>
      <w:tr w:rsidR="00C104E6" w14:paraId="6A7030E7" w14:textId="77777777" w:rsidTr="00A2106D">
        <w:tc>
          <w:tcPr>
            <w:tcW w:w="1299" w:type="dxa"/>
            <w:vMerge/>
            <w:vAlign w:val="center"/>
          </w:tcPr>
          <w:p w14:paraId="153CBDFB" w14:textId="77777777" w:rsidR="00C104E6" w:rsidRPr="00C104E6" w:rsidRDefault="00C104E6" w:rsidP="00C104E6">
            <w:pPr>
              <w:pStyle w:val="Tablewriting"/>
              <w:rPr>
                <w:b/>
                <w:bCs/>
              </w:rPr>
            </w:pPr>
          </w:p>
        </w:tc>
        <w:tc>
          <w:tcPr>
            <w:tcW w:w="1130" w:type="dxa"/>
            <w:vAlign w:val="center"/>
          </w:tcPr>
          <w:p w14:paraId="5650F204" w14:textId="418223B4" w:rsidR="00C104E6" w:rsidRPr="00C104E6" w:rsidRDefault="00C104E6" w:rsidP="00C104E6">
            <w:pPr>
              <w:pStyle w:val="Tablewriting"/>
              <w:rPr>
                <w:b/>
                <w:bCs/>
              </w:rPr>
            </w:pPr>
            <w:r w:rsidRPr="00C104E6">
              <w:rPr>
                <w:rFonts w:ascii="Calibri" w:hAnsi="Calibri"/>
                <w:b/>
                <w:bCs/>
              </w:rPr>
              <w:t>Actual</w:t>
            </w:r>
          </w:p>
        </w:tc>
        <w:tc>
          <w:tcPr>
            <w:tcW w:w="1559" w:type="dxa"/>
            <w:vAlign w:val="center"/>
          </w:tcPr>
          <w:p w14:paraId="7A616741" w14:textId="014B71F7" w:rsidR="00C104E6" w:rsidRPr="00C104E6" w:rsidRDefault="00C104E6" w:rsidP="00C104E6">
            <w:pPr>
              <w:pStyle w:val="Tablewriting"/>
            </w:pPr>
            <w:r w:rsidRPr="00C104E6">
              <w:rPr>
                <w:rFonts w:ascii="Calibri" w:hAnsi="Calibri"/>
              </w:rPr>
              <w:t>11,981</w:t>
            </w:r>
          </w:p>
        </w:tc>
        <w:tc>
          <w:tcPr>
            <w:tcW w:w="1560" w:type="dxa"/>
            <w:vAlign w:val="center"/>
          </w:tcPr>
          <w:p w14:paraId="05C326B9" w14:textId="61226C01" w:rsidR="00C104E6" w:rsidRPr="00C104E6" w:rsidRDefault="00C104E6" w:rsidP="00C104E6">
            <w:pPr>
              <w:pStyle w:val="Tablewriting"/>
            </w:pPr>
            <w:r w:rsidRPr="00C104E6">
              <w:rPr>
                <w:rFonts w:ascii="Calibri" w:hAnsi="Calibri"/>
              </w:rPr>
              <w:t>15,286</w:t>
            </w:r>
          </w:p>
        </w:tc>
        <w:tc>
          <w:tcPr>
            <w:tcW w:w="1559" w:type="dxa"/>
            <w:vAlign w:val="center"/>
          </w:tcPr>
          <w:p w14:paraId="2AB12F4C" w14:textId="232533CD" w:rsidR="00C104E6" w:rsidRPr="00C104E6" w:rsidRDefault="00C104E6" w:rsidP="00C104E6">
            <w:pPr>
              <w:pStyle w:val="Tablewriting"/>
            </w:pPr>
            <w:r w:rsidRPr="00C104E6">
              <w:rPr>
                <w:rFonts w:ascii="Calibri" w:hAnsi="Calibri"/>
              </w:rPr>
              <w:t>8,404</w:t>
            </w:r>
          </w:p>
        </w:tc>
      </w:tr>
      <w:tr w:rsidR="00C104E6" w14:paraId="58CD1231" w14:textId="77777777" w:rsidTr="00E73F52">
        <w:tc>
          <w:tcPr>
            <w:tcW w:w="1299" w:type="dxa"/>
            <w:vMerge/>
            <w:vAlign w:val="center"/>
          </w:tcPr>
          <w:p w14:paraId="6D10F3E5" w14:textId="77777777" w:rsidR="00C104E6" w:rsidRPr="00C104E6" w:rsidRDefault="00C104E6" w:rsidP="00C104E6">
            <w:pPr>
              <w:pStyle w:val="Tablewriting"/>
              <w:rPr>
                <w:b/>
                <w:bCs/>
              </w:rPr>
            </w:pPr>
          </w:p>
        </w:tc>
        <w:tc>
          <w:tcPr>
            <w:tcW w:w="1130" w:type="dxa"/>
            <w:vAlign w:val="center"/>
          </w:tcPr>
          <w:p w14:paraId="3E697A33" w14:textId="08A0E6DA" w:rsidR="00C104E6" w:rsidRPr="00C104E6" w:rsidRDefault="00C104E6" w:rsidP="00C104E6">
            <w:pPr>
              <w:pStyle w:val="Tablewriting"/>
              <w:rPr>
                <w:b/>
                <w:bCs/>
              </w:rPr>
            </w:pPr>
            <w:r w:rsidRPr="00C104E6">
              <w:rPr>
                <w:rFonts w:ascii="Calibri" w:hAnsi="Calibri"/>
                <w:b/>
                <w:bCs/>
              </w:rPr>
              <w:t>Difference</w:t>
            </w:r>
          </w:p>
        </w:tc>
        <w:tc>
          <w:tcPr>
            <w:tcW w:w="1559" w:type="dxa"/>
            <w:vAlign w:val="center"/>
          </w:tcPr>
          <w:p w14:paraId="6F81C07B" w14:textId="3E14DA02" w:rsidR="00C104E6" w:rsidRPr="00C22EF3" w:rsidRDefault="00C22EF3" w:rsidP="00C104E6">
            <w:pPr>
              <w:pStyle w:val="Tablewriting"/>
              <w:rPr>
                <w:highlight w:val="black"/>
              </w:rPr>
            </w:pPr>
            <w:r w:rsidRPr="00C22EF3">
              <w:rPr>
                <w:rFonts w:ascii="Calibri" w:hAnsi="Calibri"/>
                <w:highlight w:val="black"/>
              </w:rPr>
              <w:t>XXX</w:t>
            </w:r>
            <w:r w:rsidRPr="00C22EF3">
              <w:rPr>
                <w:rFonts w:ascii="Calibri" w:hAnsi="Calibri"/>
                <w:highlight w:val="black"/>
              </w:rPr>
              <w:t xml:space="preserve"> </w:t>
            </w:r>
            <w:r w:rsidRPr="00C22EF3">
              <w:rPr>
                <w:rFonts w:ascii="Calibri" w:hAnsi="Calibri"/>
                <w:highlight w:val="black"/>
              </w:rPr>
              <w:t>XXX</w:t>
            </w:r>
            <w:r w:rsidRPr="00C22EF3">
              <w:rPr>
                <w:rFonts w:ascii="Calibri" w:hAnsi="Calibri"/>
                <w:highlight w:val="black"/>
              </w:rPr>
              <w:t xml:space="preserve"> </w:t>
            </w:r>
            <w:r w:rsidRPr="00C22EF3">
              <w:rPr>
                <w:rFonts w:ascii="Calibri" w:hAnsi="Calibri"/>
                <w:highlight w:val="black"/>
              </w:rPr>
              <w:t>XXX</w:t>
            </w:r>
          </w:p>
        </w:tc>
        <w:tc>
          <w:tcPr>
            <w:tcW w:w="1560" w:type="dxa"/>
            <w:vAlign w:val="center"/>
          </w:tcPr>
          <w:p w14:paraId="5FC2133C" w14:textId="13BCB105" w:rsidR="00C104E6" w:rsidRPr="00C22EF3" w:rsidRDefault="00C22EF3" w:rsidP="00C104E6">
            <w:pPr>
              <w:pStyle w:val="Tablewriting"/>
              <w:rPr>
                <w:highlight w:val="black"/>
              </w:rPr>
            </w:pPr>
            <w:r w:rsidRPr="00C22EF3">
              <w:rPr>
                <w:rFonts w:ascii="Calibri" w:hAnsi="Calibri"/>
                <w:highlight w:val="black"/>
              </w:rPr>
              <w:t>XXX</w:t>
            </w:r>
          </w:p>
        </w:tc>
        <w:tc>
          <w:tcPr>
            <w:tcW w:w="1559" w:type="dxa"/>
            <w:vAlign w:val="center"/>
          </w:tcPr>
          <w:p w14:paraId="3368DC02" w14:textId="1FD972D5" w:rsidR="00C104E6" w:rsidRPr="00C22EF3" w:rsidRDefault="00C22EF3" w:rsidP="00C104E6">
            <w:pPr>
              <w:pStyle w:val="Tablewriting"/>
              <w:rPr>
                <w:highlight w:val="black"/>
              </w:rPr>
            </w:pPr>
            <w:r w:rsidRPr="00C22EF3">
              <w:rPr>
                <w:rFonts w:ascii="Calibri" w:hAnsi="Calibri"/>
                <w:highlight w:val="black"/>
              </w:rPr>
              <w:t>XXX</w:t>
            </w:r>
          </w:p>
        </w:tc>
      </w:tr>
      <w:tr w:rsidR="00C104E6" w14:paraId="2F235187" w14:textId="77777777" w:rsidTr="00E73F52">
        <w:tc>
          <w:tcPr>
            <w:tcW w:w="1299" w:type="dxa"/>
            <w:vMerge w:val="restart"/>
            <w:vAlign w:val="center"/>
          </w:tcPr>
          <w:p w14:paraId="4E3FB6FE" w14:textId="77777777" w:rsidR="00C104E6" w:rsidRPr="00C104E6" w:rsidRDefault="00C104E6" w:rsidP="00C104E6">
            <w:pPr>
              <w:pStyle w:val="Tablewriting"/>
              <w:rPr>
                <w:b/>
                <w:bCs/>
              </w:rPr>
            </w:pPr>
            <w:r w:rsidRPr="00C104E6">
              <w:rPr>
                <w:rFonts w:ascii="Calibri" w:hAnsi="Calibri"/>
                <w:b/>
                <w:bCs/>
              </w:rPr>
              <w:t>Net Cost PBS/RPBS</w:t>
            </w:r>
          </w:p>
        </w:tc>
        <w:tc>
          <w:tcPr>
            <w:tcW w:w="1130" w:type="dxa"/>
            <w:vAlign w:val="center"/>
          </w:tcPr>
          <w:p w14:paraId="7D5C1C44" w14:textId="0375711A" w:rsidR="00C104E6" w:rsidRPr="00C104E6" w:rsidRDefault="00C104E6" w:rsidP="00C104E6">
            <w:pPr>
              <w:pStyle w:val="Tablewriting"/>
              <w:rPr>
                <w:b/>
                <w:bCs/>
              </w:rPr>
            </w:pPr>
            <w:r w:rsidRPr="00C104E6">
              <w:rPr>
                <w:rFonts w:ascii="Calibri" w:hAnsi="Calibri"/>
                <w:b/>
                <w:bCs/>
              </w:rPr>
              <w:t>Predicted</w:t>
            </w:r>
          </w:p>
        </w:tc>
        <w:tc>
          <w:tcPr>
            <w:tcW w:w="1559" w:type="dxa"/>
            <w:vAlign w:val="center"/>
          </w:tcPr>
          <w:p w14:paraId="51B54F6B" w14:textId="705785A8" w:rsidR="00C104E6" w:rsidRPr="00C22EF3" w:rsidRDefault="00C22EF3" w:rsidP="00C104E6">
            <w:pPr>
              <w:pStyle w:val="Tablewriting"/>
              <w:rPr>
                <w:highlight w:val="black"/>
              </w:rPr>
            </w:pPr>
            <w:r w:rsidRPr="00C22EF3">
              <w:rPr>
                <w:rFonts w:ascii="Calibri" w:hAnsi="Calibri"/>
                <w:highlight w:val="black"/>
              </w:rPr>
              <w:t>XXX XXX XXX</w:t>
            </w:r>
          </w:p>
        </w:tc>
        <w:tc>
          <w:tcPr>
            <w:tcW w:w="1560" w:type="dxa"/>
            <w:vAlign w:val="center"/>
          </w:tcPr>
          <w:p w14:paraId="33B4994F" w14:textId="2BB94184" w:rsidR="00C104E6" w:rsidRPr="00C22EF3" w:rsidRDefault="00C22EF3" w:rsidP="00C104E6">
            <w:pPr>
              <w:pStyle w:val="Tablewriting"/>
              <w:rPr>
                <w:highlight w:val="black"/>
              </w:rPr>
            </w:pPr>
            <w:r w:rsidRPr="00C22EF3">
              <w:rPr>
                <w:rFonts w:ascii="Calibri" w:hAnsi="Calibri"/>
                <w:highlight w:val="black"/>
              </w:rPr>
              <w:t>XXX XXX XXX</w:t>
            </w:r>
          </w:p>
        </w:tc>
        <w:tc>
          <w:tcPr>
            <w:tcW w:w="1559" w:type="dxa"/>
            <w:vAlign w:val="center"/>
          </w:tcPr>
          <w:p w14:paraId="326A3295" w14:textId="649977B8" w:rsidR="00C104E6" w:rsidRPr="00C22EF3" w:rsidRDefault="00C22EF3" w:rsidP="00C104E6">
            <w:pPr>
              <w:pStyle w:val="Tablewriting"/>
              <w:rPr>
                <w:highlight w:val="black"/>
              </w:rPr>
            </w:pPr>
            <w:r w:rsidRPr="00C22EF3">
              <w:rPr>
                <w:rFonts w:ascii="Calibri" w:hAnsi="Calibri"/>
                <w:highlight w:val="black"/>
              </w:rPr>
              <w:t>XXX XXX XXX</w:t>
            </w:r>
          </w:p>
        </w:tc>
      </w:tr>
      <w:tr w:rsidR="00C104E6" w14:paraId="7BEBE261" w14:textId="77777777" w:rsidTr="00A2106D">
        <w:tc>
          <w:tcPr>
            <w:tcW w:w="1299" w:type="dxa"/>
            <w:vMerge/>
            <w:vAlign w:val="center"/>
          </w:tcPr>
          <w:p w14:paraId="78FB61E2" w14:textId="77777777" w:rsidR="00C104E6" w:rsidRPr="00C104E6" w:rsidRDefault="00C104E6" w:rsidP="00C104E6">
            <w:pPr>
              <w:pStyle w:val="Tablewriting"/>
              <w:rPr>
                <w:b/>
                <w:bCs/>
              </w:rPr>
            </w:pPr>
          </w:p>
        </w:tc>
        <w:tc>
          <w:tcPr>
            <w:tcW w:w="1130" w:type="dxa"/>
            <w:vAlign w:val="center"/>
          </w:tcPr>
          <w:p w14:paraId="5EE723FE" w14:textId="2EA6A3EA" w:rsidR="00C104E6" w:rsidRPr="00C104E6" w:rsidRDefault="00C104E6" w:rsidP="00C104E6">
            <w:pPr>
              <w:pStyle w:val="Tablewriting"/>
              <w:rPr>
                <w:b/>
                <w:bCs/>
              </w:rPr>
            </w:pPr>
            <w:r w:rsidRPr="00C104E6">
              <w:rPr>
                <w:rFonts w:ascii="Calibri" w:hAnsi="Calibri"/>
                <w:b/>
                <w:bCs/>
              </w:rPr>
              <w:t>Actual</w:t>
            </w:r>
          </w:p>
        </w:tc>
        <w:tc>
          <w:tcPr>
            <w:tcW w:w="1559" w:type="dxa"/>
            <w:vAlign w:val="center"/>
          </w:tcPr>
          <w:p w14:paraId="645CC214" w14:textId="59A4345A" w:rsidR="00C104E6" w:rsidRPr="00C104E6" w:rsidRDefault="00C104E6" w:rsidP="00C104E6">
            <w:pPr>
              <w:pStyle w:val="Tablewriting"/>
            </w:pPr>
            <w:r w:rsidRPr="00C104E6">
              <w:rPr>
                <w:rFonts w:ascii="Calibri" w:hAnsi="Calibri"/>
              </w:rPr>
              <w:t>$66,632,934</w:t>
            </w:r>
          </w:p>
        </w:tc>
        <w:tc>
          <w:tcPr>
            <w:tcW w:w="1560" w:type="dxa"/>
            <w:vAlign w:val="center"/>
          </w:tcPr>
          <w:p w14:paraId="558E6E4D" w14:textId="4659D956" w:rsidR="00C104E6" w:rsidRPr="00C104E6" w:rsidRDefault="00C104E6" w:rsidP="00C104E6">
            <w:pPr>
              <w:pStyle w:val="Tablewriting"/>
            </w:pPr>
            <w:r w:rsidRPr="00C104E6">
              <w:rPr>
                <w:rFonts w:ascii="Calibri" w:hAnsi="Calibri"/>
              </w:rPr>
              <w:t>$87,521,145</w:t>
            </w:r>
          </w:p>
        </w:tc>
        <w:tc>
          <w:tcPr>
            <w:tcW w:w="1559" w:type="dxa"/>
            <w:vAlign w:val="center"/>
          </w:tcPr>
          <w:p w14:paraId="542A7589" w14:textId="3DED44AA" w:rsidR="00C104E6" w:rsidRPr="00C104E6" w:rsidRDefault="00C104E6" w:rsidP="00C104E6">
            <w:pPr>
              <w:pStyle w:val="Tablewriting"/>
            </w:pPr>
            <w:r w:rsidRPr="00C104E6">
              <w:rPr>
                <w:rFonts w:ascii="Calibri" w:hAnsi="Calibri"/>
              </w:rPr>
              <w:t>$48,754,478</w:t>
            </w:r>
          </w:p>
        </w:tc>
      </w:tr>
      <w:tr w:rsidR="00C104E6" w14:paraId="0E698064" w14:textId="77777777" w:rsidTr="00E73F52">
        <w:tc>
          <w:tcPr>
            <w:tcW w:w="1299" w:type="dxa"/>
            <w:vMerge/>
            <w:vAlign w:val="center"/>
          </w:tcPr>
          <w:p w14:paraId="2358ACBC" w14:textId="77777777" w:rsidR="00C104E6" w:rsidRPr="00C104E6" w:rsidRDefault="00C104E6" w:rsidP="00C104E6">
            <w:pPr>
              <w:pStyle w:val="Tablewriting"/>
              <w:rPr>
                <w:b/>
                <w:bCs/>
              </w:rPr>
            </w:pPr>
          </w:p>
        </w:tc>
        <w:tc>
          <w:tcPr>
            <w:tcW w:w="1130" w:type="dxa"/>
            <w:vAlign w:val="center"/>
          </w:tcPr>
          <w:p w14:paraId="1BE767C3" w14:textId="2D9E58BD" w:rsidR="00C104E6" w:rsidRPr="00C104E6" w:rsidRDefault="00C104E6" w:rsidP="00C104E6">
            <w:pPr>
              <w:pStyle w:val="Tablewriting"/>
              <w:rPr>
                <w:b/>
                <w:bCs/>
              </w:rPr>
            </w:pPr>
            <w:r w:rsidRPr="00C104E6">
              <w:rPr>
                <w:rFonts w:ascii="Calibri" w:hAnsi="Calibri"/>
                <w:b/>
                <w:bCs/>
              </w:rPr>
              <w:t>Difference</w:t>
            </w:r>
          </w:p>
        </w:tc>
        <w:tc>
          <w:tcPr>
            <w:tcW w:w="1559" w:type="dxa"/>
            <w:vAlign w:val="center"/>
          </w:tcPr>
          <w:p w14:paraId="178477EA" w14:textId="05F22B53" w:rsidR="00C104E6" w:rsidRPr="00C22EF3" w:rsidRDefault="00C22EF3" w:rsidP="00C104E6">
            <w:pPr>
              <w:pStyle w:val="Tablewriting"/>
              <w:rPr>
                <w:highlight w:val="black"/>
              </w:rPr>
            </w:pPr>
            <w:r w:rsidRPr="00C22EF3">
              <w:rPr>
                <w:rFonts w:ascii="Calibri" w:hAnsi="Calibri"/>
                <w:highlight w:val="black"/>
              </w:rPr>
              <w:t>XXX</w:t>
            </w:r>
          </w:p>
        </w:tc>
        <w:tc>
          <w:tcPr>
            <w:tcW w:w="1560" w:type="dxa"/>
            <w:vAlign w:val="center"/>
          </w:tcPr>
          <w:p w14:paraId="4FF8F7D7" w14:textId="55AF277F" w:rsidR="00C104E6" w:rsidRPr="00C22EF3" w:rsidRDefault="00C22EF3" w:rsidP="00C104E6">
            <w:pPr>
              <w:pStyle w:val="Tablewriting"/>
              <w:rPr>
                <w:highlight w:val="black"/>
              </w:rPr>
            </w:pPr>
            <w:r w:rsidRPr="00C22EF3">
              <w:rPr>
                <w:rFonts w:ascii="Calibri" w:hAnsi="Calibri"/>
                <w:highlight w:val="black"/>
              </w:rPr>
              <w:t>XXX</w:t>
            </w:r>
          </w:p>
        </w:tc>
        <w:tc>
          <w:tcPr>
            <w:tcW w:w="1559" w:type="dxa"/>
            <w:vAlign w:val="center"/>
          </w:tcPr>
          <w:p w14:paraId="1D48D6EA" w14:textId="7908CC14" w:rsidR="00C104E6" w:rsidRPr="00C22EF3" w:rsidRDefault="00C22EF3" w:rsidP="00C104E6">
            <w:pPr>
              <w:pStyle w:val="Tablewriting"/>
              <w:rPr>
                <w:highlight w:val="black"/>
              </w:rPr>
            </w:pPr>
            <w:r w:rsidRPr="00C22EF3">
              <w:rPr>
                <w:rFonts w:ascii="Calibri" w:hAnsi="Calibri"/>
                <w:highlight w:val="black"/>
              </w:rPr>
              <w:t>XXX</w:t>
            </w:r>
          </w:p>
        </w:tc>
      </w:tr>
    </w:tbl>
    <w:p w14:paraId="5E37FFCD" w14:textId="5968EEFF" w:rsidR="00CB5DAF" w:rsidRPr="00C13322" w:rsidRDefault="00CB5DAF" w:rsidP="00CB5DAF">
      <w:pPr>
        <w:pStyle w:val="Notes"/>
      </w:pPr>
      <w:r w:rsidRPr="00C13322">
        <w:t xml:space="preserve">* Year 3 contains data up to </w:t>
      </w:r>
      <w:r>
        <w:t>March</w:t>
      </w:r>
      <w:r w:rsidRPr="00C13322">
        <w:t xml:space="preserve"> 202</w:t>
      </w:r>
      <w:r>
        <w:t>5</w:t>
      </w:r>
      <w:r w:rsidRPr="00C13322">
        <w:t xml:space="preserve"> and is not representative of a full listing year. </w:t>
      </w:r>
    </w:p>
    <w:p w14:paraId="1E6387C0" w14:textId="1DF63C2D" w:rsidR="00BB4670" w:rsidRDefault="00CF3543" w:rsidP="00316924">
      <w:r w:rsidRPr="00C13322">
        <w:t xml:space="preserve">Table </w:t>
      </w:r>
      <w:r w:rsidR="005E6B44">
        <w:t>3</w:t>
      </w:r>
      <w:r w:rsidRPr="00C13322">
        <w:t xml:space="preserve"> presents a comparison of the predicted versus actual utilisation and expenditure of nivolumab for </w:t>
      </w:r>
      <w:r>
        <w:t>gastric-oesophageal cancers</w:t>
      </w:r>
      <w:r w:rsidRPr="00C13322">
        <w:t xml:space="preserve"> since listing in </w:t>
      </w:r>
      <w:r>
        <w:t>October</w:t>
      </w:r>
      <w:r w:rsidRPr="00C13322">
        <w:t xml:space="preserve"> 202</w:t>
      </w:r>
      <w:r w:rsidR="003762A6">
        <w:t>2</w:t>
      </w:r>
      <w:r w:rsidRPr="00C13322">
        <w:t xml:space="preserve">. In the first year of listing the number of prevalent patients was </w:t>
      </w:r>
      <w:r>
        <w:t>1,472</w:t>
      </w:r>
      <w:r w:rsidRPr="00C13322">
        <w:t xml:space="preserve"> which is </w:t>
      </w:r>
      <w:r w:rsidR="00C22EF3" w:rsidRPr="00C22EF3">
        <w:rPr>
          <w:rFonts w:ascii="Calibri" w:hAnsi="Calibri"/>
          <w:highlight w:val="black"/>
        </w:rPr>
        <w:t>XXX</w:t>
      </w:r>
      <w:r w:rsidR="00C22EF3">
        <w:t xml:space="preserve"> </w:t>
      </w:r>
      <w:r>
        <w:t>to</w:t>
      </w:r>
      <w:r w:rsidRPr="00C13322">
        <w:t xml:space="preserve"> what was predicted. The number of patients in Year 2 was </w:t>
      </w:r>
      <w:r>
        <w:t>1,851</w:t>
      </w:r>
      <w:r w:rsidRPr="00C13322">
        <w:t xml:space="preserve"> which is </w:t>
      </w:r>
      <w:r w:rsidR="00C22EF3" w:rsidRPr="00C22EF3">
        <w:rPr>
          <w:rFonts w:ascii="Calibri" w:hAnsi="Calibri"/>
          <w:highlight w:val="black"/>
        </w:rPr>
        <w:t>XXX</w:t>
      </w:r>
      <w:r w:rsidR="00C22EF3" w:rsidRPr="00C22EF3">
        <w:rPr>
          <w:highlight w:val="black"/>
        </w:rPr>
        <w:t xml:space="preserve"> </w:t>
      </w:r>
      <w:r w:rsidR="00C22EF3" w:rsidRPr="00C22EF3">
        <w:rPr>
          <w:rFonts w:ascii="Calibri" w:hAnsi="Calibri"/>
          <w:highlight w:val="black"/>
        </w:rPr>
        <w:t>XXX</w:t>
      </w:r>
      <w:r w:rsidR="00C22EF3" w:rsidRPr="00C22EF3">
        <w:rPr>
          <w:highlight w:val="black"/>
        </w:rPr>
        <w:t xml:space="preserve"> </w:t>
      </w:r>
      <w:r w:rsidRPr="00C13322">
        <w:t xml:space="preserve">than what was predicted. The number of prescriptions dispensed in the first year of listing was </w:t>
      </w:r>
      <w:r w:rsidR="00C22EF3" w:rsidRPr="00C22EF3">
        <w:rPr>
          <w:rFonts w:ascii="Calibri" w:hAnsi="Calibri"/>
          <w:highlight w:val="black"/>
        </w:rPr>
        <w:t>XXX</w:t>
      </w:r>
      <w:r w:rsidR="00C22EF3" w:rsidRPr="00C22EF3">
        <w:rPr>
          <w:highlight w:val="black"/>
        </w:rPr>
        <w:t xml:space="preserve"> </w:t>
      </w:r>
      <w:r w:rsidR="00C22EF3" w:rsidRPr="00C22EF3">
        <w:rPr>
          <w:rFonts w:ascii="Calibri" w:hAnsi="Calibri"/>
          <w:highlight w:val="black"/>
        </w:rPr>
        <w:t>XXX</w:t>
      </w:r>
      <w:r w:rsidR="00C22EF3" w:rsidRPr="00C22EF3">
        <w:rPr>
          <w:highlight w:val="black"/>
        </w:rPr>
        <w:t xml:space="preserve"> </w:t>
      </w:r>
      <w:r w:rsidRPr="00C13322">
        <w:t xml:space="preserve">than what was predicted </w:t>
      </w:r>
      <w:r w:rsidR="002577E7">
        <w:t>and</w:t>
      </w:r>
      <w:r w:rsidRPr="00C13322">
        <w:t xml:space="preserve"> the cost to the PBS/RPBS was </w:t>
      </w:r>
      <w:r w:rsidR="002577E7">
        <w:t xml:space="preserve">similarly </w:t>
      </w:r>
      <w:r w:rsidR="00C22EF3" w:rsidRPr="00C22EF3">
        <w:rPr>
          <w:rFonts w:ascii="Calibri" w:hAnsi="Calibri"/>
          <w:highlight w:val="black"/>
        </w:rPr>
        <w:t>XXX</w:t>
      </w:r>
      <w:r w:rsidR="00C22EF3">
        <w:t xml:space="preserve"> </w:t>
      </w:r>
      <w:r w:rsidR="002577E7">
        <w:t>than predicted</w:t>
      </w:r>
      <w:r w:rsidRPr="00C13322">
        <w:t xml:space="preserve">. The number of prescriptions in Year 2 was </w:t>
      </w:r>
      <w:r w:rsidR="00C22EF3" w:rsidRPr="00C22EF3">
        <w:rPr>
          <w:rFonts w:ascii="Calibri" w:hAnsi="Calibri"/>
          <w:highlight w:val="black"/>
        </w:rPr>
        <w:t>XXX</w:t>
      </w:r>
      <w:r w:rsidR="00C22EF3" w:rsidRPr="00C22EF3">
        <w:rPr>
          <w:highlight w:val="black"/>
        </w:rPr>
        <w:t xml:space="preserve"> </w:t>
      </w:r>
      <w:r w:rsidR="00C22EF3" w:rsidRPr="00C22EF3">
        <w:rPr>
          <w:rFonts w:ascii="Calibri" w:hAnsi="Calibri"/>
          <w:highlight w:val="black"/>
        </w:rPr>
        <w:t>XXX</w:t>
      </w:r>
      <w:r w:rsidR="00C22EF3" w:rsidRPr="00C22EF3">
        <w:rPr>
          <w:highlight w:val="black"/>
        </w:rPr>
        <w:t xml:space="preserve"> </w:t>
      </w:r>
      <w:r w:rsidRPr="00C13322">
        <w:t xml:space="preserve">than predicted </w:t>
      </w:r>
      <w:r w:rsidR="002577E7">
        <w:t xml:space="preserve">with </w:t>
      </w:r>
      <w:r w:rsidR="007C7C57">
        <w:t xml:space="preserve">a </w:t>
      </w:r>
      <w:r w:rsidR="00C22EF3" w:rsidRPr="00C22EF3">
        <w:rPr>
          <w:rFonts w:ascii="Calibri" w:hAnsi="Calibri"/>
          <w:highlight w:val="black"/>
        </w:rPr>
        <w:t>XXX</w:t>
      </w:r>
      <w:r w:rsidR="00C22EF3" w:rsidRPr="00C22EF3">
        <w:rPr>
          <w:highlight w:val="black"/>
        </w:rPr>
        <w:t xml:space="preserve"> </w:t>
      </w:r>
      <w:r w:rsidR="00C22EF3" w:rsidRPr="00C22EF3">
        <w:rPr>
          <w:rFonts w:ascii="Calibri" w:hAnsi="Calibri"/>
          <w:highlight w:val="black"/>
        </w:rPr>
        <w:t>XXX</w:t>
      </w:r>
      <w:r w:rsidR="00C22EF3" w:rsidRPr="00C22EF3">
        <w:rPr>
          <w:highlight w:val="black"/>
        </w:rPr>
        <w:t xml:space="preserve"> </w:t>
      </w:r>
      <w:r w:rsidR="007C7C57">
        <w:t>to</w:t>
      </w:r>
      <w:r w:rsidRPr="00C13322">
        <w:t xml:space="preserve"> the cost to PBS/RPBS.</w:t>
      </w:r>
      <w:r w:rsidR="007C7C57">
        <w:t xml:space="preserve"> </w:t>
      </w:r>
    </w:p>
    <w:p w14:paraId="60E95FDD" w14:textId="77777777" w:rsidR="00974BD2" w:rsidRPr="00316924" w:rsidRDefault="00974BD2" w:rsidP="00316924"/>
    <w:p w14:paraId="0FE7B3EE" w14:textId="77777777" w:rsidR="004D0E93" w:rsidRDefault="004D0E93">
      <w:pPr>
        <w:spacing w:line="276" w:lineRule="auto"/>
        <w:rPr>
          <w:rFonts w:eastAsiaTheme="majorEastAsia" w:cstheme="majorBidi"/>
          <w:b/>
          <w:bCs/>
          <w:sz w:val="32"/>
          <w:szCs w:val="32"/>
        </w:rPr>
      </w:pPr>
      <w:r>
        <w:br w:type="page"/>
      </w:r>
    </w:p>
    <w:p w14:paraId="0CDD47D9" w14:textId="77777777" w:rsidR="00F46C8E" w:rsidRDefault="00EC7973" w:rsidP="00F46C8E">
      <w:pPr>
        <w:autoSpaceDE w:val="0"/>
        <w:autoSpaceDN w:val="0"/>
        <w:adjustRightInd w:val="0"/>
        <w:rPr>
          <w:b/>
          <w:sz w:val="28"/>
        </w:rPr>
      </w:pPr>
      <w:r w:rsidRPr="00F46C8E">
        <w:rPr>
          <w:b/>
          <w:sz w:val="28"/>
        </w:rPr>
        <w:lastRenderedPageBreak/>
        <w:t xml:space="preserve">Discussion and DUSC </w:t>
      </w:r>
      <w:r w:rsidR="00F46C8E">
        <w:rPr>
          <w:b/>
          <w:sz w:val="28"/>
        </w:rPr>
        <w:t>Consideration</w:t>
      </w:r>
    </w:p>
    <w:p w14:paraId="3D16678C" w14:textId="43EB7D37" w:rsidR="00EC7973" w:rsidRPr="004B5748" w:rsidRDefault="00EC7973" w:rsidP="00F46C8E">
      <w:pPr>
        <w:autoSpaceDE w:val="0"/>
        <w:autoSpaceDN w:val="0"/>
        <w:adjustRightInd w:val="0"/>
      </w:pPr>
      <w:r w:rsidRPr="004B5748">
        <w:t xml:space="preserve">DUSC noted the utilisation of nivolumab for advanced or metastatic gastric-oesophageal cancers has been </w:t>
      </w:r>
      <w:r w:rsidR="00C22EF3" w:rsidRPr="00C22EF3">
        <w:rPr>
          <w:rFonts w:ascii="Calibri" w:hAnsi="Calibri"/>
          <w:highlight w:val="black"/>
        </w:rPr>
        <w:t>XXX</w:t>
      </w:r>
      <w:r w:rsidR="00C22EF3" w:rsidRPr="00C22EF3">
        <w:rPr>
          <w:highlight w:val="black"/>
        </w:rPr>
        <w:t xml:space="preserve"> </w:t>
      </w:r>
      <w:r w:rsidRPr="004B5748">
        <w:t xml:space="preserve">than expected. DUSC noted that the market has become stable and it is unlikely that there will be any substantial growth in the future. However there remains the potential for the market to reduce with the advent of adjuvant nivolumab for stage II or III oesophageal cancer or gastro-oesophageal junction cancer. </w:t>
      </w:r>
    </w:p>
    <w:p w14:paraId="451D3638" w14:textId="7D24DF8A" w:rsidR="00EC7973" w:rsidRDefault="00EC7973" w:rsidP="00EC7973">
      <w:r w:rsidRPr="004B5748">
        <w:t xml:space="preserve">DUSC noted actual versus predicted utilisation analysis shows that utilisation in terms of prescription count and costs were </w:t>
      </w:r>
      <w:r w:rsidR="00C22EF3" w:rsidRPr="00C22EF3">
        <w:rPr>
          <w:rFonts w:ascii="Calibri" w:hAnsi="Calibri"/>
          <w:highlight w:val="black"/>
        </w:rPr>
        <w:t>XXXXXX</w:t>
      </w:r>
      <w:r w:rsidR="00C22EF3" w:rsidRPr="00C22EF3">
        <w:rPr>
          <w:highlight w:val="black"/>
        </w:rPr>
        <w:t xml:space="preserve"> </w:t>
      </w:r>
      <w:r w:rsidR="00C22EF3" w:rsidRPr="00C22EF3">
        <w:rPr>
          <w:rFonts w:ascii="Calibri" w:hAnsi="Calibri"/>
          <w:highlight w:val="black"/>
        </w:rPr>
        <w:t>XXX</w:t>
      </w:r>
      <w:r w:rsidR="00C22EF3" w:rsidRPr="00C22EF3">
        <w:rPr>
          <w:highlight w:val="black"/>
        </w:rPr>
        <w:t xml:space="preserve"> </w:t>
      </w:r>
      <w:r w:rsidRPr="004B5748">
        <w:t xml:space="preserve">than predicted in the initial year of listing despite an accurate accounting of the number of patients. This difference in prescriptions and costs were less apparent in the second year of listing while the number of patients </w:t>
      </w:r>
      <w:r w:rsidR="00C22EF3" w:rsidRPr="00C22EF3">
        <w:rPr>
          <w:rFonts w:ascii="Calibri" w:hAnsi="Calibri"/>
          <w:highlight w:val="black"/>
        </w:rPr>
        <w:t>XXX</w:t>
      </w:r>
      <w:r w:rsidR="00C22EF3" w:rsidRPr="00C22EF3">
        <w:rPr>
          <w:highlight w:val="black"/>
        </w:rPr>
        <w:t xml:space="preserve"> </w:t>
      </w:r>
      <w:r w:rsidR="00C22EF3" w:rsidRPr="00C22EF3">
        <w:rPr>
          <w:rFonts w:ascii="Calibri" w:hAnsi="Calibri"/>
          <w:highlight w:val="black"/>
        </w:rPr>
        <w:t>XXX</w:t>
      </w:r>
      <w:r w:rsidR="00C22EF3" w:rsidRPr="00C22EF3">
        <w:rPr>
          <w:highlight w:val="black"/>
        </w:rPr>
        <w:t xml:space="preserve"> </w:t>
      </w:r>
      <w:r w:rsidR="00C22EF3" w:rsidRPr="00C22EF3">
        <w:rPr>
          <w:rFonts w:ascii="Calibri" w:hAnsi="Calibri"/>
          <w:highlight w:val="black"/>
        </w:rPr>
        <w:t>XXX</w:t>
      </w:r>
      <w:r w:rsidR="00C22EF3" w:rsidRPr="00C22EF3">
        <w:rPr>
          <w:highlight w:val="black"/>
        </w:rPr>
        <w:t>.</w:t>
      </w:r>
      <w:r w:rsidRPr="004B5748">
        <w:t xml:space="preserve"> This suggests that the estimates may have been more accurate if a half cycle correction were applied. </w:t>
      </w:r>
    </w:p>
    <w:p w14:paraId="01239B62" w14:textId="77777777" w:rsidR="00F46C8E" w:rsidRPr="00F46C8E" w:rsidRDefault="00F46C8E" w:rsidP="00EC7973"/>
    <w:p w14:paraId="0CB5DE49" w14:textId="77777777" w:rsidR="00EC7973" w:rsidRPr="00F46C8E" w:rsidRDefault="00EC7973" w:rsidP="00EC7973">
      <w:pPr>
        <w:autoSpaceDE w:val="0"/>
        <w:autoSpaceDN w:val="0"/>
        <w:adjustRightInd w:val="0"/>
        <w:rPr>
          <w:b/>
          <w:sz w:val="28"/>
        </w:rPr>
      </w:pPr>
      <w:r w:rsidRPr="00F46C8E">
        <w:rPr>
          <w:b/>
          <w:sz w:val="28"/>
        </w:rPr>
        <w:t xml:space="preserve">DUSC Actions </w:t>
      </w:r>
    </w:p>
    <w:p w14:paraId="55F1B5B7" w14:textId="77777777" w:rsidR="00EC7973" w:rsidRDefault="00EC7973" w:rsidP="00EC7973">
      <w:r w:rsidRPr="00F46C8E">
        <w:t>DUSC requested that the report be provided to the PBAC for consideration.</w:t>
      </w:r>
    </w:p>
    <w:p w14:paraId="1EBB4A55" w14:textId="77777777" w:rsidR="007731C2" w:rsidRDefault="007731C2" w:rsidP="007731C2">
      <w:pPr>
        <w:pStyle w:val="Heading1"/>
      </w:pPr>
      <w:r w:rsidRPr="0092516A">
        <w:t>Context for analysis</w:t>
      </w:r>
    </w:p>
    <w:p w14:paraId="121F4F70" w14:textId="77777777" w:rsidR="007731C2" w:rsidRDefault="007731C2" w:rsidP="007731C2">
      <w:r>
        <w:t>The DUSC is a Sub Committee of the Pharmaceutical Benefits Advisory Committee (PBAC). The DUSC assesses estimates on projected usage and financial cost of medicines.</w:t>
      </w:r>
    </w:p>
    <w:p w14:paraId="563723C6" w14:textId="77777777" w:rsidR="007731C2" w:rsidRDefault="007731C2" w:rsidP="007731C2">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1C644397" w14:textId="77777777" w:rsidR="007731C2" w:rsidRDefault="007731C2" w:rsidP="007731C2">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4D81B778" w14:textId="77777777" w:rsidR="007731C2" w:rsidRDefault="007731C2" w:rsidP="007731C2">
      <w:r>
        <w:t>The utilisation analysis report was provided to the pharmaceutical sponsors of each drug and comments on the report were provided to DUSC prior to its consideration of the analysis.</w:t>
      </w:r>
    </w:p>
    <w:p w14:paraId="0468589B" w14:textId="77777777" w:rsidR="007731C2" w:rsidRDefault="007731C2" w:rsidP="007731C2">
      <w:pPr>
        <w:pStyle w:val="Heading1"/>
      </w:pPr>
      <w:r>
        <w:t>Sponsor</w:t>
      </w:r>
      <w:r w:rsidRPr="0092516A">
        <w:t>s</w:t>
      </w:r>
      <w:r>
        <w:t>’</w:t>
      </w:r>
      <w:r w:rsidRPr="0092516A">
        <w:t xml:space="preserve"> comments</w:t>
      </w:r>
    </w:p>
    <w:p w14:paraId="321BD5E7" w14:textId="6126E327" w:rsidR="007731C2" w:rsidRDefault="007731C2" w:rsidP="007731C2">
      <w:r w:rsidRPr="00C22EF3">
        <w:t>The sponsor has no comment.</w:t>
      </w:r>
    </w:p>
    <w:p w14:paraId="70E9BD1B" w14:textId="77777777" w:rsidR="007731C2" w:rsidRDefault="007731C2" w:rsidP="007731C2">
      <w:pPr>
        <w:pStyle w:val="Heading1"/>
      </w:pPr>
      <w:r w:rsidRPr="00A4020E">
        <w:lastRenderedPageBreak/>
        <w:t>Disclaimer</w:t>
      </w:r>
    </w:p>
    <w:p w14:paraId="5208ABDE" w14:textId="77777777" w:rsidR="007731C2" w:rsidRDefault="007731C2" w:rsidP="007731C2">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31B6559E" w14:textId="77777777" w:rsidR="007731C2" w:rsidRDefault="007731C2" w:rsidP="007731C2">
      <w:r>
        <w:t>The Department of Health, Disability and Ageing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F6271FA" w14:textId="77777777" w:rsidR="007731C2" w:rsidRPr="00F46C8E" w:rsidRDefault="007731C2" w:rsidP="00EC7973"/>
    <w:p w14:paraId="1CFA2950" w14:textId="6F836115" w:rsidR="005A303C" w:rsidRDefault="005A303C">
      <w:pPr>
        <w:spacing w:line="276" w:lineRule="auto"/>
        <w:rPr>
          <w:rFonts w:eastAsiaTheme="majorEastAsia" w:cstheme="majorBidi"/>
          <w:b/>
          <w:bCs/>
          <w:sz w:val="32"/>
          <w:szCs w:val="32"/>
        </w:rPr>
      </w:pPr>
      <w:r>
        <w:br w:type="page"/>
      </w:r>
    </w:p>
    <w:p w14:paraId="35AA6988" w14:textId="719284B6" w:rsidR="004B306F" w:rsidRDefault="004B306F" w:rsidP="00F73113">
      <w:pPr>
        <w:pStyle w:val="Heading1"/>
      </w:pPr>
      <w:r>
        <w:lastRenderedPageBreak/>
        <w:t>References</w:t>
      </w:r>
    </w:p>
    <w:p w14:paraId="0A46A8A2" w14:textId="723FA9C6" w:rsidR="006D3BA9" w:rsidRPr="005543EA" w:rsidRDefault="006D3BA9" w:rsidP="005543EA">
      <w:pPr>
        <w:pStyle w:val="ListParagraph"/>
        <w:numPr>
          <w:ilvl w:val="0"/>
          <w:numId w:val="10"/>
        </w:numPr>
        <w:rPr>
          <w:rFonts w:cstheme="minorHAnsi"/>
        </w:rPr>
      </w:pPr>
      <w:r w:rsidRPr="005543EA">
        <w:rPr>
          <w:rFonts w:cstheme="minorHAnsi"/>
        </w:rPr>
        <w:t xml:space="preserve">OPDIVO® (NIVOLUMAB). Consumer Medicine Information. July 2019. Available from </w:t>
      </w:r>
      <w:hyperlink r:id="rId23" w:history="1">
        <w:r w:rsidRPr="005543EA">
          <w:rPr>
            <w:rStyle w:val="Hyperlink"/>
            <w:rFonts w:cstheme="minorHAnsi"/>
          </w:rPr>
          <w:t>https://www.tga.gov.au/consumer-medicines-information-cmi</w:t>
        </w:r>
      </w:hyperlink>
    </w:p>
    <w:p w14:paraId="25D65B04" w14:textId="63FD91C5" w:rsidR="00FE645A" w:rsidRPr="005543EA" w:rsidRDefault="006D3BA9" w:rsidP="005543EA">
      <w:pPr>
        <w:pStyle w:val="ListParagraph"/>
        <w:numPr>
          <w:ilvl w:val="0"/>
          <w:numId w:val="10"/>
        </w:numPr>
        <w:rPr>
          <w:rFonts w:cstheme="minorHAnsi"/>
        </w:rPr>
      </w:pPr>
      <w:bookmarkStart w:id="0" w:name="_Hlk197525798"/>
      <w:r w:rsidRPr="005543EA">
        <w:rPr>
          <w:rFonts w:cstheme="minorHAnsi"/>
        </w:rPr>
        <w:t xml:space="preserve">Australian Medicines Handbook Online. </w:t>
      </w:r>
      <w:hyperlink r:id="rId24" w:history="1">
        <w:r w:rsidR="009764ED">
          <w:rPr>
            <w:rStyle w:val="Hyperlink"/>
            <w:rFonts w:cstheme="minorHAnsi"/>
          </w:rPr>
          <w:t>https://amhonline.amh.net.au/chapters/anticancer-drugs/anticancer-antibodies/nivolumab?menu=hints</w:t>
        </w:r>
      </w:hyperlink>
    </w:p>
    <w:bookmarkEnd w:id="0"/>
    <w:p w14:paraId="3A12D92F" w14:textId="72F19DA2" w:rsidR="006D3BA9" w:rsidRDefault="006D3BA9" w:rsidP="005543EA">
      <w:pPr>
        <w:pStyle w:val="ListParagraph"/>
        <w:numPr>
          <w:ilvl w:val="0"/>
          <w:numId w:val="10"/>
        </w:numPr>
        <w:rPr>
          <w:rFonts w:cstheme="minorHAnsi"/>
        </w:rPr>
      </w:pPr>
      <w:r w:rsidRPr="005543EA">
        <w:rPr>
          <w:rFonts w:cstheme="minorHAnsi"/>
        </w:rPr>
        <w:t>Cancer Australia. (2025, February 1). </w:t>
      </w:r>
      <w:r w:rsidRPr="005543EA">
        <w:rPr>
          <w:rFonts w:cstheme="minorHAnsi"/>
          <w:i/>
          <w:iCs/>
        </w:rPr>
        <w:t>Stomach cancer statistics</w:t>
      </w:r>
      <w:r w:rsidRPr="005543EA">
        <w:rPr>
          <w:rFonts w:cstheme="minorHAnsi"/>
        </w:rPr>
        <w:t>. </w:t>
      </w:r>
      <w:hyperlink r:id="rId25" w:history="1">
        <w:r w:rsidR="0004305B" w:rsidRPr="0071491A">
          <w:rPr>
            <w:rStyle w:val="Hyperlink"/>
            <w:rFonts w:cstheme="minorHAnsi"/>
          </w:rPr>
          <w:t>https://www.canceraustralia.gov.au/cancer-types/stomach-cancer/stomach-cancer-statistics</w:t>
        </w:r>
      </w:hyperlink>
    </w:p>
    <w:p w14:paraId="323DF879" w14:textId="77777777" w:rsidR="0004305B" w:rsidRPr="005543EA" w:rsidRDefault="0004305B" w:rsidP="0004305B">
      <w:pPr>
        <w:pStyle w:val="ListParagraph"/>
        <w:rPr>
          <w:rFonts w:cstheme="minorHAnsi"/>
        </w:rPr>
      </w:pPr>
    </w:p>
    <w:sectPr w:rsidR="0004305B" w:rsidRPr="005543EA" w:rsidSect="00DD188C">
      <w:headerReference w:type="even" r:id="rId26"/>
      <w:headerReference w:type="default" r:id="rId27"/>
      <w:footerReference w:type="even" r:id="rId28"/>
      <w:footerReference w:type="default" r:id="rId29"/>
      <w:headerReference w:type="first" r:id="rId30"/>
      <w:footerReference w:type="first" r:id="rId31"/>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3162" w14:textId="77777777" w:rsidR="00883B98" w:rsidRDefault="00883B98" w:rsidP="00A35800">
      <w:r>
        <w:separator/>
      </w:r>
    </w:p>
  </w:endnote>
  <w:endnote w:type="continuationSeparator" w:id="0">
    <w:p w14:paraId="59DE4224" w14:textId="77777777" w:rsidR="00883B98" w:rsidRDefault="00883B9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4DBD82AA" w:rsidR="00214013" w:rsidRDefault="00854BCB" w:rsidP="00A35800">
    <w:pPr>
      <w:pStyle w:val="Footer"/>
      <w:rPr>
        <w:rStyle w:val="PageNumber"/>
      </w:rPr>
    </w:pPr>
    <w:r>
      <w:rPr>
        <w:noProof/>
      </w:rPr>
      <mc:AlternateContent>
        <mc:Choice Requires="wps">
          <w:drawing>
            <wp:anchor distT="0" distB="0" distL="0" distR="0" simplePos="0" relativeHeight="251668480" behindDoc="0" locked="0" layoutInCell="1" allowOverlap="1" wp14:anchorId="7A4A9948" wp14:editId="71FB4477">
              <wp:simplePos x="635" y="635"/>
              <wp:positionH relativeFrom="page">
                <wp:align>center</wp:align>
              </wp:positionH>
              <wp:positionV relativeFrom="page">
                <wp:align>bottom</wp:align>
              </wp:positionV>
              <wp:extent cx="551815" cy="376555"/>
              <wp:effectExtent l="0" t="0" r="635" b="0"/>
              <wp:wrapNone/>
              <wp:docPr id="33361411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F73619" w14:textId="5BE326F6"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4A9948"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9F73619" w14:textId="5BE326F6"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v:textbox>
              <w10:wrap anchorx="page" anchory="page"/>
            </v:shape>
          </w:pict>
        </mc:Fallback>
      </mc:AlternateContent>
    </w:r>
    <w:r w:rsidR="00214013">
      <w:rPr>
        <w:rStyle w:val="PageNumber"/>
      </w:rPr>
      <w:fldChar w:fldCharType="begin"/>
    </w:r>
    <w:r w:rsidR="00214013">
      <w:rPr>
        <w:rStyle w:val="PageNumber"/>
      </w:rPr>
      <w:instrText xml:space="preserve">PAGE  </w:instrText>
    </w:r>
    <w:r w:rsidR="00214013">
      <w:rPr>
        <w:rStyle w:val="PageNumber"/>
      </w:rPr>
      <w:fldChar w:fldCharType="separate"/>
    </w:r>
    <w:r w:rsidR="005475AA">
      <w:rPr>
        <w:rStyle w:val="PageNumber"/>
        <w:noProof/>
      </w:rPr>
      <w:t>15</w:t>
    </w:r>
    <w:r w:rsidR="00214013">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036E" w14:textId="434EA5CD" w:rsidR="00C22EF3" w:rsidRDefault="00854BCB" w:rsidP="000E72C6">
    <w:pPr>
      <w:pStyle w:val="Footer"/>
      <w:jc w:val="center"/>
    </w:pPr>
    <w:r>
      <w:rPr>
        <w:noProof/>
      </w:rPr>
      <mc:AlternateContent>
        <mc:Choice Requires="wps">
          <w:drawing>
            <wp:anchor distT="0" distB="0" distL="0" distR="0" simplePos="0" relativeHeight="251669504" behindDoc="0" locked="0" layoutInCell="1" allowOverlap="1" wp14:anchorId="3B3B74DA" wp14:editId="4D3C82BC">
              <wp:simplePos x="1009650" y="9744075"/>
              <wp:positionH relativeFrom="page">
                <wp:align>center</wp:align>
              </wp:positionH>
              <wp:positionV relativeFrom="page">
                <wp:align>bottom</wp:align>
              </wp:positionV>
              <wp:extent cx="551815" cy="376555"/>
              <wp:effectExtent l="0" t="0" r="635" b="0"/>
              <wp:wrapNone/>
              <wp:docPr id="173451042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1AE1CA" w14:textId="7B54D507"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B74DA"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D1AE1CA" w14:textId="7B54D507"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v:textbox>
              <w10:wrap anchorx="page" anchory="page"/>
            </v:shape>
          </w:pict>
        </mc:Fallback>
      </mc:AlternateContent>
    </w:r>
  </w:p>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0682B98" w14:textId="2B3264A6" w:rsidR="000E72C6" w:rsidRPr="000E72C6" w:rsidRDefault="007A0927" w:rsidP="000E72C6">
            <w:pPr>
              <w:pStyle w:val="Footer"/>
              <w:jc w:val="center"/>
              <w:rPr>
                <w:i/>
                <w:sz w:val="20"/>
              </w:rPr>
            </w:pPr>
            <w:r>
              <w:rPr>
                <w:i/>
                <w:sz w:val="20"/>
              </w:rPr>
              <w:t>Public Release Document, J</w:t>
            </w:r>
            <w:r w:rsidR="00D63F85">
              <w:rPr>
                <w:i/>
                <w:sz w:val="20"/>
              </w:rPr>
              <w:t>une 2025 DUSC Meeting</w:t>
            </w:r>
          </w:p>
          <w:p w14:paraId="10292A9A" w14:textId="7D864046"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A1BA3">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A1BA3">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11F32CCB" w:rsidR="007A5733" w:rsidRDefault="00854BCB" w:rsidP="007A5733">
    <w:pPr>
      <w:pStyle w:val="Footer"/>
      <w:jc w:val="center"/>
      <w:rPr>
        <w:rStyle w:val="PageNumber"/>
      </w:rPr>
    </w:pPr>
    <w:r>
      <w:rPr>
        <w:noProof/>
      </w:rPr>
      <mc:AlternateContent>
        <mc:Choice Requires="wps">
          <w:drawing>
            <wp:anchor distT="0" distB="0" distL="0" distR="0" simplePos="0" relativeHeight="251667456" behindDoc="0" locked="0" layoutInCell="1" allowOverlap="1" wp14:anchorId="390A1C6C" wp14:editId="0D273F1E">
              <wp:simplePos x="635" y="635"/>
              <wp:positionH relativeFrom="page">
                <wp:align>center</wp:align>
              </wp:positionH>
              <wp:positionV relativeFrom="page">
                <wp:align>bottom</wp:align>
              </wp:positionV>
              <wp:extent cx="551815" cy="376555"/>
              <wp:effectExtent l="0" t="0" r="635" b="0"/>
              <wp:wrapNone/>
              <wp:docPr id="107635638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CA9FE0" w14:textId="29644EF6"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A1C6C"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5CA9FE0" w14:textId="29644EF6"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v:textbox>
              <w10:wrap anchorx="page" anchory="page"/>
            </v:shape>
          </w:pict>
        </mc:Fallback>
      </mc:AlternateContent>
    </w:r>
    <w:r w:rsidR="007A5733">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63E0" w14:textId="77777777" w:rsidR="00883B98" w:rsidRDefault="00883B98" w:rsidP="00A35800">
      <w:r>
        <w:separator/>
      </w:r>
    </w:p>
  </w:footnote>
  <w:footnote w:type="continuationSeparator" w:id="0">
    <w:p w14:paraId="315F5F1B" w14:textId="77777777" w:rsidR="00883B98" w:rsidRDefault="00883B98" w:rsidP="00A35800">
      <w:r>
        <w:continuationSeparator/>
      </w:r>
    </w:p>
  </w:footnote>
  <w:footnote w:id="1">
    <w:p w14:paraId="510225FD" w14:textId="77777777" w:rsidR="000F5372" w:rsidRDefault="000F5372" w:rsidP="000F5372">
      <w:pPr>
        <w:pStyle w:val="FootnoteText"/>
      </w:pPr>
      <w:r>
        <w:rPr>
          <w:rStyle w:val="FootnoteReference"/>
        </w:rPr>
        <w:footnoteRef/>
      </w:r>
      <w:r>
        <w:t xml:space="preserve"> </w:t>
      </w:r>
      <w:r w:rsidRPr="005411B8">
        <w:rPr>
          <w:szCs w:val="18"/>
        </w:rPr>
        <w:t>OPDIVO® (NIVOLUMAB)</w:t>
      </w:r>
      <w:r>
        <w:rPr>
          <w:szCs w:val="18"/>
        </w:rPr>
        <w:t>. Consumer Medicine Information. July</w:t>
      </w:r>
      <w:r w:rsidRPr="005411B8">
        <w:rPr>
          <w:szCs w:val="18"/>
        </w:rPr>
        <w:t xml:space="preserve"> 2019</w:t>
      </w:r>
      <w:r>
        <w:rPr>
          <w:szCs w:val="18"/>
        </w:rPr>
        <w:t xml:space="preserve">. Available from </w:t>
      </w:r>
      <w:hyperlink r:id="rId1" w:history="1">
        <w:r w:rsidRPr="006A3013">
          <w:rPr>
            <w:rStyle w:val="Hyperlink"/>
            <w:szCs w:val="18"/>
          </w:rPr>
          <w:t>https://www.tga.gov.au/consumer-medicines-information-cmi</w:t>
        </w:r>
      </w:hyperlink>
    </w:p>
  </w:footnote>
  <w:footnote w:id="2">
    <w:p w14:paraId="5A7846CE" w14:textId="46799816" w:rsidR="000F5372" w:rsidRDefault="000F5372" w:rsidP="000F5372">
      <w:pPr>
        <w:spacing w:after="0"/>
        <w:rPr>
          <w:sz w:val="18"/>
          <w:szCs w:val="18"/>
        </w:rPr>
      </w:pPr>
      <w:r w:rsidRPr="002703EB">
        <w:rPr>
          <w:rStyle w:val="FootnoteReference"/>
          <w:sz w:val="18"/>
          <w:szCs w:val="18"/>
        </w:rPr>
        <w:footnoteRef/>
      </w:r>
      <w:r w:rsidRPr="002703EB">
        <w:rPr>
          <w:sz w:val="18"/>
          <w:szCs w:val="18"/>
        </w:rPr>
        <w:t xml:space="preserve"> Australian</w:t>
      </w:r>
      <w:r w:rsidRPr="0019664D">
        <w:rPr>
          <w:sz w:val="18"/>
          <w:szCs w:val="18"/>
        </w:rPr>
        <w:t xml:space="preserve"> Medicines Handbook</w:t>
      </w:r>
      <w:r>
        <w:rPr>
          <w:sz w:val="18"/>
          <w:szCs w:val="18"/>
        </w:rPr>
        <w:t xml:space="preserve"> Online</w:t>
      </w:r>
      <w:r w:rsidRPr="0019664D">
        <w:rPr>
          <w:sz w:val="18"/>
          <w:szCs w:val="18"/>
        </w:rPr>
        <w:t xml:space="preserve">. </w:t>
      </w:r>
      <w:hyperlink r:id="rId2" w:history="1">
        <w:r w:rsidR="009764ED">
          <w:rPr>
            <w:rStyle w:val="Hyperlink"/>
            <w:sz w:val="18"/>
            <w:szCs w:val="18"/>
          </w:rPr>
          <w:t>https://amhonline.amh.net.au/chapters/anticancer-drugs/anticancer-antibodies/nivolumab?menu=hints</w:t>
        </w:r>
      </w:hyperlink>
    </w:p>
    <w:p w14:paraId="0248999D" w14:textId="77777777" w:rsidR="00C42459" w:rsidRPr="009730AE" w:rsidRDefault="00C42459" w:rsidP="000F5372">
      <w:pPr>
        <w:spacing w:after="0"/>
        <w:rPr>
          <w:sz w:val="18"/>
          <w:szCs w:val="18"/>
        </w:rPr>
      </w:pPr>
    </w:p>
  </w:footnote>
  <w:footnote w:id="3">
    <w:p w14:paraId="4B4E6162" w14:textId="7EF3C0C7" w:rsidR="00C22EF3" w:rsidRDefault="00C22EF3">
      <w:pPr>
        <w:pStyle w:val="FootnoteText"/>
      </w:pPr>
      <w:r>
        <w:rPr>
          <w:rStyle w:val="FootnoteReference"/>
        </w:rPr>
        <w:footnoteRef/>
      </w:r>
      <w:r>
        <w:t xml:space="preserve"> Please note as of June 1</w:t>
      </w:r>
      <w:r w:rsidRPr="00C22EF3">
        <w:rPr>
          <w:vertAlign w:val="superscript"/>
        </w:rPr>
        <w:t>st</w:t>
      </w:r>
      <w:r>
        <w:t xml:space="preserve"> 2025 these criteria have been updated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3C30" w14:textId="3A7A1394" w:rsidR="00C22EF3" w:rsidRDefault="00854BCB">
    <w:pPr>
      <w:pStyle w:val="Header"/>
    </w:pPr>
    <w:r>
      <w:rPr>
        <w:noProof/>
      </w:rPr>
      <mc:AlternateContent>
        <mc:Choice Requires="wps">
          <w:drawing>
            <wp:anchor distT="0" distB="0" distL="0" distR="0" simplePos="0" relativeHeight="251665408" behindDoc="0" locked="0" layoutInCell="1" allowOverlap="1" wp14:anchorId="784DEAEE" wp14:editId="57BE67FC">
              <wp:simplePos x="635" y="635"/>
              <wp:positionH relativeFrom="page">
                <wp:align>center</wp:align>
              </wp:positionH>
              <wp:positionV relativeFrom="page">
                <wp:align>top</wp:align>
              </wp:positionV>
              <wp:extent cx="551815" cy="376555"/>
              <wp:effectExtent l="0" t="0" r="635" b="4445"/>
              <wp:wrapNone/>
              <wp:docPr id="73800728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580F01" w14:textId="5E448290"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DEAEE" id="_x0000_t202" coordsize="21600,21600" o:spt="202" path="m,l,21600r21600,l21600,xe">
              <v:stroke joinstyle="miter"/>
              <v:path gradientshapeok="t" o:connecttype="rect"/>
            </v:shapetype>
            <v:shape id="Text Box 8" o:spid="_x0000_s102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45580F01" w14:textId="5E448290"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5968" w14:textId="53C31CAE" w:rsidR="00C22EF3" w:rsidRDefault="00854BCB">
    <w:pPr>
      <w:pStyle w:val="Header"/>
    </w:pPr>
    <w:r>
      <w:rPr>
        <w:noProof/>
      </w:rPr>
      <mc:AlternateContent>
        <mc:Choice Requires="wps">
          <w:drawing>
            <wp:anchor distT="0" distB="0" distL="0" distR="0" simplePos="0" relativeHeight="251666432" behindDoc="0" locked="0" layoutInCell="1" allowOverlap="1" wp14:anchorId="7F303286" wp14:editId="4AE8F3AA">
              <wp:simplePos x="1009650" y="447675"/>
              <wp:positionH relativeFrom="page">
                <wp:align>center</wp:align>
              </wp:positionH>
              <wp:positionV relativeFrom="page">
                <wp:align>top</wp:align>
              </wp:positionV>
              <wp:extent cx="551815" cy="376555"/>
              <wp:effectExtent l="0" t="0" r="635" b="4445"/>
              <wp:wrapNone/>
              <wp:docPr id="171893186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4E740F" w14:textId="08C7259D"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03286" id="_x0000_t202" coordsize="21600,21600" o:spt="202" path="m,l,21600r21600,l21600,xe">
              <v:stroke joinstyle="miter"/>
              <v:path gradientshapeok="t" o:connecttype="rect"/>
            </v:shapetype>
            <v:shape id="Text Box 9" o:spid="_x0000_s102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C4E740F" w14:textId="08C7259D"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7FFD" w14:textId="2A8C5A37" w:rsidR="00C22EF3" w:rsidRDefault="00854BCB">
    <w:pPr>
      <w:pStyle w:val="Header"/>
    </w:pPr>
    <w:r>
      <w:rPr>
        <w:noProof/>
      </w:rPr>
      <mc:AlternateContent>
        <mc:Choice Requires="wps">
          <w:drawing>
            <wp:anchor distT="0" distB="0" distL="0" distR="0" simplePos="0" relativeHeight="251664384" behindDoc="0" locked="0" layoutInCell="1" allowOverlap="1" wp14:anchorId="656DC8D8" wp14:editId="5DEB2E08">
              <wp:simplePos x="635" y="635"/>
              <wp:positionH relativeFrom="page">
                <wp:align>center</wp:align>
              </wp:positionH>
              <wp:positionV relativeFrom="page">
                <wp:align>top</wp:align>
              </wp:positionV>
              <wp:extent cx="551815" cy="376555"/>
              <wp:effectExtent l="0" t="0" r="635" b="4445"/>
              <wp:wrapNone/>
              <wp:docPr id="12311866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22AC2E" w14:textId="1C342A11"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6DC8D8" id="_x0000_t202" coordsize="21600,21600" o:spt="202" path="m,l,21600r21600,l21600,xe">
              <v:stroke joinstyle="miter"/>
              <v:path gradientshapeok="t" o:connecttype="rect"/>
            </v:shapetype>
            <v:shape id="Text Box 7" o:spid="_x0000_s1030"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B22AC2E" w14:textId="1C342A11" w:rsidR="00854BCB" w:rsidRPr="00854BCB" w:rsidRDefault="00854BCB" w:rsidP="00854BCB">
                    <w:pPr>
                      <w:spacing w:after="0"/>
                      <w:rPr>
                        <w:rFonts w:ascii="Calibri" w:eastAsia="Calibri" w:hAnsi="Calibri" w:cs="Calibri"/>
                        <w:noProof/>
                        <w:color w:val="FF0000"/>
                      </w:rPr>
                    </w:pPr>
                    <w:r w:rsidRPr="00854BCB">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D31"/>
    <w:multiLevelType w:val="hybridMultilevel"/>
    <w:tmpl w:val="78B083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B841ED"/>
    <w:multiLevelType w:val="hybridMultilevel"/>
    <w:tmpl w:val="EC3A3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1F5D23"/>
    <w:multiLevelType w:val="hybridMultilevel"/>
    <w:tmpl w:val="814CE7F6"/>
    <w:lvl w:ilvl="0" w:tplc="D4647FA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324BC9"/>
    <w:multiLevelType w:val="multilevel"/>
    <w:tmpl w:val="2DF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064CA"/>
    <w:multiLevelType w:val="multilevel"/>
    <w:tmpl w:val="C408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402DA"/>
    <w:multiLevelType w:val="hybridMultilevel"/>
    <w:tmpl w:val="22BE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411D53"/>
    <w:multiLevelType w:val="hybridMultilevel"/>
    <w:tmpl w:val="7EAAE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25B4EC6"/>
    <w:multiLevelType w:val="multilevel"/>
    <w:tmpl w:val="A1B6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C63386C"/>
    <w:multiLevelType w:val="multilevel"/>
    <w:tmpl w:val="7720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470252">
    <w:abstractNumId w:val="10"/>
  </w:num>
  <w:num w:numId="2" w16cid:durableId="456528165">
    <w:abstractNumId w:val="8"/>
  </w:num>
  <w:num w:numId="3" w16cid:durableId="1608848304">
    <w:abstractNumId w:val="3"/>
  </w:num>
  <w:num w:numId="4" w16cid:durableId="1004095164">
    <w:abstractNumId w:val="2"/>
  </w:num>
  <w:num w:numId="5" w16cid:durableId="1841966721">
    <w:abstractNumId w:val="11"/>
  </w:num>
  <w:num w:numId="6" w16cid:durableId="392240137">
    <w:abstractNumId w:val="5"/>
  </w:num>
  <w:num w:numId="7" w16cid:durableId="464348619">
    <w:abstractNumId w:val="4"/>
  </w:num>
  <w:num w:numId="8" w16cid:durableId="934216119">
    <w:abstractNumId w:val="9"/>
  </w:num>
  <w:num w:numId="9" w16cid:durableId="1822850386">
    <w:abstractNumId w:val="0"/>
  </w:num>
  <w:num w:numId="10" w16cid:durableId="538132300">
    <w:abstractNumId w:val="1"/>
  </w:num>
  <w:num w:numId="11" w16cid:durableId="1473980083">
    <w:abstractNumId w:val="6"/>
  </w:num>
  <w:num w:numId="12" w16cid:durableId="1837257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1754"/>
    <w:rsid w:val="000028E2"/>
    <w:rsid w:val="00007E85"/>
    <w:rsid w:val="00013465"/>
    <w:rsid w:val="000226B3"/>
    <w:rsid w:val="0002398D"/>
    <w:rsid w:val="00024549"/>
    <w:rsid w:val="000352DA"/>
    <w:rsid w:val="0003537B"/>
    <w:rsid w:val="00036C55"/>
    <w:rsid w:val="0004305B"/>
    <w:rsid w:val="0004381D"/>
    <w:rsid w:val="000512B5"/>
    <w:rsid w:val="00052D9F"/>
    <w:rsid w:val="00053D77"/>
    <w:rsid w:val="000544B6"/>
    <w:rsid w:val="00055A49"/>
    <w:rsid w:val="0005603B"/>
    <w:rsid w:val="000604AF"/>
    <w:rsid w:val="00077845"/>
    <w:rsid w:val="00083F47"/>
    <w:rsid w:val="00086C11"/>
    <w:rsid w:val="00093EFB"/>
    <w:rsid w:val="00094DCF"/>
    <w:rsid w:val="000A4572"/>
    <w:rsid w:val="000A6CFD"/>
    <w:rsid w:val="000B0982"/>
    <w:rsid w:val="000B796C"/>
    <w:rsid w:val="000B7C95"/>
    <w:rsid w:val="000C179C"/>
    <w:rsid w:val="000C1B04"/>
    <w:rsid w:val="000C254C"/>
    <w:rsid w:val="000C2D5A"/>
    <w:rsid w:val="000C4696"/>
    <w:rsid w:val="000C46BB"/>
    <w:rsid w:val="000C4D9D"/>
    <w:rsid w:val="000C6AAA"/>
    <w:rsid w:val="000C765B"/>
    <w:rsid w:val="000C7C4B"/>
    <w:rsid w:val="000C7D8B"/>
    <w:rsid w:val="000D18EC"/>
    <w:rsid w:val="000D23D6"/>
    <w:rsid w:val="000D2627"/>
    <w:rsid w:val="000D3E03"/>
    <w:rsid w:val="000E35B9"/>
    <w:rsid w:val="000E4208"/>
    <w:rsid w:val="000E485D"/>
    <w:rsid w:val="000E583B"/>
    <w:rsid w:val="000E72C6"/>
    <w:rsid w:val="000E78D9"/>
    <w:rsid w:val="000F1893"/>
    <w:rsid w:val="000F2120"/>
    <w:rsid w:val="000F2F51"/>
    <w:rsid w:val="000F3814"/>
    <w:rsid w:val="000F3ED0"/>
    <w:rsid w:val="000F4B5A"/>
    <w:rsid w:val="000F5372"/>
    <w:rsid w:val="000F756F"/>
    <w:rsid w:val="00101502"/>
    <w:rsid w:val="0011161D"/>
    <w:rsid w:val="00113CF8"/>
    <w:rsid w:val="00113D74"/>
    <w:rsid w:val="00115110"/>
    <w:rsid w:val="00117C5C"/>
    <w:rsid w:val="001274E0"/>
    <w:rsid w:val="001310AE"/>
    <w:rsid w:val="001350C3"/>
    <w:rsid w:val="001420B3"/>
    <w:rsid w:val="00144EE6"/>
    <w:rsid w:val="001460C4"/>
    <w:rsid w:val="001469C2"/>
    <w:rsid w:val="0015183C"/>
    <w:rsid w:val="001520D8"/>
    <w:rsid w:val="0015691C"/>
    <w:rsid w:val="00162101"/>
    <w:rsid w:val="001621F7"/>
    <w:rsid w:val="001624D7"/>
    <w:rsid w:val="0016259C"/>
    <w:rsid w:val="001643E5"/>
    <w:rsid w:val="00177B86"/>
    <w:rsid w:val="00182585"/>
    <w:rsid w:val="00183ED9"/>
    <w:rsid w:val="00186174"/>
    <w:rsid w:val="00191182"/>
    <w:rsid w:val="0019664D"/>
    <w:rsid w:val="001A2EA8"/>
    <w:rsid w:val="001A6103"/>
    <w:rsid w:val="001A7D44"/>
    <w:rsid w:val="001B5D37"/>
    <w:rsid w:val="001C1F71"/>
    <w:rsid w:val="001C2940"/>
    <w:rsid w:val="001C2BAF"/>
    <w:rsid w:val="001C4016"/>
    <w:rsid w:val="001C548D"/>
    <w:rsid w:val="001C5EC0"/>
    <w:rsid w:val="001C6A5D"/>
    <w:rsid w:val="001D3C66"/>
    <w:rsid w:val="001E31A6"/>
    <w:rsid w:val="001E42C7"/>
    <w:rsid w:val="001E4CAB"/>
    <w:rsid w:val="001E75BE"/>
    <w:rsid w:val="001F0A4E"/>
    <w:rsid w:val="001F2F3E"/>
    <w:rsid w:val="001F34A5"/>
    <w:rsid w:val="001F4575"/>
    <w:rsid w:val="001F4906"/>
    <w:rsid w:val="001F7C4A"/>
    <w:rsid w:val="0020578A"/>
    <w:rsid w:val="00207631"/>
    <w:rsid w:val="00212EA9"/>
    <w:rsid w:val="00214013"/>
    <w:rsid w:val="0021579B"/>
    <w:rsid w:val="00220FC1"/>
    <w:rsid w:val="00222E9A"/>
    <w:rsid w:val="0023179D"/>
    <w:rsid w:val="00235B01"/>
    <w:rsid w:val="00237291"/>
    <w:rsid w:val="00241FEA"/>
    <w:rsid w:val="00244969"/>
    <w:rsid w:val="00247DBD"/>
    <w:rsid w:val="0025389D"/>
    <w:rsid w:val="00253D09"/>
    <w:rsid w:val="00254E02"/>
    <w:rsid w:val="002577E7"/>
    <w:rsid w:val="002613CE"/>
    <w:rsid w:val="00261E94"/>
    <w:rsid w:val="0026265F"/>
    <w:rsid w:val="00273B42"/>
    <w:rsid w:val="0027404F"/>
    <w:rsid w:val="002818C2"/>
    <w:rsid w:val="00286C3A"/>
    <w:rsid w:val="002930F5"/>
    <w:rsid w:val="002A06B7"/>
    <w:rsid w:val="002A2867"/>
    <w:rsid w:val="002A2DA8"/>
    <w:rsid w:val="002A390F"/>
    <w:rsid w:val="002A463C"/>
    <w:rsid w:val="002A4FDA"/>
    <w:rsid w:val="002B5190"/>
    <w:rsid w:val="002C1A40"/>
    <w:rsid w:val="002C52B3"/>
    <w:rsid w:val="002C6E0C"/>
    <w:rsid w:val="002C7822"/>
    <w:rsid w:val="002D023D"/>
    <w:rsid w:val="002D144A"/>
    <w:rsid w:val="002D2705"/>
    <w:rsid w:val="002E0533"/>
    <w:rsid w:val="002E166C"/>
    <w:rsid w:val="002E19A3"/>
    <w:rsid w:val="002E212B"/>
    <w:rsid w:val="002E3337"/>
    <w:rsid w:val="002E6D03"/>
    <w:rsid w:val="002E7011"/>
    <w:rsid w:val="002F401A"/>
    <w:rsid w:val="002F49A8"/>
    <w:rsid w:val="002F5E66"/>
    <w:rsid w:val="002F61CA"/>
    <w:rsid w:val="0030010D"/>
    <w:rsid w:val="0030088D"/>
    <w:rsid w:val="00303B57"/>
    <w:rsid w:val="00306293"/>
    <w:rsid w:val="00306E4C"/>
    <w:rsid w:val="0031447E"/>
    <w:rsid w:val="00316924"/>
    <w:rsid w:val="00317A65"/>
    <w:rsid w:val="00321185"/>
    <w:rsid w:val="00332828"/>
    <w:rsid w:val="0033504C"/>
    <w:rsid w:val="00336816"/>
    <w:rsid w:val="003370D0"/>
    <w:rsid w:val="00337355"/>
    <w:rsid w:val="003402E4"/>
    <w:rsid w:val="00340F95"/>
    <w:rsid w:val="00344BEC"/>
    <w:rsid w:val="00347943"/>
    <w:rsid w:val="003531ED"/>
    <w:rsid w:val="003533BA"/>
    <w:rsid w:val="00355C67"/>
    <w:rsid w:val="00360395"/>
    <w:rsid w:val="00360B9A"/>
    <w:rsid w:val="00371B6C"/>
    <w:rsid w:val="003762A6"/>
    <w:rsid w:val="003806E6"/>
    <w:rsid w:val="00384B45"/>
    <w:rsid w:val="003879DB"/>
    <w:rsid w:val="00387CB9"/>
    <w:rsid w:val="0039017F"/>
    <w:rsid w:val="00394AEE"/>
    <w:rsid w:val="00397025"/>
    <w:rsid w:val="003A3E70"/>
    <w:rsid w:val="003A42CC"/>
    <w:rsid w:val="003A5851"/>
    <w:rsid w:val="003B3053"/>
    <w:rsid w:val="003C1E8F"/>
    <w:rsid w:val="003C2D98"/>
    <w:rsid w:val="003D0662"/>
    <w:rsid w:val="003D3704"/>
    <w:rsid w:val="003D3A96"/>
    <w:rsid w:val="003D3B9C"/>
    <w:rsid w:val="003D632B"/>
    <w:rsid w:val="003E2C26"/>
    <w:rsid w:val="003F09D5"/>
    <w:rsid w:val="003F0C13"/>
    <w:rsid w:val="0040139C"/>
    <w:rsid w:val="0040373C"/>
    <w:rsid w:val="00403E04"/>
    <w:rsid w:val="00404F03"/>
    <w:rsid w:val="00412051"/>
    <w:rsid w:val="00423B94"/>
    <w:rsid w:val="00427DAA"/>
    <w:rsid w:val="00435A89"/>
    <w:rsid w:val="0044250A"/>
    <w:rsid w:val="00463731"/>
    <w:rsid w:val="0046400A"/>
    <w:rsid w:val="004642A1"/>
    <w:rsid w:val="00467B25"/>
    <w:rsid w:val="0047151C"/>
    <w:rsid w:val="00475F11"/>
    <w:rsid w:val="00481108"/>
    <w:rsid w:val="00483AAA"/>
    <w:rsid w:val="004862FD"/>
    <w:rsid w:val="0049042B"/>
    <w:rsid w:val="00490E7F"/>
    <w:rsid w:val="00495473"/>
    <w:rsid w:val="00496701"/>
    <w:rsid w:val="004A458E"/>
    <w:rsid w:val="004B23E7"/>
    <w:rsid w:val="004B306F"/>
    <w:rsid w:val="004C3186"/>
    <w:rsid w:val="004C5042"/>
    <w:rsid w:val="004C6F5E"/>
    <w:rsid w:val="004C7E14"/>
    <w:rsid w:val="004D0E93"/>
    <w:rsid w:val="004D491A"/>
    <w:rsid w:val="004D5594"/>
    <w:rsid w:val="004E4422"/>
    <w:rsid w:val="00503998"/>
    <w:rsid w:val="0050623B"/>
    <w:rsid w:val="0051283E"/>
    <w:rsid w:val="00516469"/>
    <w:rsid w:val="00523181"/>
    <w:rsid w:val="00524D13"/>
    <w:rsid w:val="00530947"/>
    <w:rsid w:val="005339F6"/>
    <w:rsid w:val="00535C95"/>
    <w:rsid w:val="00541BAF"/>
    <w:rsid w:val="0054267E"/>
    <w:rsid w:val="00546DE1"/>
    <w:rsid w:val="005475AA"/>
    <w:rsid w:val="00552923"/>
    <w:rsid w:val="005543EA"/>
    <w:rsid w:val="00561981"/>
    <w:rsid w:val="00573120"/>
    <w:rsid w:val="00576B18"/>
    <w:rsid w:val="0058505E"/>
    <w:rsid w:val="00585068"/>
    <w:rsid w:val="00587724"/>
    <w:rsid w:val="00591512"/>
    <w:rsid w:val="00591E4A"/>
    <w:rsid w:val="0059275C"/>
    <w:rsid w:val="00595159"/>
    <w:rsid w:val="005A303C"/>
    <w:rsid w:val="005A49A6"/>
    <w:rsid w:val="005B2D91"/>
    <w:rsid w:val="005B41B3"/>
    <w:rsid w:val="005B48B4"/>
    <w:rsid w:val="005C310D"/>
    <w:rsid w:val="005C6661"/>
    <w:rsid w:val="005C6E3B"/>
    <w:rsid w:val="005D07B0"/>
    <w:rsid w:val="005D0CBC"/>
    <w:rsid w:val="005D28E3"/>
    <w:rsid w:val="005D433B"/>
    <w:rsid w:val="005D474B"/>
    <w:rsid w:val="005E085C"/>
    <w:rsid w:val="005E147D"/>
    <w:rsid w:val="005E22C2"/>
    <w:rsid w:val="005E32AE"/>
    <w:rsid w:val="005E57BB"/>
    <w:rsid w:val="005E6B44"/>
    <w:rsid w:val="005F0017"/>
    <w:rsid w:val="005F279A"/>
    <w:rsid w:val="006014F1"/>
    <w:rsid w:val="00603877"/>
    <w:rsid w:val="0061357B"/>
    <w:rsid w:val="00614A7D"/>
    <w:rsid w:val="00616A79"/>
    <w:rsid w:val="0063631C"/>
    <w:rsid w:val="0063757B"/>
    <w:rsid w:val="006377CE"/>
    <w:rsid w:val="006403D0"/>
    <w:rsid w:val="0064159E"/>
    <w:rsid w:val="00644A6C"/>
    <w:rsid w:val="00651164"/>
    <w:rsid w:val="006537D9"/>
    <w:rsid w:val="006545EC"/>
    <w:rsid w:val="006604CB"/>
    <w:rsid w:val="00664A48"/>
    <w:rsid w:val="00665DEF"/>
    <w:rsid w:val="006710D2"/>
    <w:rsid w:val="00671325"/>
    <w:rsid w:val="00671896"/>
    <w:rsid w:val="006735DF"/>
    <w:rsid w:val="00675BB1"/>
    <w:rsid w:val="006775F1"/>
    <w:rsid w:val="00677755"/>
    <w:rsid w:val="00681B32"/>
    <w:rsid w:val="00692AA7"/>
    <w:rsid w:val="006963A7"/>
    <w:rsid w:val="00697FEC"/>
    <w:rsid w:val="006A175F"/>
    <w:rsid w:val="006A18EC"/>
    <w:rsid w:val="006A1937"/>
    <w:rsid w:val="006A44F5"/>
    <w:rsid w:val="006A6E1F"/>
    <w:rsid w:val="006B1151"/>
    <w:rsid w:val="006B4537"/>
    <w:rsid w:val="006B5F85"/>
    <w:rsid w:val="006B6929"/>
    <w:rsid w:val="006B709B"/>
    <w:rsid w:val="006C54AF"/>
    <w:rsid w:val="006C7286"/>
    <w:rsid w:val="006D3599"/>
    <w:rsid w:val="006D3BA9"/>
    <w:rsid w:val="006E0181"/>
    <w:rsid w:val="006E2736"/>
    <w:rsid w:val="00700C0E"/>
    <w:rsid w:val="00701D7A"/>
    <w:rsid w:val="00705DAD"/>
    <w:rsid w:val="00710412"/>
    <w:rsid w:val="0071642E"/>
    <w:rsid w:val="00716C3C"/>
    <w:rsid w:val="0072170F"/>
    <w:rsid w:val="007232AE"/>
    <w:rsid w:val="0072459A"/>
    <w:rsid w:val="007247B9"/>
    <w:rsid w:val="00727D85"/>
    <w:rsid w:val="007346C7"/>
    <w:rsid w:val="00736041"/>
    <w:rsid w:val="007408C7"/>
    <w:rsid w:val="007465DA"/>
    <w:rsid w:val="00746E35"/>
    <w:rsid w:val="00752825"/>
    <w:rsid w:val="00752C7F"/>
    <w:rsid w:val="00752F99"/>
    <w:rsid w:val="007608FD"/>
    <w:rsid w:val="007664CE"/>
    <w:rsid w:val="00767874"/>
    <w:rsid w:val="00770219"/>
    <w:rsid w:val="00771A1D"/>
    <w:rsid w:val="007731C2"/>
    <w:rsid w:val="00773CCB"/>
    <w:rsid w:val="00776598"/>
    <w:rsid w:val="00780AD5"/>
    <w:rsid w:val="00783CF1"/>
    <w:rsid w:val="00792948"/>
    <w:rsid w:val="007943CE"/>
    <w:rsid w:val="00794C87"/>
    <w:rsid w:val="00796E84"/>
    <w:rsid w:val="00797B80"/>
    <w:rsid w:val="007A0927"/>
    <w:rsid w:val="007A3ADE"/>
    <w:rsid w:val="007A5733"/>
    <w:rsid w:val="007A5774"/>
    <w:rsid w:val="007C0005"/>
    <w:rsid w:val="007C30AC"/>
    <w:rsid w:val="007C6401"/>
    <w:rsid w:val="007C6D84"/>
    <w:rsid w:val="007C7C57"/>
    <w:rsid w:val="007D08AC"/>
    <w:rsid w:val="007E2083"/>
    <w:rsid w:val="007F0DF3"/>
    <w:rsid w:val="007F1DEB"/>
    <w:rsid w:val="007F6B1D"/>
    <w:rsid w:val="00801E74"/>
    <w:rsid w:val="00802456"/>
    <w:rsid w:val="0080485E"/>
    <w:rsid w:val="008142B4"/>
    <w:rsid w:val="008173A0"/>
    <w:rsid w:val="00832324"/>
    <w:rsid w:val="00835337"/>
    <w:rsid w:val="008354DA"/>
    <w:rsid w:val="00841C7A"/>
    <w:rsid w:val="00846DCD"/>
    <w:rsid w:val="00851D85"/>
    <w:rsid w:val="00854BCB"/>
    <w:rsid w:val="00857E8A"/>
    <w:rsid w:val="008603DB"/>
    <w:rsid w:val="00860CCB"/>
    <w:rsid w:val="008740A3"/>
    <w:rsid w:val="00874C36"/>
    <w:rsid w:val="00880393"/>
    <w:rsid w:val="00883B98"/>
    <w:rsid w:val="008865CB"/>
    <w:rsid w:val="008868C0"/>
    <w:rsid w:val="0089297B"/>
    <w:rsid w:val="00894595"/>
    <w:rsid w:val="00897E9C"/>
    <w:rsid w:val="008A1D40"/>
    <w:rsid w:val="008B65E9"/>
    <w:rsid w:val="008C068A"/>
    <w:rsid w:val="008C31C8"/>
    <w:rsid w:val="008C36CA"/>
    <w:rsid w:val="008E3F8C"/>
    <w:rsid w:val="008F5AA8"/>
    <w:rsid w:val="008F7033"/>
    <w:rsid w:val="00902FD0"/>
    <w:rsid w:val="009053D3"/>
    <w:rsid w:val="0090691F"/>
    <w:rsid w:val="00907647"/>
    <w:rsid w:val="00907CFF"/>
    <w:rsid w:val="009126DB"/>
    <w:rsid w:val="0091310A"/>
    <w:rsid w:val="00917CEF"/>
    <w:rsid w:val="009233F0"/>
    <w:rsid w:val="00923C0D"/>
    <w:rsid w:val="0092465A"/>
    <w:rsid w:val="0092554A"/>
    <w:rsid w:val="00926C1C"/>
    <w:rsid w:val="0093111F"/>
    <w:rsid w:val="00935689"/>
    <w:rsid w:val="0095303B"/>
    <w:rsid w:val="009663B6"/>
    <w:rsid w:val="00966C08"/>
    <w:rsid w:val="00967762"/>
    <w:rsid w:val="00974A47"/>
    <w:rsid w:val="00974BD2"/>
    <w:rsid w:val="009764ED"/>
    <w:rsid w:val="009800ED"/>
    <w:rsid w:val="00980286"/>
    <w:rsid w:val="009837D8"/>
    <w:rsid w:val="00990DCF"/>
    <w:rsid w:val="00992409"/>
    <w:rsid w:val="00993516"/>
    <w:rsid w:val="009959DF"/>
    <w:rsid w:val="009A15E1"/>
    <w:rsid w:val="009A40F3"/>
    <w:rsid w:val="009A4CD6"/>
    <w:rsid w:val="009A4D0D"/>
    <w:rsid w:val="009A537C"/>
    <w:rsid w:val="009C0886"/>
    <w:rsid w:val="009C0AED"/>
    <w:rsid w:val="009C19EE"/>
    <w:rsid w:val="009C28D0"/>
    <w:rsid w:val="009C35F2"/>
    <w:rsid w:val="009C3E0B"/>
    <w:rsid w:val="009C7782"/>
    <w:rsid w:val="009D1ED5"/>
    <w:rsid w:val="009D4C13"/>
    <w:rsid w:val="009D613D"/>
    <w:rsid w:val="009E21A7"/>
    <w:rsid w:val="009E4E27"/>
    <w:rsid w:val="009E65D7"/>
    <w:rsid w:val="009F5C98"/>
    <w:rsid w:val="009F6083"/>
    <w:rsid w:val="00A03914"/>
    <w:rsid w:val="00A103ED"/>
    <w:rsid w:val="00A10C17"/>
    <w:rsid w:val="00A132F9"/>
    <w:rsid w:val="00A13C60"/>
    <w:rsid w:val="00A15134"/>
    <w:rsid w:val="00A256E5"/>
    <w:rsid w:val="00A26862"/>
    <w:rsid w:val="00A3143D"/>
    <w:rsid w:val="00A341A3"/>
    <w:rsid w:val="00A35800"/>
    <w:rsid w:val="00A52918"/>
    <w:rsid w:val="00A547B3"/>
    <w:rsid w:val="00A62583"/>
    <w:rsid w:val="00A70E82"/>
    <w:rsid w:val="00A72E67"/>
    <w:rsid w:val="00A80ADB"/>
    <w:rsid w:val="00A81F41"/>
    <w:rsid w:val="00A82524"/>
    <w:rsid w:val="00A84B1A"/>
    <w:rsid w:val="00A84CAD"/>
    <w:rsid w:val="00A90E50"/>
    <w:rsid w:val="00A95315"/>
    <w:rsid w:val="00A95FA5"/>
    <w:rsid w:val="00A96D92"/>
    <w:rsid w:val="00AA6E31"/>
    <w:rsid w:val="00AB199C"/>
    <w:rsid w:val="00AB3733"/>
    <w:rsid w:val="00AB588C"/>
    <w:rsid w:val="00AB7897"/>
    <w:rsid w:val="00AC5054"/>
    <w:rsid w:val="00AC5842"/>
    <w:rsid w:val="00AD389F"/>
    <w:rsid w:val="00AD4D8D"/>
    <w:rsid w:val="00AD63AC"/>
    <w:rsid w:val="00AD750E"/>
    <w:rsid w:val="00AE4BAC"/>
    <w:rsid w:val="00AF5D40"/>
    <w:rsid w:val="00B00072"/>
    <w:rsid w:val="00B034FC"/>
    <w:rsid w:val="00B05310"/>
    <w:rsid w:val="00B05A74"/>
    <w:rsid w:val="00B10A0B"/>
    <w:rsid w:val="00B14AF9"/>
    <w:rsid w:val="00B20E39"/>
    <w:rsid w:val="00B30D85"/>
    <w:rsid w:val="00B34D56"/>
    <w:rsid w:val="00B35A4A"/>
    <w:rsid w:val="00B37611"/>
    <w:rsid w:val="00B42461"/>
    <w:rsid w:val="00B44C29"/>
    <w:rsid w:val="00B453CF"/>
    <w:rsid w:val="00B4587D"/>
    <w:rsid w:val="00B46338"/>
    <w:rsid w:val="00B5748D"/>
    <w:rsid w:val="00B63FD7"/>
    <w:rsid w:val="00B64F5B"/>
    <w:rsid w:val="00B65ABD"/>
    <w:rsid w:val="00B7395E"/>
    <w:rsid w:val="00B76228"/>
    <w:rsid w:val="00B76BA0"/>
    <w:rsid w:val="00B816D9"/>
    <w:rsid w:val="00B843B4"/>
    <w:rsid w:val="00B859A2"/>
    <w:rsid w:val="00B9120F"/>
    <w:rsid w:val="00B9216C"/>
    <w:rsid w:val="00B924A4"/>
    <w:rsid w:val="00B92A4C"/>
    <w:rsid w:val="00BA0721"/>
    <w:rsid w:val="00BB0D1A"/>
    <w:rsid w:val="00BB0DFA"/>
    <w:rsid w:val="00BB1D3B"/>
    <w:rsid w:val="00BB4157"/>
    <w:rsid w:val="00BB4670"/>
    <w:rsid w:val="00BB4A89"/>
    <w:rsid w:val="00BC35ED"/>
    <w:rsid w:val="00BC54E9"/>
    <w:rsid w:val="00BD4B8B"/>
    <w:rsid w:val="00BE0A13"/>
    <w:rsid w:val="00BE205A"/>
    <w:rsid w:val="00BE3802"/>
    <w:rsid w:val="00BE3EE9"/>
    <w:rsid w:val="00BF12BE"/>
    <w:rsid w:val="00BF238E"/>
    <w:rsid w:val="00BF2F4A"/>
    <w:rsid w:val="00BF544D"/>
    <w:rsid w:val="00BF7C10"/>
    <w:rsid w:val="00C00705"/>
    <w:rsid w:val="00C0076F"/>
    <w:rsid w:val="00C02C38"/>
    <w:rsid w:val="00C0301C"/>
    <w:rsid w:val="00C050B6"/>
    <w:rsid w:val="00C05FF7"/>
    <w:rsid w:val="00C104E6"/>
    <w:rsid w:val="00C10F12"/>
    <w:rsid w:val="00C15775"/>
    <w:rsid w:val="00C22EF3"/>
    <w:rsid w:val="00C245EA"/>
    <w:rsid w:val="00C256F6"/>
    <w:rsid w:val="00C25D7C"/>
    <w:rsid w:val="00C3097E"/>
    <w:rsid w:val="00C35ECC"/>
    <w:rsid w:val="00C361A8"/>
    <w:rsid w:val="00C41246"/>
    <w:rsid w:val="00C42459"/>
    <w:rsid w:val="00C42C2E"/>
    <w:rsid w:val="00C45E5F"/>
    <w:rsid w:val="00C46291"/>
    <w:rsid w:val="00C541F9"/>
    <w:rsid w:val="00C6147A"/>
    <w:rsid w:val="00C61B47"/>
    <w:rsid w:val="00C63412"/>
    <w:rsid w:val="00C63E21"/>
    <w:rsid w:val="00C714D0"/>
    <w:rsid w:val="00C72C06"/>
    <w:rsid w:val="00C753B8"/>
    <w:rsid w:val="00C7659B"/>
    <w:rsid w:val="00C819A2"/>
    <w:rsid w:val="00C83830"/>
    <w:rsid w:val="00C85B2D"/>
    <w:rsid w:val="00C8774E"/>
    <w:rsid w:val="00C90501"/>
    <w:rsid w:val="00C90ABA"/>
    <w:rsid w:val="00C90EF4"/>
    <w:rsid w:val="00C94C27"/>
    <w:rsid w:val="00C94F56"/>
    <w:rsid w:val="00CA015A"/>
    <w:rsid w:val="00CA1A7E"/>
    <w:rsid w:val="00CA3DFD"/>
    <w:rsid w:val="00CB5DAF"/>
    <w:rsid w:val="00CC1AA3"/>
    <w:rsid w:val="00CC1AC5"/>
    <w:rsid w:val="00CD4486"/>
    <w:rsid w:val="00CD50ED"/>
    <w:rsid w:val="00CD697A"/>
    <w:rsid w:val="00CE0AA7"/>
    <w:rsid w:val="00CE258A"/>
    <w:rsid w:val="00CF3543"/>
    <w:rsid w:val="00CF5E22"/>
    <w:rsid w:val="00D052D2"/>
    <w:rsid w:val="00D0559E"/>
    <w:rsid w:val="00D06A44"/>
    <w:rsid w:val="00D1262B"/>
    <w:rsid w:val="00D13B72"/>
    <w:rsid w:val="00D151EB"/>
    <w:rsid w:val="00D22EBB"/>
    <w:rsid w:val="00D23DA1"/>
    <w:rsid w:val="00D300E0"/>
    <w:rsid w:val="00D3610A"/>
    <w:rsid w:val="00D36BF5"/>
    <w:rsid w:val="00D374CD"/>
    <w:rsid w:val="00D4016D"/>
    <w:rsid w:val="00D467D0"/>
    <w:rsid w:val="00D51667"/>
    <w:rsid w:val="00D516DD"/>
    <w:rsid w:val="00D51B1F"/>
    <w:rsid w:val="00D52A3F"/>
    <w:rsid w:val="00D63F85"/>
    <w:rsid w:val="00D64F61"/>
    <w:rsid w:val="00D64FF0"/>
    <w:rsid w:val="00D650CE"/>
    <w:rsid w:val="00D66271"/>
    <w:rsid w:val="00D71719"/>
    <w:rsid w:val="00D776DA"/>
    <w:rsid w:val="00D86337"/>
    <w:rsid w:val="00D86986"/>
    <w:rsid w:val="00D8758B"/>
    <w:rsid w:val="00D87E6E"/>
    <w:rsid w:val="00D93EED"/>
    <w:rsid w:val="00D942B3"/>
    <w:rsid w:val="00D94863"/>
    <w:rsid w:val="00DA0981"/>
    <w:rsid w:val="00DA2056"/>
    <w:rsid w:val="00DA2574"/>
    <w:rsid w:val="00DA5760"/>
    <w:rsid w:val="00DA7D09"/>
    <w:rsid w:val="00DB54A0"/>
    <w:rsid w:val="00DC09F1"/>
    <w:rsid w:val="00DC0A9B"/>
    <w:rsid w:val="00DC1F89"/>
    <w:rsid w:val="00DC254D"/>
    <w:rsid w:val="00DC2630"/>
    <w:rsid w:val="00DC2CFE"/>
    <w:rsid w:val="00DC4484"/>
    <w:rsid w:val="00DC49E9"/>
    <w:rsid w:val="00DC55E4"/>
    <w:rsid w:val="00DC7D71"/>
    <w:rsid w:val="00DD188C"/>
    <w:rsid w:val="00DD29A3"/>
    <w:rsid w:val="00DD48EE"/>
    <w:rsid w:val="00DD4A77"/>
    <w:rsid w:val="00DE0B96"/>
    <w:rsid w:val="00DE10B9"/>
    <w:rsid w:val="00DF0187"/>
    <w:rsid w:val="00DF0B13"/>
    <w:rsid w:val="00DF0DBE"/>
    <w:rsid w:val="00DF1423"/>
    <w:rsid w:val="00DF2EB8"/>
    <w:rsid w:val="00DF4A94"/>
    <w:rsid w:val="00DF5E79"/>
    <w:rsid w:val="00DF6003"/>
    <w:rsid w:val="00DF6142"/>
    <w:rsid w:val="00E00095"/>
    <w:rsid w:val="00E066C3"/>
    <w:rsid w:val="00E10976"/>
    <w:rsid w:val="00E10D8C"/>
    <w:rsid w:val="00E1147D"/>
    <w:rsid w:val="00E1353A"/>
    <w:rsid w:val="00E1564B"/>
    <w:rsid w:val="00E208A0"/>
    <w:rsid w:val="00E218B7"/>
    <w:rsid w:val="00E25B49"/>
    <w:rsid w:val="00E30722"/>
    <w:rsid w:val="00E371EA"/>
    <w:rsid w:val="00E40552"/>
    <w:rsid w:val="00E43355"/>
    <w:rsid w:val="00E46978"/>
    <w:rsid w:val="00E535B6"/>
    <w:rsid w:val="00E64429"/>
    <w:rsid w:val="00E677DD"/>
    <w:rsid w:val="00E7594B"/>
    <w:rsid w:val="00E84278"/>
    <w:rsid w:val="00E96025"/>
    <w:rsid w:val="00E96811"/>
    <w:rsid w:val="00EA25F4"/>
    <w:rsid w:val="00EA414A"/>
    <w:rsid w:val="00EA725A"/>
    <w:rsid w:val="00EB0056"/>
    <w:rsid w:val="00EB03D6"/>
    <w:rsid w:val="00EB2C15"/>
    <w:rsid w:val="00EB31BE"/>
    <w:rsid w:val="00EB4688"/>
    <w:rsid w:val="00EB6C07"/>
    <w:rsid w:val="00EC0153"/>
    <w:rsid w:val="00EC028D"/>
    <w:rsid w:val="00EC7973"/>
    <w:rsid w:val="00ED04D5"/>
    <w:rsid w:val="00ED1B21"/>
    <w:rsid w:val="00ED48DB"/>
    <w:rsid w:val="00ED633B"/>
    <w:rsid w:val="00EE2BBB"/>
    <w:rsid w:val="00EE478C"/>
    <w:rsid w:val="00EE5E47"/>
    <w:rsid w:val="00EF24DE"/>
    <w:rsid w:val="00EF2AB4"/>
    <w:rsid w:val="00EF2CD4"/>
    <w:rsid w:val="00F03F2F"/>
    <w:rsid w:val="00F054C7"/>
    <w:rsid w:val="00F1132C"/>
    <w:rsid w:val="00F1280A"/>
    <w:rsid w:val="00F14072"/>
    <w:rsid w:val="00F15DD5"/>
    <w:rsid w:val="00F17D4B"/>
    <w:rsid w:val="00F21958"/>
    <w:rsid w:val="00F22A1A"/>
    <w:rsid w:val="00F22DD6"/>
    <w:rsid w:val="00F23139"/>
    <w:rsid w:val="00F36476"/>
    <w:rsid w:val="00F409CC"/>
    <w:rsid w:val="00F44731"/>
    <w:rsid w:val="00F46C8E"/>
    <w:rsid w:val="00F60103"/>
    <w:rsid w:val="00F6243A"/>
    <w:rsid w:val="00F63D70"/>
    <w:rsid w:val="00F66CD5"/>
    <w:rsid w:val="00F670FC"/>
    <w:rsid w:val="00F67A9A"/>
    <w:rsid w:val="00F70F4E"/>
    <w:rsid w:val="00F73113"/>
    <w:rsid w:val="00F75B7A"/>
    <w:rsid w:val="00F75FC4"/>
    <w:rsid w:val="00F85981"/>
    <w:rsid w:val="00F87263"/>
    <w:rsid w:val="00F93725"/>
    <w:rsid w:val="00FA10B0"/>
    <w:rsid w:val="00FA1BA3"/>
    <w:rsid w:val="00FA4890"/>
    <w:rsid w:val="00FB7332"/>
    <w:rsid w:val="00FB77FA"/>
    <w:rsid w:val="00FC3C70"/>
    <w:rsid w:val="00FC4A73"/>
    <w:rsid w:val="00FC4BCD"/>
    <w:rsid w:val="00FC559C"/>
    <w:rsid w:val="00FC7F0D"/>
    <w:rsid w:val="00FD212A"/>
    <w:rsid w:val="00FD2E0D"/>
    <w:rsid w:val="00FD34F5"/>
    <w:rsid w:val="00FD5AD3"/>
    <w:rsid w:val="00FE645A"/>
    <w:rsid w:val="00FE7417"/>
    <w:rsid w:val="00FF008D"/>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C05FF7"/>
    <w:pPr>
      <w:spacing w:after="0" w:line="240" w:lineRule="auto"/>
    </w:pPr>
    <w:rPr>
      <w:sz w:val="24"/>
      <w:szCs w:val="24"/>
    </w:rPr>
  </w:style>
  <w:style w:type="character" w:styleId="Strong">
    <w:name w:val="Strong"/>
    <w:basedOn w:val="DefaultParagraphFont"/>
    <w:uiPriority w:val="22"/>
    <w:qFormat/>
    <w:rsid w:val="00B7395E"/>
    <w:rPr>
      <w:b/>
      <w:bCs/>
    </w:rPr>
  </w:style>
  <w:style w:type="paragraph" w:styleId="NormalWeb">
    <w:name w:val="Normal (Web)"/>
    <w:basedOn w:val="Normal"/>
    <w:uiPriority w:val="99"/>
    <w:semiHidden/>
    <w:unhideWhenUsed/>
    <w:rsid w:val="00A72E6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A6E1F"/>
    <w:rPr>
      <w:color w:val="605E5C"/>
      <w:shd w:val="clear" w:color="auto" w:fill="E1DFDD"/>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78230962">
      <w:bodyDiv w:val="1"/>
      <w:marLeft w:val="0"/>
      <w:marRight w:val="0"/>
      <w:marTop w:val="0"/>
      <w:marBottom w:val="0"/>
      <w:divBdr>
        <w:top w:val="none" w:sz="0" w:space="0" w:color="auto"/>
        <w:left w:val="none" w:sz="0" w:space="0" w:color="auto"/>
        <w:bottom w:val="none" w:sz="0" w:space="0" w:color="auto"/>
        <w:right w:val="none" w:sz="0" w:space="0" w:color="auto"/>
      </w:divBdr>
    </w:div>
    <w:div w:id="593899229">
      <w:bodyDiv w:val="1"/>
      <w:marLeft w:val="0"/>
      <w:marRight w:val="0"/>
      <w:marTop w:val="0"/>
      <w:marBottom w:val="0"/>
      <w:divBdr>
        <w:top w:val="none" w:sz="0" w:space="0" w:color="auto"/>
        <w:left w:val="none" w:sz="0" w:space="0" w:color="auto"/>
        <w:bottom w:val="none" w:sz="0" w:space="0" w:color="auto"/>
        <w:right w:val="none" w:sz="0" w:space="0" w:color="auto"/>
      </w:divBdr>
    </w:div>
    <w:div w:id="602613541">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369263426">
      <w:bodyDiv w:val="1"/>
      <w:marLeft w:val="0"/>
      <w:marRight w:val="0"/>
      <w:marTop w:val="0"/>
      <w:marBottom w:val="0"/>
      <w:divBdr>
        <w:top w:val="none" w:sz="0" w:space="0" w:color="auto"/>
        <w:left w:val="none" w:sz="0" w:space="0" w:color="auto"/>
        <w:bottom w:val="none" w:sz="0" w:space="0" w:color="auto"/>
        <w:right w:val="none" w:sz="0" w:space="0" w:color="auto"/>
      </w:divBdr>
    </w:div>
    <w:div w:id="1414740671">
      <w:bodyDiv w:val="1"/>
      <w:marLeft w:val="0"/>
      <w:marRight w:val="0"/>
      <w:marTop w:val="0"/>
      <w:marBottom w:val="0"/>
      <w:divBdr>
        <w:top w:val="none" w:sz="0" w:space="0" w:color="auto"/>
        <w:left w:val="none" w:sz="0" w:space="0" w:color="auto"/>
        <w:bottom w:val="none" w:sz="0" w:space="0" w:color="auto"/>
        <w:right w:val="none" w:sz="0" w:space="0" w:color="auto"/>
      </w:divBdr>
    </w:div>
    <w:div w:id="1613246696">
      <w:bodyDiv w:val="1"/>
      <w:marLeft w:val="0"/>
      <w:marRight w:val="0"/>
      <w:marTop w:val="0"/>
      <w:marBottom w:val="0"/>
      <w:divBdr>
        <w:top w:val="none" w:sz="0" w:space="0" w:color="auto"/>
        <w:left w:val="none" w:sz="0" w:space="0" w:color="auto"/>
        <w:bottom w:val="none" w:sz="0" w:space="0" w:color="auto"/>
        <w:right w:val="none" w:sz="0" w:space="0" w:color="auto"/>
      </w:divBdr>
    </w:div>
    <w:div w:id="1927957470">
      <w:bodyDiv w:val="1"/>
      <w:marLeft w:val="0"/>
      <w:marRight w:val="0"/>
      <w:marTop w:val="0"/>
      <w:marBottom w:val="0"/>
      <w:divBdr>
        <w:top w:val="none" w:sz="0" w:space="0" w:color="auto"/>
        <w:left w:val="none" w:sz="0" w:space="0" w:color="auto"/>
        <w:bottom w:val="none" w:sz="0" w:space="0" w:color="auto"/>
        <w:right w:val="none" w:sz="0" w:space="0" w:color="auto"/>
      </w:divBdr>
    </w:div>
    <w:div w:id="19774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gov.au/industry/listing/elements/pbac-meetings/pbac-outcomes/2022-03/pbac-web-outcomes-03-2022-v7.pdf"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https://www.pbs.gov.au/industry/listing/elements/pbac-meetings/psd/2022-03/files/nivolumab-psd-march-2021.pdf" TargetMode="External"/><Relationship Id="rId17" Type="http://schemas.openxmlformats.org/officeDocument/2006/relationships/image" Target="media/image1.png"/><Relationship Id="rId25" Type="http://schemas.openxmlformats.org/officeDocument/2006/relationships/hyperlink" Target="https://www.canceraustralia.gov.au/cancer-types/stomach-cancer/stomach-cancer-statistic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3.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pbs/home" TargetMode="External"/><Relationship Id="rId24" Type="http://schemas.openxmlformats.org/officeDocument/2006/relationships/hyperlink" Target="https://amhonline.amh.net.au/chapters/anticancer-drugs/anticancer-antibodies/nivolumab?menu=hin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tga.gov.au/consumer-medicines-information-cmi" TargetMode="External"/><Relationship Id="rId28" Type="http://schemas.openxmlformats.org/officeDocument/2006/relationships/footer" Target="footer1.xml"/><Relationship Id="rId10" Type="http://schemas.openxmlformats.org/officeDocument/2006/relationships/hyperlink" Target="http://www.pbs.gov.au/pbs/home" TargetMode="External"/><Relationship Id="rId19" Type="http://schemas.openxmlformats.org/officeDocument/2006/relationships/image" Target="media/image3.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bs.tga.gov.au/ebs/picmi/picmirepository.nsf/PICMI?OpenForm&amp;t=&amp;q=nivolumab" TargetMode="External"/><Relationship Id="rId14" Type="http://schemas.openxmlformats.org/officeDocument/2006/relationships/hyperlink" Target="https://www.pbs.gov.au/industry/listing/elements/pbac-meetings/psd/2022-03/files/nivolumab-psd-march-2022.pdf"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ebs.tga.gov.au/ebs/picmi/picmirepository.nsf/PICMI?OpenForm&amp;t=&amp;q=nivoluma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mhonline.amh.net.au/chapters/anticancer-drugs/anticancer-antibodies/nivolumab?menu=hints" TargetMode="External"/><Relationship Id="rId1" Type="http://schemas.openxmlformats.org/officeDocument/2006/relationships/hyperlink" Target="https://www.tga.gov.au/consumer-medicines-information-cm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nivo/Utilis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nivo/Utilis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nivo/Utilis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nivo/Utilisa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[Utilisation.xlsx]Qtr!PivotTable1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Qtr!$I$1</c:f>
              <c:strCache>
                <c:ptCount val="1"/>
                <c:pt idx="0">
                  <c:v>Prescriptions</c:v>
                </c:pt>
              </c:strCache>
            </c:strRef>
          </c:tx>
          <c:spPr>
            <a:solidFill>
              <a:schemeClr val="accent1"/>
            </a:solidFill>
            <a:ln>
              <a:noFill/>
            </a:ln>
            <a:effectLst/>
          </c:spPr>
          <c:invertIfNegative val="0"/>
          <c:cat>
            <c:strRef>
              <c:f>Qtr!$H$2:$H$12</c:f>
              <c:strCache>
                <c:ptCount val="10"/>
                <c:pt idx="0">
                  <c:v>2022Q4</c:v>
                </c:pt>
                <c:pt idx="1">
                  <c:v>2023Q1</c:v>
                </c:pt>
                <c:pt idx="2">
                  <c:v>2023Q2</c:v>
                </c:pt>
                <c:pt idx="3">
                  <c:v>2023Q3</c:v>
                </c:pt>
                <c:pt idx="4">
                  <c:v>2023Q4</c:v>
                </c:pt>
                <c:pt idx="5">
                  <c:v>2024Q1</c:v>
                </c:pt>
                <c:pt idx="6">
                  <c:v>2024Q2</c:v>
                </c:pt>
                <c:pt idx="7">
                  <c:v>2024Q3</c:v>
                </c:pt>
                <c:pt idx="8">
                  <c:v>2024Q4</c:v>
                </c:pt>
                <c:pt idx="9">
                  <c:v>2025Q1</c:v>
                </c:pt>
              </c:strCache>
            </c:strRef>
          </c:cat>
          <c:val>
            <c:numRef>
              <c:f>Qtr!$I$2:$I$12</c:f>
              <c:numCache>
                <c:formatCode>General</c:formatCode>
                <c:ptCount val="10"/>
                <c:pt idx="0">
                  <c:v>2194</c:v>
                </c:pt>
                <c:pt idx="1">
                  <c:v>2765</c:v>
                </c:pt>
                <c:pt idx="2">
                  <c:v>3418</c:v>
                </c:pt>
                <c:pt idx="3">
                  <c:v>3604</c:v>
                </c:pt>
                <c:pt idx="4">
                  <c:v>3529</c:v>
                </c:pt>
                <c:pt idx="5">
                  <c:v>3781</c:v>
                </c:pt>
                <c:pt idx="6">
                  <c:v>3919</c:v>
                </c:pt>
                <c:pt idx="7">
                  <c:v>4057</c:v>
                </c:pt>
                <c:pt idx="8">
                  <c:v>4008</c:v>
                </c:pt>
                <c:pt idx="9">
                  <c:v>3712</c:v>
                </c:pt>
              </c:numCache>
            </c:numRef>
          </c:val>
          <c:extLst>
            <c:ext xmlns:c16="http://schemas.microsoft.com/office/drawing/2014/chart" uri="{C3380CC4-5D6E-409C-BE32-E72D297353CC}">
              <c16:uniqueId val="{00000000-1614-46EF-A582-635745EC586C}"/>
            </c:ext>
          </c:extLst>
        </c:ser>
        <c:dLbls>
          <c:showLegendKey val="0"/>
          <c:showVal val="0"/>
          <c:showCatName val="0"/>
          <c:showSerName val="0"/>
          <c:showPercent val="0"/>
          <c:showBubbleSize val="0"/>
        </c:dLbls>
        <c:gapWidth val="150"/>
        <c:axId val="289798536"/>
        <c:axId val="289798896"/>
      </c:barChart>
      <c:lineChart>
        <c:grouping val="standard"/>
        <c:varyColors val="0"/>
        <c:ser>
          <c:idx val="1"/>
          <c:order val="1"/>
          <c:tx>
            <c:strRef>
              <c:f>Qtr!$J$1</c:f>
              <c:strCache>
                <c:ptCount val="1"/>
                <c:pt idx="0">
                  <c:v>Prevalent</c:v>
                </c:pt>
              </c:strCache>
            </c:strRef>
          </c:tx>
          <c:spPr>
            <a:ln w="28575" cap="rnd">
              <a:solidFill>
                <a:schemeClr val="accent2"/>
              </a:solidFill>
              <a:round/>
            </a:ln>
            <a:effectLst/>
          </c:spPr>
          <c:marker>
            <c:symbol val="none"/>
          </c:marker>
          <c:cat>
            <c:strRef>
              <c:f>Qtr!$H$2:$H$12</c:f>
              <c:strCache>
                <c:ptCount val="10"/>
                <c:pt idx="0">
                  <c:v>2022Q4</c:v>
                </c:pt>
                <c:pt idx="1">
                  <c:v>2023Q1</c:v>
                </c:pt>
                <c:pt idx="2">
                  <c:v>2023Q2</c:v>
                </c:pt>
                <c:pt idx="3">
                  <c:v>2023Q3</c:v>
                </c:pt>
                <c:pt idx="4">
                  <c:v>2023Q4</c:v>
                </c:pt>
                <c:pt idx="5">
                  <c:v>2024Q1</c:v>
                </c:pt>
                <c:pt idx="6">
                  <c:v>2024Q2</c:v>
                </c:pt>
                <c:pt idx="7">
                  <c:v>2024Q3</c:v>
                </c:pt>
                <c:pt idx="8">
                  <c:v>2024Q4</c:v>
                </c:pt>
                <c:pt idx="9">
                  <c:v>2025Q1</c:v>
                </c:pt>
              </c:strCache>
            </c:strRef>
          </c:cat>
          <c:val>
            <c:numRef>
              <c:f>Qtr!$J$2:$J$12</c:f>
              <c:numCache>
                <c:formatCode>General</c:formatCode>
                <c:ptCount val="10"/>
                <c:pt idx="0">
                  <c:v>589</c:v>
                </c:pt>
                <c:pt idx="1">
                  <c:v>740</c:v>
                </c:pt>
                <c:pt idx="2">
                  <c:v>886</c:v>
                </c:pt>
                <c:pt idx="3">
                  <c:v>904</c:v>
                </c:pt>
                <c:pt idx="4">
                  <c:v>945</c:v>
                </c:pt>
                <c:pt idx="5">
                  <c:v>974</c:v>
                </c:pt>
                <c:pt idx="6">
                  <c:v>1029</c:v>
                </c:pt>
                <c:pt idx="7">
                  <c:v>1052</c:v>
                </c:pt>
                <c:pt idx="8">
                  <c:v>1063</c:v>
                </c:pt>
                <c:pt idx="9">
                  <c:v>1029</c:v>
                </c:pt>
              </c:numCache>
            </c:numRef>
          </c:val>
          <c:smooth val="0"/>
          <c:extLst>
            <c:ext xmlns:c16="http://schemas.microsoft.com/office/drawing/2014/chart" uri="{C3380CC4-5D6E-409C-BE32-E72D297353CC}">
              <c16:uniqueId val="{00000001-1614-46EF-A582-635745EC586C}"/>
            </c:ext>
          </c:extLst>
        </c:ser>
        <c:ser>
          <c:idx val="2"/>
          <c:order val="2"/>
          <c:tx>
            <c:strRef>
              <c:f>Qtr!$K$1</c:f>
              <c:strCache>
                <c:ptCount val="1"/>
                <c:pt idx="0">
                  <c:v>Initiating</c:v>
                </c:pt>
              </c:strCache>
            </c:strRef>
          </c:tx>
          <c:spPr>
            <a:ln w="28575" cap="rnd">
              <a:solidFill>
                <a:schemeClr val="accent3"/>
              </a:solidFill>
              <a:round/>
            </a:ln>
            <a:effectLst/>
          </c:spPr>
          <c:marker>
            <c:symbol val="none"/>
          </c:marker>
          <c:cat>
            <c:strRef>
              <c:f>Qtr!$H$2:$H$12</c:f>
              <c:strCache>
                <c:ptCount val="10"/>
                <c:pt idx="0">
                  <c:v>2022Q4</c:v>
                </c:pt>
                <c:pt idx="1">
                  <c:v>2023Q1</c:v>
                </c:pt>
                <c:pt idx="2">
                  <c:v>2023Q2</c:v>
                </c:pt>
                <c:pt idx="3">
                  <c:v>2023Q3</c:v>
                </c:pt>
                <c:pt idx="4">
                  <c:v>2023Q4</c:v>
                </c:pt>
                <c:pt idx="5">
                  <c:v>2024Q1</c:v>
                </c:pt>
                <c:pt idx="6">
                  <c:v>2024Q2</c:v>
                </c:pt>
                <c:pt idx="7">
                  <c:v>2024Q3</c:v>
                </c:pt>
                <c:pt idx="8">
                  <c:v>2024Q4</c:v>
                </c:pt>
                <c:pt idx="9">
                  <c:v>2025Q1</c:v>
                </c:pt>
              </c:strCache>
            </c:strRef>
          </c:cat>
          <c:val>
            <c:numRef>
              <c:f>Qtr!$K$2:$K$12</c:f>
              <c:numCache>
                <c:formatCode>General</c:formatCode>
                <c:ptCount val="10"/>
                <c:pt idx="0">
                  <c:v>589</c:v>
                </c:pt>
                <c:pt idx="1">
                  <c:v>285</c:v>
                </c:pt>
                <c:pt idx="2">
                  <c:v>344</c:v>
                </c:pt>
                <c:pt idx="3">
                  <c:v>254</c:v>
                </c:pt>
                <c:pt idx="4">
                  <c:v>292</c:v>
                </c:pt>
                <c:pt idx="5">
                  <c:v>280</c:v>
                </c:pt>
                <c:pt idx="6">
                  <c:v>303</c:v>
                </c:pt>
                <c:pt idx="7">
                  <c:v>309</c:v>
                </c:pt>
                <c:pt idx="8">
                  <c:v>303</c:v>
                </c:pt>
                <c:pt idx="9">
                  <c:v>282</c:v>
                </c:pt>
              </c:numCache>
            </c:numRef>
          </c:val>
          <c:smooth val="0"/>
          <c:extLst>
            <c:ext xmlns:c16="http://schemas.microsoft.com/office/drawing/2014/chart" uri="{C3380CC4-5D6E-409C-BE32-E72D297353CC}">
              <c16:uniqueId val="{00000002-1614-46EF-A582-635745EC586C}"/>
            </c:ext>
          </c:extLst>
        </c:ser>
        <c:dLbls>
          <c:showLegendKey val="0"/>
          <c:showVal val="0"/>
          <c:showCatName val="0"/>
          <c:showSerName val="0"/>
          <c:showPercent val="0"/>
          <c:showBubbleSize val="0"/>
        </c:dLbls>
        <c:marker val="1"/>
        <c:smooth val="0"/>
        <c:axId val="279067880"/>
        <c:axId val="279068960"/>
      </c:lineChart>
      <c:catAx>
        <c:axId val="279067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068960"/>
        <c:crosses val="autoZero"/>
        <c:auto val="1"/>
        <c:lblAlgn val="ctr"/>
        <c:lblOffset val="100"/>
        <c:noMultiLvlLbl val="0"/>
      </c:catAx>
      <c:valAx>
        <c:axId val="279068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r>
                  <a:rPr lang="en-AU" baseline="0"/>
                  <a:t>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067880"/>
        <c:crosses val="autoZero"/>
        <c:crossBetween val="between"/>
      </c:valAx>
      <c:valAx>
        <c:axId val="2897988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798536"/>
        <c:crosses val="max"/>
        <c:crossBetween val="between"/>
      </c:valAx>
      <c:catAx>
        <c:axId val="289798536"/>
        <c:scaling>
          <c:orientation val="minMax"/>
        </c:scaling>
        <c:delete val="1"/>
        <c:axPos val="b"/>
        <c:numFmt formatCode="General" sourceLinked="1"/>
        <c:majorTickMark val="out"/>
        <c:minorTickMark val="none"/>
        <c:tickLblPos val="nextTo"/>
        <c:crossAx val="2897988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[Utilisation.xlsx]Initiators!PivotTable2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Initiators!$J$3:$J$4</c:f>
              <c:strCache>
                <c:ptCount val="1"/>
                <c:pt idx="0">
                  <c:v>Female</c:v>
                </c:pt>
              </c:strCache>
            </c:strRef>
          </c:tx>
          <c:spPr>
            <a:solidFill>
              <a:schemeClr val="accent1"/>
            </a:solidFill>
            <a:ln>
              <a:noFill/>
            </a:ln>
            <a:effectLst/>
          </c:spPr>
          <c:invertIfNegative val="0"/>
          <c:cat>
            <c:strRef>
              <c:f>Initiators!$I$5:$I$17</c:f>
              <c:strCache>
                <c:ptCount val="12"/>
                <c:pt idx="0">
                  <c:v>15-34 yrs</c:v>
                </c:pt>
                <c:pt idx="1">
                  <c:v>35-39 yrs</c:v>
                </c:pt>
                <c:pt idx="2">
                  <c:v>40-44 yrs</c:v>
                </c:pt>
                <c:pt idx="3">
                  <c:v>45-49 yrs</c:v>
                </c:pt>
                <c:pt idx="4">
                  <c:v>50-54 yrs</c:v>
                </c:pt>
                <c:pt idx="5">
                  <c:v>55-59 yrs</c:v>
                </c:pt>
                <c:pt idx="6">
                  <c:v>60-64 yrs</c:v>
                </c:pt>
                <c:pt idx="7">
                  <c:v>65-69 yrs</c:v>
                </c:pt>
                <c:pt idx="8">
                  <c:v>70-74 yrs</c:v>
                </c:pt>
                <c:pt idx="9">
                  <c:v>75-79 yrs</c:v>
                </c:pt>
                <c:pt idx="10">
                  <c:v>80-84 yrs</c:v>
                </c:pt>
                <c:pt idx="11">
                  <c:v>85+ yrs</c:v>
                </c:pt>
              </c:strCache>
            </c:strRef>
          </c:cat>
          <c:val>
            <c:numRef>
              <c:f>Initiators!$J$5:$J$17</c:f>
              <c:numCache>
                <c:formatCode>General</c:formatCode>
                <c:ptCount val="12"/>
                <c:pt idx="0">
                  <c:v>11</c:v>
                </c:pt>
                <c:pt idx="1">
                  <c:v>25</c:v>
                </c:pt>
                <c:pt idx="2">
                  <c:v>24</c:v>
                </c:pt>
                <c:pt idx="3">
                  <c:v>38</c:v>
                </c:pt>
                <c:pt idx="4">
                  <c:v>68</c:v>
                </c:pt>
                <c:pt idx="5">
                  <c:v>81</c:v>
                </c:pt>
                <c:pt idx="6">
                  <c:v>136</c:v>
                </c:pt>
                <c:pt idx="7">
                  <c:v>155</c:v>
                </c:pt>
                <c:pt idx="8">
                  <c:v>142</c:v>
                </c:pt>
                <c:pt idx="9">
                  <c:v>124</c:v>
                </c:pt>
                <c:pt idx="10">
                  <c:v>84</c:v>
                </c:pt>
                <c:pt idx="11">
                  <c:v>26</c:v>
                </c:pt>
              </c:numCache>
            </c:numRef>
          </c:val>
          <c:extLst>
            <c:ext xmlns:c16="http://schemas.microsoft.com/office/drawing/2014/chart" uri="{C3380CC4-5D6E-409C-BE32-E72D297353CC}">
              <c16:uniqueId val="{00000000-51B8-4405-976C-C3B070978EDC}"/>
            </c:ext>
          </c:extLst>
        </c:ser>
        <c:ser>
          <c:idx val="1"/>
          <c:order val="1"/>
          <c:tx>
            <c:strRef>
              <c:f>Initiators!$K$3:$K$4</c:f>
              <c:strCache>
                <c:ptCount val="1"/>
                <c:pt idx="0">
                  <c:v>Male</c:v>
                </c:pt>
              </c:strCache>
            </c:strRef>
          </c:tx>
          <c:spPr>
            <a:solidFill>
              <a:schemeClr val="accent2"/>
            </a:solidFill>
            <a:ln>
              <a:noFill/>
            </a:ln>
            <a:effectLst/>
          </c:spPr>
          <c:invertIfNegative val="0"/>
          <c:cat>
            <c:strRef>
              <c:f>Initiators!$I$5:$I$17</c:f>
              <c:strCache>
                <c:ptCount val="12"/>
                <c:pt idx="0">
                  <c:v>15-34 yrs</c:v>
                </c:pt>
                <c:pt idx="1">
                  <c:v>35-39 yrs</c:v>
                </c:pt>
                <c:pt idx="2">
                  <c:v>40-44 yrs</c:v>
                </c:pt>
                <c:pt idx="3">
                  <c:v>45-49 yrs</c:v>
                </c:pt>
                <c:pt idx="4">
                  <c:v>50-54 yrs</c:v>
                </c:pt>
                <c:pt idx="5">
                  <c:v>55-59 yrs</c:v>
                </c:pt>
                <c:pt idx="6">
                  <c:v>60-64 yrs</c:v>
                </c:pt>
                <c:pt idx="7">
                  <c:v>65-69 yrs</c:v>
                </c:pt>
                <c:pt idx="8">
                  <c:v>70-74 yrs</c:v>
                </c:pt>
                <c:pt idx="9">
                  <c:v>75-79 yrs</c:v>
                </c:pt>
                <c:pt idx="10">
                  <c:v>80-84 yrs</c:v>
                </c:pt>
                <c:pt idx="11">
                  <c:v>85+ yrs</c:v>
                </c:pt>
              </c:strCache>
            </c:strRef>
          </c:cat>
          <c:val>
            <c:numRef>
              <c:f>Initiators!$K$5:$K$17</c:f>
              <c:numCache>
                <c:formatCode>General</c:formatCode>
                <c:ptCount val="12"/>
                <c:pt idx="0">
                  <c:v>18</c:v>
                </c:pt>
                <c:pt idx="1">
                  <c:v>18</c:v>
                </c:pt>
                <c:pt idx="2">
                  <c:v>48</c:v>
                </c:pt>
                <c:pt idx="3">
                  <c:v>78</c:v>
                </c:pt>
                <c:pt idx="4">
                  <c:v>154</c:v>
                </c:pt>
                <c:pt idx="5">
                  <c:v>236</c:v>
                </c:pt>
                <c:pt idx="6">
                  <c:v>339</c:v>
                </c:pt>
                <c:pt idx="7">
                  <c:v>441</c:v>
                </c:pt>
                <c:pt idx="8">
                  <c:v>436</c:v>
                </c:pt>
                <c:pt idx="9">
                  <c:v>357</c:v>
                </c:pt>
                <c:pt idx="10">
                  <c:v>186</c:v>
                </c:pt>
                <c:pt idx="11">
                  <c:v>76</c:v>
                </c:pt>
              </c:numCache>
            </c:numRef>
          </c:val>
          <c:extLst>
            <c:ext xmlns:c16="http://schemas.microsoft.com/office/drawing/2014/chart" uri="{C3380CC4-5D6E-409C-BE32-E72D297353CC}">
              <c16:uniqueId val="{00000001-51B8-4405-976C-C3B070978EDC}"/>
            </c:ext>
          </c:extLst>
        </c:ser>
        <c:dLbls>
          <c:showLegendKey val="0"/>
          <c:showVal val="0"/>
          <c:showCatName val="0"/>
          <c:showSerName val="0"/>
          <c:showPercent val="0"/>
          <c:showBubbleSize val="0"/>
        </c:dLbls>
        <c:gapWidth val="219"/>
        <c:overlap val="-27"/>
        <c:axId val="570516592"/>
        <c:axId val="570516952"/>
      </c:barChart>
      <c:catAx>
        <c:axId val="57051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516952"/>
        <c:crosses val="autoZero"/>
        <c:auto val="1"/>
        <c:lblAlgn val="ctr"/>
        <c:lblOffset val="100"/>
        <c:noMultiLvlLbl val="0"/>
      </c:catAx>
      <c:valAx>
        <c:axId val="570516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516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[Utilisation.xlsx]Market Data!PivotTable3</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'Market Data'!$J$1:$J$2</c:f>
              <c:strCache>
                <c:ptCount val="1"/>
                <c:pt idx="0">
                  <c:v>Trifluridine + Tipiracil</c:v>
                </c:pt>
              </c:strCache>
            </c:strRef>
          </c:tx>
          <c:spPr>
            <a:ln w="28575" cap="rnd">
              <a:solidFill>
                <a:schemeClr val="accent1"/>
              </a:solidFill>
              <a:round/>
            </a:ln>
            <a:effectLst/>
          </c:spPr>
          <c:marker>
            <c:symbol val="none"/>
          </c:marker>
          <c:cat>
            <c:strRef>
              <c:f>'Market Data'!$I$3:$I$12</c:f>
              <c:strCache>
                <c:ptCount val="9"/>
                <c:pt idx="0">
                  <c:v>2016</c:v>
                </c:pt>
                <c:pt idx="1">
                  <c:v>2017</c:v>
                </c:pt>
                <c:pt idx="2">
                  <c:v>2018</c:v>
                </c:pt>
                <c:pt idx="3">
                  <c:v>2019</c:v>
                </c:pt>
                <c:pt idx="4">
                  <c:v>2020</c:v>
                </c:pt>
                <c:pt idx="5">
                  <c:v>2021</c:v>
                </c:pt>
                <c:pt idx="6">
                  <c:v>2022</c:v>
                </c:pt>
                <c:pt idx="7">
                  <c:v>2023</c:v>
                </c:pt>
                <c:pt idx="8">
                  <c:v>2024</c:v>
                </c:pt>
              </c:strCache>
            </c:strRef>
          </c:cat>
          <c:val>
            <c:numRef>
              <c:f>'Market Data'!$J$3:$J$12</c:f>
              <c:numCache>
                <c:formatCode>General</c:formatCode>
                <c:ptCount val="9"/>
                <c:pt idx="2">
                  <c:v>153</c:v>
                </c:pt>
                <c:pt idx="3">
                  <c:v>931</c:v>
                </c:pt>
                <c:pt idx="4">
                  <c:v>940</c:v>
                </c:pt>
                <c:pt idx="5">
                  <c:v>870</c:v>
                </c:pt>
                <c:pt idx="6">
                  <c:v>745</c:v>
                </c:pt>
                <c:pt idx="7">
                  <c:v>803</c:v>
                </c:pt>
                <c:pt idx="8">
                  <c:v>912</c:v>
                </c:pt>
              </c:numCache>
            </c:numRef>
          </c:val>
          <c:smooth val="0"/>
          <c:extLst>
            <c:ext xmlns:c16="http://schemas.microsoft.com/office/drawing/2014/chart" uri="{C3380CC4-5D6E-409C-BE32-E72D297353CC}">
              <c16:uniqueId val="{00000000-E657-44C4-BAE6-D6BA3326D408}"/>
            </c:ext>
          </c:extLst>
        </c:ser>
        <c:ser>
          <c:idx val="1"/>
          <c:order val="1"/>
          <c:tx>
            <c:strRef>
              <c:f>'Market Data'!$K$1:$K$2</c:f>
              <c:strCache>
                <c:ptCount val="1"/>
                <c:pt idx="0">
                  <c:v>Nivo</c:v>
                </c:pt>
              </c:strCache>
            </c:strRef>
          </c:tx>
          <c:spPr>
            <a:ln w="28575" cap="rnd">
              <a:solidFill>
                <a:schemeClr val="accent2"/>
              </a:solidFill>
              <a:round/>
            </a:ln>
            <a:effectLst/>
          </c:spPr>
          <c:marker>
            <c:symbol val="none"/>
          </c:marker>
          <c:cat>
            <c:strRef>
              <c:f>'Market Data'!$I$3:$I$12</c:f>
              <c:strCache>
                <c:ptCount val="9"/>
                <c:pt idx="0">
                  <c:v>2016</c:v>
                </c:pt>
                <c:pt idx="1">
                  <c:v>2017</c:v>
                </c:pt>
                <c:pt idx="2">
                  <c:v>2018</c:v>
                </c:pt>
                <c:pt idx="3">
                  <c:v>2019</c:v>
                </c:pt>
                <c:pt idx="4">
                  <c:v>2020</c:v>
                </c:pt>
                <c:pt idx="5">
                  <c:v>2021</c:v>
                </c:pt>
                <c:pt idx="6">
                  <c:v>2022</c:v>
                </c:pt>
                <c:pt idx="7">
                  <c:v>2023</c:v>
                </c:pt>
                <c:pt idx="8">
                  <c:v>2024</c:v>
                </c:pt>
              </c:strCache>
            </c:strRef>
          </c:cat>
          <c:val>
            <c:numRef>
              <c:f>'Market Data'!$K$3:$K$12</c:f>
              <c:numCache>
                <c:formatCode>General</c:formatCode>
                <c:ptCount val="9"/>
                <c:pt idx="6">
                  <c:v>589</c:v>
                </c:pt>
                <c:pt idx="7">
                  <c:v>1635</c:v>
                </c:pt>
                <c:pt idx="8">
                  <c:v>1909</c:v>
                </c:pt>
              </c:numCache>
            </c:numRef>
          </c:val>
          <c:smooth val="0"/>
          <c:extLst>
            <c:ext xmlns:c16="http://schemas.microsoft.com/office/drawing/2014/chart" uri="{C3380CC4-5D6E-409C-BE32-E72D297353CC}">
              <c16:uniqueId val="{00000001-E657-44C4-BAE6-D6BA3326D408}"/>
            </c:ext>
          </c:extLst>
        </c:ser>
        <c:ser>
          <c:idx val="2"/>
          <c:order val="2"/>
          <c:tx>
            <c:strRef>
              <c:f>'Market Data'!$L$1:$L$2</c:f>
              <c:strCache>
                <c:ptCount val="1"/>
                <c:pt idx="0">
                  <c:v>Trastuzumab</c:v>
                </c:pt>
              </c:strCache>
            </c:strRef>
          </c:tx>
          <c:spPr>
            <a:ln w="28575" cap="rnd">
              <a:solidFill>
                <a:schemeClr val="accent3"/>
              </a:solidFill>
              <a:round/>
            </a:ln>
            <a:effectLst/>
          </c:spPr>
          <c:marker>
            <c:symbol val="none"/>
          </c:marker>
          <c:cat>
            <c:strRef>
              <c:f>'Market Data'!$I$3:$I$12</c:f>
              <c:strCache>
                <c:ptCount val="9"/>
                <c:pt idx="0">
                  <c:v>2016</c:v>
                </c:pt>
                <c:pt idx="1">
                  <c:v>2017</c:v>
                </c:pt>
                <c:pt idx="2">
                  <c:v>2018</c:v>
                </c:pt>
                <c:pt idx="3">
                  <c:v>2019</c:v>
                </c:pt>
                <c:pt idx="4">
                  <c:v>2020</c:v>
                </c:pt>
                <c:pt idx="5">
                  <c:v>2021</c:v>
                </c:pt>
                <c:pt idx="6">
                  <c:v>2022</c:v>
                </c:pt>
                <c:pt idx="7">
                  <c:v>2023</c:v>
                </c:pt>
                <c:pt idx="8">
                  <c:v>2024</c:v>
                </c:pt>
              </c:strCache>
            </c:strRef>
          </c:cat>
          <c:val>
            <c:numRef>
              <c:f>'Market Data'!$L$3:$L$12</c:f>
              <c:numCache>
                <c:formatCode>General</c:formatCode>
                <c:ptCount val="9"/>
                <c:pt idx="0">
                  <c:v>162</c:v>
                </c:pt>
                <c:pt idx="1">
                  <c:v>301</c:v>
                </c:pt>
                <c:pt idx="2">
                  <c:v>308</c:v>
                </c:pt>
                <c:pt idx="3">
                  <c:v>377</c:v>
                </c:pt>
                <c:pt idx="4">
                  <c:v>378</c:v>
                </c:pt>
                <c:pt idx="5">
                  <c:v>360</c:v>
                </c:pt>
                <c:pt idx="6">
                  <c:v>366</c:v>
                </c:pt>
                <c:pt idx="7">
                  <c:v>389</c:v>
                </c:pt>
                <c:pt idx="8">
                  <c:v>389</c:v>
                </c:pt>
              </c:numCache>
            </c:numRef>
          </c:val>
          <c:smooth val="0"/>
          <c:extLst>
            <c:ext xmlns:c16="http://schemas.microsoft.com/office/drawing/2014/chart" uri="{C3380CC4-5D6E-409C-BE32-E72D297353CC}">
              <c16:uniqueId val="{00000002-E657-44C4-BAE6-D6BA3326D408}"/>
            </c:ext>
          </c:extLst>
        </c:ser>
        <c:ser>
          <c:idx val="3"/>
          <c:order val="3"/>
          <c:tx>
            <c:strRef>
              <c:f>'Market Data'!$M$1:$M$2</c:f>
              <c:strCache>
                <c:ptCount val="1"/>
                <c:pt idx="0">
                  <c:v>Adjuvant Nivo</c:v>
                </c:pt>
              </c:strCache>
            </c:strRef>
          </c:tx>
          <c:spPr>
            <a:ln w="28575" cap="rnd">
              <a:solidFill>
                <a:schemeClr val="accent4"/>
              </a:solidFill>
              <a:round/>
            </a:ln>
            <a:effectLst/>
          </c:spPr>
          <c:marker>
            <c:symbol val="none"/>
          </c:marker>
          <c:cat>
            <c:strRef>
              <c:f>'Market Data'!$I$3:$I$12</c:f>
              <c:strCache>
                <c:ptCount val="9"/>
                <c:pt idx="0">
                  <c:v>2016</c:v>
                </c:pt>
                <c:pt idx="1">
                  <c:v>2017</c:v>
                </c:pt>
                <c:pt idx="2">
                  <c:v>2018</c:v>
                </c:pt>
                <c:pt idx="3">
                  <c:v>2019</c:v>
                </c:pt>
                <c:pt idx="4">
                  <c:v>2020</c:v>
                </c:pt>
                <c:pt idx="5">
                  <c:v>2021</c:v>
                </c:pt>
                <c:pt idx="6">
                  <c:v>2022</c:v>
                </c:pt>
                <c:pt idx="7">
                  <c:v>2023</c:v>
                </c:pt>
                <c:pt idx="8">
                  <c:v>2024</c:v>
                </c:pt>
              </c:strCache>
            </c:strRef>
          </c:cat>
          <c:val>
            <c:numRef>
              <c:f>'Market Data'!$M$3:$M$12</c:f>
              <c:numCache>
                <c:formatCode>General</c:formatCode>
                <c:ptCount val="9"/>
                <c:pt idx="7">
                  <c:v>172</c:v>
                </c:pt>
                <c:pt idx="8">
                  <c:v>227</c:v>
                </c:pt>
              </c:numCache>
            </c:numRef>
          </c:val>
          <c:smooth val="0"/>
          <c:extLst>
            <c:ext xmlns:c16="http://schemas.microsoft.com/office/drawing/2014/chart" uri="{C3380CC4-5D6E-409C-BE32-E72D297353CC}">
              <c16:uniqueId val="{00000003-E657-44C4-BAE6-D6BA3326D408}"/>
            </c:ext>
          </c:extLst>
        </c:ser>
        <c:dLbls>
          <c:showLegendKey val="0"/>
          <c:showVal val="0"/>
          <c:showCatName val="0"/>
          <c:showSerName val="0"/>
          <c:showPercent val="0"/>
          <c:showBubbleSize val="0"/>
        </c:dLbls>
        <c:smooth val="0"/>
        <c:axId val="289790616"/>
        <c:axId val="289797456"/>
      </c:lineChart>
      <c:catAx>
        <c:axId val="289790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797456"/>
        <c:crosses val="autoZero"/>
        <c:auto val="1"/>
        <c:lblAlgn val="ctr"/>
        <c:lblOffset val="100"/>
        <c:noMultiLvlLbl val="0"/>
      </c:catAx>
      <c:valAx>
        <c:axId val="289797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Prevalent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790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[Utilisation.xlsx]Market Data!PivotTable4</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'Market Data'!$J$34:$J$35</c:f>
              <c:strCache>
                <c:ptCount val="1"/>
                <c:pt idx="0">
                  <c:v>Nivo</c:v>
                </c:pt>
              </c:strCache>
            </c:strRef>
          </c:tx>
          <c:spPr>
            <a:ln w="28575" cap="rnd">
              <a:solidFill>
                <a:schemeClr val="accent1"/>
              </a:solidFill>
              <a:round/>
            </a:ln>
            <a:effectLst/>
          </c:spPr>
          <c:marker>
            <c:symbol val="none"/>
          </c:marker>
          <c:cat>
            <c:strRef>
              <c:f>'Market Data'!$I$36:$I$45</c:f>
              <c:strCache>
                <c:ptCount val="9"/>
                <c:pt idx="0">
                  <c:v>2016</c:v>
                </c:pt>
                <c:pt idx="1">
                  <c:v>2017</c:v>
                </c:pt>
                <c:pt idx="2">
                  <c:v>2018</c:v>
                </c:pt>
                <c:pt idx="3">
                  <c:v>2019</c:v>
                </c:pt>
                <c:pt idx="4">
                  <c:v>2020</c:v>
                </c:pt>
                <c:pt idx="5">
                  <c:v>2021</c:v>
                </c:pt>
                <c:pt idx="6">
                  <c:v>2022</c:v>
                </c:pt>
                <c:pt idx="7">
                  <c:v>2023</c:v>
                </c:pt>
                <c:pt idx="8">
                  <c:v>2024</c:v>
                </c:pt>
              </c:strCache>
            </c:strRef>
          </c:cat>
          <c:val>
            <c:numRef>
              <c:f>'Market Data'!$J$36:$J$45</c:f>
              <c:numCache>
                <c:formatCode>General</c:formatCode>
                <c:ptCount val="9"/>
                <c:pt idx="6" formatCode="&quot;$&quot;#,##0_);[Red]\(&quot;$&quot;#,##0\)">
                  <c:v>11933841</c:v>
                </c:pt>
                <c:pt idx="7" formatCode="&quot;$&quot;#,##0_);[Red]\(&quot;$&quot;#,##0\)">
                  <c:v>74792374</c:v>
                </c:pt>
                <c:pt idx="8" formatCode="&quot;$&quot;#,##0_);[Red]\(&quot;$&quot;#,##0\)">
                  <c:v>90537115</c:v>
                </c:pt>
              </c:numCache>
            </c:numRef>
          </c:val>
          <c:smooth val="0"/>
          <c:extLst>
            <c:ext xmlns:c16="http://schemas.microsoft.com/office/drawing/2014/chart" uri="{C3380CC4-5D6E-409C-BE32-E72D297353CC}">
              <c16:uniqueId val="{00000000-5054-4C65-B951-0E6664B3B03D}"/>
            </c:ext>
          </c:extLst>
        </c:ser>
        <c:ser>
          <c:idx val="1"/>
          <c:order val="1"/>
          <c:tx>
            <c:strRef>
              <c:f>'Market Data'!$K$34:$K$35</c:f>
              <c:strCache>
                <c:ptCount val="1"/>
                <c:pt idx="0">
                  <c:v>Trifluridine + Tipiracil</c:v>
                </c:pt>
              </c:strCache>
            </c:strRef>
          </c:tx>
          <c:spPr>
            <a:ln w="28575" cap="rnd">
              <a:solidFill>
                <a:schemeClr val="accent2"/>
              </a:solidFill>
              <a:round/>
            </a:ln>
            <a:effectLst/>
          </c:spPr>
          <c:marker>
            <c:symbol val="none"/>
          </c:marker>
          <c:cat>
            <c:strRef>
              <c:f>'Market Data'!$I$36:$I$45</c:f>
              <c:strCache>
                <c:ptCount val="9"/>
                <c:pt idx="0">
                  <c:v>2016</c:v>
                </c:pt>
                <c:pt idx="1">
                  <c:v>2017</c:v>
                </c:pt>
                <c:pt idx="2">
                  <c:v>2018</c:v>
                </c:pt>
                <c:pt idx="3">
                  <c:v>2019</c:v>
                </c:pt>
                <c:pt idx="4">
                  <c:v>2020</c:v>
                </c:pt>
                <c:pt idx="5">
                  <c:v>2021</c:v>
                </c:pt>
                <c:pt idx="6">
                  <c:v>2022</c:v>
                </c:pt>
                <c:pt idx="7">
                  <c:v>2023</c:v>
                </c:pt>
                <c:pt idx="8">
                  <c:v>2024</c:v>
                </c:pt>
              </c:strCache>
            </c:strRef>
          </c:cat>
          <c:val>
            <c:numRef>
              <c:f>'Market Data'!$K$36:$K$45</c:f>
              <c:numCache>
                <c:formatCode>General</c:formatCode>
                <c:ptCount val="9"/>
                <c:pt idx="2" formatCode="&quot;$&quot;#,##0_);[Red]\(&quot;$&quot;#,##0\)">
                  <c:v>752394</c:v>
                </c:pt>
                <c:pt idx="3" formatCode="&quot;$&quot;#,##0_);[Red]\(&quot;$&quot;#,##0\)">
                  <c:v>9338886</c:v>
                </c:pt>
                <c:pt idx="4" formatCode="&quot;$&quot;#,##0_);[Red]\(&quot;$&quot;#,##0\)">
                  <c:v>9193681</c:v>
                </c:pt>
                <c:pt idx="5" formatCode="&quot;$&quot;#,##0_);[Red]\(&quot;$&quot;#,##0\)">
                  <c:v>8130639</c:v>
                </c:pt>
                <c:pt idx="6" formatCode="&quot;$&quot;#,##0_);[Red]\(&quot;$&quot;#,##0\)">
                  <c:v>6387678</c:v>
                </c:pt>
                <c:pt idx="7" formatCode="&quot;$&quot;#,##0_);[Red]\(&quot;$&quot;#,##0\)">
                  <c:v>7923516</c:v>
                </c:pt>
                <c:pt idx="8" formatCode="&quot;$&quot;#,##0_);[Red]\(&quot;$&quot;#,##0\)">
                  <c:v>9053025</c:v>
                </c:pt>
              </c:numCache>
            </c:numRef>
          </c:val>
          <c:smooth val="0"/>
          <c:extLst>
            <c:ext xmlns:c16="http://schemas.microsoft.com/office/drawing/2014/chart" uri="{C3380CC4-5D6E-409C-BE32-E72D297353CC}">
              <c16:uniqueId val="{00000001-5054-4C65-B951-0E6664B3B03D}"/>
            </c:ext>
          </c:extLst>
        </c:ser>
        <c:ser>
          <c:idx val="2"/>
          <c:order val="2"/>
          <c:tx>
            <c:strRef>
              <c:f>'Market Data'!$L$34:$L$35</c:f>
              <c:strCache>
                <c:ptCount val="1"/>
                <c:pt idx="0">
                  <c:v>Trastuzumab</c:v>
                </c:pt>
              </c:strCache>
            </c:strRef>
          </c:tx>
          <c:spPr>
            <a:ln w="28575" cap="rnd">
              <a:solidFill>
                <a:schemeClr val="accent3"/>
              </a:solidFill>
              <a:round/>
            </a:ln>
            <a:effectLst/>
          </c:spPr>
          <c:marker>
            <c:symbol val="none"/>
          </c:marker>
          <c:cat>
            <c:strRef>
              <c:f>'Market Data'!$I$36:$I$45</c:f>
              <c:strCache>
                <c:ptCount val="9"/>
                <c:pt idx="0">
                  <c:v>2016</c:v>
                </c:pt>
                <c:pt idx="1">
                  <c:v>2017</c:v>
                </c:pt>
                <c:pt idx="2">
                  <c:v>2018</c:v>
                </c:pt>
                <c:pt idx="3">
                  <c:v>2019</c:v>
                </c:pt>
                <c:pt idx="4">
                  <c:v>2020</c:v>
                </c:pt>
                <c:pt idx="5">
                  <c:v>2021</c:v>
                </c:pt>
                <c:pt idx="6">
                  <c:v>2022</c:v>
                </c:pt>
                <c:pt idx="7">
                  <c:v>2023</c:v>
                </c:pt>
                <c:pt idx="8">
                  <c:v>2024</c:v>
                </c:pt>
              </c:strCache>
            </c:strRef>
          </c:cat>
          <c:val>
            <c:numRef>
              <c:f>'Market Data'!$L$36:$L$45</c:f>
              <c:numCache>
                <c:formatCode>"$"#,##0_);[Red]\("$"#,##0\)</c:formatCode>
                <c:ptCount val="9"/>
                <c:pt idx="0">
                  <c:v>2145589</c:v>
                </c:pt>
                <c:pt idx="1">
                  <c:v>4686060</c:v>
                </c:pt>
                <c:pt idx="2">
                  <c:v>4792503</c:v>
                </c:pt>
                <c:pt idx="3">
                  <c:v>4450826</c:v>
                </c:pt>
                <c:pt idx="4">
                  <c:v>4703171</c:v>
                </c:pt>
                <c:pt idx="5">
                  <c:v>3518209</c:v>
                </c:pt>
                <c:pt idx="6">
                  <c:v>2548205</c:v>
                </c:pt>
                <c:pt idx="7">
                  <c:v>1660655</c:v>
                </c:pt>
                <c:pt idx="8">
                  <c:v>1501853</c:v>
                </c:pt>
              </c:numCache>
            </c:numRef>
          </c:val>
          <c:smooth val="0"/>
          <c:extLst>
            <c:ext xmlns:c16="http://schemas.microsoft.com/office/drawing/2014/chart" uri="{C3380CC4-5D6E-409C-BE32-E72D297353CC}">
              <c16:uniqueId val="{00000002-5054-4C65-B951-0E6664B3B03D}"/>
            </c:ext>
          </c:extLst>
        </c:ser>
        <c:ser>
          <c:idx val="3"/>
          <c:order val="3"/>
          <c:tx>
            <c:strRef>
              <c:f>'Market Data'!$M$34:$M$35</c:f>
              <c:strCache>
                <c:ptCount val="1"/>
                <c:pt idx="0">
                  <c:v>Adjuvant Nivo</c:v>
                </c:pt>
              </c:strCache>
            </c:strRef>
          </c:tx>
          <c:spPr>
            <a:ln w="28575" cap="rnd">
              <a:solidFill>
                <a:schemeClr val="accent4"/>
              </a:solidFill>
              <a:round/>
            </a:ln>
            <a:effectLst/>
          </c:spPr>
          <c:marker>
            <c:symbol val="none"/>
          </c:marker>
          <c:cat>
            <c:strRef>
              <c:f>'Market Data'!$I$36:$I$45</c:f>
              <c:strCache>
                <c:ptCount val="9"/>
                <c:pt idx="0">
                  <c:v>2016</c:v>
                </c:pt>
                <c:pt idx="1">
                  <c:v>2017</c:v>
                </c:pt>
                <c:pt idx="2">
                  <c:v>2018</c:v>
                </c:pt>
                <c:pt idx="3">
                  <c:v>2019</c:v>
                </c:pt>
                <c:pt idx="4">
                  <c:v>2020</c:v>
                </c:pt>
                <c:pt idx="5">
                  <c:v>2021</c:v>
                </c:pt>
                <c:pt idx="6">
                  <c:v>2022</c:v>
                </c:pt>
                <c:pt idx="7">
                  <c:v>2023</c:v>
                </c:pt>
                <c:pt idx="8">
                  <c:v>2024</c:v>
                </c:pt>
              </c:strCache>
            </c:strRef>
          </c:cat>
          <c:val>
            <c:numRef>
              <c:f>'Market Data'!$M$36:$M$45</c:f>
              <c:numCache>
                <c:formatCode>General</c:formatCode>
                <c:ptCount val="9"/>
                <c:pt idx="7" formatCode="&quot;$&quot;#,##0_);[Red]\(&quot;$&quot;#,##0\)">
                  <c:v>6619968</c:v>
                </c:pt>
                <c:pt idx="8" formatCode="&quot;$&quot;#,##0_);[Red]\(&quot;$&quot;#,##0\)">
                  <c:v>13244560</c:v>
                </c:pt>
              </c:numCache>
            </c:numRef>
          </c:val>
          <c:smooth val="0"/>
          <c:extLst>
            <c:ext xmlns:c16="http://schemas.microsoft.com/office/drawing/2014/chart" uri="{C3380CC4-5D6E-409C-BE32-E72D297353CC}">
              <c16:uniqueId val="{00000003-5054-4C65-B951-0E6664B3B03D}"/>
            </c:ext>
          </c:extLst>
        </c:ser>
        <c:dLbls>
          <c:showLegendKey val="0"/>
          <c:showVal val="0"/>
          <c:showCatName val="0"/>
          <c:showSerName val="0"/>
          <c:showPercent val="0"/>
          <c:showBubbleSize val="0"/>
        </c:dLbls>
        <c:smooth val="0"/>
        <c:axId val="750125984"/>
        <c:axId val="750116264"/>
      </c:lineChart>
      <c:catAx>
        <c:axId val="75012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116264"/>
        <c:crosses val="autoZero"/>
        <c:auto val="1"/>
        <c:lblAlgn val="ctr"/>
        <c:lblOffset val="100"/>
        <c:noMultiLvlLbl val="0"/>
      </c:catAx>
      <c:valAx>
        <c:axId val="750116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Benefits</a:t>
                </a:r>
                <a:r>
                  <a:rPr lang="en-AU" baseline="0"/>
                  <a:t> paid ($AUD)</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1259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C7D5-2812-4468-845C-9B0BCE8A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3313</Words>
  <Characters>18789</Characters>
  <Application>Microsoft Office Word</Application>
  <DocSecurity>0</DocSecurity>
  <Lines>507</Lines>
  <Paragraphs>276</Paragraphs>
  <ScaleCrop>false</ScaleCrop>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2025-11-12T23:35:00Z</dcterms:created>
  <dcterms:modified xsi:type="dcterms:W3CDTF">2025-11-12T23:36:00Z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756a448,2bfd18f4,6674d19a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4027e522,13e28c23,67628755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2025-11-12T23:36:05Z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f1471d64-2377-4fd7-be0d-21816bff9560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