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3C130" w14:textId="3990E1DF" w:rsidR="00832324" w:rsidRDefault="00307190" w:rsidP="00F73113">
      <w:pPr>
        <w:pStyle w:val="Title"/>
      </w:pPr>
      <w:r>
        <w:t xml:space="preserve">Utilisation analysis of </w:t>
      </w:r>
      <w:proofErr w:type="spellStart"/>
      <w:r>
        <w:t>c</w:t>
      </w:r>
      <w:r w:rsidR="006462DA">
        <w:t>emiplimab</w:t>
      </w:r>
      <w:proofErr w:type="spellEnd"/>
      <w:r>
        <w:t xml:space="preserve"> for </w:t>
      </w:r>
      <w:r w:rsidR="00E80B27">
        <w:t>m</w:t>
      </w:r>
      <w:r w:rsidR="00E80B27" w:rsidRPr="00E80B27">
        <w:t xml:space="preserve">etastatic or locally advanced </w:t>
      </w:r>
      <w:r w:rsidR="00C2432F">
        <w:t xml:space="preserve">cutaneous squamous cell carcinoma </w:t>
      </w:r>
      <w:r w:rsidR="001C4016">
        <w:t xml:space="preserve"> </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0A7A6050" w:rsidR="009053D3" w:rsidRPr="00F73113" w:rsidRDefault="00C2432F" w:rsidP="00F73113">
      <w:pPr>
        <w:pStyle w:val="Meetingdate"/>
      </w:pPr>
      <w:r>
        <w:t>June 2025</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00122568" w14:textId="000CDD14" w:rsidR="00BA122C" w:rsidRDefault="00BA122C" w:rsidP="00BA122C">
      <w:r w:rsidRPr="00A93B7A">
        <w:t xml:space="preserve">To review the utilisation of </w:t>
      </w:r>
      <w:proofErr w:type="spellStart"/>
      <w:r w:rsidRPr="00A93B7A">
        <w:t>cemiplimab</w:t>
      </w:r>
      <w:proofErr w:type="spellEnd"/>
      <w:r w:rsidRPr="00A93B7A">
        <w:t xml:space="preserve"> </w:t>
      </w:r>
      <w:r w:rsidR="008D23A4">
        <w:t>Pharmaceutical Benefits Scheme (</w:t>
      </w:r>
      <w:r w:rsidRPr="00A93B7A">
        <w:t>PBS</w:t>
      </w:r>
      <w:r w:rsidR="008D23A4">
        <w:t>)</w:t>
      </w:r>
      <w:r w:rsidRPr="00A93B7A">
        <w:t xml:space="preserve"> listed for </w:t>
      </w:r>
      <w:r w:rsidR="008D23A4" w:rsidRPr="008D23A4">
        <w:t xml:space="preserve">metastatic or locally advanced cutaneous squamous cell carcinoma </w:t>
      </w:r>
      <w:r w:rsidR="008D23A4">
        <w:t>(</w:t>
      </w:r>
      <w:proofErr w:type="spellStart"/>
      <w:r w:rsidRPr="00A93B7A">
        <w:t>mCSCC</w:t>
      </w:r>
      <w:proofErr w:type="spellEnd"/>
      <w:r w:rsidRPr="00A93B7A">
        <w:t xml:space="preserve"> or </w:t>
      </w:r>
      <w:proofErr w:type="spellStart"/>
      <w:r w:rsidRPr="00A93B7A">
        <w:t>laCSCC</w:t>
      </w:r>
      <w:proofErr w:type="spellEnd"/>
      <w:r w:rsidR="008D23A4">
        <w:t>)</w:t>
      </w:r>
      <w:r w:rsidRPr="00A93B7A">
        <w:t xml:space="preserve"> </w:t>
      </w:r>
      <w:r w:rsidR="00116087">
        <w:t xml:space="preserve">for patients </w:t>
      </w:r>
      <w:r w:rsidRPr="00A93B7A">
        <w:t xml:space="preserve">who are not candidates for curative surgery or curative radiation, as requested by DUSC at its February 2025 meeting. </w:t>
      </w:r>
    </w:p>
    <w:p w14:paraId="03538E7F" w14:textId="322BB850"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378E50B7" w14:textId="1EF92654" w:rsidR="002D144A" w:rsidRDefault="004F3395" w:rsidP="002D144A">
      <w:proofErr w:type="spellStart"/>
      <w:r>
        <w:t>Cemiplimab</w:t>
      </w:r>
      <w:proofErr w:type="spellEnd"/>
      <w:r>
        <w:t xml:space="preserve"> was first listed on the PBS for </w:t>
      </w:r>
      <w:proofErr w:type="spellStart"/>
      <w:r w:rsidR="009D59C8" w:rsidRPr="00A93B7A">
        <w:t>mCSCC</w:t>
      </w:r>
      <w:proofErr w:type="spellEnd"/>
      <w:r w:rsidR="00462DA2">
        <w:t xml:space="preserve">, </w:t>
      </w:r>
      <w:proofErr w:type="spellStart"/>
      <w:r w:rsidR="009D59C8" w:rsidRPr="00A93B7A">
        <w:t>laCSCC</w:t>
      </w:r>
      <w:proofErr w:type="spellEnd"/>
      <w:r w:rsidR="0016790D">
        <w:t xml:space="preserve"> </w:t>
      </w:r>
      <w:r w:rsidR="00462DA2">
        <w:t>and n</w:t>
      </w:r>
      <w:r w:rsidR="00462DA2" w:rsidRPr="0080496C">
        <w:t>on-small cell lung cancer (NSCLC)</w:t>
      </w:r>
      <w:r w:rsidR="00462DA2">
        <w:t xml:space="preserve"> </w:t>
      </w:r>
      <w:r w:rsidR="0016790D">
        <w:t xml:space="preserve">on </w:t>
      </w:r>
      <w:r w:rsidR="00172332">
        <w:t xml:space="preserve">1 November 2022. </w:t>
      </w:r>
    </w:p>
    <w:p w14:paraId="526743BB" w14:textId="77777777" w:rsidR="005C6661" w:rsidRDefault="005C6661" w:rsidP="00CF5E22">
      <w:pPr>
        <w:pStyle w:val="Heading3"/>
      </w:pPr>
      <w:r>
        <w:t>Data Source / methodology</w:t>
      </w:r>
    </w:p>
    <w:p w14:paraId="76B41378" w14:textId="77777777" w:rsidR="00D73697" w:rsidRPr="00A33F12" w:rsidRDefault="00D73697" w:rsidP="00B15481">
      <w:r w:rsidRPr="00A33F12">
        <w:t xml:space="preserve">Data extracted from the PBS claims database maintained by the Department of Health and Aged Care and processed by Services Australia were used for the analyses. Data were extracted for prescriptions supplied from 1 </w:t>
      </w:r>
      <w:r>
        <w:t xml:space="preserve">November </w:t>
      </w:r>
      <w:r w:rsidRPr="00A33F12">
        <w:t>20</w:t>
      </w:r>
      <w:r>
        <w:t>22</w:t>
      </w:r>
      <w:r w:rsidRPr="00A33F12">
        <w:t xml:space="preserve"> </w:t>
      </w:r>
      <w:r>
        <w:t xml:space="preserve">(the PBS listing date for </w:t>
      </w:r>
      <w:proofErr w:type="spellStart"/>
      <w:r>
        <w:t>cemiplimab</w:t>
      </w:r>
      <w:proofErr w:type="spellEnd"/>
      <w:r>
        <w:t xml:space="preserve">) </w:t>
      </w:r>
      <w:r w:rsidRPr="00A33F12">
        <w:t xml:space="preserve">up to </w:t>
      </w:r>
      <w:r>
        <w:t>the end of March</w:t>
      </w:r>
      <w:r w:rsidRPr="00A33F12">
        <w:t xml:space="preserve"> 2025 for </w:t>
      </w:r>
      <w:proofErr w:type="spellStart"/>
      <w:r>
        <w:t>cemiplimab</w:t>
      </w:r>
      <w:proofErr w:type="spellEnd"/>
      <w:r>
        <w:t>.</w:t>
      </w:r>
    </w:p>
    <w:p w14:paraId="7599E7C1" w14:textId="77777777" w:rsidR="005C6661" w:rsidRDefault="005C6661" w:rsidP="00CF5E22">
      <w:pPr>
        <w:pStyle w:val="Heading3"/>
      </w:pPr>
      <w:r>
        <w:t>Key Findings</w:t>
      </w:r>
    </w:p>
    <w:p w14:paraId="463E9EDC" w14:textId="2A118247" w:rsidR="00560178" w:rsidRPr="0055259B" w:rsidRDefault="002909A1" w:rsidP="00AD0972">
      <w:pPr>
        <w:pStyle w:val="ListParagraph"/>
        <w:numPr>
          <w:ilvl w:val="0"/>
          <w:numId w:val="12"/>
        </w:numPr>
        <w:ind w:left="714" w:hanging="357"/>
        <w:rPr>
          <w:rFonts w:eastAsiaTheme="majorEastAsia" w:cstheme="majorBidi"/>
          <w:b/>
          <w:bCs/>
          <w:sz w:val="32"/>
          <w:szCs w:val="26"/>
        </w:rPr>
      </w:pPr>
      <w:r>
        <w:t>The</w:t>
      </w:r>
      <w:r w:rsidR="004002F4">
        <w:t>re were 1,535</w:t>
      </w:r>
      <w:r w:rsidR="00422BA9">
        <w:t xml:space="preserve"> patients treated with </w:t>
      </w:r>
      <w:proofErr w:type="spellStart"/>
      <w:r w:rsidR="00422BA9">
        <w:t>cemiplimab</w:t>
      </w:r>
      <w:proofErr w:type="spellEnd"/>
      <w:r w:rsidR="001D7542">
        <w:t xml:space="preserve"> for CSCC</w:t>
      </w:r>
      <w:r w:rsidR="00422BA9">
        <w:t xml:space="preserve"> in the first year of listing</w:t>
      </w:r>
      <w:r w:rsidR="00775CFA">
        <w:t>, and 1,930 in the second year.</w:t>
      </w:r>
      <w:r w:rsidR="00062031">
        <w:t xml:space="preserve"> </w:t>
      </w:r>
      <w:r w:rsidR="00775CFA">
        <w:t xml:space="preserve">These figures were </w:t>
      </w:r>
      <w:r w:rsidR="00085859" w:rsidRPr="00085859">
        <w:rPr>
          <w:highlight w:val="black"/>
        </w:rPr>
        <w:t>XXXXXX</w:t>
      </w:r>
      <w:r w:rsidR="001D7542">
        <w:t xml:space="preserve"> than predicted </w:t>
      </w:r>
      <w:r w:rsidR="005B50DB">
        <w:t xml:space="preserve">at the time of </w:t>
      </w:r>
      <w:r w:rsidRPr="002909A1">
        <w:t xml:space="preserve">PBS listing. </w:t>
      </w:r>
    </w:p>
    <w:p w14:paraId="24310924" w14:textId="3F7E5DD2" w:rsidR="00323C57" w:rsidRPr="0055259B" w:rsidRDefault="00560178" w:rsidP="00AD0972">
      <w:pPr>
        <w:pStyle w:val="ListParagraph"/>
        <w:numPr>
          <w:ilvl w:val="0"/>
          <w:numId w:val="12"/>
        </w:numPr>
        <w:ind w:left="714" w:hanging="357"/>
        <w:rPr>
          <w:rFonts w:eastAsiaTheme="majorEastAsia" w:cstheme="majorBidi"/>
          <w:b/>
          <w:bCs/>
          <w:sz w:val="32"/>
          <w:szCs w:val="26"/>
        </w:rPr>
      </w:pPr>
      <w:r>
        <w:t xml:space="preserve">The number of </w:t>
      </w:r>
      <w:proofErr w:type="spellStart"/>
      <w:r w:rsidR="00732110">
        <w:t>cemiplimab</w:t>
      </w:r>
      <w:proofErr w:type="spellEnd"/>
      <w:r w:rsidR="00732110">
        <w:t xml:space="preserve"> </w:t>
      </w:r>
      <w:r>
        <w:t>prescriptions supplied</w:t>
      </w:r>
      <w:r w:rsidR="00732110">
        <w:t xml:space="preserve"> under the CSCC item code has been </w:t>
      </w:r>
      <w:r w:rsidR="001D7542">
        <w:t xml:space="preserve">steadily </w:t>
      </w:r>
      <w:r w:rsidR="00286CDE">
        <w:t xml:space="preserve">increasing since PBS listing. </w:t>
      </w:r>
      <w:r w:rsidR="001D7542">
        <w:t>There were 12,819 prescriptions supplied in the first year of listing and 15,633 in the second year.</w:t>
      </w:r>
    </w:p>
    <w:p w14:paraId="07DC54C3" w14:textId="77777777" w:rsidR="0055259B" w:rsidRPr="0055259B" w:rsidRDefault="00323C57" w:rsidP="00AD0972">
      <w:pPr>
        <w:pStyle w:val="ListParagraph"/>
        <w:numPr>
          <w:ilvl w:val="0"/>
          <w:numId w:val="12"/>
        </w:numPr>
        <w:ind w:left="714" w:hanging="357"/>
        <w:rPr>
          <w:rFonts w:eastAsiaTheme="majorEastAsia" w:cstheme="majorBidi"/>
          <w:b/>
          <w:bCs/>
          <w:sz w:val="32"/>
          <w:szCs w:val="26"/>
        </w:rPr>
      </w:pPr>
      <w:r>
        <w:t>T</w:t>
      </w:r>
      <w:r w:rsidRPr="00323C57">
        <w:t xml:space="preserve">he </w:t>
      </w:r>
      <w:r>
        <w:t xml:space="preserve">mean ages for patients at initiation </w:t>
      </w:r>
      <w:r w:rsidR="001527EF">
        <w:t>were 76 for males and 78 for females, in line with the epidemiology of the condition.</w:t>
      </w:r>
    </w:p>
    <w:p w14:paraId="38B57ECC" w14:textId="5986EB24" w:rsidR="00BB0D1A" w:rsidRPr="002909A1" w:rsidRDefault="0055259B" w:rsidP="00AD0972">
      <w:pPr>
        <w:pStyle w:val="ListParagraph"/>
        <w:numPr>
          <w:ilvl w:val="0"/>
          <w:numId w:val="12"/>
        </w:numPr>
        <w:ind w:left="714" w:hanging="357"/>
        <w:rPr>
          <w:rFonts w:eastAsiaTheme="majorEastAsia" w:cstheme="majorBidi"/>
          <w:b/>
          <w:bCs/>
          <w:sz w:val="32"/>
          <w:szCs w:val="26"/>
        </w:rPr>
      </w:pPr>
      <w:r>
        <w:t>T</w:t>
      </w:r>
      <w:r w:rsidRPr="0055259B">
        <w:t xml:space="preserve">he median length of treatment </w:t>
      </w:r>
      <w:r>
        <w:t xml:space="preserve">for </w:t>
      </w:r>
      <w:proofErr w:type="spellStart"/>
      <w:r>
        <w:t>cemiplimab</w:t>
      </w:r>
      <w:proofErr w:type="spellEnd"/>
      <w:r>
        <w:t xml:space="preserve"> </w:t>
      </w:r>
      <w:r w:rsidRPr="0055259B">
        <w:t>was 8.9 months (38.6 weeks) excluding breaks</w:t>
      </w:r>
      <w:r w:rsidR="00231B3A">
        <w:t xml:space="preserve"> in supply</w:t>
      </w:r>
      <w:r w:rsidRPr="0055259B">
        <w:t xml:space="preserve"> indicating that the duration of treatment was overestimated at the time of listing</w:t>
      </w:r>
      <w:r w:rsidR="00AA1C8F">
        <w:t>.</w:t>
      </w:r>
    </w:p>
    <w:p w14:paraId="5B262047" w14:textId="525241DC" w:rsidR="00E677DD" w:rsidRPr="00CF5E22" w:rsidRDefault="00E677DD" w:rsidP="00CF5E22">
      <w:pPr>
        <w:pStyle w:val="Heading1"/>
      </w:pPr>
      <w:r w:rsidRPr="00CF5E22">
        <w:lastRenderedPageBreak/>
        <w:t xml:space="preserve">Purpose of </w:t>
      </w:r>
      <w:r w:rsidR="00D151EB" w:rsidRPr="00CF5E22">
        <w:t>analysis</w:t>
      </w:r>
    </w:p>
    <w:p w14:paraId="15B957F2" w14:textId="2FF0DBDE" w:rsidR="00990DCF" w:rsidRDefault="00834A9E" w:rsidP="00A93B7A">
      <w:r w:rsidRPr="00A93B7A">
        <w:t xml:space="preserve">To review the utilisation of </w:t>
      </w:r>
      <w:proofErr w:type="spellStart"/>
      <w:r w:rsidRPr="00A93B7A">
        <w:t>cemiplimab</w:t>
      </w:r>
      <w:proofErr w:type="spellEnd"/>
      <w:r w:rsidRPr="00A93B7A">
        <w:t xml:space="preserve"> </w:t>
      </w:r>
      <w:r w:rsidR="003C22C3" w:rsidRPr="00A93B7A">
        <w:t xml:space="preserve">PBS listed for </w:t>
      </w:r>
      <w:proofErr w:type="spellStart"/>
      <w:r w:rsidR="003D1E15" w:rsidRPr="00A93B7A">
        <w:t>mCSCC</w:t>
      </w:r>
      <w:proofErr w:type="spellEnd"/>
      <w:r w:rsidR="003D1E15" w:rsidRPr="00A93B7A">
        <w:t xml:space="preserve"> or </w:t>
      </w:r>
      <w:proofErr w:type="spellStart"/>
      <w:r w:rsidR="003D1E15" w:rsidRPr="00A93B7A">
        <w:t>laCSCC</w:t>
      </w:r>
      <w:proofErr w:type="spellEnd"/>
      <w:r w:rsidR="003D1E15" w:rsidRPr="00A93B7A">
        <w:t xml:space="preserve"> </w:t>
      </w:r>
      <w:r w:rsidR="00116087">
        <w:t xml:space="preserve">for patients </w:t>
      </w:r>
      <w:r w:rsidR="003D1E15" w:rsidRPr="00A93B7A">
        <w:t>who are not candidates for curative surgery or curative radiation</w:t>
      </w:r>
      <w:r w:rsidR="00971F9D" w:rsidRPr="00A93B7A">
        <w:t>, as requested by DUSC at its February 2025 meeting.</w:t>
      </w:r>
      <w:r w:rsidR="003D1E15" w:rsidRPr="00A93B7A">
        <w:t xml:space="preserve"> </w:t>
      </w:r>
    </w:p>
    <w:p w14:paraId="0A7F0B57" w14:textId="034D22D5" w:rsidR="006537D9" w:rsidRPr="005E22C2" w:rsidRDefault="00736041" w:rsidP="00CF5E22">
      <w:pPr>
        <w:pStyle w:val="Heading1"/>
      </w:pPr>
      <w:r w:rsidRPr="005E22C2">
        <w:t>Background</w:t>
      </w:r>
    </w:p>
    <w:p w14:paraId="2C748275" w14:textId="77777777" w:rsidR="00EE2BBB" w:rsidRPr="007247B9" w:rsidRDefault="00EE2BBB" w:rsidP="00EE2BBB">
      <w:pPr>
        <w:pStyle w:val="Heading2"/>
      </w:pPr>
      <w:r w:rsidRPr="007247B9">
        <w:t>Clinical situation</w:t>
      </w:r>
    </w:p>
    <w:p w14:paraId="04F29231" w14:textId="1E29BB53" w:rsidR="006264BC" w:rsidRDefault="006264BC" w:rsidP="00EE2BBB">
      <w:pPr>
        <w:rPr>
          <w:highlight w:val="yellow"/>
        </w:rPr>
      </w:pPr>
      <w:r w:rsidRPr="006264BC">
        <w:t>Cutaneous squamous cell carcinoma (CSCC)</w:t>
      </w:r>
      <w:r w:rsidR="00F55A73">
        <w:t xml:space="preserve"> is</w:t>
      </w:r>
      <w:r w:rsidRPr="006264BC">
        <w:t xml:space="preserve"> the </w:t>
      </w:r>
      <w:r w:rsidR="00A85B4D">
        <w:t>second</w:t>
      </w:r>
      <w:r w:rsidRPr="006264BC">
        <w:t xml:space="preserve"> most common form of skin </w:t>
      </w:r>
      <w:r w:rsidR="00A85B4D">
        <w:t xml:space="preserve">cancer. </w:t>
      </w:r>
      <w:r w:rsidR="002B04D0">
        <w:t>Risk factors include exposure to ultraviolet light, immunosuppression, fair skin and advanced age.</w:t>
      </w:r>
      <w:r w:rsidR="00FC5F45">
        <w:t xml:space="preserve"> The majority of CSCC patients can be cured with surgery and/or radiotherapy. However, a small percentage of patients develop locally advanced CSCC (</w:t>
      </w:r>
      <w:proofErr w:type="spellStart"/>
      <w:r w:rsidR="00FC5F45">
        <w:t>laCS</w:t>
      </w:r>
      <w:r w:rsidR="0063332E">
        <w:t>CC</w:t>
      </w:r>
      <w:proofErr w:type="spellEnd"/>
      <w:r w:rsidR="00FC5F45">
        <w:t>)</w:t>
      </w:r>
      <w:r w:rsidR="0063332E">
        <w:t xml:space="preserve"> </w:t>
      </w:r>
      <w:r w:rsidR="00EA0DDE">
        <w:t xml:space="preserve">where tumours are large or have penetrated deep into underlying structures </w:t>
      </w:r>
      <w:r w:rsidR="0063332E">
        <w:t xml:space="preserve">and </w:t>
      </w:r>
      <w:r w:rsidR="00133BF7">
        <w:t>are</w:t>
      </w:r>
      <w:r w:rsidR="0063332E">
        <w:t xml:space="preserve"> not amenable to surgery or radiotherapy</w:t>
      </w:r>
      <w:r w:rsidR="008B7C6A">
        <w:t xml:space="preserve">. </w:t>
      </w:r>
      <w:r w:rsidR="00133BF7">
        <w:t>P</w:t>
      </w:r>
      <w:r w:rsidR="003B3199">
        <w:t>atients</w:t>
      </w:r>
      <w:r w:rsidR="008B7C6A">
        <w:t xml:space="preserve"> may </w:t>
      </w:r>
      <w:r w:rsidR="00133BF7">
        <w:t xml:space="preserve">also </w:t>
      </w:r>
      <w:r w:rsidR="008B7C6A">
        <w:t xml:space="preserve">develop </w:t>
      </w:r>
      <w:r w:rsidR="0063332E">
        <w:t>metastatic CSCC (</w:t>
      </w:r>
      <w:proofErr w:type="spellStart"/>
      <w:r w:rsidR="0063332E">
        <w:t>mCSCC</w:t>
      </w:r>
      <w:proofErr w:type="spellEnd"/>
      <w:r w:rsidR="0063332E">
        <w:t>)</w:t>
      </w:r>
      <w:r w:rsidR="008B7C6A">
        <w:t xml:space="preserve"> where </w:t>
      </w:r>
      <w:r w:rsidR="00B55290">
        <w:t>tumours have spread beyond the original location</w:t>
      </w:r>
      <w:r w:rsidR="0063332E">
        <w:t xml:space="preserve"> and </w:t>
      </w:r>
      <w:r w:rsidR="0029011A">
        <w:t xml:space="preserve">this </w:t>
      </w:r>
      <w:r w:rsidR="00EA0DDE">
        <w:t xml:space="preserve">is associated with </w:t>
      </w:r>
      <w:r w:rsidR="0063332E">
        <w:t>a poor long-term prognosis</w:t>
      </w:r>
      <w:r w:rsidR="009C0E4A">
        <w:t>.</w:t>
      </w:r>
      <w:r w:rsidR="0080699B">
        <w:rPr>
          <w:rStyle w:val="FootnoteReference"/>
        </w:rPr>
        <w:footnoteReference w:id="1"/>
      </w:r>
      <w:r w:rsidR="00197B02" w:rsidRPr="00197B02">
        <w:rPr>
          <w:vertAlign w:val="superscript"/>
        </w:rPr>
        <w:t>,</w:t>
      </w:r>
      <w:r w:rsidR="00197B02">
        <w:rPr>
          <w:rStyle w:val="FootnoteReference"/>
        </w:rPr>
        <w:footnoteReference w:id="2"/>
      </w:r>
      <w:r w:rsidR="009C0E4A">
        <w:t xml:space="preserve"> </w:t>
      </w:r>
      <w:r w:rsidR="00FC5F45">
        <w:t xml:space="preserve"> </w:t>
      </w:r>
    </w:p>
    <w:p w14:paraId="0183A567" w14:textId="413DF87B" w:rsidR="007247B9" w:rsidRDefault="007247B9" w:rsidP="00CF5E22">
      <w:pPr>
        <w:pStyle w:val="Heading2"/>
      </w:pPr>
      <w:r>
        <w:t>Pharmacology</w:t>
      </w:r>
    </w:p>
    <w:p w14:paraId="6C3E30DC" w14:textId="5014687C" w:rsidR="00A56022" w:rsidRPr="007247B9" w:rsidRDefault="00450388" w:rsidP="00AE4BAC">
      <w:r w:rsidRPr="00450388">
        <w:t>Using synthetic versions of natural immune system chemicals, or by inhibiting proteins that suppress immune functions, immunotherapies boost the immune system’s ability to fight disease.</w:t>
      </w:r>
      <w:r>
        <w:t xml:space="preserve"> </w:t>
      </w:r>
      <w:proofErr w:type="spellStart"/>
      <w:r w:rsidR="00AD31F8">
        <w:t>Cemiplimab</w:t>
      </w:r>
      <w:proofErr w:type="spellEnd"/>
      <w:r w:rsidR="00AD31F8">
        <w:t xml:space="preserve"> </w:t>
      </w:r>
      <w:r w:rsidR="00AD31F8" w:rsidRPr="00AD31F8">
        <w:t>is the first checkpoint blockade therapy</w:t>
      </w:r>
      <w:r w:rsidR="00AD31F8">
        <w:t xml:space="preserve"> </w:t>
      </w:r>
      <w:r w:rsidR="00FF0BBE">
        <w:t>for CSCC</w:t>
      </w:r>
      <w:r w:rsidR="006B2591">
        <w:t>. B</w:t>
      </w:r>
      <w:r w:rsidR="006B2591" w:rsidRPr="006B2591">
        <w:t xml:space="preserve">y blocking a protein receptor called PD-1 (programmed death-1), which, under normal circumstances, keeps the immune system in check, </w:t>
      </w:r>
      <w:proofErr w:type="spellStart"/>
      <w:r w:rsidR="006C0585">
        <w:t>cemiplimab</w:t>
      </w:r>
      <w:proofErr w:type="spellEnd"/>
      <w:r w:rsidR="006B2591" w:rsidRPr="006B2591">
        <w:t xml:space="preserve"> releases T cells to </w:t>
      </w:r>
      <w:r w:rsidR="00581AE9">
        <w:t>target the</w:t>
      </w:r>
      <w:r w:rsidR="008E4FD6">
        <w:t xml:space="preserve"> CSCC</w:t>
      </w:r>
      <w:r w:rsidR="006B2591" w:rsidRPr="006B2591">
        <w:t>.</w:t>
      </w:r>
      <w:r w:rsidR="007A132C" w:rsidRPr="007A132C">
        <w:rPr>
          <w:vertAlign w:val="superscript"/>
        </w:rPr>
        <w:t>2</w:t>
      </w:r>
      <w:r w:rsidR="008E4FD6">
        <w:t xml:space="preserve"> </w:t>
      </w:r>
    </w:p>
    <w:p w14:paraId="6AC18C88" w14:textId="7A398934"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2FC2BB0B" w14:textId="5F9D70F1" w:rsidR="00494C9F" w:rsidRDefault="00494C9F" w:rsidP="00A35800">
      <w:proofErr w:type="spellStart"/>
      <w:r>
        <w:t>Cemiplimab</w:t>
      </w:r>
      <w:proofErr w:type="spellEnd"/>
      <w:r>
        <w:t xml:space="preserve"> is </w:t>
      </w:r>
      <w:r w:rsidR="00894EF8">
        <w:t>approved for the following indications:</w:t>
      </w:r>
    </w:p>
    <w:p w14:paraId="7AA8DD4B" w14:textId="5692A9F5" w:rsidR="00512498" w:rsidRDefault="00071B81" w:rsidP="006407AB">
      <w:pPr>
        <w:pStyle w:val="ListParagraph"/>
        <w:numPr>
          <w:ilvl w:val="0"/>
          <w:numId w:val="4"/>
        </w:numPr>
      </w:pPr>
      <w:r>
        <w:t xml:space="preserve">monotherapy for the treatment of adult patients with </w:t>
      </w:r>
      <w:proofErr w:type="spellStart"/>
      <w:r>
        <w:t>mCSCC</w:t>
      </w:r>
      <w:proofErr w:type="spellEnd"/>
      <w:r>
        <w:t xml:space="preserve"> or </w:t>
      </w:r>
      <w:proofErr w:type="spellStart"/>
      <w:r>
        <w:t>laCSCC</w:t>
      </w:r>
      <w:proofErr w:type="spellEnd"/>
      <w:r>
        <w:t xml:space="preserve"> who are not candidates for curative surgery or curative radiation</w:t>
      </w:r>
      <w:r w:rsidR="009927FF">
        <w:t>.</w:t>
      </w:r>
    </w:p>
    <w:p w14:paraId="2F694A37" w14:textId="2E26D4E4" w:rsidR="00BD018D" w:rsidRDefault="00C02460" w:rsidP="000D4301">
      <w:pPr>
        <w:pStyle w:val="ListParagraph"/>
        <w:numPr>
          <w:ilvl w:val="0"/>
          <w:numId w:val="4"/>
        </w:numPr>
      </w:pPr>
      <w:r>
        <w:t>monotherapy for the first-line treatment of adult patients with NSCLC expressing PD-L1 tumour proportion score (TPS) greater than and equal to 50% as determined by a validated test, with no EGFR, ALK or ROS1 aberrations, who have</w:t>
      </w:r>
      <w:r w:rsidR="00BD018D">
        <w:t xml:space="preserve"> </w:t>
      </w:r>
      <w:r>
        <w:t>locally advanced NSCLC and who are not candidates for surgical resection or definitive chemoradiation, or</w:t>
      </w:r>
      <w:r w:rsidR="00BD018D">
        <w:t xml:space="preserve"> </w:t>
      </w:r>
      <w:r>
        <w:t>metastatic NSCLC.</w:t>
      </w:r>
    </w:p>
    <w:p w14:paraId="3E26E716" w14:textId="77777777" w:rsidR="009927FF" w:rsidRDefault="00C02460" w:rsidP="00B6239D">
      <w:pPr>
        <w:pStyle w:val="ListParagraph"/>
        <w:numPr>
          <w:ilvl w:val="0"/>
          <w:numId w:val="4"/>
        </w:numPr>
      </w:pPr>
      <w:r>
        <w:t>in combination with platinum-based chemotherapy is indicated for the first-line treatment of patients with NSCLC whose tumours have no EGFR, ALK or ROS1 aberrations and is</w:t>
      </w:r>
      <w:r w:rsidR="00BD018D">
        <w:t xml:space="preserve"> </w:t>
      </w:r>
      <w:r>
        <w:t>locally advanced where patients are not candidates for surgical resection or definitive chemoradiation, or</w:t>
      </w:r>
      <w:r w:rsidR="00BD018D">
        <w:t xml:space="preserve"> </w:t>
      </w:r>
      <w:r>
        <w:t>metastatic.</w:t>
      </w:r>
    </w:p>
    <w:p w14:paraId="47EC5A4D" w14:textId="77777777" w:rsidR="000E17F2" w:rsidRDefault="009927FF" w:rsidP="00AB35B9">
      <w:pPr>
        <w:pStyle w:val="ListParagraph"/>
        <w:numPr>
          <w:ilvl w:val="0"/>
          <w:numId w:val="4"/>
        </w:numPr>
      </w:pPr>
      <w:r>
        <w:t>monotherapy for the treatment of adult patients with locally advanced or metastatic basal cell carcinoma (BCC) previously treated with a hedgehog pathway inhibitor or for whom a hedgehog pathway inhibitor is not appropriate.</w:t>
      </w:r>
    </w:p>
    <w:p w14:paraId="15E919C1" w14:textId="515125FF" w:rsidR="006B709B" w:rsidRPr="00A01634" w:rsidRDefault="006B709B" w:rsidP="00A01634">
      <w:pPr>
        <w:spacing w:before="240"/>
        <w:rPr>
          <w:b/>
          <w:sz w:val="28"/>
        </w:rPr>
      </w:pPr>
      <w:r w:rsidRPr="00A01634">
        <w:rPr>
          <w:b/>
          <w:sz w:val="28"/>
        </w:rPr>
        <w:t>Dosage and administration</w:t>
      </w:r>
    </w:p>
    <w:p w14:paraId="54A7FD71" w14:textId="2533AAD8" w:rsidR="00D04557" w:rsidRDefault="00D04557" w:rsidP="005F55E4">
      <w:r>
        <w:t xml:space="preserve">The recommended dose is 350 mg </w:t>
      </w:r>
      <w:proofErr w:type="spellStart"/>
      <w:r>
        <w:t>cemiplimab</w:t>
      </w:r>
      <w:proofErr w:type="spellEnd"/>
      <w:r>
        <w:t xml:space="preserve"> every 3 weeks administered as an intravenous infusion over 30 minutes. Treatment may be continued until disease progression or unacceptable toxicity.</w:t>
      </w:r>
      <w:r w:rsidR="00007DB5" w:rsidRPr="00007DB5">
        <w:t xml:space="preserve"> </w:t>
      </w:r>
      <w:r w:rsidR="00007DB5">
        <w:t xml:space="preserve">Treatment must be initiated and supervised by physicians experienced in the treatment of cancer. </w:t>
      </w:r>
    </w:p>
    <w:p w14:paraId="6682A05C" w14:textId="60987AB3" w:rsidR="00F17D4B" w:rsidRPr="002F61CA" w:rsidRDefault="00F17D4B" w:rsidP="00F17D4B">
      <w:r w:rsidRPr="002F61CA">
        <w:t xml:space="preserve">The current Product Information (PI) and Consumer Medicine Information (CMI) are available from </w:t>
      </w:r>
      <w:hyperlink r:id="rId8" w:history="1">
        <w:r>
          <w:rPr>
            <w:rStyle w:val="Hyperlink"/>
          </w:rPr>
          <w:t>the TGA (Product Information)</w:t>
        </w:r>
      </w:hyperlink>
      <w:r>
        <w:t xml:space="preserve"> and </w:t>
      </w:r>
      <w:hyperlink r:id="rId9" w:history="1">
        <w:r>
          <w:rPr>
            <w:rStyle w:val="Hyperlink"/>
          </w:rPr>
          <w:t>the TGA (Consumer Medicines Information)</w:t>
        </w:r>
      </w:hyperlink>
      <w:r>
        <w:t>.</w:t>
      </w:r>
    </w:p>
    <w:p w14:paraId="46E2BB42" w14:textId="71CB4C6E" w:rsidR="00DF0B13" w:rsidRPr="007247B9" w:rsidDel="00EE2BBB" w:rsidRDefault="00DF0B13" w:rsidP="00CF5E22">
      <w:pPr>
        <w:pStyle w:val="Heading2"/>
      </w:pPr>
      <w:r w:rsidRPr="007247B9" w:rsidDel="00EE2BBB">
        <w:t>PBS listing details</w:t>
      </w:r>
      <w:r w:rsidR="00D151EB" w:rsidDel="00EE2BBB">
        <w:t xml:space="preserve"> (as </w:t>
      </w:r>
      <w:proofErr w:type="gramStart"/>
      <w:r w:rsidR="00D151EB" w:rsidDel="00EE2BBB">
        <w:t>at</w:t>
      </w:r>
      <w:proofErr w:type="gramEnd"/>
      <w:r w:rsidR="00D151EB" w:rsidDel="00EE2BBB">
        <w:t xml:space="preserve"> </w:t>
      </w:r>
      <w:r w:rsidR="00BD0DBE">
        <w:t>April 2025</w:t>
      </w:r>
      <w:r w:rsidR="00D151EB" w:rsidDel="00EE2BBB">
        <w:t>)</w:t>
      </w:r>
    </w:p>
    <w:p w14:paraId="1D47784A" w14:textId="42E4A8AF" w:rsidR="001420B3" w:rsidRPr="001420B3" w:rsidDel="00EE2BBB" w:rsidRDefault="001420B3" w:rsidP="00095C1F">
      <w:pPr>
        <w:pStyle w:val="Tabletitle"/>
        <w:spacing w:before="200"/>
      </w:pPr>
      <w:r w:rsidRPr="00CA3530" w:rsidDel="00EE2BBB">
        <w:t xml:space="preserve">Table </w:t>
      </w:r>
      <w:r w:rsidR="00CA3530" w:rsidRPr="00CA3530">
        <w:t>1</w:t>
      </w:r>
      <w:r w:rsidRPr="00CA3530" w:rsidDel="00EE2BBB">
        <w:t xml:space="preserve">: </w:t>
      </w:r>
      <w:r w:rsidR="009663B6" w:rsidRPr="00CA3530" w:rsidDel="00EE2BBB">
        <w:t>PB</w:t>
      </w:r>
      <w:r w:rsidR="00D151EB" w:rsidRPr="00CA3530" w:rsidDel="00EE2BBB">
        <w:t>S listing</w:t>
      </w:r>
      <w:r w:rsidR="00D151EB" w:rsidDel="00EE2BBB">
        <w:t xml:space="preserve"> of</w:t>
      </w:r>
      <w:r w:rsidR="00876034">
        <w:t xml:space="preserve"> initial treatment </w:t>
      </w:r>
      <w:r w:rsidR="001F00F6">
        <w:t>phase of</w:t>
      </w:r>
      <w:r w:rsidR="00D151EB" w:rsidDel="00EE2BBB">
        <w:t xml:space="preserve"> </w:t>
      </w:r>
      <w:proofErr w:type="spellStart"/>
      <w:r w:rsidR="00097380">
        <w:t>cemiplimab</w:t>
      </w:r>
      <w:proofErr w:type="spellEnd"/>
      <w:r w:rsidR="00097380">
        <w:t xml:space="preserve"> for </w:t>
      </w:r>
      <w:proofErr w:type="spellStart"/>
      <w:r w:rsidR="00AF17C2" w:rsidRPr="00AF17C2">
        <w:t>mCSCC</w:t>
      </w:r>
      <w:proofErr w:type="spellEnd"/>
      <w:r w:rsidR="00AF17C2" w:rsidRPr="00AF17C2">
        <w:t xml:space="preserve"> or </w:t>
      </w:r>
      <w:proofErr w:type="spellStart"/>
      <w:r w:rsidR="00AF17C2" w:rsidRPr="00AF17C2">
        <w:t>laCSCC</w:t>
      </w:r>
      <w:proofErr w:type="spellEnd"/>
    </w:p>
    <w:tbl>
      <w:tblPr>
        <w:tblStyle w:val="TableGrid"/>
        <w:tblW w:w="9064" w:type="dxa"/>
        <w:tblLayout w:type="fixed"/>
        <w:tblLook w:val="04A0" w:firstRow="1" w:lastRow="0" w:firstColumn="1" w:lastColumn="0" w:noHBand="0" w:noVBand="1"/>
      </w:tblPr>
      <w:tblGrid>
        <w:gridCol w:w="969"/>
        <w:gridCol w:w="2400"/>
        <w:gridCol w:w="1701"/>
        <w:gridCol w:w="850"/>
        <w:gridCol w:w="1040"/>
        <w:gridCol w:w="2104"/>
      </w:tblGrid>
      <w:tr w:rsidR="0093111F" w:rsidRPr="00A35800" w:rsidDel="00EE2BBB" w14:paraId="6AA19A37" w14:textId="77B518AD" w:rsidTr="0093111F">
        <w:trPr>
          <w:trHeight w:val="694"/>
          <w:tblHeader/>
        </w:trPr>
        <w:tc>
          <w:tcPr>
            <w:tcW w:w="969" w:type="dxa"/>
            <w:shd w:val="clear" w:color="auto" w:fill="BFBFBF" w:themeFill="background1" w:themeFillShade="BF"/>
          </w:tcPr>
          <w:p w14:paraId="56A3DEA0" w14:textId="1A878237" w:rsidR="0093111F" w:rsidRPr="00A35800" w:rsidDel="00EE2BBB" w:rsidRDefault="0093111F" w:rsidP="00A35800">
            <w:pPr>
              <w:pStyle w:val="Tableheading"/>
              <w:rPr>
                <w:sz w:val="20"/>
                <w:szCs w:val="20"/>
              </w:rPr>
            </w:pPr>
            <w:r w:rsidRPr="00A35800" w:rsidDel="00EE2BBB">
              <w:rPr>
                <w:sz w:val="20"/>
                <w:szCs w:val="20"/>
              </w:rPr>
              <w:t>Item</w:t>
            </w:r>
          </w:p>
        </w:tc>
        <w:tc>
          <w:tcPr>
            <w:tcW w:w="2400" w:type="dxa"/>
            <w:shd w:val="clear" w:color="auto" w:fill="BFBFBF" w:themeFill="background1" w:themeFillShade="BF"/>
          </w:tcPr>
          <w:p w14:paraId="67A07252" w14:textId="6DE43662" w:rsidR="0093111F" w:rsidRPr="00A35800" w:rsidDel="00EE2BBB" w:rsidRDefault="0093111F" w:rsidP="00A35800">
            <w:pPr>
              <w:pStyle w:val="Tableheading"/>
              <w:rPr>
                <w:sz w:val="20"/>
                <w:szCs w:val="20"/>
              </w:rPr>
            </w:pPr>
            <w:r w:rsidRPr="00A35800" w:rsidDel="00EE2BBB">
              <w:rPr>
                <w:sz w:val="20"/>
                <w:szCs w:val="20"/>
              </w:rPr>
              <w:t>Name, form &amp; strength, pack size</w:t>
            </w:r>
          </w:p>
        </w:tc>
        <w:tc>
          <w:tcPr>
            <w:tcW w:w="1701" w:type="dxa"/>
            <w:shd w:val="clear" w:color="auto" w:fill="BFBFBF" w:themeFill="background1" w:themeFillShade="BF"/>
          </w:tcPr>
          <w:p w14:paraId="114E9799" w14:textId="71E76A27" w:rsidR="0093111F" w:rsidRPr="00A35800" w:rsidDel="00EE2BBB" w:rsidRDefault="0093111F" w:rsidP="00A35800">
            <w:pPr>
              <w:pStyle w:val="Tableheading"/>
              <w:rPr>
                <w:sz w:val="20"/>
                <w:szCs w:val="20"/>
              </w:rPr>
            </w:pPr>
            <w:r w:rsidRPr="00A35800" w:rsidDel="00EE2BBB">
              <w:rPr>
                <w:sz w:val="20"/>
                <w:szCs w:val="20"/>
              </w:rPr>
              <w:t>Max</w:t>
            </w:r>
            <w:r w:rsidR="00A13C60" w:rsidRPr="00A35800" w:rsidDel="00EE2BBB">
              <w:rPr>
                <w:sz w:val="20"/>
                <w:szCs w:val="20"/>
              </w:rPr>
              <w:t xml:space="preserve">. </w:t>
            </w:r>
            <w:r w:rsidRPr="00A35800" w:rsidDel="00EE2BBB">
              <w:rPr>
                <w:sz w:val="20"/>
                <w:szCs w:val="20"/>
              </w:rPr>
              <w:t xml:space="preserve">quant. </w:t>
            </w:r>
          </w:p>
        </w:tc>
        <w:tc>
          <w:tcPr>
            <w:tcW w:w="850" w:type="dxa"/>
            <w:shd w:val="clear" w:color="auto" w:fill="BFBFBF" w:themeFill="background1" w:themeFillShade="BF"/>
          </w:tcPr>
          <w:p w14:paraId="0F1A79F7" w14:textId="170F6D44" w:rsidR="0093111F" w:rsidRPr="00A35800" w:rsidDel="00EE2BBB" w:rsidRDefault="0093111F" w:rsidP="00A35800">
            <w:pPr>
              <w:pStyle w:val="Tableheading"/>
              <w:rPr>
                <w:sz w:val="20"/>
                <w:szCs w:val="20"/>
              </w:rPr>
            </w:pPr>
            <w:proofErr w:type="spellStart"/>
            <w:r w:rsidRPr="00A35800" w:rsidDel="00EE2BBB">
              <w:rPr>
                <w:sz w:val="20"/>
                <w:szCs w:val="20"/>
              </w:rPr>
              <w:t>Rpts</w:t>
            </w:r>
            <w:proofErr w:type="spellEnd"/>
            <w:r w:rsidRPr="00A35800" w:rsidDel="00EE2BBB">
              <w:rPr>
                <w:sz w:val="20"/>
                <w:szCs w:val="20"/>
              </w:rPr>
              <w:t xml:space="preserve"> </w:t>
            </w:r>
          </w:p>
        </w:tc>
        <w:tc>
          <w:tcPr>
            <w:tcW w:w="1040" w:type="dxa"/>
            <w:shd w:val="clear" w:color="auto" w:fill="BFBFBF" w:themeFill="background1" w:themeFillShade="BF"/>
          </w:tcPr>
          <w:p w14:paraId="05C5A0BF" w14:textId="2CFF9AC9" w:rsidR="0093111F" w:rsidRPr="00A35800" w:rsidDel="00EE2BBB" w:rsidRDefault="0093111F" w:rsidP="00A35800">
            <w:pPr>
              <w:pStyle w:val="Tableheading"/>
              <w:rPr>
                <w:sz w:val="20"/>
                <w:szCs w:val="20"/>
              </w:rPr>
            </w:pPr>
            <w:r w:rsidRPr="00A35800" w:rsidDel="00EE2BBB">
              <w:rPr>
                <w:sz w:val="20"/>
                <w:szCs w:val="20"/>
              </w:rPr>
              <w:t>DPMQ</w:t>
            </w:r>
          </w:p>
        </w:tc>
        <w:tc>
          <w:tcPr>
            <w:tcW w:w="2104" w:type="dxa"/>
            <w:shd w:val="clear" w:color="auto" w:fill="BFBFBF" w:themeFill="background1" w:themeFillShade="BF"/>
          </w:tcPr>
          <w:p w14:paraId="09B472B7" w14:textId="479D46E2" w:rsidR="0093111F" w:rsidRPr="00A35800" w:rsidDel="00EE2BBB" w:rsidRDefault="0093111F" w:rsidP="00A35800">
            <w:pPr>
              <w:pStyle w:val="Tableheading"/>
              <w:rPr>
                <w:sz w:val="20"/>
                <w:szCs w:val="20"/>
              </w:rPr>
            </w:pPr>
            <w:r w:rsidRPr="00A35800" w:rsidDel="00EE2BBB">
              <w:rPr>
                <w:sz w:val="20"/>
                <w:szCs w:val="20"/>
              </w:rPr>
              <w:t>Brand name and manufacturer</w:t>
            </w:r>
          </w:p>
        </w:tc>
      </w:tr>
      <w:tr w:rsidR="003C5C0F" w:rsidRPr="00A35800" w:rsidDel="00EE2BBB" w14:paraId="2AF9D84B" w14:textId="0D323411" w:rsidTr="0093111F">
        <w:trPr>
          <w:trHeight w:val="552"/>
          <w:tblHeader/>
        </w:trPr>
        <w:tc>
          <w:tcPr>
            <w:tcW w:w="969" w:type="dxa"/>
          </w:tcPr>
          <w:p w14:paraId="0A3E3442" w14:textId="566B801A" w:rsidR="003C5C0F" w:rsidRPr="00A35800" w:rsidDel="00EE2BBB" w:rsidRDefault="003C5C0F" w:rsidP="00A35800">
            <w:pPr>
              <w:pStyle w:val="Tablewriting"/>
            </w:pPr>
            <w:r>
              <w:t>13135H</w:t>
            </w:r>
          </w:p>
        </w:tc>
        <w:tc>
          <w:tcPr>
            <w:tcW w:w="2400" w:type="dxa"/>
          </w:tcPr>
          <w:p w14:paraId="0F676F51" w14:textId="201C4386" w:rsidR="003C5C0F" w:rsidRPr="00A35800" w:rsidDel="00EE2BBB" w:rsidRDefault="003C5C0F" w:rsidP="00A35800">
            <w:pPr>
              <w:pStyle w:val="Tablewriting"/>
            </w:pPr>
            <w:proofErr w:type="spellStart"/>
            <w:r>
              <w:t>C</w:t>
            </w:r>
            <w:r w:rsidRPr="005719FB">
              <w:t>emiplimab</w:t>
            </w:r>
            <w:proofErr w:type="spellEnd"/>
            <w:r w:rsidRPr="005719FB">
              <w:t xml:space="preserve"> 350 mg/7 mL injection, 7 mL vial</w:t>
            </w:r>
          </w:p>
        </w:tc>
        <w:tc>
          <w:tcPr>
            <w:tcW w:w="1701" w:type="dxa"/>
          </w:tcPr>
          <w:p w14:paraId="0E2637C4" w14:textId="20821D32" w:rsidR="003C5C0F" w:rsidRPr="00A35800" w:rsidDel="00EE2BBB" w:rsidRDefault="003C5C0F" w:rsidP="00A35800">
            <w:pPr>
              <w:pStyle w:val="Tablewriting"/>
            </w:pPr>
            <w:r>
              <w:t>350 mg</w:t>
            </w:r>
          </w:p>
        </w:tc>
        <w:tc>
          <w:tcPr>
            <w:tcW w:w="850" w:type="dxa"/>
          </w:tcPr>
          <w:p w14:paraId="6B361CAA" w14:textId="3AA6D1DE" w:rsidR="003C5C0F" w:rsidRPr="00A35800" w:rsidDel="00EE2BBB" w:rsidRDefault="003C5C0F" w:rsidP="00A35800">
            <w:pPr>
              <w:pStyle w:val="Tablewriting"/>
            </w:pPr>
            <w:r>
              <w:t>2</w:t>
            </w:r>
          </w:p>
        </w:tc>
        <w:tc>
          <w:tcPr>
            <w:tcW w:w="1040" w:type="dxa"/>
          </w:tcPr>
          <w:p w14:paraId="15F68405" w14:textId="515AF7F1" w:rsidR="003C5C0F" w:rsidRPr="00A35800" w:rsidDel="00EE2BBB" w:rsidRDefault="003C5C0F" w:rsidP="00A35800">
            <w:pPr>
              <w:pStyle w:val="Tablewriting"/>
            </w:pPr>
            <w:r w:rsidRPr="00BF1DC2">
              <w:t>$7526.86</w:t>
            </w:r>
          </w:p>
        </w:tc>
        <w:tc>
          <w:tcPr>
            <w:tcW w:w="2104" w:type="dxa"/>
            <w:vMerge w:val="restart"/>
          </w:tcPr>
          <w:p w14:paraId="2D337AC6" w14:textId="48EEA9D3" w:rsidR="003C5C0F" w:rsidRPr="00A35800" w:rsidDel="00EE2BBB" w:rsidRDefault="003C5C0F" w:rsidP="000C385F">
            <w:pPr>
              <w:pStyle w:val="Tablewriting"/>
            </w:pPr>
            <w:proofErr w:type="spellStart"/>
            <w:r>
              <w:t>Libtayo</w:t>
            </w:r>
            <w:proofErr w:type="spellEnd"/>
            <w:r>
              <w:t>, Medison Pharma Australia Pty Ltd</w:t>
            </w:r>
          </w:p>
        </w:tc>
      </w:tr>
      <w:tr w:rsidR="003C5C0F" w:rsidRPr="00A35800" w:rsidDel="00EE2BBB" w14:paraId="5A26F6DA" w14:textId="5F9D4936" w:rsidTr="0093111F">
        <w:trPr>
          <w:trHeight w:val="546"/>
          <w:tblHeader/>
        </w:trPr>
        <w:tc>
          <w:tcPr>
            <w:tcW w:w="969" w:type="dxa"/>
          </w:tcPr>
          <w:p w14:paraId="76F26606" w14:textId="4004F5FC" w:rsidR="003C5C0F" w:rsidRPr="00A35800" w:rsidDel="00EE2BBB" w:rsidRDefault="003C5C0F" w:rsidP="00F14A6C">
            <w:pPr>
              <w:pStyle w:val="Tablewriting"/>
            </w:pPr>
            <w:r>
              <w:t>13152F</w:t>
            </w:r>
          </w:p>
        </w:tc>
        <w:tc>
          <w:tcPr>
            <w:tcW w:w="2400" w:type="dxa"/>
          </w:tcPr>
          <w:p w14:paraId="4C40F7E7" w14:textId="2102D4D9" w:rsidR="003C5C0F" w:rsidRPr="00A35800" w:rsidDel="00EE2BBB" w:rsidRDefault="003C5C0F" w:rsidP="00F14A6C">
            <w:pPr>
              <w:pStyle w:val="Tablewriting"/>
            </w:pPr>
            <w:proofErr w:type="spellStart"/>
            <w:r>
              <w:t>C</w:t>
            </w:r>
            <w:r w:rsidRPr="005719FB">
              <w:t>emiplimab</w:t>
            </w:r>
            <w:proofErr w:type="spellEnd"/>
            <w:r w:rsidRPr="005719FB">
              <w:t xml:space="preserve"> 350 mg/7 mL injection, 7 mL vial</w:t>
            </w:r>
          </w:p>
        </w:tc>
        <w:tc>
          <w:tcPr>
            <w:tcW w:w="1701" w:type="dxa"/>
          </w:tcPr>
          <w:p w14:paraId="73733F58" w14:textId="04AC4A2C" w:rsidR="003C5C0F" w:rsidRPr="00A35800" w:rsidDel="00EE2BBB" w:rsidRDefault="003C5C0F" w:rsidP="00F14A6C">
            <w:pPr>
              <w:pStyle w:val="Tablewriting"/>
            </w:pPr>
            <w:r>
              <w:t>350 mg</w:t>
            </w:r>
          </w:p>
        </w:tc>
        <w:tc>
          <w:tcPr>
            <w:tcW w:w="850" w:type="dxa"/>
          </w:tcPr>
          <w:p w14:paraId="2751F86C" w14:textId="60A63C72" w:rsidR="003C5C0F" w:rsidRPr="00A35800" w:rsidDel="00EE2BBB" w:rsidRDefault="003C5C0F" w:rsidP="00F14A6C">
            <w:pPr>
              <w:pStyle w:val="Tablewriting"/>
            </w:pPr>
            <w:r>
              <w:t>2</w:t>
            </w:r>
          </w:p>
        </w:tc>
        <w:tc>
          <w:tcPr>
            <w:tcW w:w="1040" w:type="dxa"/>
          </w:tcPr>
          <w:p w14:paraId="0EB41EFB" w14:textId="51F5668C" w:rsidR="003C5C0F" w:rsidRPr="00A35800" w:rsidDel="00EE2BBB" w:rsidRDefault="003C5C0F" w:rsidP="00F14A6C">
            <w:pPr>
              <w:pStyle w:val="Tablewriting"/>
            </w:pPr>
            <w:r>
              <w:t>$7380.13</w:t>
            </w:r>
          </w:p>
        </w:tc>
        <w:tc>
          <w:tcPr>
            <w:tcW w:w="2104" w:type="dxa"/>
            <w:vMerge/>
          </w:tcPr>
          <w:p w14:paraId="2F152B32" w14:textId="218CD723" w:rsidR="003C5C0F" w:rsidRPr="00A35800" w:rsidDel="00EE2BBB" w:rsidRDefault="003C5C0F" w:rsidP="00F14A6C">
            <w:pPr>
              <w:pStyle w:val="Tablewriting"/>
            </w:pPr>
          </w:p>
        </w:tc>
      </w:tr>
      <w:tr w:rsidR="003C5C0F" w:rsidRPr="00A35800" w:rsidDel="00EE2BBB" w14:paraId="01C9B296" w14:textId="77777777" w:rsidTr="0093111F">
        <w:trPr>
          <w:trHeight w:val="546"/>
          <w:tblHeader/>
        </w:trPr>
        <w:tc>
          <w:tcPr>
            <w:tcW w:w="969" w:type="dxa"/>
          </w:tcPr>
          <w:p w14:paraId="7EE8C7B2" w14:textId="1F0B3F1C" w:rsidR="003C5C0F" w:rsidRDefault="003C5C0F" w:rsidP="00A44F07">
            <w:pPr>
              <w:pStyle w:val="Tablewriting"/>
            </w:pPr>
            <w:r>
              <w:t>13153G</w:t>
            </w:r>
          </w:p>
        </w:tc>
        <w:tc>
          <w:tcPr>
            <w:tcW w:w="2400" w:type="dxa"/>
          </w:tcPr>
          <w:p w14:paraId="4341F804" w14:textId="0D80DB88" w:rsidR="003C5C0F" w:rsidRDefault="003C5C0F" w:rsidP="00A44F07">
            <w:pPr>
              <w:pStyle w:val="Tablewriting"/>
            </w:pPr>
            <w:proofErr w:type="spellStart"/>
            <w:r>
              <w:t>C</w:t>
            </w:r>
            <w:r w:rsidRPr="005719FB">
              <w:t>emiplimab</w:t>
            </w:r>
            <w:proofErr w:type="spellEnd"/>
            <w:r w:rsidRPr="005719FB">
              <w:t xml:space="preserve"> 350 mg/7 mL injection, 7 mL vial</w:t>
            </w:r>
          </w:p>
        </w:tc>
        <w:tc>
          <w:tcPr>
            <w:tcW w:w="1701" w:type="dxa"/>
          </w:tcPr>
          <w:p w14:paraId="54D49123" w14:textId="2372B963" w:rsidR="003C5C0F" w:rsidRDefault="003C5C0F" w:rsidP="00A44F07">
            <w:pPr>
              <w:pStyle w:val="Tablewriting"/>
            </w:pPr>
            <w:r>
              <w:t>350 mg</w:t>
            </w:r>
          </w:p>
        </w:tc>
        <w:tc>
          <w:tcPr>
            <w:tcW w:w="850" w:type="dxa"/>
          </w:tcPr>
          <w:p w14:paraId="79D0C3D4" w14:textId="033EE1A9" w:rsidR="003C5C0F" w:rsidRDefault="003C5C0F" w:rsidP="00A44F07">
            <w:pPr>
              <w:pStyle w:val="Tablewriting"/>
            </w:pPr>
            <w:r>
              <w:t>2</w:t>
            </w:r>
          </w:p>
        </w:tc>
        <w:tc>
          <w:tcPr>
            <w:tcW w:w="1040" w:type="dxa"/>
          </w:tcPr>
          <w:p w14:paraId="58F58D3B" w14:textId="1E63C9F1" w:rsidR="003C5C0F" w:rsidRDefault="003C5C0F" w:rsidP="00A44F07">
            <w:pPr>
              <w:pStyle w:val="Tablewriting"/>
            </w:pPr>
            <w:r w:rsidRPr="00BF1DC2">
              <w:t>$7526.86</w:t>
            </w:r>
          </w:p>
        </w:tc>
        <w:tc>
          <w:tcPr>
            <w:tcW w:w="2104" w:type="dxa"/>
            <w:vMerge/>
          </w:tcPr>
          <w:p w14:paraId="5F37FBF4" w14:textId="33260D44" w:rsidR="003C5C0F" w:rsidRDefault="003C5C0F" w:rsidP="00A44F07">
            <w:pPr>
              <w:pStyle w:val="Tablewriting"/>
            </w:pPr>
          </w:p>
        </w:tc>
      </w:tr>
      <w:tr w:rsidR="003C5C0F" w:rsidRPr="00A35800" w:rsidDel="00EE2BBB" w14:paraId="40CDA37A" w14:textId="77777777" w:rsidTr="0093111F">
        <w:trPr>
          <w:trHeight w:val="546"/>
          <w:tblHeader/>
        </w:trPr>
        <w:tc>
          <w:tcPr>
            <w:tcW w:w="969" w:type="dxa"/>
          </w:tcPr>
          <w:p w14:paraId="793151A5" w14:textId="490330F8" w:rsidR="003C5C0F" w:rsidRDefault="003C5C0F" w:rsidP="00A44F07">
            <w:pPr>
              <w:pStyle w:val="Tablewriting"/>
            </w:pPr>
            <w:r>
              <w:t>13159N</w:t>
            </w:r>
          </w:p>
        </w:tc>
        <w:tc>
          <w:tcPr>
            <w:tcW w:w="2400" w:type="dxa"/>
          </w:tcPr>
          <w:p w14:paraId="74161768" w14:textId="1A7A75A9" w:rsidR="003C5C0F" w:rsidRDefault="003C5C0F" w:rsidP="00A44F07">
            <w:pPr>
              <w:pStyle w:val="Tablewriting"/>
            </w:pPr>
            <w:proofErr w:type="spellStart"/>
            <w:r>
              <w:t>C</w:t>
            </w:r>
            <w:r w:rsidRPr="005719FB">
              <w:t>emiplimab</w:t>
            </w:r>
            <w:proofErr w:type="spellEnd"/>
            <w:r w:rsidRPr="005719FB">
              <w:t xml:space="preserve"> 350 mg/7 mL injection, 7 mL vial</w:t>
            </w:r>
          </w:p>
        </w:tc>
        <w:tc>
          <w:tcPr>
            <w:tcW w:w="1701" w:type="dxa"/>
          </w:tcPr>
          <w:p w14:paraId="0E8CE35A" w14:textId="67008685" w:rsidR="003C5C0F" w:rsidRDefault="003C5C0F" w:rsidP="00A44F07">
            <w:pPr>
              <w:pStyle w:val="Tablewriting"/>
            </w:pPr>
            <w:r>
              <w:t>350 mg</w:t>
            </w:r>
          </w:p>
        </w:tc>
        <w:tc>
          <w:tcPr>
            <w:tcW w:w="850" w:type="dxa"/>
          </w:tcPr>
          <w:p w14:paraId="4DFA9CD5" w14:textId="1A358A04" w:rsidR="003C5C0F" w:rsidRDefault="003C5C0F" w:rsidP="00A44F07">
            <w:pPr>
              <w:pStyle w:val="Tablewriting"/>
            </w:pPr>
            <w:r>
              <w:t>2</w:t>
            </w:r>
          </w:p>
        </w:tc>
        <w:tc>
          <w:tcPr>
            <w:tcW w:w="1040" w:type="dxa"/>
          </w:tcPr>
          <w:p w14:paraId="225F6681" w14:textId="12FC6BEF" w:rsidR="003C5C0F" w:rsidRPr="00BF1DC2" w:rsidRDefault="003C5C0F" w:rsidP="00A44F07">
            <w:pPr>
              <w:pStyle w:val="Tablewriting"/>
            </w:pPr>
            <w:r>
              <w:t>$7380.13</w:t>
            </w:r>
          </w:p>
        </w:tc>
        <w:tc>
          <w:tcPr>
            <w:tcW w:w="2104" w:type="dxa"/>
            <w:vMerge/>
          </w:tcPr>
          <w:p w14:paraId="40EC3582" w14:textId="55D7C258" w:rsidR="003C5C0F" w:rsidRDefault="003C5C0F" w:rsidP="00A44F07">
            <w:pPr>
              <w:pStyle w:val="Tablewriting"/>
            </w:pPr>
          </w:p>
        </w:tc>
      </w:tr>
    </w:tbl>
    <w:p w14:paraId="1183F151" w14:textId="5C75B174" w:rsidR="007247B9" w:rsidRDefault="007408C7" w:rsidP="00BB1D3B">
      <w:pPr>
        <w:pStyle w:val="Notes"/>
      </w:pPr>
      <w:r w:rsidRPr="00A35800" w:rsidDel="00EE2BBB">
        <w:t xml:space="preserve">Source: </w:t>
      </w:r>
      <w:r w:rsidR="001624D7" w:rsidDel="00EE2BBB">
        <w:t xml:space="preserve">the </w:t>
      </w:r>
      <w:hyperlink r:id="rId10" w:history="1">
        <w:r w:rsidR="001624D7" w:rsidRPr="001624D7" w:rsidDel="00EE2BBB">
          <w:rPr>
            <w:rStyle w:val="Hyperlink"/>
          </w:rPr>
          <w:t>PBS website</w:t>
        </w:r>
      </w:hyperlink>
      <w:r w:rsidR="001624D7" w:rsidDel="00EE2BBB">
        <w:t>.</w:t>
      </w:r>
    </w:p>
    <w:p w14:paraId="13B292E9" w14:textId="5A05A5A8" w:rsidR="00040FC0" w:rsidRDefault="00040FC0" w:rsidP="00BB1D3B">
      <w:pPr>
        <w:pStyle w:val="Notes"/>
      </w:pPr>
      <w:r>
        <w:t>Caution:</w:t>
      </w:r>
    </w:p>
    <w:p w14:paraId="146951EC" w14:textId="77010C4E" w:rsidR="00040FC0" w:rsidRDefault="00876034" w:rsidP="00876034">
      <w:pPr>
        <w:pStyle w:val="Notes"/>
        <w:numPr>
          <w:ilvl w:val="0"/>
          <w:numId w:val="6"/>
        </w:numPr>
      </w:pPr>
      <w:r w:rsidRPr="00876034">
        <w:t>In the first few months after starting immunotherapy, a transient tumour flare may occur that may be mistaken as disease progression despite an overall positive response to treatment.</w:t>
      </w:r>
    </w:p>
    <w:p w14:paraId="0D7D57B2" w14:textId="4CC41C61" w:rsidR="006F574E" w:rsidRDefault="006F574E" w:rsidP="00BB1D3B">
      <w:pPr>
        <w:pStyle w:val="Notes"/>
      </w:pPr>
      <w:r>
        <w:t>Notes:</w:t>
      </w:r>
    </w:p>
    <w:p w14:paraId="79492DB1" w14:textId="353A3BA3" w:rsidR="006F574E" w:rsidRDefault="006F574E" w:rsidP="00AD0972">
      <w:pPr>
        <w:pStyle w:val="Notes"/>
        <w:numPr>
          <w:ilvl w:val="0"/>
          <w:numId w:val="5"/>
        </w:numPr>
        <w:spacing w:after="0"/>
      </w:pPr>
      <w:r w:rsidRPr="006F574E">
        <w:t>No increase in the maximum number of repeats may be authorised.</w:t>
      </w:r>
    </w:p>
    <w:p w14:paraId="54EC6D42" w14:textId="0D5E1513" w:rsidR="00040FC0" w:rsidRDefault="00040FC0" w:rsidP="00AD0972">
      <w:pPr>
        <w:pStyle w:val="Notes"/>
        <w:numPr>
          <w:ilvl w:val="0"/>
          <w:numId w:val="5"/>
        </w:numPr>
        <w:spacing w:after="0"/>
      </w:pPr>
      <w:r w:rsidRPr="00040FC0">
        <w:t>Special Pricing Arrangements apply.</w:t>
      </w:r>
    </w:p>
    <w:p w14:paraId="5E3090AD" w14:textId="681DA37D" w:rsidR="00040FC0" w:rsidRPr="00A35800" w:rsidDel="00EE2BBB" w:rsidRDefault="00040FC0" w:rsidP="00AD0972">
      <w:pPr>
        <w:pStyle w:val="Notes"/>
        <w:numPr>
          <w:ilvl w:val="0"/>
          <w:numId w:val="5"/>
        </w:numPr>
        <w:spacing w:after="0"/>
      </w:pPr>
      <w:r w:rsidRPr="00040FC0">
        <w:t>Applications for authorisation under this restriction may be made in real time using the Online PBS Authorities system.</w:t>
      </w:r>
    </w:p>
    <w:p w14:paraId="1AFA1485" w14:textId="3186A599" w:rsidR="004C3186" w:rsidDel="00EE2BBB" w:rsidRDefault="004C3186" w:rsidP="00CF5E22">
      <w:pPr>
        <w:pStyle w:val="Heading3"/>
      </w:pPr>
      <w:r w:rsidDel="00EE2BBB">
        <w:t>Restriction</w:t>
      </w:r>
    </w:p>
    <w:p w14:paraId="27163216" w14:textId="55DCFC4E" w:rsidR="00546558" w:rsidRDefault="0019255A" w:rsidP="00A35800">
      <w:proofErr w:type="spellStart"/>
      <w:r w:rsidRPr="00BD0DBE">
        <w:t>Cemiplimab</w:t>
      </w:r>
      <w:proofErr w:type="spellEnd"/>
      <w:r w:rsidRPr="00BD0DBE">
        <w:t xml:space="preserve"> is an </w:t>
      </w:r>
      <w:r w:rsidR="00546558" w:rsidRPr="00BD0DBE">
        <w:t xml:space="preserve">Authority Required listing for </w:t>
      </w:r>
      <w:proofErr w:type="spellStart"/>
      <w:r w:rsidR="00546558" w:rsidRPr="00BD0DBE">
        <w:t>mCSCC</w:t>
      </w:r>
      <w:proofErr w:type="spellEnd"/>
      <w:r w:rsidR="00546558" w:rsidRPr="00BD0DBE">
        <w:t xml:space="preserve"> or </w:t>
      </w:r>
      <w:proofErr w:type="spellStart"/>
      <w:r w:rsidR="00546558" w:rsidRPr="00BD0DBE">
        <w:t>laCSCC</w:t>
      </w:r>
      <w:proofErr w:type="spellEnd"/>
      <w:r w:rsidR="00546558" w:rsidRPr="00BD0DBE">
        <w:t>.</w:t>
      </w:r>
    </w:p>
    <w:p w14:paraId="19259E70" w14:textId="77777777" w:rsidR="00AD0972" w:rsidRDefault="00AD0972" w:rsidP="00A35800">
      <w:pPr>
        <w:rPr>
          <w:b/>
          <w:bCs/>
        </w:rPr>
      </w:pPr>
    </w:p>
    <w:p w14:paraId="7D9CA9EB" w14:textId="0FED2EB5" w:rsidR="005408DC" w:rsidRDefault="005408DC" w:rsidP="00A35800">
      <w:r>
        <w:rPr>
          <w:b/>
          <w:bCs/>
        </w:rPr>
        <w:t xml:space="preserve">Treatment Phase: </w:t>
      </w:r>
      <w:r w:rsidRPr="003C5C0F">
        <w:rPr>
          <w:b/>
          <w:bCs/>
        </w:rPr>
        <w:t>Initial treatment</w:t>
      </w:r>
      <w:r w:rsidR="002660EF" w:rsidRPr="003C5C0F">
        <w:rPr>
          <w:b/>
          <w:bCs/>
        </w:rPr>
        <w:t xml:space="preserve"> covering the first 3 treatment cycles</w:t>
      </w:r>
    </w:p>
    <w:p w14:paraId="36C3F58A" w14:textId="00EDD436" w:rsidR="005408DC" w:rsidRDefault="005408DC" w:rsidP="00A35800">
      <w:pPr>
        <w:rPr>
          <w:b/>
          <w:bCs/>
        </w:rPr>
      </w:pPr>
      <w:r>
        <w:rPr>
          <w:b/>
          <w:bCs/>
        </w:rPr>
        <w:t>Clinical criteria:</w:t>
      </w:r>
    </w:p>
    <w:p w14:paraId="7EB6E4C1" w14:textId="6311A9B3" w:rsidR="00F94101" w:rsidRDefault="002660EF" w:rsidP="006044DD">
      <w:pPr>
        <w:pStyle w:val="ListParagraph"/>
        <w:numPr>
          <w:ilvl w:val="0"/>
          <w:numId w:val="7"/>
        </w:numPr>
      </w:pPr>
      <w:r w:rsidRPr="00B432F7">
        <w:t>The condition must be unsuitable for each of</w:t>
      </w:r>
      <w:r w:rsidR="001E3308">
        <w:t xml:space="preserve"> (</w:t>
      </w:r>
      <w:proofErr w:type="spellStart"/>
      <w:r w:rsidR="001E3308">
        <w:t>i</w:t>
      </w:r>
      <w:proofErr w:type="spellEnd"/>
      <w:r w:rsidR="001E3308">
        <w:t xml:space="preserve">) </w:t>
      </w:r>
      <w:r w:rsidRPr="00B432F7">
        <w:t xml:space="preserve">curative surgical resection, </w:t>
      </w:r>
      <w:r w:rsidR="001E3308">
        <w:t xml:space="preserve">(ii) </w:t>
      </w:r>
      <w:r w:rsidRPr="00B432F7">
        <w:t xml:space="preserve">curative radiotherapy, </w:t>
      </w:r>
    </w:p>
    <w:p w14:paraId="00CC6241" w14:textId="4972AEEF" w:rsidR="005408DC" w:rsidRPr="00F94101" w:rsidRDefault="002660EF" w:rsidP="00F94101">
      <w:pPr>
        <w:rPr>
          <w:b/>
          <w:bCs/>
        </w:rPr>
      </w:pPr>
      <w:r w:rsidRPr="00F94101">
        <w:rPr>
          <w:b/>
          <w:bCs/>
        </w:rPr>
        <w:t>AND</w:t>
      </w:r>
    </w:p>
    <w:p w14:paraId="42AF39D7" w14:textId="77777777" w:rsidR="00F94101" w:rsidRDefault="005F0BAF" w:rsidP="005408DC">
      <w:pPr>
        <w:pStyle w:val="ListParagraph"/>
        <w:numPr>
          <w:ilvl w:val="0"/>
          <w:numId w:val="7"/>
        </w:numPr>
      </w:pPr>
      <w:r w:rsidRPr="00B432F7">
        <w:t xml:space="preserve">Patient must have had a WHO performance status of 0 or 1, </w:t>
      </w:r>
    </w:p>
    <w:p w14:paraId="26224AA4" w14:textId="133A67DD" w:rsidR="002660EF" w:rsidRPr="00F94101" w:rsidRDefault="005F0BAF" w:rsidP="00F94101">
      <w:pPr>
        <w:rPr>
          <w:b/>
          <w:bCs/>
        </w:rPr>
      </w:pPr>
      <w:r w:rsidRPr="00F94101">
        <w:rPr>
          <w:b/>
          <w:bCs/>
        </w:rPr>
        <w:t>AND</w:t>
      </w:r>
    </w:p>
    <w:p w14:paraId="6176490E" w14:textId="25D69821" w:rsidR="00B432F7" w:rsidRDefault="005F0BAF" w:rsidP="00B432F7">
      <w:pPr>
        <w:pStyle w:val="ListParagraph"/>
        <w:numPr>
          <w:ilvl w:val="0"/>
          <w:numId w:val="7"/>
        </w:numPr>
      </w:pPr>
      <w:r w:rsidRPr="00B432F7">
        <w:t>The treatment must be the sole PBS-subsidised therapy for this condition.</w:t>
      </w:r>
    </w:p>
    <w:p w14:paraId="2B0BA6D8" w14:textId="00255149" w:rsidR="00835541" w:rsidRDefault="00835541" w:rsidP="00835541">
      <w:r w:rsidRPr="00835541">
        <w:rPr>
          <w:b/>
          <w:bCs/>
        </w:rPr>
        <w:t xml:space="preserve">Treatment Phase: </w:t>
      </w:r>
      <w:r w:rsidR="00DF7910" w:rsidRPr="003C5C0F">
        <w:rPr>
          <w:b/>
          <w:bCs/>
        </w:rPr>
        <w:t>Continuing</w:t>
      </w:r>
      <w:r w:rsidRPr="003C5C0F">
        <w:rPr>
          <w:b/>
          <w:bCs/>
        </w:rPr>
        <w:t xml:space="preserve"> treatment</w:t>
      </w:r>
    </w:p>
    <w:p w14:paraId="790C7C30" w14:textId="77777777" w:rsidR="00835541" w:rsidRDefault="00835541" w:rsidP="00835541">
      <w:pPr>
        <w:rPr>
          <w:b/>
          <w:bCs/>
        </w:rPr>
      </w:pPr>
      <w:r w:rsidRPr="00835541">
        <w:rPr>
          <w:b/>
          <w:bCs/>
        </w:rPr>
        <w:t>Clinical criteria:</w:t>
      </w:r>
    </w:p>
    <w:p w14:paraId="402880F2" w14:textId="77777777" w:rsidR="00F94101" w:rsidRDefault="00C86C18" w:rsidP="007B1AC5">
      <w:pPr>
        <w:pStyle w:val="ListParagraph"/>
        <w:numPr>
          <w:ilvl w:val="0"/>
          <w:numId w:val="8"/>
        </w:numPr>
      </w:pPr>
      <w:r w:rsidRPr="00C86C18">
        <w:t xml:space="preserve">Patient must have previously received PBS-subsidised therapy with this drug for this condition, </w:t>
      </w:r>
    </w:p>
    <w:p w14:paraId="54456F92" w14:textId="132CFE67" w:rsidR="00C86C18" w:rsidRPr="00F94101" w:rsidRDefault="00C86C18" w:rsidP="00F94101">
      <w:pPr>
        <w:rPr>
          <w:b/>
          <w:bCs/>
        </w:rPr>
      </w:pPr>
      <w:r w:rsidRPr="00F94101">
        <w:rPr>
          <w:b/>
          <w:bCs/>
        </w:rPr>
        <w:t>AND</w:t>
      </w:r>
    </w:p>
    <w:p w14:paraId="2D67275D" w14:textId="5E9FAE3C" w:rsidR="00DF7910" w:rsidRDefault="00C86C18" w:rsidP="00C86C18">
      <w:pPr>
        <w:pStyle w:val="ListParagraph"/>
        <w:numPr>
          <w:ilvl w:val="0"/>
          <w:numId w:val="8"/>
        </w:numPr>
      </w:pPr>
      <w:r w:rsidRPr="00C86C18">
        <w:t>The treatment must be the sole PBS-subsidised therapy for this condition.</w:t>
      </w:r>
    </w:p>
    <w:p w14:paraId="1F7352BE" w14:textId="180DE319" w:rsidR="00C86C18" w:rsidRDefault="00C86C18" w:rsidP="00C86C18">
      <w:pPr>
        <w:rPr>
          <w:b/>
          <w:bCs/>
        </w:rPr>
      </w:pPr>
      <w:r>
        <w:rPr>
          <w:b/>
          <w:bCs/>
        </w:rPr>
        <w:t xml:space="preserve">Treatment criteria: </w:t>
      </w:r>
    </w:p>
    <w:p w14:paraId="481EE0E1" w14:textId="77777777" w:rsidR="00F462BF" w:rsidRDefault="00C910B8" w:rsidP="006044DD">
      <w:pPr>
        <w:pStyle w:val="ListParagraph"/>
        <w:numPr>
          <w:ilvl w:val="0"/>
          <w:numId w:val="8"/>
        </w:numPr>
      </w:pPr>
      <w:r w:rsidRPr="00C910B8">
        <w:t xml:space="preserve">Patient must not be undergoing treatment with this drug as a PBS benefit where the treatment duration extends beyond the following, whichever comes first: </w:t>
      </w:r>
    </w:p>
    <w:p w14:paraId="6F00DA25" w14:textId="0EBDA5AC" w:rsidR="00F462BF" w:rsidRDefault="00C910B8" w:rsidP="00F462BF">
      <w:pPr>
        <w:pStyle w:val="ListParagraph"/>
        <w:numPr>
          <w:ilvl w:val="0"/>
          <w:numId w:val="10"/>
        </w:numPr>
      </w:pPr>
      <w:r w:rsidRPr="00C910B8">
        <w:t xml:space="preserve">disease progression despite treatment with this drug, </w:t>
      </w:r>
    </w:p>
    <w:p w14:paraId="63351138" w14:textId="3980B876" w:rsidR="00C86C18" w:rsidRPr="00C86C18" w:rsidRDefault="00C910B8" w:rsidP="00F462BF">
      <w:pPr>
        <w:pStyle w:val="ListParagraph"/>
        <w:numPr>
          <w:ilvl w:val="0"/>
          <w:numId w:val="10"/>
        </w:numPr>
      </w:pPr>
      <w:r w:rsidRPr="00C910B8">
        <w:t>24 months from treatment initiation; annotate any remaining repeat prescriptions with the word 'cancelled' where this occurs.</w:t>
      </w:r>
    </w:p>
    <w:p w14:paraId="4DE802DC" w14:textId="2D70337E" w:rsidR="00376F26" w:rsidRPr="006775F1" w:rsidDel="00EE2BBB" w:rsidRDefault="006775F1" w:rsidP="00A35800">
      <w:r w:rsidRPr="006775F1" w:rsidDel="00EE2BBB">
        <w:t xml:space="preserve">For </w:t>
      </w:r>
      <w:r w:rsidR="00835337" w:rsidDel="00EE2BBB">
        <w:t xml:space="preserve">details of the current PBS listing refer to the </w:t>
      </w:r>
      <w:hyperlink r:id="rId11" w:history="1">
        <w:r w:rsidR="00835337" w:rsidRPr="00645D51" w:rsidDel="00EE2BBB">
          <w:rPr>
            <w:rStyle w:val="Hyperlink"/>
          </w:rPr>
          <w:t>PBS website</w:t>
        </w:r>
      </w:hyperlink>
      <w:r w:rsidR="00835337" w:rsidDel="00EE2BBB">
        <w:rPr>
          <w:rStyle w:val="Hyperlink"/>
        </w:rPr>
        <w:t>.</w:t>
      </w:r>
    </w:p>
    <w:p w14:paraId="383E312E" w14:textId="724CF700"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14:paraId="2506447E" w14:textId="45E524DD" w:rsidR="00F94F25" w:rsidRDefault="00BE2BEC" w:rsidP="00A35800">
      <w:pPr>
        <w:rPr>
          <w:b/>
          <w:bCs/>
        </w:rPr>
      </w:pPr>
      <w:r>
        <w:rPr>
          <w:b/>
          <w:bCs/>
        </w:rPr>
        <w:t>November 2020</w:t>
      </w:r>
    </w:p>
    <w:p w14:paraId="1CF72A3B" w14:textId="77777777" w:rsidR="00001262" w:rsidRDefault="00001262" w:rsidP="00001262">
      <w:pPr>
        <w:spacing w:after="0"/>
      </w:pPr>
      <w:r>
        <w:t xml:space="preserve">The submission requested a Section 100 listing (Efficient Funding of Chemotherapy) </w:t>
      </w:r>
    </w:p>
    <w:p w14:paraId="365F95CE" w14:textId="175255EC" w:rsidR="00BE2BEC" w:rsidRDefault="00001262" w:rsidP="00001262">
      <w:pPr>
        <w:spacing w:after="0"/>
      </w:pPr>
      <w:r>
        <w:t xml:space="preserve">for </w:t>
      </w:r>
      <w:proofErr w:type="spellStart"/>
      <w:r>
        <w:t>cemiplimab</w:t>
      </w:r>
      <w:proofErr w:type="spellEnd"/>
      <w:r>
        <w:t xml:space="preserve"> for the treatment of patients with </w:t>
      </w:r>
      <w:proofErr w:type="spellStart"/>
      <w:r>
        <w:t>mCSCC</w:t>
      </w:r>
      <w:proofErr w:type="spellEnd"/>
      <w:r>
        <w:t xml:space="preserve"> or </w:t>
      </w:r>
      <w:proofErr w:type="spellStart"/>
      <w:r>
        <w:t>laCSCC</w:t>
      </w:r>
      <w:proofErr w:type="spellEnd"/>
      <w:r>
        <w:t xml:space="preserve"> who are not candidates for curative surgery or curative radiation. </w:t>
      </w:r>
      <w:r w:rsidR="00FA0ECD">
        <w:t xml:space="preserve">The PBAC did not recommend </w:t>
      </w:r>
      <w:proofErr w:type="spellStart"/>
      <w:r w:rsidR="00FA0ECD">
        <w:t>cemiplimab</w:t>
      </w:r>
      <w:proofErr w:type="spellEnd"/>
      <w:r w:rsidR="00FA0ECD">
        <w:t xml:space="preserve"> </w:t>
      </w:r>
      <w:r w:rsidR="00044342">
        <w:t>and</w:t>
      </w:r>
      <w:r w:rsidR="00FA0ECD">
        <w:t xml:space="preserve"> considered that the data presented were insufficient to adequately determine the magnitude of improvement in effectiveness and safety of </w:t>
      </w:r>
      <w:proofErr w:type="spellStart"/>
      <w:r w:rsidR="00FA0ECD">
        <w:t>cemiplimab</w:t>
      </w:r>
      <w:proofErr w:type="spellEnd"/>
      <w:r w:rsidR="00FA0ECD">
        <w:t xml:space="preserve"> compared to best </w:t>
      </w:r>
      <w:r w:rsidR="00D2401E">
        <w:t>s</w:t>
      </w:r>
      <w:r w:rsidR="00FA0ECD">
        <w:t>upportive care ± chemotherapy (BSC ± CT) with the comparison of single arm</w:t>
      </w:r>
      <w:r w:rsidR="00D2401E">
        <w:t xml:space="preserve"> </w:t>
      </w:r>
      <w:r w:rsidR="00FA0ECD">
        <w:t>studies</w:t>
      </w:r>
      <w:r w:rsidR="00D2401E">
        <w:t xml:space="preserve"> </w:t>
      </w:r>
      <w:r w:rsidR="00FA0ECD">
        <w:t>highly uncertain. The PBAC considered the incremental cost-effectiveness</w:t>
      </w:r>
      <w:r w:rsidR="00D2401E">
        <w:t xml:space="preserve"> </w:t>
      </w:r>
      <w:r w:rsidR="00FA0ECD">
        <w:t>ratio (ICER) was</w:t>
      </w:r>
      <w:r w:rsidR="00D2401E">
        <w:t xml:space="preserve"> </w:t>
      </w:r>
      <w:r w:rsidR="00FA0ECD">
        <w:t xml:space="preserve">highly uncertain given the limitations with the clinical </w:t>
      </w:r>
      <w:proofErr w:type="gramStart"/>
      <w:r w:rsidR="00FA0ECD">
        <w:t>data, and</w:t>
      </w:r>
      <w:proofErr w:type="gramEnd"/>
      <w:r w:rsidR="00D2401E">
        <w:t xml:space="preserve"> </w:t>
      </w:r>
      <w:r w:rsidR="00FA0ECD">
        <w:t>substantially</w:t>
      </w:r>
      <w:r w:rsidR="00D2401E">
        <w:t xml:space="preserve"> </w:t>
      </w:r>
      <w:r w:rsidR="00FA0ECD">
        <w:t>underestimated. The PBAC considered the financial impact as</w:t>
      </w:r>
      <w:r w:rsidR="00D2401E">
        <w:t xml:space="preserve"> </w:t>
      </w:r>
      <w:r w:rsidR="00FA0ECD">
        <w:t>estimated in the submission was uncertain and potentially very high.</w:t>
      </w:r>
    </w:p>
    <w:p w14:paraId="64546E77" w14:textId="77777777" w:rsidR="0050622F" w:rsidRDefault="0050622F" w:rsidP="00001262">
      <w:pPr>
        <w:spacing w:after="0"/>
      </w:pPr>
    </w:p>
    <w:p w14:paraId="540B53BA" w14:textId="1556BE21" w:rsidR="0050622F" w:rsidRPr="00F65F0D" w:rsidRDefault="0050622F" w:rsidP="0050622F">
      <w:r>
        <w:t xml:space="preserve">For further details refer to </w:t>
      </w:r>
      <w:r w:rsidRPr="00F65F0D">
        <w:t xml:space="preserve">the </w:t>
      </w:r>
      <w:hyperlink r:id="rId12" w:history="1">
        <w:r w:rsidRPr="00ED0DB8">
          <w:rPr>
            <w:rStyle w:val="Hyperlink"/>
          </w:rPr>
          <w:t>Public Summary Document</w:t>
        </w:r>
      </w:hyperlink>
      <w:r>
        <w:t xml:space="preserve"> </w:t>
      </w:r>
      <w:r w:rsidRPr="00F65F0D">
        <w:t xml:space="preserve">from the </w:t>
      </w:r>
      <w:r w:rsidR="00ED0DB8">
        <w:t>November 2020</w:t>
      </w:r>
      <w:r>
        <w:t xml:space="preserve"> PBAC meeting.</w:t>
      </w:r>
    </w:p>
    <w:p w14:paraId="3233BBBA" w14:textId="74F0761B" w:rsidR="00D2401E" w:rsidRDefault="00092531" w:rsidP="00062E9F">
      <w:pPr>
        <w:spacing w:before="240"/>
        <w:rPr>
          <w:b/>
          <w:bCs/>
        </w:rPr>
      </w:pPr>
      <w:r>
        <w:rPr>
          <w:b/>
          <w:bCs/>
        </w:rPr>
        <w:t>March 2022</w:t>
      </w:r>
    </w:p>
    <w:p w14:paraId="4706BCB4" w14:textId="1110453D" w:rsidR="00092531" w:rsidRDefault="003E52FF" w:rsidP="008708E4">
      <w:pPr>
        <w:spacing w:after="0"/>
      </w:pPr>
      <w:r w:rsidRPr="003E52FF">
        <w:t xml:space="preserve">The </w:t>
      </w:r>
      <w:r w:rsidR="00A33E5F">
        <w:t xml:space="preserve">requested indication in the </w:t>
      </w:r>
      <w:r w:rsidRPr="003E52FF">
        <w:t>standard re-entry resubmission</w:t>
      </w:r>
      <w:r w:rsidR="008708E4">
        <w:t xml:space="preserve"> was unchanged from the previous submission considered by the PBAC in November 2020. Listing was requested </w:t>
      </w:r>
      <w:proofErr w:type="gramStart"/>
      <w:r w:rsidR="008708E4">
        <w:t>on the basis of</w:t>
      </w:r>
      <w:proofErr w:type="gramEnd"/>
      <w:r w:rsidR="008708E4">
        <w:t xml:space="preserve"> a cost-utility analysis versus BSC with or without CT.</w:t>
      </w:r>
    </w:p>
    <w:p w14:paraId="5ACBA8FB" w14:textId="77777777" w:rsidR="008708E4" w:rsidRDefault="008708E4" w:rsidP="008708E4">
      <w:pPr>
        <w:spacing w:after="0"/>
      </w:pPr>
    </w:p>
    <w:p w14:paraId="5D59FF61" w14:textId="5DC10873" w:rsidR="00BA432A" w:rsidRDefault="006B4872" w:rsidP="00BC3CEB">
      <w:pPr>
        <w:spacing w:after="0"/>
      </w:pPr>
      <w:r w:rsidRPr="006B4872">
        <w:t xml:space="preserve">The PBAC was satisfied that </w:t>
      </w:r>
      <w:proofErr w:type="spellStart"/>
      <w:r w:rsidRPr="006B4872">
        <w:t>cemiplimab</w:t>
      </w:r>
      <w:proofErr w:type="spellEnd"/>
      <w:r w:rsidRPr="006B4872">
        <w:t xml:space="preserve"> provides, for some patients, improvement in efficacy over BSC ± CT. The PBAC considered that, while the magnitude of difference in effectiveness of </w:t>
      </w:r>
      <w:proofErr w:type="spellStart"/>
      <w:r w:rsidRPr="006B4872">
        <w:t>cemiplimab</w:t>
      </w:r>
      <w:proofErr w:type="spellEnd"/>
      <w:r w:rsidRPr="006B4872">
        <w:t xml:space="preserve"> remains uncertain, there is a high unmet clinical need in this population with potential for quality of life (QoL) benefits not encompassed in the available data. The PBAC’s recommendation for listing was based on, among other matters, its assessment that the subsequent uncertainty in the incremental cost-effectiveness ratio (ICER) could be addressed through a lower ICER threshold and resulting price reduction. The PBAC considered the exclusion of patients with an ECOG performance status (PS) of 2 or more appropriate and considered the financial estimates should be amended accordingly. In addition, the PBAC considered a risk sharing arrangement appropriate to manage the risk of use beyond the restriction.</w:t>
      </w:r>
      <w:r>
        <w:t xml:space="preserve"> </w:t>
      </w:r>
    </w:p>
    <w:p w14:paraId="1B98B544" w14:textId="77777777" w:rsidR="00286CD0" w:rsidRDefault="00286CD0" w:rsidP="00BC3CEB">
      <w:pPr>
        <w:spacing w:after="0"/>
      </w:pPr>
    </w:p>
    <w:p w14:paraId="38FD1A95" w14:textId="1DE7B297" w:rsidR="00376F26" w:rsidRPr="00F65F0D" w:rsidRDefault="00D94863" w:rsidP="00D94863">
      <w:r>
        <w:t xml:space="preserve">For further details refer to </w:t>
      </w:r>
      <w:r w:rsidRPr="00F65F0D">
        <w:t xml:space="preserve">the </w:t>
      </w:r>
      <w:hyperlink r:id="rId13" w:history="1">
        <w:r w:rsidRPr="001B04C2">
          <w:rPr>
            <w:rStyle w:val="Hyperlink"/>
          </w:rPr>
          <w:t>Public Summary Document</w:t>
        </w:r>
      </w:hyperlink>
      <w:r>
        <w:t xml:space="preserve"> </w:t>
      </w:r>
      <w:r w:rsidRPr="00F65F0D">
        <w:t xml:space="preserve">from the </w:t>
      </w:r>
      <w:r w:rsidR="001B04C2">
        <w:t>March 2022</w:t>
      </w:r>
      <w:r>
        <w:t xml:space="preserve"> PBAC meeting.</w:t>
      </w:r>
    </w:p>
    <w:p w14:paraId="72C2CA24" w14:textId="4A28B89A" w:rsidR="000F2F51" w:rsidRDefault="00ED633B" w:rsidP="00CF5E22">
      <w:pPr>
        <w:pStyle w:val="Heading2"/>
      </w:pPr>
      <w:r>
        <w:t>A</w:t>
      </w:r>
      <w:r w:rsidR="000F2F51">
        <w:t xml:space="preserve">pproach </w:t>
      </w:r>
      <w:r>
        <w:t xml:space="preserve">taken to </w:t>
      </w:r>
      <w:r w:rsidR="000F2F51">
        <w:t>estimat</w:t>
      </w:r>
      <w:r>
        <w:t>e</w:t>
      </w:r>
      <w:r w:rsidR="000F2F51">
        <w:t xml:space="preserve"> utilisation</w:t>
      </w:r>
    </w:p>
    <w:p w14:paraId="3E52BCE9" w14:textId="6E500B74" w:rsidR="00581A1B" w:rsidRDefault="00581A1B" w:rsidP="00581A1B">
      <w:pPr>
        <w:spacing w:after="0"/>
      </w:pPr>
      <w:r>
        <w:t>Th</w:t>
      </w:r>
      <w:r w:rsidR="00165A55">
        <w:t>e</w:t>
      </w:r>
      <w:r>
        <w:t xml:space="preserve"> </w:t>
      </w:r>
      <w:r w:rsidR="00165A55">
        <w:t xml:space="preserve">March 2022 </w:t>
      </w:r>
      <w:r>
        <w:t xml:space="preserve">resubmission was not considered by </w:t>
      </w:r>
      <w:proofErr w:type="gramStart"/>
      <w:r>
        <w:t>DUSC,</w:t>
      </w:r>
      <w:proofErr w:type="gramEnd"/>
      <w:r>
        <w:t xml:space="preserve"> however the November 2020 submission was. As in the previous submission, the resubmission took an epidemiological approach to estimate the financial impact of the proposed listing of </w:t>
      </w:r>
      <w:proofErr w:type="spellStart"/>
      <w:r>
        <w:t>cemiplimab</w:t>
      </w:r>
      <w:proofErr w:type="spellEnd"/>
      <w:r>
        <w:t xml:space="preserve">. DUSC considered the estimates presented in the November 2020 submission to be underestimated. The main issues were related to the estimated proportion of </w:t>
      </w:r>
      <w:proofErr w:type="spellStart"/>
      <w:r>
        <w:t>laCSCC</w:t>
      </w:r>
      <w:proofErr w:type="spellEnd"/>
      <w:r>
        <w:t xml:space="preserve"> and </w:t>
      </w:r>
      <w:proofErr w:type="spellStart"/>
      <w:r>
        <w:t>mCSCC</w:t>
      </w:r>
      <w:proofErr w:type="spellEnd"/>
      <w:r>
        <w:t xml:space="preserve">, not considering patients progressing from earlier stages of disease, using a mixed prevalence and incidence approach rather than a prevalence approach in all six years of estimates, the inclusion of grandfathered patients as an addition to prevalent patients in calculating the number of patients likely to receive </w:t>
      </w:r>
      <w:proofErr w:type="spellStart"/>
      <w:r>
        <w:t>cemiplimab</w:t>
      </w:r>
      <w:proofErr w:type="spellEnd"/>
      <w:r>
        <w:t xml:space="preserve"> in the first year of listing and the underestimated uptake of </w:t>
      </w:r>
      <w:proofErr w:type="spellStart"/>
      <w:r>
        <w:t>cemiplimab</w:t>
      </w:r>
      <w:proofErr w:type="spellEnd"/>
      <w:r>
        <w:t xml:space="preserve">. </w:t>
      </w:r>
    </w:p>
    <w:p w14:paraId="24F1E333" w14:textId="77777777" w:rsidR="00E25C2C" w:rsidRDefault="00E25C2C" w:rsidP="00581A1B">
      <w:pPr>
        <w:spacing w:after="0"/>
      </w:pPr>
    </w:p>
    <w:p w14:paraId="2D698294" w14:textId="77777777" w:rsidR="00E25C2C" w:rsidRPr="00F65F0D" w:rsidRDefault="00E25C2C" w:rsidP="00E25C2C">
      <w:r>
        <w:t xml:space="preserve">For further details refer to </w:t>
      </w:r>
      <w:r w:rsidRPr="00F65F0D">
        <w:t xml:space="preserve">the </w:t>
      </w:r>
      <w:hyperlink r:id="rId14" w:history="1">
        <w:r w:rsidRPr="001B04C2">
          <w:rPr>
            <w:rStyle w:val="Hyperlink"/>
          </w:rPr>
          <w:t>Public Summary Document</w:t>
        </w:r>
      </w:hyperlink>
      <w:r>
        <w:t xml:space="preserve"> </w:t>
      </w:r>
      <w:r w:rsidRPr="00F65F0D">
        <w:t xml:space="preserve">from the </w:t>
      </w:r>
      <w:r>
        <w:t>March 2022 PBAC meeting.</w:t>
      </w:r>
    </w:p>
    <w:p w14:paraId="0312FFEC" w14:textId="5C6A9662" w:rsidR="00E677DD" w:rsidRPr="005E22C2" w:rsidRDefault="00E677DD" w:rsidP="00CF5E22">
      <w:pPr>
        <w:pStyle w:val="Heading1"/>
      </w:pPr>
      <w:r w:rsidRPr="005E22C2">
        <w:t>Method</w:t>
      </w:r>
      <w:r w:rsidR="001B5D37" w:rsidRPr="005E22C2">
        <w:t>s</w:t>
      </w:r>
    </w:p>
    <w:p w14:paraId="1E18CA32" w14:textId="77777777" w:rsidR="005A5662" w:rsidRPr="00A33F12" w:rsidRDefault="005A5662" w:rsidP="00B15481">
      <w:r w:rsidRPr="00A33F12">
        <w:t xml:space="preserve">Data extracted from the PBS claims database maintained by the Department of Health and Aged Care and processed by Services Australia were used for the analyses. Data were extracted for prescriptions supplied from 1 </w:t>
      </w:r>
      <w:r>
        <w:t xml:space="preserve">November </w:t>
      </w:r>
      <w:r w:rsidRPr="00A33F12">
        <w:t>20</w:t>
      </w:r>
      <w:r>
        <w:t>22</w:t>
      </w:r>
      <w:r w:rsidRPr="00A33F12">
        <w:t xml:space="preserve"> </w:t>
      </w:r>
      <w:r>
        <w:t xml:space="preserve">(the PBS listing date for </w:t>
      </w:r>
      <w:proofErr w:type="spellStart"/>
      <w:r>
        <w:t>cemiplimab</w:t>
      </w:r>
      <w:proofErr w:type="spellEnd"/>
      <w:r>
        <w:t xml:space="preserve">) </w:t>
      </w:r>
      <w:r w:rsidRPr="00A33F12">
        <w:t xml:space="preserve">up to </w:t>
      </w:r>
      <w:r>
        <w:t>the end of March</w:t>
      </w:r>
      <w:r w:rsidRPr="00A33F12">
        <w:t xml:space="preserve"> 2025 for </w:t>
      </w:r>
      <w:proofErr w:type="spellStart"/>
      <w:r>
        <w:t>cemiplimab</w:t>
      </w:r>
      <w:proofErr w:type="spellEnd"/>
      <w:r>
        <w:t>.</w:t>
      </w:r>
    </w:p>
    <w:p w14:paraId="381196DD" w14:textId="77777777" w:rsidR="005A5662" w:rsidRPr="00A33F12" w:rsidRDefault="005A5662" w:rsidP="00B15481">
      <w:r w:rsidRPr="00A33F12">
        <w:t>As this analysis uses date of supply prescription data, there may be small differences compared with publicly available Services Australia Medicare date of processing data.  The publicly available Services Australia Medicare data only includes subsidised R/PBS prescriptions with prescriptions under the patient co-payment not included. The Services Australia Medicare data used in this report includes under co-payment prescriptions from 1</w:t>
      </w:r>
      <w:r>
        <w:t> </w:t>
      </w:r>
      <w:r w:rsidRPr="00A33F12">
        <w:t>April 2012.</w:t>
      </w:r>
    </w:p>
    <w:p w14:paraId="15D566B1" w14:textId="77777777" w:rsidR="005A5662" w:rsidRDefault="005A5662" w:rsidP="00B15481">
      <w:r>
        <w:t>Prevalent and initiating patient counts were based on unique patient identifiers in the PBS prescription data. Time of initiation was based on the date of supply of a patient’s first prescription for each indication.</w:t>
      </w:r>
    </w:p>
    <w:p w14:paraId="5CC4887F" w14:textId="2C763E74" w:rsidR="00546826" w:rsidRDefault="005A5662" w:rsidP="00B15481">
      <w:pPr>
        <w:rPr>
          <w:rFonts w:eastAsiaTheme="majorEastAsia" w:cstheme="majorBidi"/>
          <w:b/>
          <w:bCs/>
          <w:sz w:val="32"/>
          <w:szCs w:val="32"/>
        </w:rPr>
      </w:pPr>
      <w:r>
        <w:t>Length of treatment was estimated using Kaplan</w:t>
      </w:r>
      <w:r w:rsidR="00E40B47">
        <w:t>-</w:t>
      </w:r>
      <w:r>
        <w:t>Meier survival analysis to account for the varying length of follow up from initiation for each patient and the fact that many patients are still on treatment at the end of the data period.</w:t>
      </w:r>
    </w:p>
    <w:p w14:paraId="67BD26BA" w14:textId="77777777" w:rsidR="000B426D" w:rsidRDefault="000B426D" w:rsidP="00B15481">
      <w:pPr>
        <w:spacing w:line="276" w:lineRule="auto"/>
        <w:rPr>
          <w:rFonts w:eastAsiaTheme="majorEastAsia" w:cstheme="majorBidi"/>
          <w:b/>
          <w:bCs/>
          <w:sz w:val="32"/>
          <w:szCs w:val="32"/>
        </w:rPr>
      </w:pPr>
      <w:r>
        <w:br w:type="page"/>
      </w:r>
    </w:p>
    <w:p w14:paraId="4F91A98A" w14:textId="240ED2E3" w:rsidR="00C714D0" w:rsidRPr="005E22C2" w:rsidRDefault="00C714D0" w:rsidP="00CF5E22">
      <w:pPr>
        <w:pStyle w:val="Heading1"/>
      </w:pPr>
      <w:r w:rsidRPr="005E22C2">
        <w:t>Results</w:t>
      </w:r>
    </w:p>
    <w:p w14:paraId="2221FF19" w14:textId="336CE8B2"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9F8A9BC" w14:textId="35E50016" w:rsidR="006A44F5" w:rsidRPr="005E22C2" w:rsidRDefault="00736041" w:rsidP="00CF5E22">
      <w:pPr>
        <w:pStyle w:val="Heading3"/>
      </w:pPr>
      <w:r w:rsidRPr="005E22C2">
        <w:t>Overall utilisation</w:t>
      </w:r>
    </w:p>
    <w:p w14:paraId="5E8333F7" w14:textId="6D9A178B" w:rsidR="00FE392D" w:rsidRDefault="00CB74EE" w:rsidP="00A35800">
      <w:r>
        <w:rPr>
          <w:noProof/>
        </w:rPr>
        <w:drawing>
          <wp:inline distT="0" distB="0" distL="0" distR="0" wp14:anchorId="4B862E46" wp14:editId="559EEE47">
            <wp:extent cx="5619750" cy="3738880"/>
            <wp:effectExtent l="0" t="0" r="0" b="0"/>
            <wp:docPr id="1349980198" name="Picture 1" descr="A graph of incident and prevalent patients by quar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80198" name="Picture 1" descr="A graph of incident and prevalent patients by quarter. "/>
                    <pic:cNvPicPr/>
                  </pic:nvPicPr>
                  <pic:blipFill>
                    <a:blip r:embed="rId15"/>
                    <a:stretch>
                      <a:fillRect/>
                    </a:stretch>
                  </pic:blipFill>
                  <pic:spPr>
                    <a:xfrm>
                      <a:off x="0" y="0"/>
                      <a:ext cx="5619750" cy="3738880"/>
                    </a:xfrm>
                    <a:prstGeom prst="rect">
                      <a:avLst/>
                    </a:prstGeom>
                  </pic:spPr>
                </pic:pic>
              </a:graphicData>
            </a:graphic>
          </wp:inline>
        </w:drawing>
      </w:r>
    </w:p>
    <w:p w14:paraId="1535125F" w14:textId="0B93054E" w:rsidR="00B03B77" w:rsidRDefault="00E1353A" w:rsidP="00FE645A">
      <w:pPr>
        <w:pStyle w:val="Figurecaption"/>
      </w:pPr>
      <w:r w:rsidRPr="008F703C">
        <w:rPr>
          <w:b/>
          <w:bCs/>
          <w:sz w:val="24"/>
          <w:szCs w:val="24"/>
        </w:rPr>
        <w:t xml:space="preserve">Figure 1: </w:t>
      </w:r>
      <w:r w:rsidR="001F262E" w:rsidRPr="008F703C">
        <w:rPr>
          <w:b/>
          <w:bCs/>
          <w:sz w:val="24"/>
          <w:szCs w:val="24"/>
        </w:rPr>
        <w:t xml:space="preserve">Trend in treated incident and prevalent patients by quarter </w:t>
      </w:r>
      <w:r w:rsidR="00834E0C" w:rsidRPr="008F703C">
        <w:rPr>
          <w:b/>
          <w:bCs/>
          <w:sz w:val="24"/>
          <w:szCs w:val="24"/>
        </w:rPr>
        <w:t xml:space="preserve">for </w:t>
      </w:r>
      <w:proofErr w:type="spellStart"/>
      <w:r w:rsidR="00834E0C" w:rsidRPr="008F703C">
        <w:rPr>
          <w:b/>
          <w:bCs/>
          <w:sz w:val="24"/>
          <w:szCs w:val="24"/>
        </w:rPr>
        <w:t>cemiplimab</w:t>
      </w:r>
      <w:proofErr w:type="spellEnd"/>
      <w:r w:rsidR="007639F0" w:rsidRPr="008F703C">
        <w:rPr>
          <w:b/>
          <w:bCs/>
          <w:sz w:val="24"/>
          <w:szCs w:val="24"/>
        </w:rPr>
        <w:t xml:space="preserve"> </w:t>
      </w:r>
      <w:r w:rsidR="00274E6B" w:rsidRPr="008F703C">
        <w:rPr>
          <w:b/>
          <w:bCs/>
          <w:sz w:val="24"/>
          <w:szCs w:val="24"/>
        </w:rPr>
        <w:t>for CSCC</w:t>
      </w:r>
    </w:p>
    <w:p w14:paraId="706CAD61" w14:textId="77777777" w:rsidR="00827CCB" w:rsidRDefault="00827CCB" w:rsidP="00FE645A">
      <w:pPr>
        <w:pStyle w:val="Figurecaption"/>
      </w:pPr>
    </w:p>
    <w:p w14:paraId="1E4ABD2F" w14:textId="60538C1A" w:rsidR="00827CCB" w:rsidRDefault="00A408B6" w:rsidP="00FE645A">
      <w:pPr>
        <w:pStyle w:val="Figurecaption"/>
      </w:pPr>
      <w:r>
        <w:rPr>
          <w:noProof/>
        </w:rPr>
        <w:drawing>
          <wp:inline distT="0" distB="0" distL="0" distR="0" wp14:anchorId="0032B7D6" wp14:editId="019AD50E">
            <wp:extent cx="5687695" cy="3720465"/>
            <wp:effectExtent l="0" t="0" r="8255" b="0"/>
            <wp:docPr id="1954394228" name="Picture 1" descr="A graph of cemiplimab prescriptions by quarter for both metastatic or locally advanced cutaneous squamous cell carcinoma and stage IV metastatic non-small cell lung can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394228" name="Picture 1" descr="A graph of cemiplimab prescriptions by quarter for both metastatic or locally advanced cutaneous squamous cell carcinoma and stage IV metastatic non-small cell lung cancer."/>
                    <pic:cNvPicPr/>
                  </pic:nvPicPr>
                  <pic:blipFill>
                    <a:blip r:embed="rId16"/>
                    <a:stretch>
                      <a:fillRect/>
                    </a:stretch>
                  </pic:blipFill>
                  <pic:spPr>
                    <a:xfrm>
                      <a:off x="0" y="0"/>
                      <a:ext cx="5687695" cy="3720465"/>
                    </a:xfrm>
                    <a:prstGeom prst="rect">
                      <a:avLst/>
                    </a:prstGeom>
                  </pic:spPr>
                </pic:pic>
              </a:graphicData>
            </a:graphic>
          </wp:inline>
        </w:drawing>
      </w:r>
    </w:p>
    <w:p w14:paraId="001EAFB0" w14:textId="66DF7EF9" w:rsidR="00A6534C" w:rsidRPr="008F703C" w:rsidRDefault="00A6534C" w:rsidP="00A6534C">
      <w:pPr>
        <w:pStyle w:val="Figurecaption"/>
        <w:rPr>
          <w:b/>
          <w:bCs/>
          <w:sz w:val="24"/>
          <w:szCs w:val="24"/>
        </w:rPr>
      </w:pPr>
      <w:r w:rsidRPr="008F703C">
        <w:rPr>
          <w:b/>
          <w:bCs/>
          <w:sz w:val="24"/>
          <w:szCs w:val="24"/>
        </w:rPr>
        <w:t xml:space="preserve">Figure 2: Number of prescriptions by quarter </w:t>
      </w:r>
      <w:r w:rsidR="005C5864" w:rsidRPr="008F703C">
        <w:rPr>
          <w:b/>
          <w:bCs/>
          <w:sz w:val="24"/>
          <w:szCs w:val="24"/>
        </w:rPr>
        <w:t xml:space="preserve">of supply </w:t>
      </w:r>
      <w:r w:rsidRPr="008F703C">
        <w:rPr>
          <w:b/>
          <w:bCs/>
          <w:sz w:val="24"/>
          <w:szCs w:val="24"/>
        </w:rPr>
        <w:t xml:space="preserve">for </w:t>
      </w:r>
      <w:proofErr w:type="spellStart"/>
      <w:r w:rsidRPr="008F703C">
        <w:rPr>
          <w:b/>
          <w:bCs/>
          <w:sz w:val="24"/>
          <w:szCs w:val="24"/>
        </w:rPr>
        <w:t>cemiplimab</w:t>
      </w:r>
      <w:proofErr w:type="spellEnd"/>
      <w:r w:rsidR="00274E6B" w:rsidRPr="008F703C">
        <w:rPr>
          <w:b/>
          <w:bCs/>
          <w:sz w:val="24"/>
          <w:szCs w:val="24"/>
        </w:rPr>
        <w:t xml:space="preserve"> for CSCC</w:t>
      </w:r>
      <w:r w:rsidR="00283A8A" w:rsidRPr="008F703C">
        <w:rPr>
          <w:b/>
          <w:bCs/>
          <w:sz w:val="24"/>
          <w:szCs w:val="24"/>
        </w:rPr>
        <w:t xml:space="preserve"> and NSCLC</w:t>
      </w:r>
    </w:p>
    <w:p w14:paraId="2C777DE5" w14:textId="0713188B" w:rsidR="009903B6" w:rsidRPr="00B03B77" w:rsidRDefault="00E64170" w:rsidP="009903B6">
      <w:pPr>
        <w:pStyle w:val="Figurecaption"/>
        <w:rPr>
          <w:sz w:val="24"/>
          <w:szCs w:val="24"/>
        </w:rPr>
      </w:pPr>
      <w:r>
        <w:rPr>
          <w:sz w:val="24"/>
          <w:szCs w:val="24"/>
        </w:rPr>
        <w:t xml:space="preserve">Figures 1 and 2 show </w:t>
      </w:r>
      <w:r w:rsidR="0000284F">
        <w:rPr>
          <w:sz w:val="24"/>
          <w:szCs w:val="24"/>
        </w:rPr>
        <w:t>a trend of increasing</w:t>
      </w:r>
      <w:r w:rsidR="009903B6">
        <w:rPr>
          <w:sz w:val="24"/>
          <w:szCs w:val="24"/>
        </w:rPr>
        <w:t xml:space="preserve"> number</w:t>
      </w:r>
      <w:r w:rsidR="0000284F">
        <w:rPr>
          <w:sz w:val="24"/>
          <w:szCs w:val="24"/>
        </w:rPr>
        <w:t>s</w:t>
      </w:r>
      <w:r w:rsidR="009903B6">
        <w:rPr>
          <w:sz w:val="24"/>
          <w:szCs w:val="24"/>
        </w:rPr>
        <w:t xml:space="preserve"> of prevalent patients </w:t>
      </w:r>
      <w:r>
        <w:rPr>
          <w:sz w:val="24"/>
          <w:szCs w:val="24"/>
        </w:rPr>
        <w:t xml:space="preserve">and prescriptions </w:t>
      </w:r>
      <w:r w:rsidR="009903B6">
        <w:rPr>
          <w:sz w:val="24"/>
          <w:szCs w:val="24"/>
        </w:rPr>
        <w:t xml:space="preserve">since PBS listing. </w:t>
      </w:r>
      <w:r w:rsidR="00700ABF">
        <w:rPr>
          <w:sz w:val="24"/>
          <w:szCs w:val="24"/>
        </w:rPr>
        <w:t xml:space="preserve">The number of prescriptions for NSCLC </w:t>
      </w:r>
      <w:r w:rsidR="000460BC">
        <w:rPr>
          <w:sz w:val="24"/>
          <w:szCs w:val="24"/>
        </w:rPr>
        <w:t>were comparatively low</w:t>
      </w:r>
      <w:r w:rsidR="00017F60">
        <w:rPr>
          <w:sz w:val="24"/>
          <w:szCs w:val="24"/>
        </w:rPr>
        <w:t xml:space="preserve"> and any miscoding </w:t>
      </w:r>
      <w:r w:rsidR="002D5C55">
        <w:rPr>
          <w:sz w:val="24"/>
          <w:szCs w:val="24"/>
        </w:rPr>
        <w:t>for this</w:t>
      </w:r>
      <w:r w:rsidR="00017F60">
        <w:rPr>
          <w:sz w:val="24"/>
          <w:szCs w:val="24"/>
        </w:rPr>
        <w:t xml:space="preserve"> indication would have minimal impact</w:t>
      </w:r>
      <w:r w:rsidR="002D5C55">
        <w:rPr>
          <w:sz w:val="24"/>
          <w:szCs w:val="24"/>
        </w:rPr>
        <w:t xml:space="preserve"> on the trends in </w:t>
      </w:r>
      <w:r w:rsidR="000908D2">
        <w:rPr>
          <w:sz w:val="24"/>
          <w:szCs w:val="24"/>
        </w:rPr>
        <w:t>the CSCC indication</w:t>
      </w:r>
      <w:r w:rsidR="002D5C55">
        <w:rPr>
          <w:sz w:val="24"/>
          <w:szCs w:val="24"/>
        </w:rPr>
        <w:t xml:space="preserve">. </w:t>
      </w:r>
    </w:p>
    <w:p w14:paraId="19F3CB22" w14:textId="77777777" w:rsidR="00F867DD" w:rsidRDefault="00F867DD">
      <w:pPr>
        <w:spacing w:line="276" w:lineRule="auto"/>
        <w:rPr>
          <w:b/>
          <w:i/>
          <w:szCs w:val="28"/>
        </w:rPr>
      </w:pPr>
      <w:r>
        <w:br w:type="page"/>
      </w:r>
    </w:p>
    <w:p w14:paraId="09F9D349" w14:textId="4D7844CA" w:rsidR="00736041" w:rsidRPr="005E22C2" w:rsidRDefault="00736041" w:rsidP="00CF5E22">
      <w:pPr>
        <w:pStyle w:val="Heading3"/>
      </w:pPr>
      <w:r w:rsidRPr="005E22C2">
        <w:t>Utilisation by relevant sub-populations</w:t>
      </w:r>
      <w:r w:rsidR="001B2E1C">
        <w:t xml:space="preserve"> and</w:t>
      </w:r>
      <w:r w:rsidR="001B5D37" w:rsidRPr="005E22C2">
        <w:t xml:space="preserve"> patient level analysis</w:t>
      </w:r>
    </w:p>
    <w:p w14:paraId="6F8D9AA9" w14:textId="5CE0291A" w:rsidR="003F2DDB" w:rsidRDefault="003E6E16" w:rsidP="00D0652A">
      <w:pPr>
        <w:spacing w:after="0"/>
      </w:pPr>
      <w:r>
        <w:rPr>
          <w:noProof/>
        </w:rPr>
        <w:drawing>
          <wp:inline distT="0" distB="0" distL="0" distR="0" wp14:anchorId="1E95C3C2" wp14:editId="5E932D3D">
            <wp:extent cx="5687695" cy="3077845"/>
            <wp:effectExtent l="0" t="0" r="8255" b="8255"/>
            <wp:docPr id="243684584" name="Picture 1" descr="A graph of patients by age and g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684584" name="Picture 1" descr="A graph of patients by age and gender."/>
                    <pic:cNvPicPr/>
                  </pic:nvPicPr>
                  <pic:blipFill>
                    <a:blip r:embed="rId17"/>
                    <a:stretch>
                      <a:fillRect/>
                    </a:stretch>
                  </pic:blipFill>
                  <pic:spPr>
                    <a:xfrm>
                      <a:off x="0" y="0"/>
                      <a:ext cx="5687695" cy="3077845"/>
                    </a:xfrm>
                    <a:prstGeom prst="rect">
                      <a:avLst/>
                    </a:prstGeom>
                  </pic:spPr>
                </pic:pic>
              </a:graphicData>
            </a:graphic>
          </wp:inline>
        </w:drawing>
      </w:r>
    </w:p>
    <w:p w14:paraId="4AF95F8E" w14:textId="7DE6F471" w:rsidR="003F1184" w:rsidRPr="008F703C" w:rsidRDefault="003F1184" w:rsidP="00430CF1">
      <w:pPr>
        <w:spacing w:before="60" w:after="60"/>
        <w:rPr>
          <w:b/>
          <w:bCs/>
        </w:rPr>
      </w:pPr>
      <w:r w:rsidRPr="008F703C">
        <w:rPr>
          <w:b/>
          <w:bCs/>
        </w:rPr>
        <w:t xml:space="preserve">Figure </w:t>
      </w:r>
      <w:r w:rsidR="000C2BBC" w:rsidRPr="008F703C">
        <w:rPr>
          <w:b/>
          <w:bCs/>
        </w:rPr>
        <w:t>3</w:t>
      </w:r>
      <w:r w:rsidRPr="008F703C">
        <w:rPr>
          <w:b/>
          <w:bCs/>
        </w:rPr>
        <w:t xml:space="preserve">: Incident patients of </w:t>
      </w:r>
      <w:proofErr w:type="spellStart"/>
      <w:r w:rsidRPr="008F703C">
        <w:rPr>
          <w:b/>
          <w:bCs/>
        </w:rPr>
        <w:t>cemiplimab</w:t>
      </w:r>
      <w:proofErr w:type="spellEnd"/>
      <w:r w:rsidRPr="008F703C">
        <w:rPr>
          <w:b/>
          <w:bCs/>
        </w:rPr>
        <w:t xml:space="preserve"> </w:t>
      </w:r>
      <w:r w:rsidR="00274E6B" w:rsidRPr="008F703C">
        <w:rPr>
          <w:b/>
          <w:bCs/>
        </w:rPr>
        <w:t xml:space="preserve">for CSCC </w:t>
      </w:r>
      <w:r w:rsidRPr="008F703C">
        <w:rPr>
          <w:b/>
          <w:bCs/>
        </w:rPr>
        <w:t xml:space="preserve">by gender and </w:t>
      </w:r>
      <w:r w:rsidR="00C656F2" w:rsidRPr="008F703C">
        <w:rPr>
          <w:b/>
          <w:bCs/>
        </w:rPr>
        <w:t>5-year age group</w:t>
      </w:r>
      <w:r w:rsidR="00274E6B" w:rsidRPr="008F703C">
        <w:rPr>
          <w:b/>
          <w:bCs/>
        </w:rPr>
        <w:t xml:space="preserve"> for the period 1/11/2022 (date of listing) to the end of March 2025</w:t>
      </w:r>
    </w:p>
    <w:p w14:paraId="2C680047" w14:textId="47D23DFD" w:rsidR="00E65826" w:rsidRDefault="00E65826" w:rsidP="00430CF1">
      <w:pPr>
        <w:spacing w:before="200" w:after="20"/>
      </w:pPr>
      <w:r w:rsidRPr="00CA3530">
        <w:rPr>
          <w:b/>
          <w:bCs/>
        </w:rPr>
        <w:t xml:space="preserve">Table </w:t>
      </w:r>
      <w:r w:rsidR="00CA3530" w:rsidRPr="00CA3530">
        <w:rPr>
          <w:b/>
          <w:bCs/>
        </w:rPr>
        <w:t>2</w:t>
      </w:r>
      <w:r w:rsidRPr="00CA3530">
        <w:rPr>
          <w:b/>
          <w:bCs/>
        </w:rPr>
        <w:t>: Mean and median ages at initiation for males and females in Figure 3</w:t>
      </w:r>
    </w:p>
    <w:tbl>
      <w:tblPr>
        <w:tblStyle w:val="TableGrid"/>
        <w:tblW w:w="3966" w:type="dxa"/>
        <w:tblLook w:val="04A0" w:firstRow="1" w:lastRow="0" w:firstColumn="1" w:lastColumn="0" w:noHBand="0" w:noVBand="1"/>
      </w:tblPr>
      <w:tblGrid>
        <w:gridCol w:w="2175"/>
        <w:gridCol w:w="785"/>
        <w:gridCol w:w="1006"/>
      </w:tblGrid>
      <w:tr w:rsidR="00E65826" w14:paraId="35ED1401" w14:textId="77777777" w:rsidTr="00B15481">
        <w:trPr>
          <w:trHeight w:val="335"/>
        </w:trPr>
        <w:tc>
          <w:tcPr>
            <w:tcW w:w="0" w:type="auto"/>
            <w:shd w:val="clear" w:color="auto" w:fill="BFBFBF" w:themeFill="background1" w:themeFillShade="BF"/>
          </w:tcPr>
          <w:p w14:paraId="2CDF794A" w14:textId="77777777" w:rsidR="00E65826" w:rsidRPr="00CA3530" w:rsidRDefault="00E65826" w:rsidP="00B15481">
            <w:pPr>
              <w:spacing w:before="60" w:after="60"/>
              <w:jc w:val="center"/>
              <w:rPr>
                <w:b/>
                <w:bCs/>
                <w:sz w:val="20"/>
                <w:szCs w:val="20"/>
              </w:rPr>
            </w:pPr>
          </w:p>
        </w:tc>
        <w:tc>
          <w:tcPr>
            <w:tcW w:w="0" w:type="auto"/>
            <w:shd w:val="clear" w:color="auto" w:fill="BFBFBF" w:themeFill="background1" w:themeFillShade="BF"/>
          </w:tcPr>
          <w:p w14:paraId="143CC907" w14:textId="77777777" w:rsidR="00E65826" w:rsidRPr="00CA3530" w:rsidRDefault="00E65826" w:rsidP="00B15481">
            <w:pPr>
              <w:spacing w:before="60" w:after="60"/>
              <w:jc w:val="center"/>
              <w:rPr>
                <w:b/>
                <w:bCs/>
                <w:sz w:val="20"/>
                <w:szCs w:val="20"/>
              </w:rPr>
            </w:pPr>
            <w:r w:rsidRPr="00CA3530">
              <w:rPr>
                <w:b/>
                <w:bCs/>
                <w:sz w:val="20"/>
                <w:szCs w:val="20"/>
              </w:rPr>
              <w:t>Male</w:t>
            </w:r>
          </w:p>
        </w:tc>
        <w:tc>
          <w:tcPr>
            <w:tcW w:w="0" w:type="auto"/>
            <w:shd w:val="clear" w:color="auto" w:fill="BFBFBF" w:themeFill="background1" w:themeFillShade="BF"/>
          </w:tcPr>
          <w:p w14:paraId="7AF8CD68" w14:textId="77777777" w:rsidR="00E65826" w:rsidRPr="00CA3530" w:rsidRDefault="00E65826" w:rsidP="00B15481">
            <w:pPr>
              <w:spacing w:before="60" w:after="60"/>
              <w:jc w:val="center"/>
              <w:rPr>
                <w:b/>
                <w:bCs/>
                <w:sz w:val="20"/>
                <w:szCs w:val="20"/>
              </w:rPr>
            </w:pPr>
            <w:r w:rsidRPr="00CA3530">
              <w:rPr>
                <w:b/>
                <w:bCs/>
                <w:sz w:val="20"/>
                <w:szCs w:val="20"/>
              </w:rPr>
              <w:t>Female</w:t>
            </w:r>
          </w:p>
        </w:tc>
      </w:tr>
      <w:tr w:rsidR="00E65826" w14:paraId="4815EC8F" w14:textId="77777777" w:rsidTr="00CA3530">
        <w:trPr>
          <w:trHeight w:val="335"/>
        </w:trPr>
        <w:tc>
          <w:tcPr>
            <w:tcW w:w="0" w:type="auto"/>
          </w:tcPr>
          <w:p w14:paraId="632542B4" w14:textId="77777777" w:rsidR="00E65826" w:rsidRPr="00CA3530" w:rsidRDefault="00E65826" w:rsidP="00B15481">
            <w:pPr>
              <w:spacing w:before="60" w:after="60"/>
              <w:jc w:val="center"/>
              <w:rPr>
                <w:sz w:val="20"/>
                <w:szCs w:val="20"/>
              </w:rPr>
            </w:pPr>
            <w:r w:rsidRPr="00CA3530">
              <w:rPr>
                <w:sz w:val="20"/>
                <w:szCs w:val="20"/>
              </w:rPr>
              <w:t>Mean age (years)</w:t>
            </w:r>
          </w:p>
        </w:tc>
        <w:tc>
          <w:tcPr>
            <w:tcW w:w="0" w:type="auto"/>
          </w:tcPr>
          <w:p w14:paraId="277CD327" w14:textId="77777777" w:rsidR="00E65826" w:rsidRPr="00CA3530" w:rsidRDefault="00E65826" w:rsidP="00B15481">
            <w:pPr>
              <w:spacing w:before="60" w:after="60"/>
              <w:jc w:val="center"/>
              <w:rPr>
                <w:sz w:val="20"/>
                <w:szCs w:val="20"/>
              </w:rPr>
            </w:pPr>
            <w:r w:rsidRPr="00CA3530">
              <w:rPr>
                <w:sz w:val="20"/>
                <w:szCs w:val="20"/>
              </w:rPr>
              <w:t>76</w:t>
            </w:r>
          </w:p>
        </w:tc>
        <w:tc>
          <w:tcPr>
            <w:tcW w:w="0" w:type="auto"/>
          </w:tcPr>
          <w:p w14:paraId="7ABD37E3" w14:textId="77777777" w:rsidR="00E65826" w:rsidRPr="00CA3530" w:rsidRDefault="00E65826" w:rsidP="00B15481">
            <w:pPr>
              <w:spacing w:before="60" w:after="60"/>
              <w:jc w:val="center"/>
              <w:rPr>
                <w:sz w:val="20"/>
                <w:szCs w:val="20"/>
              </w:rPr>
            </w:pPr>
            <w:r w:rsidRPr="00CA3530">
              <w:rPr>
                <w:sz w:val="20"/>
                <w:szCs w:val="20"/>
              </w:rPr>
              <w:t>78</w:t>
            </w:r>
          </w:p>
        </w:tc>
      </w:tr>
      <w:tr w:rsidR="00E65826" w14:paraId="0CD14F4A" w14:textId="77777777" w:rsidTr="00CA3530">
        <w:trPr>
          <w:trHeight w:val="314"/>
        </w:trPr>
        <w:tc>
          <w:tcPr>
            <w:tcW w:w="0" w:type="auto"/>
          </w:tcPr>
          <w:p w14:paraId="0C2115C6" w14:textId="77777777" w:rsidR="00E65826" w:rsidRPr="00CA3530" w:rsidRDefault="00E65826" w:rsidP="00B15481">
            <w:pPr>
              <w:spacing w:before="60" w:after="60"/>
              <w:jc w:val="center"/>
              <w:rPr>
                <w:sz w:val="20"/>
                <w:szCs w:val="20"/>
              </w:rPr>
            </w:pPr>
            <w:r w:rsidRPr="00CA3530">
              <w:rPr>
                <w:sz w:val="20"/>
                <w:szCs w:val="20"/>
              </w:rPr>
              <w:t>Median age (years)</w:t>
            </w:r>
          </w:p>
        </w:tc>
        <w:tc>
          <w:tcPr>
            <w:tcW w:w="0" w:type="auto"/>
          </w:tcPr>
          <w:p w14:paraId="6C4D0F04" w14:textId="77777777" w:rsidR="00E65826" w:rsidRPr="00CA3530" w:rsidRDefault="00E65826" w:rsidP="00B15481">
            <w:pPr>
              <w:spacing w:before="60" w:after="60"/>
              <w:jc w:val="center"/>
              <w:rPr>
                <w:sz w:val="20"/>
                <w:szCs w:val="20"/>
              </w:rPr>
            </w:pPr>
            <w:r w:rsidRPr="00CA3530">
              <w:rPr>
                <w:sz w:val="20"/>
                <w:szCs w:val="20"/>
              </w:rPr>
              <w:t>77</w:t>
            </w:r>
          </w:p>
        </w:tc>
        <w:tc>
          <w:tcPr>
            <w:tcW w:w="0" w:type="auto"/>
          </w:tcPr>
          <w:p w14:paraId="6345EE3C" w14:textId="77777777" w:rsidR="00E65826" w:rsidRPr="00CA3530" w:rsidRDefault="00E65826" w:rsidP="00B15481">
            <w:pPr>
              <w:spacing w:before="60" w:after="60"/>
              <w:jc w:val="center"/>
              <w:rPr>
                <w:sz w:val="20"/>
                <w:szCs w:val="20"/>
              </w:rPr>
            </w:pPr>
            <w:r w:rsidRPr="00CA3530">
              <w:rPr>
                <w:sz w:val="20"/>
                <w:szCs w:val="20"/>
              </w:rPr>
              <w:t>80</w:t>
            </w:r>
          </w:p>
        </w:tc>
      </w:tr>
    </w:tbl>
    <w:p w14:paraId="521B7FB0" w14:textId="77777777" w:rsidR="00E65826" w:rsidRDefault="00E65826" w:rsidP="00A35800"/>
    <w:p w14:paraId="7E8B4F82" w14:textId="00226EEC" w:rsidR="00C907FA" w:rsidRDefault="00C907FA" w:rsidP="00A35800">
      <w:r>
        <w:t xml:space="preserve">The above Figure </w:t>
      </w:r>
      <w:r w:rsidR="00583588">
        <w:t xml:space="preserve">3 </w:t>
      </w:r>
      <w:r>
        <w:t xml:space="preserve">and Table </w:t>
      </w:r>
      <w:r w:rsidR="00583588">
        <w:t xml:space="preserve">2 </w:t>
      </w:r>
      <w:r>
        <w:t xml:space="preserve">illustrate that the </w:t>
      </w:r>
      <w:r w:rsidR="00E249DB">
        <w:t>most common age</w:t>
      </w:r>
      <w:r w:rsidR="00693732">
        <w:t>s</w:t>
      </w:r>
      <w:r w:rsidR="00E249DB">
        <w:t xml:space="preserve"> at initiation for the </w:t>
      </w:r>
      <w:proofErr w:type="spellStart"/>
      <w:r w:rsidR="00E249DB">
        <w:t>cemiplimab</w:t>
      </w:r>
      <w:proofErr w:type="spellEnd"/>
      <w:r w:rsidR="00E249DB">
        <w:t xml:space="preserve"> indication </w:t>
      </w:r>
      <w:r w:rsidR="00693732">
        <w:t xml:space="preserve">are those 75 years and older. This is in line with </w:t>
      </w:r>
      <w:r w:rsidR="00B24E11">
        <w:t>advanced age being one of the major risk factors for</w:t>
      </w:r>
      <w:r w:rsidR="005D333D">
        <w:t xml:space="preserve"> the condition</w:t>
      </w:r>
      <w:r w:rsidR="00B24E11">
        <w:t xml:space="preserve">.  </w:t>
      </w:r>
    </w:p>
    <w:p w14:paraId="4280C9BB" w14:textId="77777777" w:rsidR="00376F26" w:rsidRDefault="00376F26">
      <w:pPr>
        <w:spacing w:line="276" w:lineRule="auto"/>
        <w:rPr>
          <w:b/>
          <w:bCs/>
        </w:rPr>
      </w:pPr>
      <w:r>
        <w:rPr>
          <w:b/>
          <w:bCs/>
        </w:rPr>
        <w:br w:type="page"/>
      </w:r>
    </w:p>
    <w:p w14:paraId="26C37F25" w14:textId="1C267646" w:rsidR="00803BF8" w:rsidRDefault="00752B71" w:rsidP="00A35800">
      <w:r>
        <w:rPr>
          <w:noProof/>
        </w:rPr>
        <w:drawing>
          <wp:inline distT="0" distB="0" distL="0" distR="0" wp14:anchorId="0A9412F5" wp14:editId="0A21BE60">
            <wp:extent cx="5687695" cy="4265930"/>
            <wp:effectExtent l="0" t="0" r="8255" b="1270"/>
            <wp:docPr id="2147197275" name="Graphic 1" descr="A duration of treatment graph for cemiplim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197275" name="Graphic 1" descr="A duration of treatment graph for cemiplimab."/>
                    <pic:cNvPicPr/>
                  </pic:nvPicPr>
                  <pic:blipFill>
                    <a:blip r:embed="rId18">
                      <a:extLst>
                        <a:ext uri="{96DAC541-7B7A-43D3-8B79-37D633B846F1}">
                          <asvg:svgBlip xmlns:asvg="http://schemas.microsoft.com/office/drawing/2016/SVG/main" r:embed="rId19"/>
                        </a:ext>
                      </a:extLst>
                    </a:blip>
                    <a:stretch>
                      <a:fillRect/>
                    </a:stretch>
                  </pic:blipFill>
                  <pic:spPr>
                    <a:xfrm>
                      <a:off x="0" y="0"/>
                      <a:ext cx="5687695" cy="4265930"/>
                    </a:xfrm>
                    <a:prstGeom prst="rect">
                      <a:avLst/>
                    </a:prstGeom>
                  </pic:spPr>
                </pic:pic>
              </a:graphicData>
            </a:graphic>
          </wp:inline>
        </w:drawing>
      </w:r>
    </w:p>
    <w:p w14:paraId="57653415" w14:textId="77777777" w:rsidR="00F867DD" w:rsidRPr="006D304C" w:rsidRDefault="00F867DD" w:rsidP="004F2D12">
      <w:pPr>
        <w:spacing w:before="60" w:after="60"/>
        <w:rPr>
          <w:b/>
          <w:bCs/>
        </w:rPr>
      </w:pPr>
      <w:r w:rsidRPr="006D304C">
        <w:rPr>
          <w:b/>
          <w:bCs/>
        </w:rPr>
        <w:t xml:space="preserve">Figure </w:t>
      </w:r>
      <w:r>
        <w:rPr>
          <w:b/>
          <w:bCs/>
        </w:rPr>
        <w:t>4</w:t>
      </w:r>
      <w:r w:rsidRPr="006D304C">
        <w:rPr>
          <w:b/>
          <w:bCs/>
        </w:rPr>
        <w:t xml:space="preserve">: Duration of treatment </w:t>
      </w:r>
      <w:r w:rsidRPr="002F224A">
        <w:rPr>
          <w:b/>
          <w:bCs/>
        </w:rPr>
        <w:t xml:space="preserve">with </w:t>
      </w:r>
      <w:proofErr w:type="spellStart"/>
      <w:r w:rsidRPr="002F224A">
        <w:rPr>
          <w:b/>
          <w:bCs/>
        </w:rPr>
        <w:t>cemiplimab</w:t>
      </w:r>
      <w:proofErr w:type="spellEnd"/>
      <w:r w:rsidRPr="002F224A">
        <w:rPr>
          <w:b/>
          <w:bCs/>
        </w:rPr>
        <w:t xml:space="preserve"> for CSCC</w:t>
      </w:r>
    </w:p>
    <w:p w14:paraId="38DE34EF" w14:textId="65E03A89" w:rsidR="002F224A" w:rsidRDefault="002F224A" w:rsidP="002F224A">
      <w:r>
        <w:t xml:space="preserve">The length of treatment with </w:t>
      </w:r>
      <w:proofErr w:type="spellStart"/>
      <w:r>
        <w:t>cemiplimab</w:t>
      </w:r>
      <w:proofErr w:type="spellEnd"/>
      <w:r>
        <w:t xml:space="preserve"> for CSCC was calculated both including and excluding breaks. The median time to re-supply of scripts was 21 days and a break in treatment was deemed to be 3 x the median time to re-supply = 63 days or greater between scripts. The data used to produce Figure 4 show that median length of treatment was 8.9 months excluding breaks and 9.4 months including breaks. If each script is estimated to cover 21 days, 8.9 months excluding breaks equates to 12.6 prescriptions. Figure 4 was produced using Kaplan</w:t>
      </w:r>
      <w:r w:rsidR="00563634">
        <w:t>-</w:t>
      </w:r>
      <w:r>
        <w:t xml:space="preserve">Meier survival analysis. A patient </w:t>
      </w:r>
      <w:proofErr w:type="gramStart"/>
      <w:r>
        <w:t>was considered to be</w:t>
      </w:r>
      <w:proofErr w:type="gramEnd"/>
      <w:r>
        <w:t xml:space="preserve"> continuing treatment (i.e. censored) at the end of the analysis period (i.e. 31 March 2025) if they were supplied a prescription within 3 x the median time to re-supply (i.e. 63 days) of the end of the data period. In addition, even though Kaplan</w:t>
      </w:r>
      <w:r w:rsidR="009A23C6">
        <w:t>-</w:t>
      </w:r>
      <w:r>
        <w:t xml:space="preserve">Meier analysis </w:t>
      </w:r>
      <w:proofErr w:type="gramStart"/>
      <w:r>
        <w:t>takes into account</w:t>
      </w:r>
      <w:proofErr w:type="gramEnd"/>
      <w:r>
        <w:t xml:space="preserve"> varying lengths of follow, patients that initiated treatment with</w:t>
      </w:r>
      <w:r w:rsidR="009A23C6">
        <w:t>in</w:t>
      </w:r>
      <w:r>
        <w:t xml:space="preserve"> 6 months of the end of the data period were deemed that have too short a follow up period and so </w:t>
      </w:r>
      <w:r w:rsidR="009A23C6">
        <w:t xml:space="preserve">were </w:t>
      </w:r>
      <w:r>
        <w:t xml:space="preserve">excluded from the analysis. </w:t>
      </w:r>
    </w:p>
    <w:p w14:paraId="4F8723A6" w14:textId="3B792516" w:rsidR="00736041" w:rsidRPr="005E22C2" w:rsidRDefault="001B5D37" w:rsidP="00F73113">
      <w:pPr>
        <w:pStyle w:val="Heading2"/>
      </w:pPr>
      <w:r w:rsidRPr="005E22C2">
        <w:t xml:space="preserve">Analysis </w:t>
      </w:r>
      <w:r w:rsidR="00481108" w:rsidRPr="005E22C2">
        <w:t xml:space="preserve">of </w:t>
      </w:r>
      <w:r w:rsidR="0063631C">
        <w:t>e</w:t>
      </w:r>
      <w:r w:rsidR="00736041" w:rsidRPr="005E22C2">
        <w:t>xpenditure</w:t>
      </w:r>
    </w:p>
    <w:p w14:paraId="6977F074" w14:textId="4F1A4189" w:rsidR="00B63FD7" w:rsidRDefault="00FC7007" w:rsidP="00FC7007">
      <w:proofErr w:type="spellStart"/>
      <w:r w:rsidRPr="00721FC3">
        <w:t>C</w:t>
      </w:r>
      <w:r w:rsidR="00347FBA">
        <w:t>e</w:t>
      </w:r>
      <w:r w:rsidRPr="00721FC3">
        <w:t>m</w:t>
      </w:r>
      <w:r w:rsidR="00347FBA">
        <w:t>i</w:t>
      </w:r>
      <w:r w:rsidRPr="00721FC3">
        <w:t>plimab</w:t>
      </w:r>
      <w:proofErr w:type="spellEnd"/>
      <w:r w:rsidRPr="00721FC3">
        <w:t xml:space="preserve"> has a</w:t>
      </w:r>
      <w:r w:rsidR="001B5D37" w:rsidRPr="00721FC3">
        <w:t xml:space="preserve"> special pricing arrangement</w:t>
      </w:r>
      <w:r w:rsidR="00F255F6" w:rsidRPr="00721FC3">
        <w:t>.</w:t>
      </w:r>
    </w:p>
    <w:p w14:paraId="7D8B6BA8" w14:textId="77777777" w:rsidR="004F2D12" w:rsidRDefault="004F2D12">
      <w:pPr>
        <w:spacing w:line="276" w:lineRule="auto"/>
        <w:rPr>
          <w:b/>
          <w:bCs/>
          <w:u w:val="single"/>
        </w:rPr>
      </w:pPr>
      <w:r>
        <w:rPr>
          <w:b/>
          <w:bCs/>
          <w:u w:val="single"/>
        </w:rPr>
        <w:br w:type="page"/>
      </w:r>
    </w:p>
    <w:p w14:paraId="5F22B4D8" w14:textId="319090EA" w:rsidR="00736041" w:rsidRDefault="00D151EB" w:rsidP="00F73113">
      <w:pPr>
        <w:pStyle w:val="Heading2"/>
      </w:pPr>
      <w:r>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14:paraId="1EAF8149" w14:textId="6BD635C6" w:rsidR="00897CBF" w:rsidRPr="009560CB" w:rsidRDefault="006805C4" w:rsidP="004F2D12">
      <w:pPr>
        <w:spacing w:before="200" w:after="20"/>
      </w:pPr>
      <w:r w:rsidRPr="00FD2FFB">
        <w:rPr>
          <w:b/>
          <w:bCs/>
        </w:rPr>
        <w:t xml:space="preserve">Table </w:t>
      </w:r>
      <w:r w:rsidR="005E4B1E">
        <w:rPr>
          <w:b/>
          <w:bCs/>
        </w:rPr>
        <w:t>3</w:t>
      </w:r>
      <w:r w:rsidRPr="00FD2FFB">
        <w:rPr>
          <w:b/>
          <w:bCs/>
        </w:rPr>
        <w:t>:</w:t>
      </w:r>
      <w:r w:rsidRPr="00CA3530">
        <w:rPr>
          <w:b/>
          <w:bCs/>
        </w:rPr>
        <w:t xml:space="preserve"> Predicted and actual numbers of patients and prescriptions for </w:t>
      </w:r>
      <w:r w:rsidR="008357DD" w:rsidRPr="00CA3530">
        <w:rPr>
          <w:b/>
          <w:bCs/>
        </w:rPr>
        <w:t>the first two years of listing</w:t>
      </w:r>
    </w:p>
    <w:tbl>
      <w:tblPr>
        <w:tblStyle w:val="TableGrid"/>
        <w:tblW w:w="0" w:type="auto"/>
        <w:tblLook w:val="04A0" w:firstRow="1" w:lastRow="0" w:firstColumn="1" w:lastColumn="0" w:noHBand="0" w:noVBand="1"/>
      </w:tblPr>
      <w:tblGrid>
        <w:gridCol w:w="2248"/>
        <w:gridCol w:w="2227"/>
        <w:gridCol w:w="2225"/>
        <w:gridCol w:w="2247"/>
      </w:tblGrid>
      <w:tr w:rsidR="004B0809" w:rsidRPr="001B2F0C" w14:paraId="564CC27A" w14:textId="77777777" w:rsidTr="00B15481">
        <w:tc>
          <w:tcPr>
            <w:tcW w:w="4475" w:type="dxa"/>
            <w:gridSpan w:val="2"/>
            <w:shd w:val="clear" w:color="auto" w:fill="BFBFBF" w:themeFill="background1" w:themeFillShade="BF"/>
          </w:tcPr>
          <w:p w14:paraId="497B3589" w14:textId="77777777" w:rsidR="004B0809" w:rsidRPr="00CA3530" w:rsidRDefault="004B0809" w:rsidP="00B15481">
            <w:pPr>
              <w:spacing w:before="60" w:after="60"/>
              <w:rPr>
                <w:sz w:val="20"/>
                <w:szCs w:val="20"/>
              </w:rPr>
            </w:pPr>
          </w:p>
        </w:tc>
        <w:tc>
          <w:tcPr>
            <w:tcW w:w="2225" w:type="dxa"/>
            <w:shd w:val="clear" w:color="auto" w:fill="BFBFBF" w:themeFill="background1" w:themeFillShade="BF"/>
          </w:tcPr>
          <w:p w14:paraId="16C1999F" w14:textId="2921BD73" w:rsidR="004B0809" w:rsidRPr="00CA3530" w:rsidRDefault="0024703A" w:rsidP="00B15481">
            <w:pPr>
              <w:spacing w:before="60" w:after="60"/>
              <w:rPr>
                <w:b/>
                <w:bCs/>
                <w:sz w:val="20"/>
                <w:szCs w:val="20"/>
              </w:rPr>
            </w:pPr>
            <w:r w:rsidRPr="00CA3530">
              <w:rPr>
                <w:b/>
                <w:bCs/>
                <w:sz w:val="20"/>
                <w:szCs w:val="20"/>
              </w:rPr>
              <w:t xml:space="preserve">Year 1 (Nov 2022 – Oct </w:t>
            </w:r>
            <w:r w:rsidR="004B0809" w:rsidRPr="00CA3530">
              <w:rPr>
                <w:b/>
                <w:bCs/>
                <w:sz w:val="20"/>
                <w:szCs w:val="20"/>
              </w:rPr>
              <w:t>2023</w:t>
            </w:r>
            <w:r w:rsidRPr="00CA3530">
              <w:rPr>
                <w:b/>
                <w:bCs/>
                <w:sz w:val="20"/>
                <w:szCs w:val="20"/>
              </w:rPr>
              <w:t>)</w:t>
            </w:r>
            <w:r w:rsidR="009560CB" w:rsidRPr="00CA3530">
              <w:rPr>
                <w:b/>
                <w:bCs/>
                <w:sz w:val="20"/>
                <w:szCs w:val="20"/>
              </w:rPr>
              <w:t xml:space="preserve"> </w:t>
            </w:r>
          </w:p>
        </w:tc>
        <w:tc>
          <w:tcPr>
            <w:tcW w:w="2247" w:type="dxa"/>
            <w:shd w:val="clear" w:color="auto" w:fill="BFBFBF" w:themeFill="background1" w:themeFillShade="BF"/>
          </w:tcPr>
          <w:p w14:paraId="1C2F1BDE" w14:textId="383ED91A" w:rsidR="004B0809" w:rsidRPr="00CA3530" w:rsidRDefault="0024703A" w:rsidP="00B15481">
            <w:pPr>
              <w:spacing w:before="60" w:after="60"/>
              <w:rPr>
                <w:b/>
                <w:bCs/>
                <w:sz w:val="20"/>
                <w:szCs w:val="20"/>
              </w:rPr>
            </w:pPr>
            <w:r w:rsidRPr="00CA3530">
              <w:rPr>
                <w:b/>
                <w:bCs/>
                <w:sz w:val="20"/>
                <w:szCs w:val="20"/>
              </w:rPr>
              <w:t xml:space="preserve">Year 2 (Nov 2023 – Oct </w:t>
            </w:r>
            <w:r w:rsidR="004B0809" w:rsidRPr="00CA3530">
              <w:rPr>
                <w:b/>
                <w:bCs/>
                <w:sz w:val="20"/>
                <w:szCs w:val="20"/>
              </w:rPr>
              <w:t>2024</w:t>
            </w:r>
            <w:r w:rsidRPr="00CA3530">
              <w:rPr>
                <w:b/>
                <w:bCs/>
                <w:sz w:val="20"/>
                <w:szCs w:val="20"/>
              </w:rPr>
              <w:t>)</w:t>
            </w:r>
          </w:p>
        </w:tc>
      </w:tr>
      <w:tr w:rsidR="00463688" w:rsidRPr="001B2F0C" w14:paraId="13A7996F" w14:textId="77777777" w:rsidTr="003E7855">
        <w:tc>
          <w:tcPr>
            <w:tcW w:w="2248" w:type="dxa"/>
            <w:vMerge w:val="restart"/>
          </w:tcPr>
          <w:p w14:paraId="59CDB050" w14:textId="2B4CA538" w:rsidR="00463688" w:rsidRPr="00CA3530" w:rsidRDefault="00463688" w:rsidP="00B15481">
            <w:pPr>
              <w:spacing w:before="60" w:after="60"/>
              <w:rPr>
                <w:b/>
                <w:bCs/>
                <w:sz w:val="20"/>
                <w:szCs w:val="20"/>
              </w:rPr>
            </w:pPr>
            <w:r w:rsidRPr="00CA3530">
              <w:rPr>
                <w:b/>
                <w:bCs/>
                <w:sz w:val="20"/>
                <w:szCs w:val="20"/>
              </w:rPr>
              <w:t>Patients</w:t>
            </w:r>
          </w:p>
        </w:tc>
        <w:tc>
          <w:tcPr>
            <w:tcW w:w="2227" w:type="dxa"/>
          </w:tcPr>
          <w:p w14:paraId="42F1DFC7" w14:textId="6D2BA9D7" w:rsidR="00463688" w:rsidRPr="00CA3530" w:rsidRDefault="00463688" w:rsidP="00B15481">
            <w:pPr>
              <w:spacing w:before="60" w:after="60"/>
              <w:rPr>
                <w:sz w:val="20"/>
                <w:szCs w:val="20"/>
              </w:rPr>
            </w:pPr>
            <w:r w:rsidRPr="00CA3530">
              <w:rPr>
                <w:sz w:val="20"/>
                <w:szCs w:val="20"/>
              </w:rPr>
              <w:t>Predicted</w:t>
            </w:r>
          </w:p>
        </w:tc>
        <w:tc>
          <w:tcPr>
            <w:tcW w:w="2225" w:type="dxa"/>
          </w:tcPr>
          <w:p w14:paraId="5422B2A7" w14:textId="7A642529" w:rsidR="00463688" w:rsidRPr="00CA3530" w:rsidRDefault="00085859" w:rsidP="00B15481">
            <w:pPr>
              <w:spacing w:before="60" w:after="60"/>
              <w:rPr>
                <w:sz w:val="20"/>
                <w:szCs w:val="20"/>
              </w:rPr>
            </w:pPr>
            <w:r w:rsidRPr="00085859">
              <w:rPr>
                <w:sz w:val="20"/>
                <w:szCs w:val="20"/>
                <w:highlight w:val="black"/>
              </w:rPr>
              <w:t>XXXXX</w:t>
            </w:r>
          </w:p>
        </w:tc>
        <w:tc>
          <w:tcPr>
            <w:tcW w:w="2247" w:type="dxa"/>
          </w:tcPr>
          <w:p w14:paraId="522C96F2" w14:textId="22516367" w:rsidR="00463688" w:rsidRPr="00CA3530" w:rsidRDefault="00085859" w:rsidP="00B15481">
            <w:pPr>
              <w:spacing w:before="60" w:after="60"/>
              <w:rPr>
                <w:sz w:val="20"/>
                <w:szCs w:val="20"/>
              </w:rPr>
            </w:pPr>
            <w:r w:rsidRPr="00085859">
              <w:rPr>
                <w:sz w:val="20"/>
                <w:szCs w:val="20"/>
                <w:highlight w:val="black"/>
              </w:rPr>
              <w:t>XXXXX</w:t>
            </w:r>
          </w:p>
        </w:tc>
      </w:tr>
      <w:tr w:rsidR="00463688" w:rsidRPr="001B2F0C" w14:paraId="3FB4C895" w14:textId="77777777" w:rsidTr="003E7855">
        <w:tc>
          <w:tcPr>
            <w:tcW w:w="2248" w:type="dxa"/>
            <w:vMerge/>
          </w:tcPr>
          <w:p w14:paraId="1FB5F0CC" w14:textId="77777777" w:rsidR="00463688" w:rsidRPr="00CA3530" w:rsidRDefault="00463688" w:rsidP="00B15481">
            <w:pPr>
              <w:spacing w:before="60" w:after="60"/>
              <w:rPr>
                <w:b/>
                <w:bCs/>
                <w:sz w:val="20"/>
                <w:szCs w:val="20"/>
              </w:rPr>
            </w:pPr>
          </w:p>
        </w:tc>
        <w:tc>
          <w:tcPr>
            <w:tcW w:w="2227" w:type="dxa"/>
          </w:tcPr>
          <w:p w14:paraId="21E381CD" w14:textId="336E2F6E" w:rsidR="00463688" w:rsidRPr="00CA3530" w:rsidRDefault="00463688" w:rsidP="00B15481">
            <w:pPr>
              <w:spacing w:before="60" w:after="60"/>
              <w:rPr>
                <w:sz w:val="20"/>
                <w:szCs w:val="20"/>
              </w:rPr>
            </w:pPr>
            <w:r w:rsidRPr="00CA3530">
              <w:rPr>
                <w:sz w:val="20"/>
                <w:szCs w:val="20"/>
              </w:rPr>
              <w:t>Actual</w:t>
            </w:r>
          </w:p>
        </w:tc>
        <w:tc>
          <w:tcPr>
            <w:tcW w:w="2225" w:type="dxa"/>
          </w:tcPr>
          <w:p w14:paraId="2FF75816" w14:textId="5F153C43" w:rsidR="00463688" w:rsidRPr="00CA3530" w:rsidRDefault="00463688" w:rsidP="00B15481">
            <w:pPr>
              <w:spacing w:before="60" w:after="60"/>
              <w:rPr>
                <w:sz w:val="20"/>
                <w:szCs w:val="20"/>
              </w:rPr>
            </w:pPr>
            <w:r w:rsidRPr="00CA3530">
              <w:rPr>
                <w:sz w:val="20"/>
                <w:szCs w:val="20"/>
              </w:rPr>
              <w:t xml:space="preserve">1,535 </w:t>
            </w:r>
            <w:r w:rsidRPr="00085859">
              <w:rPr>
                <w:sz w:val="20"/>
                <w:szCs w:val="20"/>
                <w:highlight w:val="black"/>
              </w:rPr>
              <w:t>(</w:t>
            </w:r>
            <w:r w:rsidR="00085859" w:rsidRPr="00085859">
              <w:rPr>
                <w:sz w:val="20"/>
                <w:szCs w:val="20"/>
                <w:highlight w:val="black"/>
              </w:rPr>
              <w:t>XXXX</w:t>
            </w:r>
            <w:r w:rsidRPr="00085859">
              <w:rPr>
                <w:sz w:val="20"/>
                <w:szCs w:val="20"/>
                <w:highlight w:val="black"/>
              </w:rPr>
              <w:t>%)</w:t>
            </w:r>
          </w:p>
        </w:tc>
        <w:tc>
          <w:tcPr>
            <w:tcW w:w="2247" w:type="dxa"/>
          </w:tcPr>
          <w:p w14:paraId="3EFB09D3" w14:textId="3F85E3A6" w:rsidR="00463688" w:rsidRPr="00CA3530" w:rsidRDefault="00463688" w:rsidP="00B15481">
            <w:pPr>
              <w:spacing w:before="60" w:after="60"/>
              <w:rPr>
                <w:sz w:val="20"/>
                <w:szCs w:val="20"/>
              </w:rPr>
            </w:pPr>
            <w:r w:rsidRPr="00CA3530">
              <w:rPr>
                <w:sz w:val="20"/>
                <w:szCs w:val="20"/>
              </w:rPr>
              <w:t xml:space="preserve">1,930 </w:t>
            </w:r>
            <w:r w:rsidR="00085859" w:rsidRPr="00085859">
              <w:rPr>
                <w:sz w:val="20"/>
                <w:szCs w:val="20"/>
                <w:highlight w:val="black"/>
              </w:rPr>
              <w:t>(XXXX%)</w:t>
            </w:r>
          </w:p>
        </w:tc>
      </w:tr>
      <w:tr w:rsidR="00463688" w:rsidRPr="001B2F0C" w14:paraId="379A98CF" w14:textId="77777777" w:rsidTr="003E7855">
        <w:tc>
          <w:tcPr>
            <w:tcW w:w="2248" w:type="dxa"/>
            <w:vMerge w:val="restart"/>
          </w:tcPr>
          <w:p w14:paraId="157FC94F" w14:textId="387556C9" w:rsidR="00463688" w:rsidRPr="00CA3530" w:rsidRDefault="00463688" w:rsidP="00B15481">
            <w:pPr>
              <w:spacing w:before="60" w:after="60"/>
              <w:rPr>
                <w:b/>
                <w:bCs/>
                <w:sz w:val="20"/>
                <w:szCs w:val="20"/>
              </w:rPr>
            </w:pPr>
            <w:r w:rsidRPr="00CA3530">
              <w:rPr>
                <w:b/>
                <w:bCs/>
                <w:sz w:val="20"/>
                <w:szCs w:val="20"/>
              </w:rPr>
              <w:t>Prescriptions</w:t>
            </w:r>
          </w:p>
        </w:tc>
        <w:tc>
          <w:tcPr>
            <w:tcW w:w="2227" w:type="dxa"/>
          </w:tcPr>
          <w:p w14:paraId="625A929F" w14:textId="43AE12A8" w:rsidR="00463688" w:rsidRPr="00CA3530" w:rsidRDefault="00463688" w:rsidP="00B15481">
            <w:pPr>
              <w:spacing w:before="60" w:after="60"/>
              <w:rPr>
                <w:sz w:val="20"/>
                <w:szCs w:val="20"/>
              </w:rPr>
            </w:pPr>
            <w:r w:rsidRPr="00CA3530">
              <w:rPr>
                <w:sz w:val="20"/>
                <w:szCs w:val="20"/>
              </w:rPr>
              <w:t>Predicted</w:t>
            </w:r>
          </w:p>
        </w:tc>
        <w:tc>
          <w:tcPr>
            <w:tcW w:w="2225" w:type="dxa"/>
          </w:tcPr>
          <w:p w14:paraId="47B7BD12" w14:textId="09C131B7" w:rsidR="00463688" w:rsidRPr="00CA3530" w:rsidRDefault="00085859" w:rsidP="00B15481">
            <w:pPr>
              <w:spacing w:before="60" w:after="60"/>
              <w:rPr>
                <w:sz w:val="20"/>
                <w:szCs w:val="20"/>
              </w:rPr>
            </w:pPr>
            <w:r w:rsidRPr="00085859">
              <w:rPr>
                <w:sz w:val="20"/>
                <w:szCs w:val="20"/>
                <w:highlight w:val="black"/>
              </w:rPr>
              <w:t>XXXXX</w:t>
            </w:r>
          </w:p>
        </w:tc>
        <w:tc>
          <w:tcPr>
            <w:tcW w:w="2247" w:type="dxa"/>
          </w:tcPr>
          <w:p w14:paraId="6EDD372D" w14:textId="47F310E4" w:rsidR="00463688" w:rsidRPr="00CA3530" w:rsidRDefault="00085859" w:rsidP="00B15481">
            <w:pPr>
              <w:spacing w:before="60" w:after="60"/>
              <w:rPr>
                <w:sz w:val="20"/>
                <w:szCs w:val="20"/>
              </w:rPr>
            </w:pPr>
            <w:r w:rsidRPr="00085859">
              <w:rPr>
                <w:sz w:val="20"/>
                <w:szCs w:val="20"/>
                <w:highlight w:val="black"/>
              </w:rPr>
              <w:t>XXXXX</w:t>
            </w:r>
          </w:p>
        </w:tc>
      </w:tr>
      <w:tr w:rsidR="00463688" w:rsidRPr="001B2F0C" w14:paraId="5964C129" w14:textId="77777777" w:rsidTr="003E7855">
        <w:tc>
          <w:tcPr>
            <w:tcW w:w="2248" w:type="dxa"/>
            <w:vMerge/>
          </w:tcPr>
          <w:p w14:paraId="40E5008F" w14:textId="77777777" w:rsidR="00463688" w:rsidRPr="00CA3530" w:rsidRDefault="00463688" w:rsidP="00B15481">
            <w:pPr>
              <w:spacing w:before="60" w:after="60"/>
              <w:rPr>
                <w:sz w:val="20"/>
                <w:szCs w:val="20"/>
              </w:rPr>
            </w:pPr>
          </w:p>
        </w:tc>
        <w:tc>
          <w:tcPr>
            <w:tcW w:w="2227" w:type="dxa"/>
          </w:tcPr>
          <w:p w14:paraId="2C53531B" w14:textId="080E8D0D" w:rsidR="00463688" w:rsidRPr="00CA3530" w:rsidRDefault="00463688" w:rsidP="00B15481">
            <w:pPr>
              <w:spacing w:before="60" w:after="60"/>
              <w:rPr>
                <w:sz w:val="20"/>
                <w:szCs w:val="20"/>
              </w:rPr>
            </w:pPr>
            <w:r w:rsidRPr="00CA3530">
              <w:rPr>
                <w:sz w:val="20"/>
                <w:szCs w:val="20"/>
              </w:rPr>
              <w:t>Actual</w:t>
            </w:r>
          </w:p>
        </w:tc>
        <w:tc>
          <w:tcPr>
            <w:tcW w:w="2225" w:type="dxa"/>
          </w:tcPr>
          <w:p w14:paraId="13A7EE88" w14:textId="36727C17" w:rsidR="00463688" w:rsidRPr="00CA3530" w:rsidRDefault="00463688" w:rsidP="00B15481">
            <w:pPr>
              <w:spacing w:before="60" w:after="60"/>
              <w:rPr>
                <w:sz w:val="20"/>
                <w:szCs w:val="20"/>
              </w:rPr>
            </w:pPr>
            <w:r w:rsidRPr="00CA3530">
              <w:rPr>
                <w:sz w:val="20"/>
                <w:szCs w:val="20"/>
              </w:rPr>
              <w:t xml:space="preserve">12,819 </w:t>
            </w:r>
            <w:r w:rsidR="00085859" w:rsidRPr="00085859">
              <w:rPr>
                <w:sz w:val="20"/>
                <w:szCs w:val="20"/>
                <w:highlight w:val="black"/>
              </w:rPr>
              <w:t>(XXXX%)</w:t>
            </w:r>
          </w:p>
        </w:tc>
        <w:tc>
          <w:tcPr>
            <w:tcW w:w="2247" w:type="dxa"/>
          </w:tcPr>
          <w:p w14:paraId="2C7681F8" w14:textId="23B5112C" w:rsidR="00463688" w:rsidRPr="00CA3530" w:rsidRDefault="00463688" w:rsidP="00B15481">
            <w:pPr>
              <w:spacing w:before="60" w:after="60"/>
              <w:rPr>
                <w:sz w:val="20"/>
                <w:szCs w:val="20"/>
              </w:rPr>
            </w:pPr>
            <w:r w:rsidRPr="00CA3530">
              <w:rPr>
                <w:sz w:val="20"/>
                <w:szCs w:val="20"/>
              </w:rPr>
              <w:t xml:space="preserve">15,633 </w:t>
            </w:r>
            <w:r w:rsidR="00085859" w:rsidRPr="00085859">
              <w:rPr>
                <w:sz w:val="20"/>
                <w:szCs w:val="20"/>
                <w:highlight w:val="black"/>
              </w:rPr>
              <w:t>(XXXX%)</w:t>
            </w:r>
          </w:p>
        </w:tc>
      </w:tr>
      <w:tr w:rsidR="0061298E" w:rsidRPr="001B2F0C" w14:paraId="5C5EDE1C" w14:textId="77777777" w:rsidTr="003E7855">
        <w:tc>
          <w:tcPr>
            <w:tcW w:w="2248" w:type="dxa"/>
            <w:vMerge w:val="restart"/>
          </w:tcPr>
          <w:p w14:paraId="58531789" w14:textId="122E4350" w:rsidR="0061298E" w:rsidRPr="00CA3530" w:rsidRDefault="0061298E" w:rsidP="00B15481">
            <w:pPr>
              <w:spacing w:before="60" w:after="60"/>
              <w:rPr>
                <w:sz w:val="20"/>
                <w:szCs w:val="20"/>
              </w:rPr>
            </w:pPr>
            <w:r w:rsidRPr="00CA3530">
              <w:rPr>
                <w:b/>
                <w:bCs/>
                <w:sz w:val="20"/>
                <w:szCs w:val="20"/>
              </w:rPr>
              <w:t>Prescriptions per patient</w:t>
            </w:r>
          </w:p>
        </w:tc>
        <w:tc>
          <w:tcPr>
            <w:tcW w:w="2227" w:type="dxa"/>
          </w:tcPr>
          <w:p w14:paraId="06BAC3CE" w14:textId="3A5F9C52" w:rsidR="0061298E" w:rsidRPr="00CA3530" w:rsidRDefault="0061298E" w:rsidP="00B15481">
            <w:pPr>
              <w:spacing w:before="60" w:after="60"/>
              <w:rPr>
                <w:sz w:val="20"/>
                <w:szCs w:val="20"/>
              </w:rPr>
            </w:pPr>
            <w:r w:rsidRPr="00CA3530">
              <w:rPr>
                <w:sz w:val="20"/>
                <w:szCs w:val="20"/>
              </w:rPr>
              <w:t>Predicted</w:t>
            </w:r>
          </w:p>
        </w:tc>
        <w:tc>
          <w:tcPr>
            <w:tcW w:w="2225" w:type="dxa"/>
          </w:tcPr>
          <w:p w14:paraId="45F671EE" w14:textId="0C4B3C83" w:rsidR="0061298E" w:rsidRPr="00CA3530" w:rsidRDefault="00085859" w:rsidP="00B15481">
            <w:pPr>
              <w:spacing w:before="60" w:after="60"/>
              <w:rPr>
                <w:sz w:val="20"/>
                <w:szCs w:val="20"/>
              </w:rPr>
            </w:pPr>
            <w:r w:rsidRPr="00085859">
              <w:rPr>
                <w:sz w:val="20"/>
                <w:szCs w:val="20"/>
                <w:highlight w:val="black"/>
              </w:rPr>
              <w:t>XXXXX</w:t>
            </w:r>
          </w:p>
        </w:tc>
        <w:tc>
          <w:tcPr>
            <w:tcW w:w="2247" w:type="dxa"/>
          </w:tcPr>
          <w:p w14:paraId="1A7D84DD" w14:textId="53E83368" w:rsidR="0061298E" w:rsidRPr="00CA3530" w:rsidRDefault="00085859" w:rsidP="00B15481">
            <w:pPr>
              <w:spacing w:before="60" w:after="60"/>
              <w:rPr>
                <w:sz w:val="20"/>
                <w:szCs w:val="20"/>
              </w:rPr>
            </w:pPr>
            <w:r w:rsidRPr="00085859">
              <w:rPr>
                <w:sz w:val="20"/>
                <w:szCs w:val="20"/>
                <w:highlight w:val="black"/>
              </w:rPr>
              <w:t>XXXXX</w:t>
            </w:r>
          </w:p>
        </w:tc>
      </w:tr>
      <w:tr w:rsidR="0061298E" w:rsidRPr="001B2F0C" w14:paraId="41C6C25B" w14:textId="77777777" w:rsidTr="003E7855">
        <w:tc>
          <w:tcPr>
            <w:tcW w:w="2248" w:type="dxa"/>
            <w:vMerge/>
          </w:tcPr>
          <w:p w14:paraId="7D6E15CC" w14:textId="4155C333" w:rsidR="0061298E" w:rsidRPr="00376F26" w:rsidRDefault="0061298E" w:rsidP="00B15481">
            <w:pPr>
              <w:spacing w:before="60" w:after="60"/>
              <w:rPr>
                <w:b/>
                <w:bCs/>
                <w:sz w:val="20"/>
                <w:szCs w:val="20"/>
              </w:rPr>
            </w:pPr>
          </w:p>
        </w:tc>
        <w:tc>
          <w:tcPr>
            <w:tcW w:w="2227" w:type="dxa"/>
          </w:tcPr>
          <w:p w14:paraId="034724DB" w14:textId="00FCC837" w:rsidR="0061298E" w:rsidRPr="00376F26" w:rsidRDefault="0061298E" w:rsidP="00B15481">
            <w:pPr>
              <w:spacing w:before="60" w:after="60"/>
              <w:rPr>
                <w:sz w:val="20"/>
                <w:szCs w:val="20"/>
              </w:rPr>
            </w:pPr>
            <w:r w:rsidRPr="00376F26">
              <w:rPr>
                <w:sz w:val="20"/>
                <w:szCs w:val="20"/>
              </w:rPr>
              <w:t>Actual</w:t>
            </w:r>
          </w:p>
        </w:tc>
        <w:tc>
          <w:tcPr>
            <w:tcW w:w="2225" w:type="dxa"/>
          </w:tcPr>
          <w:p w14:paraId="5B5DA5C5" w14:textId="17B338F5" w:rsidR="0061298E" w:rsidRPr="00376F26" w:rsidRDefault="0061298E" w:rsidP="00B15481">
            <w:pPr>
              <w:spacing w:before="60" w:after="60"/>
              <w:rPr>
                <w:sz w:val="20"/>
                <w:szCs w:val="20"/>
              </w:rPr>
            </w:pPr>
            <w:r>
              <w:rPr>
                <w:sz w:val="20"/>
                <w:szCs w:val="20"/>
              </w:rPr>
              <w:t>8.35</w:t>
            </w:r>
          </w:p>
        </w:tc>
        <w:tc>
          <w:tcPr>
            <w:tcW w:w="2247" w:type="dxa"/>
          </w:tcPr>
          <w:p w14:paraId="32AD69F6" w14:textId="519CBD02" w:rsidR="0061298E" w:rsidRPr="00376F26" w:rsidRDefault="0061298E" w:rsidP="00B15481">
            <w:pPr>
              <w:spacing w:before="60" w:after="60"/>
              <w:rPr>
                <w:sz w:val="20"/>
                <w:szCs w:val="20"/>
              </w:rPr>
            </w:pPr>
            <w:r>
              <w:rPr>
                <w:sz w:val="20"/>
                <w:szCs w:val="20"/>
              </w:rPr>
              <w:t>8.1</w:t>
            </w:r>
          </w:p>
        </w:tc>
      </w:tr>
    </w:tbl>
    <w:p w14:paraId="1AF2D88C" w14:textId="77777777" w:rsidR="00A93ECD" w:rsidRDefault="00A93ECD" w:rsidP="00F867DD">
      <w:pPr>
        <w:spacing w:after="0"/>
      </w:pPr>
    </w:p>
    <w:p w14:paraId="07FDCEA3" w14:textId="28209D7C" w:rsidR="006E4C52" w:rsidRDefault="006E4C52" w:rsidP="009C19EE">
      <w:r w:rsidRPr="00681B1F">
        <w:t xml:space="preserve">Table </w:t>
      </w:r>
      <w:r w:rsidR="005E4B1E">
        <w:t>3</w:t>
      </w:r>
      <w:r w:rsidRPr="00681B1F">
        <w:t xml:space="preserve"> indicates that the </w:t>
      </w:r>
      <w:r w:rsidR="004A37B5">
        <w:t xml:space="preserve">actual utilisation has been </w:t>
      </w:r>
      <w:r w:rsidR="00085859" w:rsidRPr="00085859">
        <w:rPr>
          <w:highlight w:val="black"/>
        </w:rPr>
        <w:t>XXXXX</w:t>
      </w:r>
      <w:r w:rsidR="004A37B5">
        <w:t xml:space="preserve"> than the </w:t>
      </w:r>
      <w:r w:rsidRPr="00681B1F">
        <w:t>predicted patient and prescription numbers at the time of listing</w:t>
      </w:r>
      <w:r w:rsidR="00681B1F" w:rsidRPr="00681B1F">
        <w:t>.</w:t>
      </w:r>
      <w:r w:rsidR="00A359F5">
        <w:t xml:space="preserve"> The actual</w:t>
      </w:r>
      <w:r w:rsidR="00213A57">
        <w:t xml:space="preserve"> number of </w:t>
      </w:r>
      <w:r w:rsidR="00A359F5">
        <w:t xml:space="preserve">prescriptions per patient </w:t>
      </w:r>
      <w:r w:rsidR="00213A57">
        <w:t xml:space="preserve">in each year of listing </w:t>
      </w:r>
      <w:r w:rsidR="008F5518">
        <w:t>was</w:t>
      </w:r>
      <w:r w:rsidR="00A359F5">
        <w:t xml:space="preserve"> </w:t>
      </w:r>
      <w:r w:rsidR="00085859" w:rsidRPr="00085859">
        <w:rPr>
          <w:highlight w:val="black"/>
        </w:rPr>
        <w:t>XXXXX</w:t>
      </w:r>
      <w:r w:rsidR="00085859">
        <w:t xml:space="preserve"> </w:t>
      </w:r>
      <w:r w:rsidR="00C40CA6">
        <w:t>than</w:t>
      </w:r>
      <w:r w:rsidR="00213A57">
        <w:t xml:space="preserve"> predicted.</w:t>
      </w:r>
    </w:p>
    <w:p w14:paraId="3555DFBA" w14:textId="369F7B8B" w:rsidR="00591512" w:rsidRDefault="00AB3733" w:rsidP="00CF02A3">
      <w:pPr>
        <w:pStyle w:val="Heading1"/>
      </w:pPr>
      <w:r>
        <w:t>D</w:t>
      </w:r>
      <w:r w:rsidR="007346C7" w:rsidRPr="005E22C2">
        <w:t>iscussion</w:t>
      </w:r>
      <w:r w:rsidR="00D13E39">
        <w:t xml:space="preserve"> and DUSC Consideration</w:t>
      </w:r>
    </w:p>
    <w:p w14:paraId="563AECAA" w14:textId="6C80FBEF" w:rsidR="00D13E39" w:rsidRPr="00D13E39" w:rsidRDefault="00D13E39" w:rsidP="00D13E39">
      <w:r w:rsidRPr="00747A19">
        <w:t xml:space="preserve">Given the paucity of epidemiology data for </w:t>
      </w:r>
      <w:proofErr w:type="spellStart"/>
      <w:r w:rsidRPr="00747A19">
        <w:t>mCSCC</w:t>
      </w:r>
      <w:proofErr w:type="spellEnd"/>
      <w:r w:rsidRPr="00747A19">
        <w:t xml:space="preserve"> or </w:t>
      </w:r>
      <w:proofErr w:type="spellStart"/>
      <w:r w:rsidRPr="00747A19">
        <w:t>laCSCC</w:t>
      </w:r>
      <w:proofErr w:type="spellEnd"/>
      <w:r w:rsidRPr="00747A19">
        <w:t xml:space="preserve"> in the Australian population, the estimates for utilisation of </w:t>
      </w:r>
      <w:proofErr w:type="spellStart"/>
      <w:r w:rsidRPr="00747A19">
        <w:t>cemiplimab</w:t>
      </w:r>
      <w:proofErr w:type="spellEnd"/>
      <w:r w:rsidRPr="00747A19">
        <w:t xml:space="preserve"> were uncertain at the time of listing. DUSC considered this submission for the November 2020 PBAC meeting and was of an opinion at the time that there was a risk of use outside the proposed restrictions in patients with borderline </w:t>
      </w:r>
      <w:proofErr w:type="spellStart"/>
      <w:r w:rsidRPr="00747A19">
        <w:t>resectable</w:t>
      </w:r>
      <w:proofErr w:type="spellEnd"/>
      <w:r w:rsidRPr="00747A19">
        <w:t xml:space="preserve"> disease. DUSC also considered that there was a risk of use outside the proposed restrictions as neoadjuvant and adjuvant treatment, i.e. to treat patients so they become candidates for curative surgery or curative </w:t>
      </w:r>
      <w:proofErr w:type="gramStart"/>
      <w:r w:rsidRPr="00747A19">
        <w:t>radiation, or</w:t>
      </w:r>
      <w:proofErr w:type="gramEnd"/>
      <w:r w:rsidRPr="00747A19">
        <w:t xml:space="preserve"> increase the likelihood of surgery or </w:t>
      </w:r>
      <w:r w:rsidRPr="00D13E39">
        <w:t xml:space="preserve">radiation being curative. Both the actual patient and prescription numbers are </w:t>
      </w:r>
      <w:r w:rsidR="005E4B1E" w:rsidRPr="00085859">
        <w:rPr>
          <w:highlight w:val="black"/>
        </w:rPr>
        <w:t>XXXXX</w:t>
      </w:r>
      <w:r w:rsidR="005E4B1E">
        <w:t xml:space="preserve"> </w:t>
      </w:r>
      <w:r w:rsidRPr="00D13E39">
        <w:t xml:space="preserve">than estimated and appear to be continuing to grow. DUSC noted that the number of initiating patients each year was increasing therefore it was likely that prevalence had not yet been reached. DUSC discussed that there is likely some use of </w:t>
      </w:r>
      <w:proofErr w:type="spellStart"/>
      <w:r w:rsidRPr="00D13E39">
        <w:t>cemiplimab</w:t>
      </w:r>
      <w:proofErr w:type="spellEnd"/>
      <w:r w:rsidRPr="00D13E39">
        <w:t xml:space="preserve"> outside of the restriction by older patients who are poor surgical candidates, and that this was clinically appropriate. </w:t>
      </w:r>
    </w:p>
    <w:p w14:paraId="6F9980FF" w14:textId="469BE271" w:rsidR="00D13E39" w:rsidRPr="00D13E39" w:rsidRDefault="00D13E39" w:rsidP="00D13E39">
      <w:r w:rsidRPr="00D13E39">
        <w:t xml:space="preserve">The aetiology for CSCC includes advanced age and skin exposure to ultraviolet light. DUSC noted that the age of patients at initiation for CSCC was generally advanced, in line with the literature. </w:t>
      </w:r>
    </w:p>
    <w:p w14:paraId="056A5A8D" w14:textId="6895132F" w:rsidR="00D13E39" w:rsidRPr="00D13E39" w:rsidRDefault="00D13E39" w:rsidP="00D13E39">
      <w:r w:rsidRPr="00D13E39">
        <w:t xml:space="preserve">The mean treatment duration of </w:t>
      </w:r>
      <w:proofErr w:type="spellStart"/>
      <w:r w:rsidRPr="00D13E39">
        <w:t>cemiplimab</w:t>
      </w:r>
      <w:proofErr w:type="spellEnd"/>
      <w:r w:rsidRPr="00D13E39">
        <w:t xml:space="preserve"> at the time the medicine was reconsidered by the PBAC was 57.97 weeks based on the data from the pivotal studies. DUSC considered this to likely be overestimated as the PBS population was likely to be older and frailer than the patients in the clinical studies. DUSC noted that the median length of treatment was 8.9 months (38.6 weeks) excluding breaks indicating that the duration of treatment was overestimated at the time of listing. The number of prescriptions per patient was </w:t>
      </w:r>
      <w:r w:rsidR="005E4B1E" w:rsidRPr="00085859">
        <w:rPr>
          <w:highlight w:val="black"/>
        </w:rPr>
        <w:t>XXXXX</w:t>
      </w:r>
      <w:r w:rsidRPr="00D13E39">
        <w:t xml:space="preserve">. DUSC discussed that the shorter treatment duration in practice could be attributed to a good clinical response to </w:t>
      </w:r>
      <w:proofErr w:type="spellStart"/>
      <w:r w:rsidRPr="00D13E39">
        <w:t>cemiplimab</w:t>
      </w:r>
      <w:proofErr w:type="spellEnd"/>
      <w:r w:rsidRPr="00D13E39">
        <w:t xml:space="preserve"> and the cessation of treatment earlier than intended to avoid toxicity in older patients. </w:t>
      </w:r>
    </w:p>
    <w:p w14:paraId="5C20917D" w14:textId="02B3C863" w:rsidR="00D13E39" w:rsidRPr="00D13E39" w:rsidRDefault="00D13E39" w:rsidP="00D13E39">
      <w:r w:rsidRPr="00D13E39">
        <w:t xml:space="preserve">DUSC noted that whilst the utilisation had been </w:t>
      </w:r>
      <w:r w:rsidR="00830A9E" w:rsidRPr="00085859">
        <w:rPr>
          <w:highlight w:val="black"/>
        </w:rPr>
        <w:t>XXXXX</w:t>
      </w:r>
      <w:r w:rsidR="00830A9E" w:rsidRPr="00D13E39">
        <w:t xml:space="preserve"> </w:t>
      </w:r>
      <w:r w:rsidRPr="00D13E39">
        <w:t xml:space="preserve">than predicted, the Risk Share Arrangement mitigates the cost to government for </w:t>
      </w:r>
      <w:proofErr w:type="spellStart"/>
      <w:r w:rsidRPr="00D13E39">
        <w:t>cemiplimab</w:t>
      </w:r>
      <w:proofErr w:type="spellEnd"/>
      <w:r w:rsidRPr="00D13E39">
        <w:t xml:space="preserve">. DUSC noted that the utilisation could be reviewed in the future. </w:t>
      </w:r>
    </w:p>
    <w:p w14:paraId="2ECBFE48" w14:textId="711258D5" w:rsidR="001310AE" w:rsidRDefault="00801E74" w:rsidP="00F73113">
      <w:pPr>
        <w:pStyle w:val="Heading1"/>
      </w:pPr>
      <w:r>
        <w:t xml:space="preserve">DUSC </w:t>
      </w:r>
      <w:r w:rsidR="00085859">
        <w:t>Actions</w:t>
      </w:r>
    </w:p>
    <w:p w14:paraId="6F2A84C0" w14:textId="2932C8EA" w:rsidR="00533062" w:rsidRDefault="00085859" w:rsidP="00085859">
      <w:pPr>
        <w:spacing w:after="0"/>
      </w:pPr>
      <w:r>
        <w:t>DUSC requested that t</w:t>
      </w:r>
      <w:r w:rsidR="00533062" w:rsidRPr="00533062">
        <w:t xml:space="preserve">he report </w:t>
      </w:r>
      <w:r>
        <w:t>be</w:t>
      </w:r>
      <w:r w:rsidR="00533062" w:rsidRPr="00533062">
        <w:t xml:space="preserve"> provided to the </w:t>
      </w:r>
      <w:r>
        <w:t xml:space="preserve">PBAC </w:t>
      </w:r>
      <w:r w:rsidR="00533062" w:rsidRPr="00533062">
        <w:t>for co</w:t>
      </w:r>
      <w:r>
        <w:t>nsideration</w:t>
      </w:r>
      <w:r w:rsidR="00533062" w:rsidRPr="00533062">
        <w:t>.</w:t>
      </w:r>
    </w:p>
    <w:p w14:paraId="560AB02E" w14:textId="77777777" w:rsidR="00085859" w:rsidRDefault="00085859" w:rsidP="00533062"/>
    <w:p w14:paraId="0491CC15" w14:textId="77777777" w:rsidR="00085859" w:rsidRPr="00085859" w:rsidRDefault="00085859" w:rsidP="00533062">
      <w:pPr>
        <w:rPr>
          <w:rFonts w:eastAsiaTheme="majorEastAsia" w:cstheme="majorBidi"/>
          <w:b/>
          <w:bCs/>
          <w:sz w:val="32"/>
          <w:szCs w:val="32"/>
        </w:rPr>
      </w:pPr>
      <w:r w:rsidRPr="00085859">
        <w:rPr>
          <w:rFonts w:eastAsiaTheme="majorEastAsia" w:cstheme="majorBidi"/>
          <w:b/>
          <w:bCs/>
          <w:sz w:val="32"/>
          <w:szCs w:val="32"/>
        </w:rPr>
        <w:t xml:space="preserve">Context for analysis </w:t>
      </w:r>
    </w:p>
    <w:p w14:paraId="0C94866B" w14:textId="77777777" w:rsidR="00085859" w:rsidRDefault="00085859" w:rsidP="00533062">
      <w:r w:rsidRPr="00085859">
        <w:t xml:space="preserve">The DUSC is a Sub Committee of the Pharmaceutical Benefits Advisory Committee (PBAC). The DUSC assesses estimates on projected usage and financial cost of medicines. </w:t>
      </w:r>
    </w:p>
    <w:p w14:paraId="3CE068C5" w14:textId="77777777" w:rsidR="00085859" w:rsidRDefault="00085859" w:rsidP="00533062">
      <w:r w:rsidRPr="00085859">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51055B73" w14:textId="77777777" w:rsidR="00085859" w:rsidRDefault="00085859" w:rsidP="00533062">
      <w:r w:rsidRPr="00085859">
        <w:t xml:space="preserve">The DUSC operates in accordance with the quality use of medicines objective of the National Medicines Policy and considers that the DUSC utilisation analyses will assist consumers and health professionals to better understand the costs, benefits and risks of medicines. </w:t>
      </w:r>
    </w:p>
    <w:p w14:paraId="4BA2BEEB" w14:textId="77777777" w:rsidR="00085859" w:rsidRDefault="00085859" w:rsidP="00533062">
      <w:r w:rsidRPr="00085859">
        <w:t xml:space="preserve">The utilisation analysis report was provided to the pharmaceutical sponsor of </w:t>
      </w:r>
      <w:r>
        <w:t>the</w:t>
      </w:r>
      <w:r w:rsidRPr="00085859">
        <w:t xml:space="preserve"> drug and comments on the report were provided to DUSC prior to its consideration of the analysis. </w:t>
      </w:r>
    </w:p>
    <w:p w14:paraId="707F0177" w14:textId="77777777" w:rsidR="00085859" w:rsidRDefault="00085859" w:rsidP="00085859">
      <w:pPr>
        <w:spacing w:after="0"/>
      </w:pPr>
    </w:p>
    <w:p w14:paraId="234EE93E" w14:textId="159D2ECC" w:rsidR="00085859" w:rsidRPr="00085859" w:rsidRDefault="00085859" w:rsidP="00533062">
      <w:pPr>
        <w:rPr>
          <w:rFonts w:eastAsiaTheme="majorEastAsia" w:cstheme="majorBidi"/>
          <w:b/>
          <w:bCs/>
          <w:sz w:val="32"/>
          <w:szCs w:val="32"/>
        </w:rPr>
      </w:pPr>
      <w:r w:rsidRPr="00085859">
        <w:rPr>
          <w:rFonts w:eastAsiaTheme="majorEastAsia" w:cstheme="majorBidi"/>
          <w:b/>
          <w:bCs/>
          <w:sz w:val="32"/>
          <w:szCs w:val="32"/>
        </w:rPr>
        <w:t>Sponsor comments</w:t>
      </w:r>
    </w:p>
    <w:p w14:paraId="59FD423B" w14:textId="589526B7" w:rsidR="00533062" w:rsidRDefault="00CC08A3" w:rsidP="00376F26">
      <w:r>
        <w:t>The sponsor has no comment.</w:t>
      </w:r>
    </w:p>
    <w:p w14:paraId="218A892B" w14:textId="77777777" w:rsidR="00085859" w:rsidRDefault="00085859" w:rsidP="00085859">
      <w:pPr>
        <w:pStyle w:val="Heading1"/>
      </w:pPr>
      <w:r w:rsidRPr="00A4020E">
        <w:t>Disclaimer</w:t>
      </w:r>
    </w:p>
    <w:p w14:paraId="5ABD0E10" w14:textId="77777777" w:rsidR="00085859" w:rsidRDefault="00085859" w:rsidP="00085859">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21D154AE" w14:textId="77777777" w:rsidR="00085859" w:rsidRDefault="00085859" w:rsidP="00085859">
      <w:r>
        <w:t xml:space="preserve">The Department of Health and Aged Care has made all reasonable efforts to ensure that information provided in this report is accurate. The information provided in this report was </w:t>
      </w:r>
      <w:proofErr w:type="gramStart"/>
      <w:r>
        <w:t>up-to-date</w:t>
      </w:r>
      <w:proofErr w:type="gramEnd"/>
      <w:r>
        <w:t xml:space="preserve"> when it was considered by the Drug Utilisation Sub-committee of the Pharmaceutical Benefits Advisory Committee.  The context for that information may have changed since publication.</w:t>
      </w:r>
    </w:p>
    <w:p w14:paraId="76AA5B05" w14:textId="77777777" w:rsidR="00085859" w:rsidRDefault="00085859" w:rsidP="00085859">
      <w:r>
        <w:t xml:space="preserve">To the extent provided by law, the Department of Health and Aged Care makes no warranties or representations as to accuracy or completeness of information contained in this report. </w:t>
      </w:r>
    </w:p>
    <w:p w14:paraId="0072B76C" w14:textId="77777777" w:rsidR="00085859" w:rsidRDefault="00085859" w:rsidP="00085859">
      <w:r>
        <w:t>To the fullest extent permitted by law, neither the Department of Health and Aged Care nor any Department of Health and Aged Care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1F15C746" w14:textId="77777777" w:rsidR="00085859" w:rsidRPr="00533062" w:rsidRDefault="00085859" w:rsidP="00376F26"/>
    <w:p w14:paraId="30F7386A" w14:textId="315C4CC1" w:rsidR="00336816" w:rsidRPr="00EB1A21" w:rsidRDefault="00336816" w:rsidP="00EB1A21">
      <w:pPr>
        <w:rPr>
          <w:b/>
        </w:rPr>
      </w:pPr>
    </w:p>
    <w:sectPr w:rsidR="00336816" w:rsidRPr="00EB1A21" w:rsidSect="00DD188C">
      <w:headerReference w:type="even" r:id="rId20"/>
      <w:headerReference w:type="default" r:id="rId21"/>
      <w:footerReference w:type="even" r:id="rId22"/>
      <w:footerReference w:type="default" r:id="rId23"/>
      <w:headerReference w:type="first" r:id="rId24"/>
      <w:footerReference w:type="first" r:id="rId25"/>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65EEF" w14:textId="77777777" w:rsidR="00622BDD" w:rsidRDefault="00622BDD" w:rsidP="00A35800">
      <w:r>
        <w:separator/>
      </w:r>
    </w:p>
  </w:endnote>
  <w:endnote w:type="continuationSeparator" w:id="0">
    <w:p w14:paraId="0D070A1A" w14:textId="77777777" w:rsidR="00622BDD" w:rsidRDefault="00622BDD"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D5E5" w14:textId="366E182A" w:rsidR="00214013" w:rsidRDefault="00974F0B" w:rsidP="00A35800">
    <w:pPr>
      <w:pStyle w:val="Footer"/>
      <w:rPr>
        <w:rStyle w:val="PageNumber"/>
      </w:rPr>
    </w:pPr>
    <w:r>
      <w:rPr>
        <w:noProof/>
      </w:rPr>
      <mc:AlternateContent>
        <mc:Choice Requires="wps">
          <w:drawing>
            <wp:anchor distT="0" distB="0" distL="0" distR="0" simplePos="0" relativeHeight="251668480" behindDoc="0" locked="0" layoutInCell="1" allowOverlap="1" wp14:anchorId="1288C04E" wp14:editId="3198D87E">
              <wp:simplePos x="635" y="635"/>
              <wp:positionH relativeFrom="page">
                <wp:align>center</wp:align>
              </wp:positionH>
              <wp:positionV relativeFrom="page">
                <wp:align>bottom</wp:align>
              </wp:positionV>
              <wp:extent cx="622300" cy="376555"/>
              <wp:effectExtent l="0" t="0" r="6350" b="0"/>
              <wp:wrapNone/>
              <wp:docPr id="223795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4EFB333" w14:textId="0ABA8A51" w:rsidR="00974F0B" w:rsidRPr="00974F0B" w:rsidRDefault="00974F0B" w:rsidP="00974F0B">
                          <w:pPr>
                            <w:spacing w:after="0"/>
                            <w:rPr>
                              <w:rFonts w:ascii="Aptos" w:eastAsia="Aptos" w:hAnsi="Aptos" w:cs="Aptos"/>
                              <w:noProof/>
                              <w:color w:val="FF0000"/>
                            </w:rPr>
                          </w:pPr>
                          <w:r w:rsidRPr="00974F0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88C04E"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4EFB333" w14:textId="0ABA8A51" w:rsidR="00974F0B" w:rsidRPr="00974F0B" w:rsidRDefault="00974F0B" w:rsidP="00974F0B">
                    <w:pPr>
                      <w:spacing w:after="0"/>
                      <w:rPr>
                        <w:rFonts w:ascii="Aptos" w:eastAsia="Aptos" w:hAnsi="Aptos" w:cs="Aptos"/>
                        <w:noProof/>
                        <w:color w:val="FF0000"/>
                      </w:rPr>
                    </w:pPr>
                    <w:r w:rsidRPr="00974F0B">
                      <w:rPr>
                        <w:rFonts w:ascii="Aptos" w:eastAsia="Aptos" w:hAnsi="Aptos" w:cs="Aptos"/>
                        <w:noProof/>
                        <w:color w:val="FF0000"/>
                      </w:rPr>
                      <w:t>OFFICIAL</w:t>
                    </w:r>
                  </w:p>
                </w:txbxContent>
              </v:textbox>
              <w10:wrap anchorx="page" anchory="page"/>
            </v:shape>
          </w:pict>
        </mc:Fallback>
      </mc:AlternateContent>
    </w:r>
    <w:r w:rsidR="00214013">
      <w:rPr>
        <w:rStyle w:val="PageNumber"/>
      </w:rPr>
      <w:fldChar w:fldCharType="begin"/>
    </w:r>
    <w:r w:rsidR="00214013">
      <w:rPr>
        <w:rStyle w:val="PageNumber"/>
      </w:rPr>
      <w:instrText xml:space="preserve">PAGE  </w:instrText>
    </w:r>
    <w:r w:rsidR="009E678C">
      <w:rPr>
        <w:rStyle w:val="PageNumber"/>
      </w:rPr>
      <w:fldChar w:fldCharType="separate"/>
    </w:r>
    <w:r w:rsidR="009E678C">
      <w:rPr>
        <w:rStyle w:val="PageNumber"/>
        <w:noProof/>
      </w:rPr>
      <w:t>1</w:t>
    </w:r>
    <w:r w:rsidR="00214013">
      <w:rPr>
        <w:rStyle w:val="PageNumber"/>
      </w:rPr>
      <w:fldChar w:fldCharType="end"/>
    </w:r>
  </w:p>
  <w:p w14:paraId="2D9F9A1E" w14:textId="77777777" w:rsidR="00214013" w:rsidRDefault="00214013"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45BB" w14:textId="18CD8367" w:rsidR="00CC08A3" w:rsidRDefault="00974F0B" w:rsidP="000E72C6">
    <w:pPr>
      <w:pStyle w:val="Footer"/>
      <w:jc w:val="center"/>
    </w:pPr>
    <w:r>
      <w:rPr>
        <w:noProof/>
      </w:rPr>
      <mc:AlternateContent>
        <mc:Choice Requires="wps">
          <w:drawing>
            <wp:anchor distT="0" distB="0" distL="0" distR="0" simplePos="0" relativeHeight="251669504" behindDoc="0" locked="0" layoutInCell="1" allowOverlap="1" wp14:anchorId="1F36D253" wp14:editId="79BA3437">
              <wp:simplePos x="635" y="635"/>
              <wp:positionH relativeFrom="page">
                <wp:align>center</wp:align>
              </wp:positionH>
              <wp:positionV relativeFrom="page">
                <wp:align>bottom</wp:align>
              </wp:positionV>
              <wp:extent cx="622300" cy="376555"/>
              <wp:effectExtent l="0" t="0" r="6350" b="0"/>
              <wp:wrapNone/>
              <wp:docPr id="197464050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7906B08" w14:textId="5A66E72C" w:rsidR="00974F0B" w:rsidRPr="00974F0B" w:rsidRDefault="00974F0B" w:rsidP="00974F0B">
                          <w:pPr>
                            <w:spacing w:after="0"/>
                            <w:rPr>
                              <w:rFonts w:ascii="Aptos" w:eastAsia="Aptos" w:hAnsi="Aptos" w:cs="Aptos"/>
                              <w:noProof/>
                              <w:color w:val="FF0000"/>
                            </w:rPr>
                          </w:pPr>
                          <w:r w:rsidRPr="00974F0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36D253"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57906B08" w14:textId="5A66E72C" w:rsidR="00974F0B" w:rsidRPr="00974F0B" w:rsidRDefault="00974F0B" w:rsidP="00974F0B">
                    <w:pPr>
                      <w:spacing w:after="0"/>
                      <w:rPr>
                        <w:rFonts w:ascii="Aptos" w:eastAsia="Aptos" w:hAnsi="Aptos" w:cs="Aptos"/>
                        <w:noProof/>
                        <w:color w:val="FF0000"/>
                      </w:rPr>
                    </w:pPr>
                    <w:r w:rsidRPr="00974F0B">
                      <w:rPr>
                        <w:rFonts w:ascii="Aptos" w:eastAsia="Aptos" w:hAnsi="Aptos" w:cs="Aptos"/>
                        <w:noProof/>
                        <w:color w:val="FF0000"/>
                      </w:rPr>
                      <w:t>OFFICIAL</w:t>
                    </w:r>
                  </w:p>
                </w:txbxContent>
              </v:textbox>
              <w10:wrap anchorx="page" anchory="page"/>
            </v:shape>
          </w:pict>
        </mc:Fallback>
      </mc:AlternateContent>
    </w:r>
  </w:p>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6F7213AD" w14:textId="7CCD6DE8" w:rsidR="00D13E39" w:rsidRPr="00D13E39" w:rsidRDefault="00D13E39" w:rsidP="000E72C6">
            <w:pPr>
              <w:pStyle w:val="Footer"/>
              <w:jc w:val="center"/>
              <w:rPr>
                <w:bCs/>
                <w:i/>
                <w:noProof/>
                <w:sz w:val="20"/>
              </w:rPr>
            </w:pPr>
            <w:r w:rsidRPr="00D13E39">
              <w:rPr>
                <w:bCs/>
                <w:i/>
                <w:noProof/>
                <w:sz w:val="20"/>
              </w:rPr>
              <w:t xml:space="preserve">Public Release Document, June 2025 DUSC Meeting </w:t>
            </w:r>
          </w:p>
          <w:p w14:paraId="10292A9A" w14:textId="6438BB30" w:rsidR="00214013" w:rsidRDefault="00DD188C"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1F0A4E">
              <w:rPr>
                <w:bCs/>
                <w:i/>
                <w:noProof/>
                <w:sz w:val="20"/>
              </w:rPr>
              <w:t>3</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1F0A4E">
              <w:rPr>
                <w:bCs/>
                <w:i/>
                <w:noProof/>
                <w:sz w:val="20"/>
              </w:rPr>
              <w:t>13</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2E1F" w14:textId="6599B745" w:rsidR="007A5733" w:rsidRDefault="00974F0B" w:rsidP="007A5733">
    <w:pPr>
      <w:pStyle w:val="Footer"/>
      <w:jc w:val="center"/>
      <w:rPr>
        <w:rStyle w:val="PageNumber"/>
      </w:rPr>
    </w:pPr>
    <w:r>
      <w:rPr>
        <w:noProof/>
      </w:rPr>
      <mc:AlternateContent>
        <mc:Choice Requires="wps">
          <w:drawing>
            <wp:anchor distT="0" distB="0" distL="0" distR="0" simplePos="0" relativeHeight="251667456" behindDoc="0" locked="0" layoutInCell="1" allowOverlap="1" wp14:anchorId="5518C2E8" wp14:editId="5ACA3AE8">
              <wp:simplePos x="635" y="635"/>
              <wp:positionH relativeFrom="page">
                <wp:align>center</wp:align>
              </wp:positionH>
              <wp:positionV relativeFrom="page">
                <wp:align>bottom</wp:align>
              </wp:positionV>
              <wp:extent cx="622300" cy="376555"/>
              <wp:effectExtent l="0" t="0" r="6350" b="0"/>
              <wp:wrapNone/>
              <wp:docPr id="23366994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5A6CA76" w14:textId="4AB20561" w:rsidR="00974F0B" w:rsidRPr="00974F0B" w:rsidRDefault="00974F0B" w:rsidP="00974F0B">
                          <w:pPr>
                            <w:spacing w:after="0"/>
                            <w:rPr>
                              <w:rFonts w:ascii="Aptos" w:eastAsia="Aptos" w:hAnsi="Aptos" w:cs="Aptos"/>
                              <w:noProof/>
                              <w:color w:val="FF0000"/>
                            </w:rPr>
                          </w:pPr>
                          <w:r w:rsidRPr="00974F0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18C2E8"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5A6CA76" w14:textId="4AB20561" w:rsidR="00974F0B" w:rsidRPr="00974F0B" w:rsidRDefault="00974F0B" w:rsidP="00974F0B">
                    <w:pPr>
                      <w:spacing w:after="0"/>
                      <w:rPr>
                        <w:rFonts w:ascii="Aptos" w:eastAsia="Aptos" w:hAnsi="Aptos" w:cs="Aptos"/>
                        <w:noProof/>
                        <w:color w:val="FF0000"/>
                      </w:rPr>
                    </w:pPr>
                    <w:r w:rsidRPr="00974F0B">
                      <w:rPr>
                        <w:rFonts w:ascii="Aptos" w:eastAsia="Aptos" w:hAnsi="Aptos" w:cs="Aptos"/>
                        <w:noProof/>
                        <w:color w:val="FF0000"/>
                      </w:rPr>
                      <w:t>OFFICIAL</w:t>
                    </w:r>
                  </w:p>
                </w:txbxContent>
              </v:textbox>
              <w10:wrap anchorx="page" anchory="page"/>
            </v:shape>
          </w:pict>
        </mc:Fallback>
      </mc:AlternateContent>
    </w:r>
    <w:r w:rsidR="007A5733">
      <w:rPr>
        <w:rStyle w:val="PageNumber"/>
      </w:rPr>
      <w:t>Committee-in-Confidence</w:t>
    </w:r>
  </w:p>
  <w:p w14:paraId="3CE6880B" w14:textId="77777777" w:rsidR="00DD188C" w:rsidRDefault="00DD188C"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DA891" w14:textId="77777777" w:rsidR="00622BDD" w:rsidRDefault="00622BDD" w:rsidP="00A35800">
      <w:r>
        <w:separator/>
      </w:r>
    </w:p>
  </w:footnote>
  <w:footnote w:type="continuationSeparator" w:id="0">
    <w:p w14:paraId="352ACF91" w14:textId="77777777" w:rsidR="00622BDD" w:rsidRDefault="00622BDD" w:rsidP="00A35800">
      <w:r>
        <w:continuationSeparator/>
      </w:r>
    </w:p>
  </w:footnote>
  <w:footnote w:id="1">
    <w:p w14:paraId="199A6761" w14:textId="6468B9A1" w:rsidR="0080699B" w:rsidRDefault="0080699B">
      <w:pPr>
        <w:pStyle w:val="FootnoteText"/>
      </w:pPr>
      <w:r>
        <w:rPr>
          <w:rStyle w:val="FootnoteReference"/>
        </w:rPr>
        <w:footnoteRef/>
      </w:r>
      <w:r>
        <w:t xml:space="preserve"> </w:t>
      </w:r>
      <w:proofErr w:type="spellStart"/>
      <w:r w:rsidR="00715139">
        <w:t>Verkerk</w:t>
      </w:r>
      <w:proofErr w:type="spellEnd"/>
      <w:r w:rsidR="00715139">
        <w:t xml:space="preserve"> </w:t>
      </w:r>
      <w:r w:rsidR="00C05E39">
        <w:t>K</w:t>
      </w:r>
      <w:r w:rsidR="0053082D">
        <w:t xml:space="preserve">, Geurts BS, </w:t>
      </w:r>
      <w:proofErr w:type="spellStart"/>
      <w:r w:rsidR="0053082D">
        <w:t>Zeverijn</w:t>
      </w:r>
      <w:proofErr w:type="spellEnd"/>
      <w:r w:rsidR="0053082D">
        <w:t xml:space="preserve"> LJ, </w:t>
      </w:r>
      <w:r w:rsidR="00B94BD2">
        <w:t xml:space="preserve">van der Noort V, Verheul HM, Haanen JB </w:t>
      </w:r>
      <w:r w:rsidR="00715139">
        <w:t>et al</w:t>
      </w:r>
      <w:r w:rsidR="00C27CB9">
        <w:t xml:space="preserve">. </w:t>
      </w:r>
      <w:proofErr w:type="spellStart"/>
      <w:r w:rsidR="00C27CB9">
        <w:t>Cemiplimab</w:t>
      </w:r>
      <w:proofErr w:type="spellEnd"/>
      <w:r w:rsidR="00C27CB9">
        <w:t xml:space="preserve"> in locally advanced or metastatic cutaneous squamous cell carcinoma: prospective real-world data from the DRUG Access Protocol</w:t>
      </w:r>
      <w:r w:rsidR="000D61A5">
        <w:t xml:space="preserve">. </w:t>
      </w:r>
      <w:r w:rsidR="004E6424">
        <w:t xml:space="preserve">The Lancet </w:t>
      </w:r>
      <w:r w:rsidR="00792E11">
        <w:t xml:space="preserve">April </w:t>
      </w:r>
      <w:r w:rsidR="004E6424">
        <w:t xml:space="preserve">2024; </w:t>
      </w:r>
      <w:r w:rsidR="00403356">
        <w:t>volume 39</w:t>
      </w:r>
      <w:r w:rsidR="00792E11">
        <w:t xml:space="preserve">. DOI: </w:t>
      </w:r>
      <w:r w:rsidR="00197B02" w:rsidRPr="00197B02">
        <w:t>10.1016/j.lanepe.2024.100875</w:t>
      </w:r>
      <w:r w:rsidR="00197B02">
        <w:t xml:space="preserve"> </w:t>
      </w:r>
    </w:p>
  </w:footnote>
  <w:footnote w:id="2">
    <w:p w14:paraId="420428A8" w14:textId="577CD09E" w:rsidR="00197B02" w:rsidRDefault="00197B02">
      <w:pPr>
        <w:pStyle w:val="FootnoteText"/>
      </w:pPr>
      <w:r>
        <w:rPr>
          <w:rStyle w:val="FootnoteReference"/>
        </w:rPr>
        <w:footnoteRef/>
      </w:r>
      <w:r>
        <w:t xml:space="preserve"> </w:t>
      </w:r>
      <w:r w:rsidR="007A132C" w:rsidRPr="007A132C">
        <w:t xml:space="preserve">Advanced Squamous Cell Carcinoma Treatment [Internet]. The Skin Cancer Foundation. Available from: </w:t>
      </w:r>
      <w:hyperlink r:id="rId1" w:history="1">
        <w:r w:rsidR="007A132C" w:rsidRPr="00D84738">
          <w:rPr>
            <w:rStyle w:val="Hyperlink"/>
          </w:rPr>
          <w:t>https://www.skincancer.org/skin-cancer-information/squamous-cell-carcinoma/advanced-scc/</w:t>
        </w:r>
      </w:hyperlink>
      <w:r w:rsidR="007A132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B82B5" w14:textId="4847FC9B" w:rsidR="00CC08A3" w:rsidRDefault="00974F0B">
    <w:pPr>
      <w:pStyle w:val="Header"/>
    </w:pPr>
    <w:r>
      <w:rPr>
        <w:noProof/>
      </w:rPr>
      <mc:AlternateContent>
        <mc:Choice Requires="wps">
          <w:drawing>
            <wp:anchor distT="0" distB="0" distL="0" distR="0" simplePos="0" relativeHeight="251665408" behindDoc="0" locked="0" layoutInCell="1" allowOverlap="1" wp14:anchorId="0CB2A65F" wp14:editId="1216F14D">
              <wp:simplePos x="635" y="635"/>
              <wp:positionH relativeFrom="page">
                <wp:align>center</wp:align>
              </wp:positionH>
              <wp:positionV relativeFrom="page">
                <wp:align>top</wp:align>
              </wp:positionV>
              <wp:extent cx="622300" cy="376555"/>
              <wp:effectExtent l="0" t="0" r="6350" b="4445"/>
              <wp:wrapNone/>
              <wp:docPr id="1588779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97EADA3" w14:textId="7BD80D2B" w:rsidR="00974F0B" w:rsidRPr="00974F0B" w:rsidRDefault="00974F0B" w:rsidP="00974F0B">
                          <w:pPr>
                            <w:spacing w:after="0"/>
                            <w:rPr>
                              <w:rFonts w:ascii="Aptos" w:eastAsia="Aptos" w:hAnsi="Aptos" w:cs="Aptos"/>
                              <w:noProof/>
                              <w:color w:val="FF0000"/>
                            </w:rPr>
                          </w:pPr>
                          <w:r w:rsidRPr="00974F0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B2A65F"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297EADA3" w14:textId="7BD80D2B" w:rsidR="00974F0B" w:rsidRPr="00974F0B" w:rsidRDefault="00974F0B" w:rsidP="00974F0B">
                    <w:pPr>
                      <w:spacing w:after="0"/>
                      <w:rPr>
                        <w:rFonts w:ascii="Aptos" w:eastAsia="Aptos" w:hAnsi="Aptos" w:cs="Aptos"/>
                        <w:noProof/>
                        <w:color w:val="FF0000"/>
                      </w:rPr>
                    </w:pPr>
                    <w:r w:rsidRPr="00974F0B">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5042B" w14:textId="00E458B1" w:rsidR="00CC08A3" w:rsidRDefault="00974F0B">
    <w:pPr>
      <w:pStyle w:val="Header"/>
    </w:pPr>
    <w:r>
      <w:rPr>
        <w:noProof/>
      </w:rPr>
      <mc:AlternateContent>
        <mc:Choice Requires="wps">
          <w:drawing>
            <wp:anchor distT="0" distB="0" distL="0" distR="0" simplePos="0" relativeHeight="251666432" behindDoc="0" locked="0" layoutInCell="1" allowOverlap="1" wp14:anchorId="532B34EC" wp14:editId="76018FEA">
              <wp:simplePos x="635" y="635"/>
              <wp:positionH relativeFrom="page">
                <wp:align>center</wp:align>
              </wp:positionH>
              <wp:positionV relativeFrom="page">
                <wp:align>top</wp:align>
              </wp:positionV>
              <wp:extent cx="622300" cy="376555"/>
              <wp:effectExtent l="0" t="0" r="6350" b="4445"/>
              <wp:wrapNone/>
              <wp:docPr id="16970970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484F7FE" w14:textId="1C2AA138" w:rsidR="00974F0B" w:rsidRPr="00974F0B" w:rsidRDefault="00974F0B" w:rsidP="00974F0B">
                          <w:pPr>
                            <w:spacing w:after="0"/>
                            <w:rPr>
                              <w:rFonts w:ascii="Aptos" w:eastAsia="Aptos" w:hAnsi="Aptos" w:cs="Aptos"/>
                              <w:noProof/>
                              <w:color w:val="FF0000"/>
                            </w:rPr>
                          </w:pPr>
                          <w:r w:rsidRPr="00974F0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2B34EC"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2484F7FE" w14:textId="1C2AA138" w:rsidR="00974F0B" w:rsidRPr="00974F0B" w:rsidRDefault="00974F0B" w:rsidP="00974F0B">
                    <w:pPr>
                      <w:spacing w:after="0"/>
                      <w:rPr>
                        <w:rFonts w:ascii="Aptos" w:eastAsia="Aptos" w:hAnsi="Aptos" w:cs="Aptos"/>
                        <w:noProof/>
                        <w:color w:val="FF0000"/>
                      </w:rPr>
                    </w:pPr>
                    <w:r w:rsidRPr="00974F0B">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0D1B" w14:textId="7D9A39A0" w:rsidR="00CC08A3" w:rsidRDefault="00974F0B">
    <w:pPr>
      <w:pStyle w:val="Header"/>
    </w:pPr>
    <w:r>
      <w:rPr>
        <w:noProof/>
      </w:rPr>
      <mc:AlternateContent>
        <mc:Choice Requires="wps">
          <w:drawing>
            <wp:anchor distT="0" distB="0" distL="0" distR="0" simplePos="0" relativeHeight="251664384" behindDoc="0" locked="0" layoutInCell="1" allowOverlap="1" wp14:anchorId="20A19781" wp14:editId="661BB74F">
              <wp:simplePos x="635" y="635"/>
              <wp:positionH relativeFrom="page">
                <wp:align>center</wp:align>
              </wp:positionH>
              <wp:positionV relativeFrom="page">
                <wp:align>top</wp:align>
              </wp:positionV>
              <wp:extent cx="622300" cy="376555"/>
              <wp:effectExtent l="0" t="0" r="6350" b="4445"/>
              <wp:wrapNone/>
              <wp:docPr id="211715289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B6F9077" w14:textId="120611A8" w:rsidR="00974F0B" w:rsidRPr="00974F0B" w:rsidRDefault="00974F0B" w:rsidP="00974F0B">
                          <w:pPr>
                            <w:spacing w:after="0"/>
                            <w:rPr>
                              <w:rFonts w:ascii="Aptos" w:eastAsia="Aptos" w:hAnsi="Aptos" w:cs="Aptos"/>
                              <w:noProof/>
                              <w:color w:val="FF0000"/>
                            </w:rPr>
                          </w:pPr>
                          <w:r w:rsidRPr="00974F0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A19781"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4B6F9077" w14:textId="120611A8" w:rsidR="00974F0B" w:rsidRPr="00974F0B" w:rsidRDefault="00974F0B" w:rsidP="00974F0B">
                    <w:pPr>
                      <w:spacing w:after="0"/>
                      <w:rPr>
                        <w:rFonts w:ascii="Aptos" w:eastAsia="Aptos" w:hAnsi="Aptos" w:cs="Aptos"/>
                        <w:noProof/>
                        <w:color w:val="FF0000"/>
                      </w:rPr>
                    </w:pPr>
                    <w:r w:rsidRPr="00974F0B">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C27"/>
    <w:multiLevelType w:val="hybridMultilevel"/>
    <w:tmpl w:val="C032EA0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A822A3C"/>
    <w:multiLevelType w:val="hybridMultilevel"/>
    <w:tmpl w:val="FCE8D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204851"/>
    <w:multiLevelType w:val="hybridMultilevel"/>
    <w:tmpl w:val="0FE65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35176A"/>
    <w:multiLevelType w:val="hybridMultilevel"/>
    <w:tmpl w:val="16842C72"/>
    <w:lvl w:ilvl="0" w:tplc="0C090001">
      <w:start w:val="1"/>
      <w:numFmt w:val="bullet"/>
      <w:lvlText w:val=""/>
      <w:lvlJc w:val="left"/>
      <w:pPr>
        <w:ind w:left="621" w:hanging="621"/>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D122E58"/>
    <w:multiLevelType w:val="hybridMultilevel"/>
    <w:tmpl w:val="9FE2251A"/>
    <w:lvl w:ilvl="0" w:tplc="FA567B2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55666153"/>
    <w:multiLevelType w:val="hybridMultilevel"/>
    <w:tmpl w:val="FC5C1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D9F364A"/>
    <w:multiLevelType w:val="hybridMultilevel"/>
    <w:tmpl w:val="CBCC0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32E0B3D"/>
    <w:multiLevelType w:val="hybridMultilevel"/>
    <w:tmpl w:val="CC64D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AAF4B85"/>
    <w:multiLevelType w:val="hybridMultilevel"/>
    <w:tmpl w:val="0486F7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60206433">
    <w:abstractNumId w:val="9"/>
  </w:num>
  <w:num w:numId="2" w16cid:durableId="1053892556">
    <w:abstractNumId w:val="7"/>
  </w:num>
  <w:num w:numId="3" w16cid:durableId="264460964">
    <w:abstractNumId w:val="3"/>
  </w:num>
  <w:num w:numId="4" w16cid:durableId="601038803">
    <w:abstractNumId w:val="1"/>
  </w:num>
  <w:num w:numId="5" w16cid:durableId="542668414">
    <w:abstractNumId w:val="2"/>
  </w:num>
  <w:num w:numId="6" w16cid:durableId="921723469">
    <w:abstractNumId w:val="10"/>
  </w:num>
  <w:num w:numId="7" w16cid:durableId="465272773">
    <w:abstractNumId w:val="0"/>
  </w:num>
  <w:num w:numId="8" w16cid:durableId="1292174468">
    <w:abstractNumId w:val="11"/>
  </w:num>
  <w:num w:numId="9" w16cid:durableId="1167554286">
    <w:abstractNumId w:val="6"/>
  </w:num>
  <w:num w:numId="10" w16cid:durableId="2051763590">
    <w:abstractNumId w:val="5"/>
  </w:num>
  <w:num w:numId="11" w16cid:durableId="822967005">
    <w:abstractNumId w:val="4"/>
  </w:num>
  <w:num w:numId="12" w16cid:durableId="14681634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41"/>
    <w:rsid w:val="00001262"/>
    <w:rsid w:val="000016A6"/>
    <w:rsid w:val="0000284F"/>
    <w:rsid w:val="000032CB"/>
    <w:rsid w:val="00003D36"/>
    <w:rsid w:val="0000457B"/>
    <w:rsid w:val="0000586F"/>
    <w:rsid w:val="0000591B"/>
    <w:rsid w:val="00005994"/>
    <w:rsid w:val="00007DB5"/>
    <w:rsid w:val="00007E85"/>
    <w:rsid w:val="00013465"/>
    <w:rsid w:val="000155E2"/>
    <w:rsid w:val="00015D28"/>
    <w:rsid w:val="00016BA2"/>
    <w:rsid w:val="00017568"/>
    <w:rsid w:val="00017F60"/>
    <w:rsid w:val="000226B3"/>
    <w:rsid w:val="00022E32"/>
    <w:rsid w:val="0002419F"/>
    <w:rsid w:val="00024549"/>
    <w:rsid w:val="000258B9"/>
    <w:rsid w:val="0002676F"/>
    <w:rsid w:val="00026C75"/>
    <w:rsid w:val="00027B54"/>
    <w:rsid w:val="000325FA"/>
    <w:rsid w:val="00035047"/>
    <w:rsid w:val="00037DAE"/>
    <w:rsid w:val="00040689"/>
    <w:rsid w:val="00040FC0"/>
    <w:rsid w:val="0004190B"/>
    <w:rsid w:val="00041F12"/>
    <w:rsid w:val="000421FC"/>
    <w:rsid w:val="00044342"/>
    <w:rsid w:val="00045607"/>
    <w:rsid w:val="00045A7C"/>
    <w:rsid w:val="000460BC"/>
    <w:rsid w:val="00046171"/>
    <w:rsid w:val="00047C93"/>
    <w:rsid w:val="0005030C"/>
    <w:rsid w:val="00051AAC"/>
    <w:rsid w:val="000544B6"/>
    <w:rsid w:val="000560C9"/>
    <w:rsid w:val="0005658F"/>
    <w:rsid w:val="000604AF"/>
    <w:rsid w:val="0006105D"/>
    <w:rsid w:val="00062031"/>
    <w:rsid w:val="00062E9F"/>
    <w:rsid w:val="00062EB9"/>
    <w:rsid w:val="00063386"/>
    <w:rsid w:val="0006414C"/>
    <w:rsid w:val="00064C6D"/>
    <w:rsid w:val="000655B3"/>
    <w:rsid w:val="000657CC"/>
    <w:rsid w:val="00067A16"/>
    <w:rsid w:val="00071B81"/>
    <w:rsid w:val="000752AB"/>
    <w:rsid w:val="00075509"/>
    <w:rsid w:val="00077002"/>
    <w:rsid w:val="00077274"/>
    <w:rsid w:val="00077F56"/>
    <w:rsid w:val="000803E5"/>
    <w:rsid w:val="0008063D"/>
    <w:rsid w:val="00080B34"/>
    <w:rsid w:val="000814F7"/>
    <w:rsid w:val="00081936"/>
    <w:rsid w:val="0008360B"/>
    <w:rsid w:val="00083C5B"/>
    <w:rsid w:val="0008554F"/>
    <w:rsid w:val="000857E4"/>
    <w:rsid w:val="00085859"/>
    <w:rsid w:val="00086C11"/>
    <w:rsid w:val="0008753A"/>
    <w:rsid w:val="000908D2"/>
    <w:rsid w:val="00090AB7"/>
    <w:rsid w:val="00091DCE"/>
    <w:rsid w:val="00091DD5"/>
    <w:rsid w:val="00092531"/>
    <w:rsid w:val="00092882"/>
    <w:rsid w:val="00093F6D"/>
    <w:rsid w:val="00094048"/>
    <w:rsid w:val="00094DCF"/>
    <w:rsid w:val="00095C1F"/>
    <w:rsid w:val="00096588"/>
    <w:rsid w:val="00096C11"/>
    <w:rsid w:val="00097380"/>
    <w:rsid w:val="0009775D"/>
    <w:rsid w:val="000977D2"/>
    <w:rsid w:val="000A3697"/>
    <w:rsid w:val="000A47A9"/>
    <w:rsid w:val="000A6149"/>
    <w:rsid w:val="000A6CFD"/>
    <w:rsid w:val="000A7C31"/>
    <w:rsid w:val="000B0247"/>
    <w:rsid w:val="000B0606"/>
    <w:rsid w:val="000B0982"/>
    <w:rsid w:val="000B1758"/>
    <w:rsid w:val="000B2DAC"/>
    <w:rsid w:val="000B2FE8"/>
    <w:rsid w:val="000B3874"/>
    <w:rsid w:val="000B3DC6"/>
    <w:rsid w:val="000B426D"/>
    <w:rsid w:val="000B4D24"/>
    <w:rsid w:val="000B6094"/>
    <w:rsid w:val="000B6474"/>
    <w:rsid w:val="000B6D92"/>
    <w:rsid w:val="000B796C"/>
    <w:rsid w:val="000C06C7"/>
    <w:rsid w:val="000C189D"/>
    <w:rsid w:val="000C28BB"/>
    <w:rsid w:val="000C2BBC"/>
    <w:rsid w:val="000C385F"/>
    <w:rsid w:val="000C38A9"/>
    <w:rsid w:val="000C46BB"/>
    <w:rsid w:val="000C4D9D"/>
    <w:rsid w:val="000C4FF7"/>
    <w:rsid w:val="000C51AA"/>
    <w:rsid w:val="000C6C34"/>
    <w:rsid w:val="000C7C4B"/>
    <w:rsid w:val="000C7D8B"/>
    <w:rsid w:val="000D50C7"/>
    <w:rsid w:val="000D61A5"/>
    <w:rsid w:val="000D6348"/>
    <w:rsid w:val="000D7C81"/>
    <w:rsid w:val="000E17C1"/>
    <w:rsid w:val="000E17F2"/>
    <w:rsid w:val="000E1937"/>
    <w:rsid w:val="000E4199"/>
    <w:rsid w:val="000E4276"/>
    <w:rsid w:val="000E485D"/>
    <w:rsid w:val="000E5017"/>
    <w:rsid w:val="000E5520"/>
    <w:rsid w:val="000E72C6"/>
    <w:rsid w:val="000F00CD"/>
    <w:rsid w:val="000F1893"/>
    <w:rsid w:val="000F1943"/>
    <w:rsid w:val="000F2F51"/>
    <w:rsid w:val="000F5A8F"/>
    <w:rsid w:val="000F5EC8"/>
    <w:rsid w:val="000F69A3"/>
    <w:rsid w:val="000F7003"/>
    <w:rsid w:val="001006EE"/>
    <w:rsid w:val="0010141C"/>
    <w:rsid w:val="00102FAF"/>
    <w:rsid w:val="00107BD1"/>
    <w:rsid w:val="00110784"/>
    <w:rsid w:val="00113CF8"/>
    <w:rsid w:val="00113D74"/>
    <w:rsid w:val="00114C7E"/>
    <w:rsid w:val="00114FFA"/>
    <w:rsid w:val="001151FC"/>
    <w:rsid w:val="00116087"/>
    <w:rsid w:val="00117A45"/>
    <w:rsid w:val="00117C5C"/>
    <w:rsid w:val="00120B2A"/>
    <w:rsid w:val="00120ED6"/>
    <w:rsid w:val="001212CA"/>
    <w:rsid w:val="00121567"/>
    <w:rsid w:val="00121AED"/>
    <w:rsid w:val="00122094"/>
    <w:rsid w:val="001223C8"/>
    <w:rsid w:val="001232D3"/>
    <w:rsid w:val="0012357E"/>
    <w:rsid w:val="0012409E"/>
    <w:rsid w:val="00125DC5"/>
    <w:rsid w:val="00126C0A"/>
    <w:rsid w:val="00126EA8"/>
    <w:rsid w:val="00127604"/>
    <w:rsid w:val="001302F1"/>
    <w:rsid w:val="001310AE"/>
    <w:rsid w:val="0013161E"/>
    <w:rsid w:val="00132945"/>
    <w:rsid w:val="00133BF7"/>
    <w:rsid w:val="0013408D"/>
    <w:rsid w:val="00136EAE"/>
    <w:rsid w:val="001420B3"/>
    <w:rsid w:val="001431FA"/>
    <w:rsid w:val="001460C4"/>
    <w:rsid w:val="00146FC8"/>
    <w:rsid w:val="001514FC"/>
    <w:rsid w:val="001527EF"/>
    <w:rsid w:val="00153A10"/>
    <w:rsid w:val="00155A06"/>
    <w:rsid w:val="0015691C"/>
    <w:rsid w:val="001621F7"/>
    <w:rsid w:val="001624D7"/>
    <w:rsid w:val="00162CF6"/>
    <w:rsid w:val="00164429"/>
    <w:rsid w:val="00164AD8"/>
    <w:rsid w:val="00165A55"/>
    <w:rsid w:val="001663FA"/>
    <w:rsid w:val="00166804"/>
    <w:rsid w:val="0016686B"/>
    <w:rsid w:val="00166F54"/>
    <w:rsid w:val="0016790D"/>
    <w:rsid w:val="0017016B"/>
    <w:rsid w:val="0017081C"/>
    <w:rsid w:val="001710DE"/>
    <w:rsid w:val="00171444"/>
    <w:rsid w:val="00171795"/>
    <w:rsid w:val="00172332"/>
    <w:rsid w:val="00175185"/>
    <w:rsid w:val="00177B86"/>
    <w:rsid w:val="00177DB8"/>
    <w:rsid w:val="0018037D"/>
    <w:rsid w:val="001811E7"/>
    <w:rsid w:val="00181CFD"/>
    <w:rsid w:val="00181E42"/>
    <w:rsid w:val="00181EFB"/>
    <w:rsid w:val="00182585"/>
    <w:rsid w:val="00182A18"/>
    <w:rsid w:val="00182D24"/>
    <w:rsid w:val="00184C8C"/>
    <w:rsid w:val="00184C90"/>
    <w:rsid w:val="00186976"/>
    <w:rsid w:val="00187C45"/>
    <w:rsid w:val="00191182"/>
    <w:rsid w:val="00191693"/>
    <w:rsid w:val="0019255A"/>
    <w:rsid w:val="00192C1E"/>
    <w:rsid w:val="0019363C"/>
    <w:rsid w:val="001938DA"/>
    <w:rsid w:val="001942E4"/>
    <w:rsid w:val="0019664D"/>
    <w:rsid w:val="0019746A"/>
    <w:rsid w:val="00197542"/>
    <w:rsid w:val="0019759B"/>
    <w:rsid w:val="00197959"/>
    <w:rsid w:val="00197B02"/>
    <w:rsid w:val="001A009B"/>
    <w:rsid w:val="001A1213"/>
    <w:rsid w:val="001A3A09"/>
    <w:rsid w:val="001A47D0"/>
    <w:rsid w:val="001A4FC7"/>
    <w:rsid w:val="001A5EB6"/>
    <w:rsid w:val="001A6103"/>
    <w:rsid w:val="001B04C2"/>
    <w:rsid w:val="001B0965"/>
    <w:rsid w:val="001B1077"/>
    <w:rsid w:val="001B2971"/>
    <w:rsid w:val="001B2E1C"/>
    <w:rsid w:val="001B2F0C"/>
    <w:rsid w:val="001B307D"/>
    <w:rsid w:val="001B32BF"/>
    <w:rsid w:val="001B49D0"/>
    <w:rsid w:val="001B4D4D"/>
    <w:rsid w:val="001B5D37"/>
    <w:rsid w:val="001B5F46"/>
    <w:rsid w:val="001B6682"/>
    <w:rsid w:val="001B6A43"/>
    <w:rsid w:val="001B7A7F"/>
    <w:rsid w:val="001C0535"/>
    <w:rsid w:val="001C12C6"/>
    <w:rsid w:val="001C184D"/>
    <w:rsid w:val="001C26B3"/>
    <w:rsid w:val="001C2940"/>
    <w:rsid w:val="001C2C5E"/>
    <w:rsid w:val="001C4016"/>
    <w:rsid w:val="001C46D7"/>
    <w:rsid w:val="001C548D"/>
    <w:rsid w:val="001C5C28"/>
    <w:rsid w:val="001C67B2"/>
    <w:rsid w:val="001C69A0"/>
    <w:rsid w:val="001C6A5D"/>
    <w:rsid w:val="001D3ED0"/>
    <w:rsid w:val="001D4AE3"/>
    <w:rsid w:val="001D69B4"/>
    <w:rsid w:val="001D6CEC"/>
    <w:rsid w:val="001D748F"/>
    <w:rsid w:val="001D7542"/>
    <w:rsid w:val="001E31A6"/>
    <w:rsid w:val="001E31F4"/>
    <w:rsid w:val="001E3308"/>
    <w:rsid w:val="001E42C7"/>
    <w:rsid w:val="001E4CAB"/>
    <w:rsid w:val="001E574C"/>
    <w:rsid w:val="001E6FDF"/>
    <w:rsid w:val="001E7EFE"/>
    <w:rsid w:val="001F00F6"/>
    <w:rsid w:val="001F0A4E"/>
    <w:rsid w:val="001F1EC3"/>
    <w:rsid w:val="001F262E"/>
    <w:rsid w:val="001F2F3E"/>
    <w:rsid w:val="001F30D6"/>
    <w:rsid w:val="001F4806"/>
    <w:rsid w:val="001F4906"/>
    <w:rsid w:val="001F4F98"/>
    <w:rsid w:val="001F56AF"/>
    <w:rsid w:val="001F5C8C"/>
    <w:rsid w:val="001F675D"/>
    <w:rsid w:val="001F7C4A"/>
    <w:rsid w:val="00200EC2"/>
    <w:rsid w:val="002015F0"/>
    <w:rsid w:val="002019E1"/>
    <w:rsid w:val="00202C75"/>
    <w:rsid w:val="002031FE"/>
    <w:rsid w:val="002033F9"/>
    <w:rsid w:val="00203BDC"/>
    <w:rsid w:val="00205401"/>
    <w:rsid w:val="0020578A"/>
    <w:rsid w:val="0020761B"/>
    <w:rsid w:val="00207631"/>
    <w:rsid w:val="00210654"/>
    <w:rsid w:val="00213A57"/>
    <w:rsid w:val="00213D78"/>
    <w:rsid w:val="00214013"/>
    <w:rsid w:val="00215F4F"/>
    <w:rsid w:val="00220FC1"/>
    <w:rsid w:val="0022149C"/>
    <w:rsid w:val="00221855"/>
    <w:rsid w:val="00222E9A"/>
    <w:rsid w:val="00223B3A"/>
    <w:rsid w:val="00223D78"/>
    <w:rsid w:val="002253D8"/>
    <w:rsid w:val="002268F1"/>
    <w:rsid w:val="00226BBC"/>
    <w:rsid w:val="002272B8"/>
    <w:rsid w:val="00227515"/>
    <w:rsid w:val="002277CA"/>
    <w:rsid w:val="00230865"/>
    <w:rsid w:val="00230A0F"/>
    <w:rsid w:val="0023179D"/>
    <w:rsid w:val="00231B3A"/>
    <w:rsid w:val="00231BE4"/>
    <w:rsid w:val="0023222F"/>
    <w:rsid w:val="00233CBB"/>
    <w:rsid w:val="00234C26"/>
    <w:rsid w:val="002354BB"/>
    <w:rsid w:val="00236389"/>
    <w:rsid w:val="00240E65"/>
    <w:rsid w:val="0024114D"/>
    <w:rsid w:val="00244AFA"/>
    <w:rsid w:val="00244CEE"/>
    <w:rsid w:val="002460F7"/>
    <w:rsid w:val="002466FA"/>
    <w:rsid w:val="0024703A"/>
    <w:rsid w:val="00247919"/>
    <w:rsid w:val="00251F91"/>
    <w:rsid w:val="0025389D"/>
    <w:rsid w:val="00254C25"/>
    <w:rsid w:val="00254E02"/>
    <w:rsid w:val="00257F8B"/>
    <w:rsid w:val="00262484"/>
    <w:rsid w:val="00262587"/>
    <w:rsid w:val="0026265F"/>
    <w:rsid w:val="002650B5"/>
    <w:rsid w:val="00265FA5"/>
    <w:rsid w:val="0026601B"/>
    <w:rsid w:val="002660EF"/>
    <w:rsid w:val="00266BEF"/>
    <w:rsid w:val="00267F12"/>
    <w:rsid w:val="0027006D"/>
    <w:rsid w:val="002713E9"/>
    <w:rsid w:val="002730D3"/>
    <w:rsid w:val="00273833"/>
    <w:rsid w:val="0027461C"/>
    <w:rsid w:val="00274E6B"/>
    <w:rsid w:val="002764BD"/>
    <w:rsid w:val="0027731B"/>
    <w:rsid w:val="0027778F"/>
    <w:rsid w:val="002803A4"/>
    <w:rsid w:val="00280500"/>
    <w:rsid w:val="00282BC4"/>
    <w:rsid w:val="002833D0"/>
    <w:rsid w:val="00283A8A"/>
    <w:rsid w:val="0028454E"/>
    <w:rsid w:val="002859FE"/>
    <w:rsid w:val="00286C3A"/>
    <w:rsid w:val="00286CD0"/>
    <w:rsid w:val="00286CDE"/>
    <w:rsid w:val="002876E4"/>
    <w:rsid w:val="0029011A"/>
    <w:rsid w:val="00290692"/>
    <w:rsid w:val="002909A1"/>
    <w:rsid w:val="0029261C"/>
    <w:rsid w:val="002930F5"/>
    <w:rsid w:val="00295694"/>
    <w:rsid w:val="002A06B7"/>
    <w:rsid w:val="002A1693"/>
    <w:rsid w:val="002A1869"/>
    <w:rsid w:val="002A2272"/>
    <w:rsid w:val="002A285B"/>
    <w:rsid w:val="002A5D49"/>
    <w:rsid w:val="002B04D0"/>
    <w:rsid w:val="002B320F"/>
    <w:rsid w:val="002B650C"/>
    <w:rsid w:val="002C04A4"/>
    <w:rsid w:val="002C2056"/>
    <w:rsid w:val="002C2A95"/>
    <w:rsid w:val="002C30AC"/>
    <w:rsid w:val="002C3946"/>
    <w:rsid w:val="002C3D73"/>
    <w:rsid w:val="002C4827"/>
    <w:rsid w:val="002C6E0C"/>
    <w:rsid w:val="002D07AA"/>
    <w:rsid w:val="002D127F"/>
    <w:rsid w:val="002D144A"/>
    <w:rsid w:val="002D3F63"/>
    <w:rsid w:val="002D5C55"/>
    <w:rsid w:val="002D60B3"/>
    <w:rsid w:val="002D6990"/>
    <w:rsid w:val="002D6BC3"/>
    <w:rsid w:val="002D7120"/>
    <w:rsid w:val="002D71F5"/>
    <w:rsid w:val="002D74F6"/>
    <w:rsid w:val="002D77AE"/>
    <w:rsid w:val="002D7D37"/>
    <w:rsid w:val="002E19A3"/>
    <w:rsid w:val="002E212B"/>
    <w:rsid w:val="002E3337"/>
    <w:rsid w:val="002E334D"/>
    <w:rsid w:val="002E624F"/>
    <w:rsid w:val="002E6D03"/>
    <w:rsid w:val="002E76D0"/>
    <w:rsid w:val="002E79D4"/>
    <w:rsid w:val="002F15B2"/>
    <w:rsid w:val="002F224A"/>
    <w:rsid w:val="002F3472"/>
    <w:rsid w:val="002F3FCC"/>
    <w:rsid w:val="002F49A8"/>
    <w:rsid w:val="002F4B38"/>
    <w:rsid w:val="002F5199"/>
    <w:rsid w:val="002F52DA"/>
    <w:rsid w:val="002F5BD6"/>
    <w:rsid w:val="002F5E66"/>
    <w:rsid w:val="002F61CA"/>
    <w:rsid w:val="002F64E0"/>
    <w:rsid w:val="002F7196"/>
    <w:rsid w:val="002F78AD"/>
    <w:rsid w:val="0030010D"/>
    <w:rsid w:val="003003D4"/>
    <w:rsid w:val="0030190A"/>
    <w:rsid w:val="00304343"/>
    <w:rsid w:val="00307190"/>
    <w:rsid w:val="00311283"/>
    <w:rsid w:val="00312840"/>
    <w:rsid w:val="00314782"/>
    <w:rsid w:val="00315CAB"/>
    <w:rsid w:val="00323869"/>
    <w:rsid w:val="00323C57"/>
    <w:rsid w:val="00324448"/>
    <w:rsid w:val="00325313"/>
    <w:rsid w:val="0033240B"/>
    <w:rsid w:val="00333CA8"/>
    <w:rsid w:val="0033504C"/>
    <w:rsid w:val="00336816"/>
    <w:rsid w:val="00336FB7"/>
    <w:rsid w:val="003370D0"/>
    <w:rsid w:val="00337355"/>
    <w:rsid w:val="00337DF7"/>
    <w:rsid w:val="003402E4"/>
    <w:rsid w:val="00340F95"/>
    <w:rsid w:val="003419AA"/>
    <w:rsid w:val="003419AE"/>
    <w:rsid w:val="00343379"/>
    <w:rsid w:val="00343E72"/>
    <w:rsid w:val="00344C1F"/>
    <w:rsid w:val="003452C0"/>
    <w:rsid w:val="003458BF"/>
    <w:rsid w:val="003478C1"/>
    <w:rsid w:val="00347F30"/>
    <w:rsid w:val="00347FBA"/>
    <w:rsid w:val="00347FC6"/>
    <w:rsid w:val="003531ED"/>
    <w:rsid w:val="0035511A"/>
    <w:rsid w:val="00360B9A"/>
    <w:rsid w:val="00363304"/>
    <w:rsid w:val="00365E91"/>
    <w:rsid w:val="00366A6D"/>
    <w:rsid w:val="00372B14"/>
    <w:rsid w:val="00376F26"/>
    <w:rsid w:val="00377D0B"/>
    <w:rsid w:val="0038064B"/>
    <w:rsid w:val="00380DC5"/>
    <w:rsid w:val="00382CDF"/>
    <w:rsid w:val="00382D92"/>
    <w:rsid w:val="0038435F"/>
    <w:rsid w:val="00385708"/>
    <w:rsid w:val="00386227"/>
    <w:rsid w:val="00386FD5"/>
    <w:rsid w:val="00387473"/>
    <w:rsid w:val="0039017F"/>
    <w:rsid w:val="00391DDF"/>
    <w:rsid w:val="00391F85"/>
    <w:rsid w:val="0039283E"/>
    <w:rsid w:val="0039323D"/>
    <w:rsid w:val="00393C0A"/>
    <w:rsid w:val="00394AEE"/>
    <w:rsid w:val="00397E17"/>
    <w:rsid w:val="003A0814"/>
    <w:rsid w:val="003A16AC"/>
    <w:rsid w:val="003A1840"/>
    <w:rsid w:val="003A3459"/>
    <w:rsid w:val="003A355D"/>
    <w:rsid w:val="003A4577"/>
    <w:rsid w:val="003A47AC"/>
    <w:rsid w:val="003A4E4E"/>
    <w:rsid w:val="003A5576"/>
    <w:rsid w:val="003A5A61"/>
    <w:rsid w:val="003A67CA"/>
    <w:rsid w:val="003B03A2"/>
    <w:rsid w:val="003B0C29"/>
    <w:rsid w:val="003B1397"/>
    <w:rsid w:val="003B3199"/>
    <w:rsid w:val="003B6F96"/>
    <w:rsid w:val="003C22C3"/>
    <w:rsid w:val="003C2D98"/>
    <w:rsid w:val="003C5C0F"/>
    <w:rsid w:val="003D0E3E"/>
    <w:rsid w:val="003D19E1"/>
    <w:rsid w:val="003D1E15"/>
    <w:rsid w:val="003D2684"/>
    <w:rsid w:val="003D3A96"/>
    <w:rsid w:val="003D3B9C"/>
    <w:rsid w:val="003D3BD3"/>
    <w:rsid w:val="003D49E6"/>
    <w:rsid w:val="003D53C2"/>
    <w:rsid w:val="003D71A6"/>
    <w:rsid w:val="003E1E6C"/>
    <w:rsid w:val="003E43C7"/>
    <w:rsid w:val="003E52FF"/>
    <w:rsid w:val="003E56DC"/>
    <w:rsid w:val="003E6E16"/>
    <w:rsid w:val="003E7855"/>
    <w:rsid w:val="003E7B7C"/>
    <w:rsid w:val="003F00EE"/>
    <w:rsid w:val="003F1131"/>
    <w:rsid w:val="003F1184"/>
    <w:rsid w:val="003F1BAD"/>
    <w:rsid w:val="003F2DDB"/>
    <w:rsid w:val="003F3C6F"/>
    <w:rsid w:val="003F6B67"/>
    <w:rsid w:val="004002F4"/>
    <w:rsid w:val="0040073E"/>
    <w:rsid w:val="004008AD"/>
    <w:rsid w:val="004008BB"/>
    <w:rsid w:val="00401123"/>
    <w:rsid w:val="00403356"/>
    <w:rsid w:val="004044B4"/>
    <w:rsid w:val="00404F03"/>
    <w:rsid w:val="00405005"/>
    <w:rsid w:val="00405064"/>
    <w:rsid w:val="0040616A"/>
    <w:rsid w:val="00407611"/>
    <w:rsid w:val="00407D01"/>
    <w:rsid w:val="00411930"/>
    <w:rsid w:val="00412051"/>
    <w:rsid w:val="00413469"/>
    <w:rsid w:val="00413B3A"/>
    <w:rsid w:val="00414631"/>
    <w:rsid w:val="00415A3C"/>
    <w:rsid w:val="004161B5"/>
    <w:rsid w:val="004202D7"/>
    <w:rsid w:val="00420885"/>
    <w:rsid w:val="00421C19"/>
    <w:rsid w:val="00422BA9"/>
    <w:rsid w:val="00423B94"/>
    <w:rsid w:val="00427321"/>
    <w:rsid w:val="004277A9"/>
    <w:rsid w:val="004308B5"/>
    <w:rsid w:val="00430CF1"/>
    <w:rsid w:val="00432125"/>
    <w:rsid w:val="004343B7"/>
    <w:rsid w:val="004379DD"/>
    <w:rsid w:val="00440BA9"/>
    <w:rsid w:val="00444F76"/>
    <w:rsid w:val="00445D8C"/>
    <w:rsid w:val="00447BFD"/>
    <w:rsid w:val="00450388"/>
    <w:rsid w:val="004545D2"/>
    <w:rsid w:val="00454CAA"/>
    <w:rsid w:val="00454DE3"/>
    <w:rsid w:val="004575C7"/>
    <w:rsid w:val="00460325"/>
    <w:rsid w:val="00461602"/>
    <w:rsid w:val="00462B1C"/>
    <w:rsid w:val="00462DA2"/>
    <w:rsid w:val="004631AA"/>
    <w:rsid w:val="00463688"/>
    <w:rsid w:val="00463731"/>
    <w:rsid w:val="0046400A"/>
    <w:rsid w:val="0046507E"/>
    <w:rsid w:val="00465481"/>
    <w:rsid w:val="00467B25"/>
    <w:rsid w:val="004709A4"/>
    <w:rsid w:val="004711AB"/>
    <w:rsid w:val="00472669"/>
    <w:rsid w:val="004746A5"/>
    <w:rsid w:val="00476025"/>
    <w:rsid w:val="00477C8A"/>
    <w:rsid w:val="00480084"/>
    <w:rsid w:val="004803A5"/>
    <w:rsid w:val="004806C4"/>
    <w:rsid w:val="00481108"/>
    <w:rsid w:val="00482A93"/>
    <w:rsid w:val="004832DF"/>
    <w:rsid w:val="00483D2A"/>
    <w:rsid w:val="004842F9"/>
    <w:rsid w:val="004855B3"/>
    <w:rsid w:val="00490371"/>
    <w:rsid w:val="0049042B"/>
    <w:rsid w:val="00491BBE"/>
    <w:rsid w:val="0049450A"/>
    <w:rsid w:val="004948D6"/>
    <w:rsid w:val="00494C9F"/>
    <w:rsid w:val="00495473"/>
    <w:rsid w:val="00497439"/>
    <w:rsid w:val="004A0489"/>
    <w:rsid w:val="004A37B5"/>
    <w:rsid w:val="004A458E"/>
    <w:rsid w:val="004A5131"/>
    <w:rsid w:val="004A56B2"/>
    <w:rsid w:val="004A57BE"/>
    <w:rsid w:val="004A5FEF"/>
    <w:rsid w:val="004B07AF"/>
    <w:rsid w:val="004B0809"/>
    <w:rsid w:val="004B23E7"/>
    <w:rsid w:val="004B2AE6"/>
    <w:rsid w:val="004B306F"/>
    <w:rsid w:val="004B32D0"/>
    <w:rsid w:val="004B4745"/>
    <w:rsid w:val="004B4E00"/>
    <w:rsid w:val="004B734C"/>
    <w:rsid w:val="004B7D76"/>
    <w:rsid w:val="004C0926"/>
    <w:rsid w:val="004C0AC7"/>
    <w:rsid w:val="004C3186"/>
    <w:rsid w:val="004C5042"/>
    <w:rsid w:val="004C638E"/>
    <w:rsid w:val="004D35C5"/>
    <w:rsid w:val="004D4F47"/>
    <w:rsid w:val="004D563D"/>
    <w:rsid w:val="004D68E2"/>
    <w:rsid w:val="004D6DB5"/>
    <w:rsid w:val="004E106A"/>
    <w:rsid w:val="004E14BD"/>
    <w:rsid w:val="004E1E4D"/>
    <w:rsid w:val="004E282F"/>
    <w:rsid w:val="004E326F"/>
    <w:rsid w:val="004E3B27"/>
    <w:rsid w:val="004E4134"/>
    <w:rsid w:val="004E4422"/>
    <w:rsid w:val="004E44C2"/>
    <w:rsid w:val="004E5940"/>
    <w:rsid w:val="004E6424"/>
    <w:rsid w:val="004F0273"/>
    <w:rsid w:val="004F13BF"/>
    <w:rsid w:val="004F19D6"/>
    <w:rsid w:val="004F2D12"/>
    <w:rsid w:val="004F3124"/>
    <w:rsid w:val="004F3395"/>
    <w:rsid w:val="004F4E1B"/>
    <w:rsid w:val="004F59A9"/>
    <w:rsid w:val="004F6430"/>
    <w:rsid w:val="004F6920"/>
    <w:rsid w:val="0050028E"/>
    <w:rsid w:val="005028D8"/>
    <w:rsid w:val="0050299F"/>
    <w:rsid w:val="005029A2"/>
    <w:rsid w:val="005038D5"/>
    <w:rsid w:val="00503998"/>
    <w:rsid w:val="00504540"/>
    <w:rsid w:val="00505A26"/>
    <w:rsid w:val="0050622F"/>
    <w:rsid w:val="0050623B"/>
    <w:rsid w:val="00507289"/>
    <w:rsid w:val="00511915"/>
    <w:rsid w:val="00512498"/>
    <w:rsid w:val="00515102"/>
    <w:rsid w:val="00516097"/>
    <w:rsid w:val="005178B0"/>
    <w:rsid w:val="00523181"/>
    <w:rsid w:val="00523D57"/>
    <w:rsid w:val="005244A3"/>
    <w:rsid w:val="00524647"/>
    <w:rsid w:val="00524D13"/>
    <w:rsid w:val="0052746B"/>
    <w:rsid w:val="00527ED1"/>
    <w:rsid w:val="00530438"/>
    <w:rsid w:val="0053082D"/>
    <w:rsid w:val="00531673"/>
    <w:rsid w:val="00532D55"/>
    <w:rsid w:val="00533062"/>
    <w:rsid w:val="005339F6"/>
    <w:rsid w:val="00535706"/>
    <w:rsid w:val="0053589A"/>
    <w:rsid w:val="005407E1"/>
    <w:rsid w:val="005408DC"/>
    <w:rsid w:val="00541586"/>
    <w:rsid w:val="00542A2D"/>
    <w:rsid w:val="00543384"/>
    <w:rsid w:val="00543D4C"/>
    <w:rsid w:val="00545454"/>
    <w:rsid w:val="00546558"/>
    <w:rsid w:val="00546815"/>
    <w:rsid w:val="00546826"/>
    <w:rsid w:val="00547661"/>
    <w:rsid w:val="00550F6B"/>
    <w:rsid w:val="0055130A"/>
    <w:rsid w:val="0055259B"/>
    <w:rsid w:val="00554E62"/>
    <w:rsid w:val="0055582A"/>
    <w:rsid w:val="00556706"/>
    <w:rsid w:val="00556B69"/>
    <w:rsid w:val="00556EDD"/>
    <w:rsid w:val="00557FB8"/>
    <w:rsid w:val="00560178"/>
    <w:rsid w:val="005603CA"/>
    <w:rsid w:val="00561AD8"/>
    <w:rsid w:val="0056319B"/>
    <w:rsid w:val="00563634"/>
    <w:rsid w:val="00570448"/>
    <w:rsid w:val="005714D6"/>
    <w:rsid w:val="005719FB"/>
    <w:rsid w:val="005732B3"/>
    <w:rsid w:val="00576B18"/>
    <w:rsid w:val="00577583"/>
    <w:rsid w:val="00577FAB"/>
    <w:rsid w:val="00580280"/>
    <w:rsid w:val="00581094"/>
    <w:rsid w:val="00581860"/>
    <w:rsid w:val="00581A1B"/>
    <w:rsid w:val="00581AE9"/>
    <w:rsid w:val="00582362"/>
    <w:rsid w:val="00582DBD"/>
    <w:rsid w:val="00583588"/>
    <w:rsid w:val="005850FA"/>
    <w:rsid w:val="005862B1"/>
    <w:rsid w:val="00587724"/>
    <w:rsid w:val="00591512"/>
    <w:rsid w:val="005935F0"/>
    <w:rsid w:val="00593856"/>
    <w:rsid w:val="005958C4"/>
    <w:rsid w:val="005961AE"/>
    <w:rsid w:val="00596AA6"/>
    <w:rsid w:val="005A128A"/>
    <w:rsid w:val="005A3E5E"/>
    <w:rsid w:val="005A5662"/>
    <w:rsid w:val="005B0E1B"/>
    <w:rsid w:val="005B10BC"/>
    <w:rsid w:val="005B18EB"/>
    <w:rsid w:val="005B25C2"/>
    <w:rsid w:val="005B2C65"/>
    <w:rsid w:val="005B2D91"/>
    <w:rsid w:val="005B48B4"/>
    <w:rsid w:val="005B50DB"/>
    <w:rsid w:val="005B7283"/>
    <w:rsid w:val="005C092A"/>
    <w:rsid w:val="005C1546"/>
    <w:rsid w:val="005C1B1A"/>
    <w:rsid w:val="005C2332"/>
    <w:rsid w:val="005C45B1"/>
    <w:rsid w:val="005C4A64"/>
    <w:rsid w:val="005C52D8"/>
    <w:rsid w:val="005C5864"/>
    <w:rsid w:val="005C6661"/>
    <w:rsid w:val="005C6E3B"/>
    <w:rsid w:val="005C74A3"/>
    <w:rsid w:val="005C770A"/>
    <w:rsid w:val="005C782A"/>
    <w:rsid w:val="005D122C"/>
    <w:rsid w:val="005D333D"/>
    <w:rsid w:val="005D474B"/>
    <w:rsid w:val="005D76A7"/>
    <w:rsid w:val="005E085C"/>
    <w:rsid w:val="005E147D"/>
    <w:rsid w:val="005E1536"/>
    <w:rsid w:val="005E22C2"/>
    <w:rsid w:val="005E3620"/>
    <w:rsid w:val="005E3661"/>
    <w:rsid w:val="005E4B1E"/>
    <w:rsid w:val="005E57BB"/>
    <w:rsid w:val="005F0017"/>
    <w:rsid w:val="005F0BAF"/>
    <w:rsid w:val="005F1267"/>
    <w:rsid w:val="005F2CF6"/>
    <w:rsid w:val="005F55E4"/>
    <w:rsid w:val="005F7834"/>
    <w:rsid w:val="006008ED"/>
    <w:rsid w:val="006009D5"/>
    <w:rsid w:val="006014F1"/>
    <w:rsid w:val="006044DD"/>
    <w:rsid w:val="00606CC8"/>
    <w:rsid w:val="006077ED"/>
    <w:rsid w:val="006106C1"/>
    <w:rsid w:val="0061298E"/>
    <w:rsid w:val="00612FE0"/>
    <w:rsid w:val="0061357B"/>
    <w:rsid w:val="006138D6"/>
    <w:rsid w:val="00614A7D"/>
    <w:rsid w:val="00617FDE"/>
    <w:rsid w:val="00621774"/>
    <w:rsid w:val="00621BC8"/>
    <w:rsid w:val="006222C8"/>
    <w:rsid w:val="00622BDD"/>
    <w:rsid w:val="006255BD"/>
    <w:rsid w:val="006264BC"/>
    <w:rsid w:val="0063332E"/>
    <w:rsid w:val="0063382E"/>
    <w:rsid w:val="006342C9"/>
    <w:rsid w:val="0063631C"/>
    <w:rsid w:val="0063757B"/>
    <w:rsid w:val="006377CE"/>
    <w:rsid w:val="00641814"/>
    <w:rsid w:val="0064238D"/>
    <w:rsid w:val="00643A20"/>
    <w:rsid w:val="00644C71"/>
    <w:rsid w:val="00645B9A"/>
    <w:rsid w:val="006462DA"/>
    <w:rsid w:val="00646D33"/>
    <w:rsid w:val="00646E44"/>
    <w:rsid w:val="00647185"/>
    <w:rsid w:val="0064771A"/>
    <w:rsid w:val="00651FE5"/>
    <w:rsid w:val="00652B62"/>
    <w:rsid w:val="00652E27"/>
    <w:rsid w:val="00653345"/>
    <w:rsid w:val="006534EA"/>
    <w:rsid w:val="006537D9"/>
    <w:rsid w:val="0065393C"/>
    <w:rsid w:val="006550DD"/>
    <w:rsid w:val="0065710F"/>
    <w:rsid w:val="00660886"/>
    <w:rsid w:val="00661D5E"/>
    <w:rsid w:val="00662845"/>
    <w:rsid w:val="00663070"/>
    <w:rsid w:val="00664393"/>
    <w:rsid w:val="00664A48"/>
    <w:rsid w:val="006655BA"/>
    <w:rsid w:val="00665DEF"/>
    <w:rsid w:val="006661B8"/>
    <w:rsid w:val="006670CE"/>
    <w:rsid w:val="00670464"/>
    <w:rsid w:val="0067131D"/>
    <w:rsid w:val="006714CF"/>
    <w:rsid w:val="0067218A"/>
    <w:rsid w:val="00672555"/>
    <w:rsid w:val="00672A42"/>
    <w:rsid w:val="00672BC8"/>
    <w:rsid w:val="00672BE4"/>
    <w:rsid w:val="00675BB1"/>
    <w:rsid w:val="00675E19"/>
    <w:rsid w:val="006775F1"/>
    <w:rsid w:val="00677962"/>
    <w:rsid w:val="006804E0"/>
    <w:rsid w:val="006805C4"/>
    <w:rsid w:val="00681B1F"/>
    <w:rsid w:val="00682CD8"/>
    <w:rsid w:val="00683255"/>
    <w:rsid w:val="006848F0"/>
    <w:rsid w:val="006869BB"/>
    <w:rsid w:val="00692AA7"/>
    <w:rsid w:val="00692BDF"/>
    <w:rsid w:val="00693732"/>
    <w:rsid w:val="00695A51"/>
    <w:rsid w:val="006969DA"/>
    <w:rsid w:val="0069773E"/>
    <w:rsid w:val="00697908"/>
    <w:rsid w:val="00697FEC"/>
    <w:rsid w:val="006A175F"/>
    <w:rsid w:val="006A1AC4"/>
    <w:rsid w:val="006A1F58"/>
    <w:rsid w:val="006A3445"/>
    <w:rsid w:val="006A3B6D"/>
    <w:rsid w:val="006A3D5D"/>
    <w:rsid w:val="006A44F5"/>
    <w:rsid w:val="006A4D31"/>
    <w:rsid w:val="006A4F42"/>
    <w:rsid w:val="006A5F3C"/>
    <w:rsid w:val="006A736D"/>
    <w:rsid w:val="006B00FD"/>
    <w:rsid w:val="006B2155"/>
    <w:rsid w:val="006B220B"/>
    <w:rsid w:val="006B2591"/>
    <w:rsid w:val="006B368F"/>
    <w:rsid w:val="006B4425"/>
    <w:rsid w:val="006B4537"/>
    <w:rsid w:val="006B4872"/>
    <w:rsid w:val="006B554F"/>
    <w:rsid w:val="006B5F85"/>
    <w:rsid w:val="006B6929"/>
    <w:rsid w:val="006B709B"/>
    <w:rsid w:val="006C0585"/>
    <w:rsid w:val="006C0BE2"/>
    <w:rsid w:val="006C1208"/>
    <w:rsid w:val="006C1D6B"/>
    <w:rsid w:val="006C299F"/>
    <w:rsid w:val="006C437F"/>
    <w:rsid w:val="006C49FD"/>
    <w:rsid w:val="006C54AF"/>
    <w:rsid w:val="006C6EA1"/>
    <w:rsid w:val="006D00F7"/>
    <w:rsid w:val="006D077C"/>
    <w:rsid w:val="006D304C"/>
    <w:rsid w:val="006D43CA"/>
    <w:rsid w:val="006D71EC"/>
    <w:rsid w:val="006D7F20"/>
    <w:rsid w:val="006E0181"/>
    <w:rsid w:val="006E02B3"/>
    <w:rsid w:val="006E341F"/>
    <w:rsid w:val="006E4C52"/>
    <w:rsid w:val="006E5E20"/>
    <w:rsid w:val="006E5F48"/>
    <w:rsid w:val="006E71F7"/>
    <w:rsid w:val="006E7366"/>
    <w:rsid w:val="006E7F8E"/>
    <w:rsid w:val="006F0684"/>
    <w:rsid w:val="006F3D5F"/>
    <w:rsid w:val="006F3ECC"/>
    <w:rsid w:val="006F4D2B"/>
    <w:rsid w:val="006F52B2"/>
    <w:rsid w:val="006F541C"/>
    <w:rsid w:val="006F574E"/>
    <w:rsid w:val="00700ABF"/>
    <w:rsid w:val="00700C0E"/>
    <w:rsid w:val="007010DB"/>
    <w:rsid w:val="00702B57"/>
    <w:rsid w:val="0070315E"/>
    <w:rsid w:val="0070348B"/>
    <w:rsid w:val="00705DAD"/>
    <w:rsid w:val="0070604E"/>
    <w:rsid w:val="007115D1"/>
    <w:rsid w:val="00712C36"/>
    <w:rsid w:val="00715139"/>
    <w:rsid w:val="0071609A"/>
    <w:rsid w:val="007170CA"/>
    <w:rsid w:val="00717D46"/>
    <w:rsid w:val="007206B3"/>
    <w:rsid w:val="007209DF"/>
    <w:rsid w:val="00720D50"/>
    <w:rsid w:val="00721FC3"/>
    <w:rsid w:val="007245F7"/>
    <w:rsid w:val="007247B9"/>
    <w:rsid w:val="00724EEC"/>
    <w:rsid w:val="007258FB"/>
    <w:rsid w:val="007270B5"/>
    <w:rsid w:val="007271F3"/>
    <w:rsid w:val="00727D85"/>
    <w:rsid w:val="00727DF8"/>
    <w:rsid w:val="0073187A"/>
    <w:rsid w:val="007319D7"/>
    <w:rsid w:val="00732110"/>
    <w:rsid w:val="00732222"/>
    <w:rsid w:val="00733979"/>
    <w:rsid w:val="007346C7"/>
    <w:rsid w:val="00734E4B"/>
    <w:rsid w:val="00734E7A"/>
    <w:rsid w:val="00734F06"/>
    <w:rsid w:val="007359FA"/>
    <w:rsid w:val="00736041"/>
    <w:rsid w:val="007361B7"/>
    <w:rsid w:val="007408C7"/>
    <w:rsid w:val="007414A5"/>
    <w:rsid w:val="0074278F"/>
    <w:rsid w:val="00742E1B"/>
    <w:rsid w:val="00742E8F"/>
    <w:rsid w:val="007447A2"/>
    <w:rsid w:val="007465DA"/>
    <w:rsid w:val="00746676"/>
    <w:rsid w:val="007470AB"/>
    <w:rsid w:val="007522F5"/>
    <w:rsid w:val="00752B71"/>
    <w:rsid w:val="00752C7F"/>
    <w:rsid w:val="00753ADB"/>
    <w:rsid w:val="00753E3C"/>
    <w:rsid w:val="00754DFB"/>
    <w:rsid w:val="00757B6C"/>
    <w:rsid w:val="007639F0"/>
    <w:rsid w:val="0076487F"/>
    <w:rsid w:val="00765053"/>
    <w:rsid w:val="007656A2"/>
    <w:rsid w:val="0077009F"/>
    <w:rsid w:val="00770B8B"/>
    <w:rsid w:val="0077255D"/>
    <w:rsid w:val="00772A83"/>
    <w:rsid w:val="00772D96"/>
    <w:rsid w:val="007745A7"/>
    <w:rsid w:val="00774A3D"/>
    <w:rsid w:val="00775969"/>
    <w:rsid w:val="00775CFA"/>
    <w:rsid w:val="007763AF"/>
    <w:rsid w:val="00776598"/>
    <w:rsid w:val="00776CE9"/>
    <w:rsid w:val="007771CB"/>
    <w:rsid w:val="0078101E"/>
    <w:rsid w:val="00781246"/>
    <w:rsid w:val="00781868"/>
    <w:rsid w:val="00782914"/>
    <w:rsid w:val="0078382C"/>
    <w:rsid w:val="00786FB5"/>
    <w:rsid w:val="00790D78"/>
    <w:rsid w:val="0079167B"/>
    <w:rsid w:val="00792948"/>
    <w:rsid w:val="00792E11"/>
    <w:rsid w:val="007931C6"/>
    <w:rsid w:val="00793ABA"/>
    <w:rsid w:val="00796E84"/>
    <w:rsid w:val="00797F25"/>
    <w:rsid w:val="007A132C"/>
    <w:rsid w:val="007A1378"/>
    <w:rsid w:val="007A3ADE"/>
    <w:rsid w:val="007A4CDD"/>
    <w:rsid w:val="007A5733"/>
    <w:rsid w:val="007A5774"/>
    <w:rsid w:val="007A74F7"/>
    <w:rsid w:val="007A7ADB"/>
    <w:rsid w:val="007B024E"/>
    <w:rsid w:val="007B160E"/>
    <w:rsid w:val="007B282F"/>
    <w:rsid w:val="007B45C9"/>
    <w:rsid w:val="007B500A"/>
    <w:rsid w:val="007B558E"/>
    <w:rsid w:val="007B5B55"/>
    <w:rsid w:val="007B7F9C"/>
    <w:rsid w:val="007C0B28"/>
    <w:rsid w:val="007C321C"/>
    <w:rsid w:val="007D10FB"/>
    <w:rsid w:val="007D5AC2"/>
    <w:rsid w:val="007D7D6F"/>
    <w:rsid w:val="007E1700"/>
    <w:rsid w:val="007E1BC7"/>
    <w:rsid w:val="007E219F"/>
    <w:rsid w:val="007E27A5"/>
    <w:rsid w:val="007E3735"/>
    <w:rsid w:val="007E5917"/>
    <w:rsid w:val="007E657A"/>
    <w:rsid w:val="007E6E48"/>
    <w:rsid w:val="007F0C13"/>
    <w:rsid w:val="007F2092"/>
    <w:rsid w:val="007F2953"/>
    <w:rsid w:val="007F2A57"/>
    <w:rsid w:val="007F336E"/>
    <w:rsid w:val="007F4E4F"/>
    <w:rsid w:val="007F57E2"/>
    <w:rsid w:val="007F6D7E"/>
    <w:rsid w:val="008009FA"/>
    <w:rsid w:val="00801E74"/>
    <w:rsid w:val="0080366E"/>
    <w:rsid w:val="008037E6"/>
    <w:rsid w:val="00803BF8"/>
    <w:rsid w:val="008040AA"/>
    <w:rsid w:val="0080485E"/>
    <w:rsid w:val="0080496C"/>
    <w:rsid w:val="00804C53"/>
    <w:rsid w:val="0080610D"/>
    <w:rsid w:val="0080699B"/>
    <w:rsid w:val="00807604"/>
    <w:rsid w:val="00811125"/>
    <w:rsid w:val="00813B7F"/>
    <w:rsid w:val="008142B4"/>
    <w:rsid w:val="00814C99"/>
    <w:rsid w:val="00821007"/>
    <w:rsid w:val="00821E16"/>
    <w:rsid w:val="00827CCB"/>
    <w:rsid w:val="00830246"/>
    <w:rsid w:val="00830A9E"/>
    <w:rsid w:val="00831624"/>
    <w:rsid w:val="00832324"/>
    <w:rsid w:val="00833BA1"/>
    <w:rsid w:val="008340D4"/>
    <w:rsid w:val="00834A9E"/>
    <w:rsid w:val="00834E0C"/>
    <w:rsid w:val="00835337"/>
    <w:rsid w:val="00835541"/>
    <w:rsid w:val="008357DD"/>
    <w:rsid w:val="008404B8"/>
    <w:rsid w:val="00841F16"/>
    <w:rsid w:val="00843941"/>
    <w:rsid w:val="00846DCD"/>
    <w:rsid w:val="008502F5"/>
    <w:rsid w:val="00850D1E"/>
    <w:rsid w:val="00851A8C"/>
    <w:rsid w:val="00851D85"/>
    <w:rsid w:val="008526E1"/>
    <w:rsid w:val="00852D3E"/>
    <w:rsid w:val="00854F54"/>
    <w:rsid w:val="00857F0B"/>
    <w:rsid w:val="00860CCB"/>
    <w:rsid w:val="00864BF2"/>
    <w:rsid w:val="008708E4"/>
    <w:rsid w:val="008740A3"/>
    <w:rsid w:val="00876034"/>
    <w:rsid w:val="00876689"/>
    <w:rsid w:val="00876BFE"/>
    <w:rsid w:val="00876F5B"/>
    <w:rsid w:val="00877F12"/>
    <w:rsid w:val="00880861"/>
    <w:rsid w:val="00882F5C"/>
    <w:rsid w:val="0088334A"/>
    <w:rsid w:val="008840D3"/>
    <w:rsid w:val="00884636"/>
    <w:rsid w:val="00885422"/>
    <w:rsid w:val="00886B0B"/>
    <w:rsid w:val="00890E50"/>
    <w:rsid w:val="0089297B"/>
    <w:rsid w:val="0089305C"/>
    <w:rsid w:val="008935B9"/>
    <w:rsid w:val="00893B26"/>
    <w:rsid w:val="00894EF8"/>
    <w:rsid w:val="00897CBF"/>
    <w:rsid w:val="008A0930"/>
    <w:rsid w:val="008A1B13"/>
    <w:rsid w:val="008A2109"/>
    <w:rsid w:val="008A28ED"/>
    <w:rsid w:val="008A5CD5"/>
    <w:rsid w:val="008A70FA"/>
    <w:rsid w:val="008A7852"/>
    <w:rsid w:val="008A790C"/>
    <w:rsid w:val="008B12A8"/>
    <w:rsid w:val="008B4E4E"/>
    <w:rsid w:val="008B5C05"/>
    <w:rsid w:val="008B6EA5"/>
    <w:rsid w:val="008B7C6A"/>
    <w:rsid w:val="008C0570"/>
    <w:rsid w:val="008C05DB"/>
    <w:rsid w:val="008C36CA"/>
    <w:rsid w:val="008C6C8C"/>
    <w:rsid w:val="008C6DC9"/>
    <w:rsid w:val="008C7A29"/>
    <w:rsid w:val="008C7BF6"/>
    <w:rsid w:val="008D05DB"/>
    <w:rsid w:val="008D0D73"/>
    <w:rsid w:val="008D23A4"/>
    <w:rsid w:val="008D23DE"/>
    <w:rsid w:val="008D2F56"/>
    <w:rsid w:val="008D3FD4"/>
    <w:rsid w:val="008D4EBA"/>
    <w:rsid w:val="008D608C"/>
    <w:rsid w:val="008D7077"/>
    <w:rsid w:val="008E0A53"/>
    <w:rsid w:val="008E3109"/>
    <w:rsid w:val="008E374C"/>
    <w:rsid w:val="008E3910"/>
    <w:rsid w:val="008E3F8C"/>
    <w:rsid w:val="008E4E42"/>
    <w:rsid w:val="008E4FD6"/>
    <w:rsid w:val="008E522B"/>
    <w:rsid w:val="008E70AD"/>
    <w:rsid w:val="008F2E6C"/>
    <w:rsid w:val="008F37C9"/>
    <w:rsid w:val="008F38A7"/>
    <w:rsid w:val="008F3E6B"/>
    <w:rsid w:val="008F402F"/>
    <w:rsid w:val="008F5518"/>
    <w:rsid w:val="008F703C"/>
    <w:rsid w:val="00901FCD"/>
    <w:rsid w:val="00902FD0"/>
    <w:rsid w:val="009051FE"/>
    <w:rsid w:val="009053D3"/>
    <w:rsid w:val="00906645"/>
    <w:rsid w:val="0090691F"/>
    <w:rsid w:val="00910002"/>
    <w:rsid w:val="00915A6A"/>
    <w:rsid w:val="009167FF"/>
    <w:rsid w:val="009203C9"/>
    <w:rsid w:val="009215F0"/>
    <w:rsid w:val="00925435"/>
    <w:rsid w:val="00925712"/>
    <w:rsid w:val="00926441"/>
    <w:rsid w:val="0092715B"/>
    <w:rsid w:val="00927709"/>
    <w:rsid w:val="00927B65"/>
    <w:rsid w:val="0093111F"/>
    <w:rsid w:val="00931891"/>
    <w:rsid w:val="00935689"/>
    <w:rsid w:val="00935DF7"/>
    <w:rsid w:val="009360CC"/>
    <w:rsid w:val="00936333"/>
    <w:rsid w:val="00936A5F"/>
    <w:rsid w:val="00936ADD"/>
    <w:rsid w:val="009376E7"/>
    <w:rsid w:val="009405E4"/>
    <w:rsid w:val="009406BC"/>
    <w:rsid w:val="009406DF"/>
    <w:rsid w:val="00940BA7"/>
    <w:rsid w:val="009419E7"/>
    <w:rsid w:val="00941A8E"/>
    <w:rsid w:val="009432D9"/>
    <w:rsid w:val="009444A4"/>
    <w:rsid w:val="00946047"/>
    <w:rsid w:val="00946798"/>
    <w:rsid w:val="00946C42"/>
    <w:rsid w:val="00947334"/>
    <w:rsid w:val="0095303B"/>
    <w:rsid w:val="009545FF"/>
    <w:rsid w:val="009560CB"/>
    <w:rsid w:val="009576CE"/>
    <w:rsid w:val="0096070A"/>
    <w:rsid w:val="00962319"/>
    <w:rsid w:val="00963156"/>
    <w:rsid w:val="009636A8"/>
    <w:rsid w:val="009663B6"/>
    <w:rsid w:val="0097118A"/>
    <w:rsid w:val="009714DE"/>
    <w:rsid w:val="00971BA4"/>
    <w:rsid w:val="00971F9D"/>
    <w:rsid w:val="009734AA"/>
    <w:rsid w:val="009734EC"/>
    <w:rsid w:val="00973E4B"/>
    <w:rsid w:val="009745A5"/>
    <w:rsid w:val="009747F4"/>
    <w:rsid w:val="00974A47"/>
    <w:rsid w:val="00974B58"/>
    <w:rsid w:val="00974F0B"/>
    <w:rsid w:val="00975E7C"/>
    <w:rsid w:val="00980286"/>
    <w:rsid w:val="00981751"/>
    <w:rsid w:val="00981B71"/>
    <w:rsid w:val="009847F8"/>
    <w:rsid w:val="009849F4"/>
    <w:rsid w:val="009862D4"/>
    <w:rsid w:val="00986472"/>
    <w:rsid w:val="009903B6"/>
    <w:rsid w:val="00990570"/>
    <w:rsid w:val="00990DCF"/>
    <w:rsid w:val="00991346"/>
    <w:rsid w:val="009913D0"/>
    <w:rsid w:val="00991661"/>
    <w:rsid w:val="00991B6C"/>
    <w:rsid w:val="00992042"/>
    <w:rsid w:val="009927FF"/>
    <w:rsid w:val="00992E93"/>
    <w:rsid w:val="00994576"/>
    <w:rsid w:val="00995089"/>
    <w:rsid w:val="00995B6A"/>
    <w:rsid w:val="00995D95"/>
    <w:rsid w:val="00995E1E"/>
    <w:rsid w:val="009962A0"/>
    <w:rsid w:val="009A01C1"/>
    <w:rsid w:val="009A19BC"/>
    <w:rsid w:val="009A19EA"/>
    <w:rsid w:val="009A23C6"/>
    <w:rsid w:val="009A45AD"/>
    <w:rsid w:val="009A4CD6"/>
    <w:rsid w:val="009A537C"/>
    <w:rsid w:val="009A5672"/>
    <w:rsid w:val="009B0672"/>
    <w:rsid w:val="009B1B83"/>
    <w:rsid w:val="009B2862"/>
    <w:rsid w:val="009B2A37"/>
    <w:rsid w:val="009B2AD1"/>
    <w:rsid w:val="009B3713"/>
    <w:rsid w:val="009B3956"/>
    <w:rsid w:val="009B3D75"/>
    <w:rsid w:val="009B56E8"/>
    <w:rsid w:val="009B746E"/>
    <w:rsid w:val="009B75C6"/>
    <w:rsid w:val="009B7EE2"/>
    <w:rsid w:val="009C07AC"/>
    <w:rsid w:val="009C0886"/>
    <w:rsid w:val="009C0E4A"/>
    <w:rsid w:val="009C19EE"/>
    <w:rsid w:val="009C1BBC"/>
    <w:rsid w:val="009C28D0"/>
    <w:rsid w:val="009C35F2"/>
    <w:rsid w:val="009C5562"/>
    <w:rsid w:val="009C6E1B"/>
    <w:rsid w:val="009C7782"/>
    <w:rsid w:val="009D1ED5"/>
    <w:rsid w:val="009D2366"/>
    <w:rsid w:val="009D3873"/>
    <w:rsid w:val="009D43C4"/>
    <w:rsid w:val="009D4C13"/>
    <w:rsid w:val="009D4F93"/>
    <w:rsid w:val="009D5599"/>
    <w:rsid w:val="009D59C8"/>
    <w:rsid w:val="009D5BA2"/>
    <w:rsid w:val="009D68F6"/>
    <w:rsid w:val="009D6F47"/>
    <w:rsid w:val="009E008C"/>
    <w:rsid w:val="009E0291"/>
    <w:rsid w:val="009E0EA9"/>
    <w:rsid w:val="009E21A7"/>
    <w:rsid w:val="009E23C7"/>
    <w:rsid w:val="009E543A"/>
    <w:rsid w:val="009E678C"/>
    <w:rsid w:val="009F09CE"/>
    <w:rsid w:val="009F17F5"/>
    <w:rsid w:val="009F2E2E"/>
    <w:rsid w:val="009F6A4C"/>
    <w:rsid w:val="009F7753"/>
    <w:rsid w:val="009F7B36"/>
    <w:rsid w:val="00A00868"/>
    <w:rsid w:val="00A01634"/>
    <w:rsid w:val="00A05B41"/>
    <w:rsid w:val="00A06749"/>
    <w:rsid w:val="00A103ED"/>
    <w:rsid w:val="00A114BC"/>
    <w:rsid w:val="00A123EE"/>
    <w:rsid w:val="00A125AD"/>
    <w:rsid w:val="00A13C60"/>
    <w:rsid w:val="00A14421"/>
    <w:rsid w:val="00A14A7C"/>
    <w:rsid w:val="00A14B40"/>
    <w:rsid w:val="00A15134"/>
    <w:rsid w:val="00A15620"/>
    <w:rsid w:val="00A17C4F"/>
    <w:rsid w:val="00A22D4E"/>
    <w:rsid w:val="00A23D94"/>
    <w:rsid w:val="00A2582C"/>
    <w:rsid w:val="00A26A4C"/>
    <w:rsid w:val="00A27669"/>
    <w:rsid w:val="00A27675"/>
    <w:rsid w:val="00A2797F"/>
    <w:rsid w:val="00A3049C"/>
    <w:rsid w:val="00A335F8"/>
    <w:rsid w:val="00A33E5F"/>
    <w:rsid w:val="00A341A3"/>
    <w:rsid w:val="00A355EF"/>
    <w:rsid w:val="00A35800"/>
    <w:rsid w:val="00A359F5"/>
    <w:rsid w:val="00A369EF"/>
    <w:rsid w:val="00A372B0"/>
    <w:rsid w:val="00A3770C"/>
    <w:rsid w:val="00A408B6"/>
    <w:rsid w:val="00A41C8F"/>
    <w:rsid w:val="00A41DA7"/>
    <w:rsid w:val="00A435BC"/>
    <w:rsid w:val="00A44F07"/>
    <w:rsid w:val="00A4546F"/>
    <w:rsid w:val="00A46CED"/>
    <w:rsid w:val="00A46F5B"/>
    <w:rsid w:val="00A47547"/>
    <w:rsid w:val="00A5047A"/>
    <w:rsid w:val="00A52918"/>
    <w:rsid w:val="00A54071"/>
    <w:rsid w:val="00A547B3"/>
    <w:rsid w:val="00A54D3F"/>
    <w:rsid w:val="00A54E47"/>
    <w:rsid w:val="00A552D2"/>
    <w:rsid w:val="00A56022"/>
    <w:rsid w:val="00A57288"/>
    <w:rsid w:val="00A60475"/>
    <w:rsid w:val="00A63151"/>
    <w:rsid w:val="00A63820"/>
    <w:rsid w:val="00A63AE2"/>
    <w:rsid w:val="00A641AE"/>
    <w:rsid w:val="00A6534C"/>
    <w:rsid w:val="00A6591F"/>
    <w:rsid w:val="00A65B0C"/>
    <w:rsid w:val="00A66104"/>
    <w:rsid w:val="00A709AC"/>
    <w:rsid w:val="00A70E82"/>
    <w:rsid w:val="00A726A5"/>
    <w:rsid w:val="00A75A61"/>
    <w:rsid w:val="00A82025"/>
    <w:rsid w:val="00A825F3"/>
    <w:rsid w:val="00A82BC3"/>
    <w:rsid w:val="00A84CAD"/>
    <w:rsid w:val="00A85670"/>
    <w:rsid w:val="00A8591D"/>
    <w:rsid w:val="00A85B4D"/>
    <w:rsid w:val="00A85E9A"/>
    <w:rsid w:val="00A90C83"/>
    <w:rsid w:val="00A90E50"/>
    <w:rsid w:val="00A911D9"/>
    <w:rsid w:val="00A93585"/>
    <w:rsid w:val="00A93B7A"/>
    <w:rsid w:val="00A93ECD"/>
    <w:rsid w:val="00A95809"/>
    <w:rsid w:val="00A95FA5"/>
    <w:rsid w:val="00A96BDA"/>
    <w:rsid w:val="00A96D92"/>
    <w:rsid w:val="00A971AF"/>
    <w:rsid w:val="00A97569"/>
    <w:rsid w:val="00A9766E"/>
    <w:rsid w:val="00AA0386"/>
    <w:rsid w:val="00AA1C8F"/>
    <w:rsid w:val="00AA4987"/>
    <w:rsid w:val="00AA5FAE"/>
    <w:rsid w:val="00AA64A4"/>
    <w:rsid w:val="00AB199C"/>
    <w:rsid w:val="00AB2F61"/>
    <w:rsid w:val="00AB3733"/>
    <w:rsid w:val="00AB40F5"/>
    <w:rsid w:val="00AB588C"/>
    <w:rsid w:val="00AB7897"/>
    <w:rsid w:val="00AC1233"/>
    <w:rsid w:val="00AC395E"/>
    <w:rsid w:val="00AC3AB7"/>
    <w:rsid w:val="00AC3FFF"/>
    <w:rsid w:val="00AC5054"/>
    <w:rsid w:val="00AC6467"/>
    <w:rsid w:val="00AD091D"/>
    <w:rsid w:val="00AD0972"/>
    <w:rsid w:val="00AD19A3"/>
    <w:rsid w:val="00AD31F8"/>
    <w:rsid w:val="00AD7293"/>
    <w:rsid w:val="00AD7D2A"/>
    <w:rsid w:val="00AE2CBE"/>
    <w:rsid w:val="00AE3204"/>
    <w:rsid w:val="00AE3702"/>
    <w:rsid w:val="00AE3745"/>
    <w:rsid w:val="00AE4BAC"/>
    <w:rsid w:val="00AE5775"/>
    <w:rsid w:val="00AE5B06"/>
    <w:rsid w:val="00AE66D5"/>
    <w:rsid w:val="00AE6A1D"/>
    <w:rsid w:val="00AF04A4"/>
    <w:rsid w:val="00AF06BC"/>
    <w:rsid w:val="00AF17C2"/>
    <w:rsid w:val="00AF186D"/>
    <w:rsid w:val="00AF2A76"/>
    <w:rsid w:val="00AF2BAD"/>
    <w:rsid w:val="00AF6B4F"/>
    <w:rsid w:val="00B01CCF"/>
    <w:rsid w:val="00B02CCE"/>
    <w:rsid w:val="00B03174"/>
    <w:rsid w:val="00B034FC"/>
    <w:rsid w:val="00B03B77"/>
    <w:rsid w:val="00B03CF8"/>
    <w:rsid w:val="00B047AA"/>
    <w:rsid w:val="00B0512A"/>
    <w:rsid w:val="00B05310"/>
    <w:rsid w:val="00B06F3E"/>
    <w:rsid w:val="00B07EB8"/>
    <w:rsid w:val="00B109C9"/>
    <w:rsid w:val="00B10A0B"/>
    <w:rsid w:val="00B1216C"/>
    <w:rsid w:val="00B125CD"/>
    <w:rsid w:val="00B1349C"/>
    <w:rsid w:val="00B15481"/>
    <w:rsid w:val="00B15667"/>
    <w:rsid w:val="00B15958"/>
    <w:rsid w:val="00B15DAD"/>
    <w:rsid w:val="00B21EAE"/>
    <w:rsid w:val="00B2326D"/>
    <w:rsid w:val="00B235BE"/>
    <w:rsid w:val="00B23BA1"/>
    <w:rsid w:val="00B249FE"/>
    <w:rsid w:val="00B24E11"/>
    <w:rsid w:val="00B254B2"/>
    <w:rsid w:val="00B257AF"/>
    <w:rsid w:val="00B25E6A"/>
    <w:rsid w:val="00B2639A"/>
    <w:rsid w:val="00B273EE"/>
    <w:rsid w:val="00B30D85"/>
    <w:rsid w:val="00B31E2B"/>
    <w:rsid w:val="00B33500"/>
    <w:rsid w:val="00B3388C"/>
    <w:rsid w:val="00B35A4A"/>
    <w:rsid w:val="00B37031"/>
    <w:rsid w:val="00B37FD8"/>
    <w:rsid w:val="00B40DA1"/>
    <w:rsid w:val="00B432F7"/>
    <w:rsid w:val="00B43301"/>
    <w:rsid w:val="00B43BEF"/>
    <w:rsid w:val="00B453CF"/>
    <w:rsid w:val="00B471D3"/>
    <w:rsid w:val="00B51F0A"/>
    <w:rsid w:val="00B53875"/>
    <w:rsid w:val="00B55290"/>
    <w:rsid w:val="00B55944"/>
    <w:rsid w:val="00B61912"/>
    <w:rsid w:val="00B62228"/>
    <w:rsid w:val="00B623A5"/>
    <w:rsid w:val="00B62B01"/>
    <w:rsid w:val="00B63B46"/>
    <w:rsid w:val="00B63FD7"/>
    <w:rsid w:val="00B64BC6"/>
    <w:rsid w:val="00B64F82"/>
    <w:rsid w:val="00B6700F"/>
    <w:rsid w:val="00B67BA4"/>
    <w:rsid w:val="00B70530"/>
    <w:rsid w:val="00B71ED4"/>
    <w:rsid w:val="00B7229E"/>
    <w:rsid w:val="00B72D8B"/>
    <w:rsid w:val="00B7325B"/>
    <w:rsid w:val="00B733C4"/>
    <w:rsid w:val="00B74773"/>
    <w:rsid w:val="00B7499F"/>
    <w:rsid w:val="00B7601E"/>
    <w:rsid w:val="00B77B6F"/>
    <w:rsid w:val="00B802FE"/>
    <w:rsid w:val="00B8080D"/>
    <w:rsid w:val="00B809A3"/>
    <w:rsid w:val="00B816D9"/>
    <w:rsid w:val="00B81ADE"/>
    <w:rsid w:val="00B84221"/>
    <w:rsid w:val="00B85750"/>
    <w:rsid w:val="00B86327"/>
    <w:rsid w:val="00B867D7"/>
    <w:rsid w:val="00B86BB5"/>
    <w:rsid w:val="00B87051"/>
    <w:rsid w:val="00B90D80"/>
    <w:rsid w:val="00B9120F"/>
    <w:rsid w:val="00B9204E"/>
    <w:rsid w:val="00B9216C"/>
    <w:rsid w:val="00B922F3"/>
    <w:rsid w:val="00B924A4"/>
    <w:rsid w:val="00B93580"/>
    <w:rsid w:val="00B94BD2"/>
    <w:rsid w:val="00BA0488"/>
    <w:rsid w:val="00BA0892"/>
    <w:rsid w:val="00BA122C"/>
    <w:rsid w:val="00BA2926"/>
    <w:rsid w:val="00BA3CF7"/>
    <w:rsid w:val="00BA432A"/>
    <w:rsid w:val="00BA515A"/>
    <w:rsid w:val="00BA5214"/>
    <w:rsid w:val="00BB0D1A"/>
    <w:rsid w:val="00BB1D3B"/>
    <w:rsid w:val="00BB1E0A"/>
    <w:rsid w:val="00BB2422"/>
    <w:rsid w:val="00BB299D"/>
    <w:rsid w:val="00BB3413"/>
    <w:rsid w:val="00BB3587"/>
    <w:rsid w:val="00BB4311"/>
    <w:rsid w:val="00BB6766"/>
    <w:rsid w:val="00BC0E0D"/>
    <w:rsid w:val="00BC35ED"/>
    <w:rsid w:val="00BC38A2"/>
    <w:rsid w:val="00BC3CEB"/>
    <w:rsid w:val="00BC3CFB"/>
    <w:rsid w:val="00BC6F3D"/>
    <w:rsid w:val="00BD018D"/>
    <w:rsid w:val="00BD0DBE"/>
    <w:rsid w:val="00BD2083"/>
    <w:rsid w:val="00BD3035"/>
    <w:rsid w:val="00BD3352"/>
    <w:rsid w:val="00BD65C8"/>
    <w:rsid w:val="00BD68D6"/>
    <w:rsid w:val="00BD7444"/>
    <w:rsid w:val="00BD78FA"/>
    <w:rsid w:val="00BE08E6"/>
    <w:rsid w:val="00BE0E4E"/>
    <w:rsid w:val="00BE205A"/>
    <w:rsid w:val="00BE2A01"/>
    <w:rsid w:val="00BE2BEC"/>
    <w:rsid w:val="00BE3802"/>
    <w:rsid w:val="00BE3E58"/>
    <w:rsid w:val="00BE4E2C"/>
    <w:rsid w:val="00BE5863"/>
    <w:rsid w:val="00BE6B81"/>
    <w:rsid w:val="00BF1DC2"/>
    <w:rsid w:val="00BF238E"/>
    <w:rsid w:val="00BF2F4A"/>
    <w:rsid w:val="00BF302C"/>
    <w:rsid w:val="00BF4B8B"/>
    <w:rsid w:val="00BF5269"/>
    <w:rsid w:val="00BF544D"/>
    <w:rsid w:val="00BF6FE4"/>
    <w:rsid w:val="00C0076F"/>
    <w:rsid w:val="00C00FFE"/>
    <w:rsid w:val="00C01264"/>
    <w:rsid w:val="00C02460"/>
    <w:rsid w:val="00C0301C"/>
    <w:rsid w:val="00C032A9"/>
    <w:rsid w:val="00C050B6"/>
    <w:rsid w:val="00C05E39"/>
    <w:rsid w:val="00C0734B"/>
    <w:rsid w:val="00C10157"/>
    <w:rsid w:val="00C101C4"/>
    <w:rsid w:val="00C10978"/>
    <w:rsid w:val="00C10F12"/>
    <w:rsid w:val="00C124BB"/>
    <w:rsid w:val="00C14DCA"/>
    <w:rsid w:val="00C14F04"/>
    <w:rsid w:val="00C172CB"/>
    <w:rsid w:val="00C21355"/>
    <w:rsid w:val="00C2432F"/>
    <w:rsid w:val="00C245EA"/>
    <w:rsid w:val="00C24F57"/>
    <w:rsid w:val="00C256F6"/>
    <w:rsid w:val="00C27CB9"/>
    <w:rsid w:val="00C3097E"/>
    <w:rsid w:val="00C3270E"/>
    <w:rsid w:val="00C35ECC"/>
    <w:rsid w:val="00C361A8"/>
    <w:rsid w:val="00C36354"/>
    <w:rsid w:val="00C3773C"/>
    <w:rsid w:val="00C40CA6"/>
    <w:rsid w:val="00C41246"/>
    <w:rsid w:val="00C41D04"/>
    <w:rsid w:val="00C420CA"/>
    <w:rsid w:val="00C43060"/>
    <w:rsid w:val="00C4350D"/>
    <w:rsid w:val="00C435DE"/>
    <w:rsid w:val="00C45243"/>
    <w:rsid w:val="00C459D4"/>
    <w:rsid w:val="00C45CB9"/>
    <w:rsid w:val="00C45E5F"/>
    <w:rsid w:val="00C46291"/>
    <w:rsid w:val="00C468A4"/>
    <w:rsid w:val="00C50311"/>
    <w:rsid w:val="00C50339"/>
    <w:rsid w:val="00C51BC5"/>
    <w:rsid w:val="00C52946"/>
    <w:rsid w:val="00C55655"/>
    <w:rsid w:val="00C630B1"/>
    <w:rsid w:val="00C6319C"/>
    <w:rsid w:val="00C63412"/>
    <w:rsid w:val="00C656F2"/>
    <w:rsid w:val="00C65D55"/>
    <w:rsid w:val="00C67479"/>
    <w:rsid w:val="00C67D6A"/>
    <w:rsid w:val="00C7060F"/>
    <w:rsid w:val="00C714D0"/>
    <w:rsid w:val="00C729B9"/>
    <w:rsid w:val="00C72F99"/>
    <w:rsid w:val="00C7336B"/>
    <w:rsid w:val="00C73D1B"/>
    <w:rsid w:val="00C744B0"/>
    <w:rsid w:val="00C7462E"/>
    <w:rsid w:val="00C7466C"/>
    <w:rsid w:val="00C765A8"/>
    <w:rsid w:val="00C765FF"/>
    <w:rsid w:val="00C769C5"/>
    <w:rsid w:val="00C812DE"/>
    <w:rsid w:val="00C82B7B"/>
    <w:rsid w:val="00C83D28"/>
    <w:rsid w:val="00C849E8"/>
    <w:rsid w:val="00C86C18"/>
    <w:rsid w:val="00C870CC"/>
    <w:rsid w:val="00C87CFF"/>
    <w:rsid w:val="00C907FA"/>
    <w:rsid w:val="00C90EF4"/>
    <w:rsid w:val="00C910B8"/>
    <w:rsid w:val="00C91224"/>
    <w:rsid w:val="00C9301A"/>
    <w:rsid w:val="00C93CE2"/>
    <w:rsid w:val="00C9460F"/>
    <w:rsid w:val="00C94934"/>
    <w:rsid w:val="00C9550D"/>
    <w:rsid w:val="00C95E3F"/>
    <w:rsid w:val="00C9619A"/>
    <w:rsid w:val="00C96718"/>
    <w:rsid w:val="00C97680"/>
    <w:rsid w:val="00CA015A"/>
    <w:rsid w:val="00CA0764"/>
    <w:rsid w:val="00CA0AAB"/>
    <w:rsid w:val="00CA2967"/>
    <w:rsid w:val="00CA3530"/>
    <w:rsid w:val="00CA3839"/>
    <w:rsid w:val="00CB0B17"/>
    <w:rsid w:val="00CB1565"/>
    <w:rsid w:val="00CB32B8"/>
    <w:rsid w:val="00CB3339"/>
    <w:rsid w:val="00CB49EE"/>
    <w:rsid w:val="00CB6170"/>
    <w:rsid w:val="00CB74EE"/>
    <w:rsid w:val="00CC0787"/>
    <w:rsid w:val="00CC08A3"/>
    <w:rsid w:val="00CC1AA3"/>
    <w:rsid w:val="00CC4040"/>
    <w:rsid w:val="00CC515F"/>
    <w:rsid w:val="00CC54D0"/>
    <w:rsid w:val="00CD0393"/>
    <w:rsid w:val="00CD089E"/>
    <w:rsid w:val="00CD1D06"/>
    <w:rsid w:val="00CD1DF0"/>
    <w:rsid w:val="00CD24A4"/>
    <w:rsid w:val="00CD3586"/>
    <w:rsid w:val="00CD36AC"/>
    <w:rsid w:val="00CD3F3E"/>
    <w:rsid w:val="00CD42FC"/>
    <w:rsid w:val="00CD4486"/>
    <w:rsid w:val="00CE0E1E"/>
    <w:rsid w:val="00CE3F00"/>
    <w:rsid w:val="00CE5644"/>
    <w:rsid w:val="00CE65C2"/>
    <w:rsid w:val="00CE6AEB"/>
    <w:rsid w:val="00CE7EAE"/>
    <w:rsid w:val="00CF02A3"/>
    <w:rsid w:val="00CF1464"/>
    <w:rsid w:val="00CF1948"/>
    <w:rsid w:val="00CF33E4"/>
    <w:rsid w:val="00CF37D5"/>
    <w:rsid w:val="00CF4C29"/>
    <w:rsid w:val="00CF5E22"/>
    <w:rsid w:val="00CF73D8"/>
    <w:rsid w:val="00CF7EAE"/>
    <w:rsid w:val="00D00303"/>
    <w:rsid w:val="00D03492"/>
    <w:rsid w:val="00D03E16"/>
    <w:rsid w:val="00D0406A"/>
    <w:rsid w:val="00D04557"/>
    <w:rsid w:val="00D04EC0"/>
    <w:rsid w:val="00D05BA5"/>
    <w:rsid w:val="00D0650B"/>
    <w:rsid w:val="00D0652A"/>
    <w:rsid w:val="00D06A44"/>
    <w:rsid w:val="00D112F4"/>
    <w:rsid w:val="00D12D47"/>
    <w:rsid w:val="00D13E39"/>
    <w:rsid w:val="00D151EB"/>
    <w:rsid w:val="00D16476"/>
    <w:rsid w:val="00D16627"/>
    <w:rsid w:val="00D16D2E"/>
    <w:rsid w:val="00D20510"/>
    <w:rsid w:val="00D21EBB"/>
    <w:rsid w:val="00D23873"/>
    <w:rsid w:val="00D2401E"/>
    <w:rsid w:val="00D241F5"/>
    <w:rsid w:val="00D24F8E"/>
    <w:rsid w:val="00D25759"/>
    <w:rsid w:val="00D25D9D"/>
    <w:rsid w:val="00D27A1D"/>
    <w:rsid w:val="00D27DF0"/>
    <w:rsid w:val="00D300E0"/>
    <w:rsid w:val="00D31343"/>
    <w:rsid w:val="00D32753"/>
    <w:rsid w:val="00D32E9A"/>
    <w:rsid w:val="00D34D2A"/>
    <w:rsid w:val="00D34E1F"/>
    <w:rsid w:val="00D352F8"/>
    <w:rsid w:val="00D356A5"/>
    <w:rsid w:val="00D35E41"/>
    <w:rsid w:val="00D374CD"/>
    <w:rsid w:val="00D403BF"/>
    <w:rsid w:val="00D430EA"/>
    <w:rsid w:val="00D4504F"/>
    <w:rsid w:val="00D4788A"/>
    <w:rsid w:val="00D47B7F"/>
    <w:rsid w:val="00D518A9"/>
    <w:rsid w:val="00D552FA"/>
    <w:rsid w:val="00D5555F"/>
    <w:rsid w:val="00D61F8F"/>
    <w:rsid w:val="00D6228E"/>
    <w:rsid w:val="00D63327"/>
    <w:rsid w:val="00D650CE"/>
    <w:rsid w:val="00D65E33"/>
    <w:rsid w:val="00D66826"/>
    <w:rsid w:val="00D674B1"/>
    <w:rsid w:val="00D71719"/>
    <w:rsid w:val="00D72331"/>
    <w:rsid w:val="00D73697"/>
    <w:rsid w:val="00D77555"/>
    <w:rsid w:val="00D775D9"/>
    <w:rsid w:val="00D776DA"/>
    <w:rsid w:val="00D77F40"/>
    <w:rsid w:val="00D80400"/>
    <w:rsid w:val="00D80703"/>
    <w:rsid w:val="00D831B4"/>
    <w:rsid w:val="00D835CF"/>
    <w:rsid w:val="00D84C16"/>
    <w:rsid w:val="00D8569C"/>
    <w:rsid w:val="00D86037"/>
    <w:rsid w:val="00D86B5D"/>
    <w:rsid w:val="00D86E05"/>
    <w:rsid w:val="00D8758B"/>
    <w:rsid w:val="00D903EB"/>
    <w:rsid w:val="00D90867"/>
    <w:rsid w:val="00D91560"/>
    <w:rsid w:val="00D929C8"/>
    <w:rsid w:val="00D92BAD"/>
    <w:rsid w:val="00D93E9E"/>
    <w:rsid w:val="00D942B3"/>
    <w:rsid w:val="00D944DA"/>
    <w:rsid w:val="00D94863"/>
    <w:rsid w:val="00D94E03"/>
    <w:rsid w:val="00D94FA1"/>
    <w:rsid w:val="00D9655B"/>
    <w:rsid w:val="00D97FD7"/>
    <w:rsid w:val="00DA50F3"/>
    <w:rsid w:val="00DA7D09"/>
    <w:rsid w:val="00DB2F60"/>
    <w:rsid w:val="00DB3621"/>
    <w:rsid w:val="00DB3A28"/>
    <w:rsid w:val="00DB52DD"/>
    <w:rsid w:val="00DB621E"/>
    <w:rsid w:val="00DB76F1"/>
    <w:rsid w:val="00DC2630"/>
    <w:rsid w:val="00DC3EC6"/>
    <w:rsid w:val="00DC42AF"/>
    <w:rsid w:val="00DC49E9"/>
    <w:rsid w:val="00DC55E4"/>
    <w:rsid w:val="00DC5813"/>
    <w:rsid w:val="00DC7D71"/>
    <w:rsid w:val="00DD188C"/>
    <w:rsid w:val="00DD269D"/>
    <w:rsid w:val="00DD29A3"/>
    <w:rsid w:val="00DD48EE"/>
    <w:rsid w:val="00DD5888"/>
    <w:rsid w:val="00DE0B96"/>
    <w:rsid w:val="00DE10B9"/>
    <w:rsid w:val="00DE31A8"/>
    <w:rsid w:val="00DE44B0"/>
    <w:rsid w:val="00DE4FCD"/>
    <w:rsid w:val="00DE5B31"/>
    <w:rsid w:val="00DF0311"/>
    <w:rsid w:val="00DF0B13"/>
    <w:rsid w:val="00DF1525"/>
    <w:rsid w:val="00DF2EB8"/>
    <w:rsid w:val="00DF32C6"/>
    <w:rsid w:val="00DF34ED"/>
    <w:rsid w:val="00DF3925"/>
    <w:rsid w:val="00DF4A94"/>
    <w:rsid w:val="00DF6003"/>
    <w:rsid w:val="00DF7910"/>
    <w:rsid w:val="00E00095"/>
    <w:rsid w:val="00E0274B"/>
    <w:rsid w:val="00E03686"/>
    <w:rsid w:val="00E0404E"/>
    <w:rsid w:val="00E0652D"/>
    <w:rsid w:val="00E066C3"/>
    <w:rsid w:val="00E0791A"/>
    <w:rsid w:val="00E07E41"/>
    <w:rsid w:val="00E10D8C"/>
    <w:rsid w:val="00E10D8E"/>
    <w:rsid w:val="00E127F8"/>
    <w:rsid w:val="00E1353A"/>
    <w:rsid w:val="00E13D4A"/>
    <w:rsid w:val="00E14D01"/>
    <w:rsid w:val="00E1564B"/>
    <w:rsid w:val="00E20071"/>
    <w:rsid w:val="00E208A0"/>
    <w:rsid w:val="00E2289B"/>
    <w:rsid w:val="00E22F59"/>
    <w:rsid w:val="00E235B2"/>
    <w:rsid w:val="00E23D64"/>
    <w:rsid w:val="00E24453"/>
    <w:rsid w:val="00E249DB"/>
    <w:rsid w:val="00E25B49"/>
    <w:rsid w:val="00E25C2C"/>
    <w:rsid w:val="00E26AAC"/>
    <w:rsid w:val="00E3165D"/>
    <w:rsid w:val="00E319F5"/>
    <w:rsid w:val="00E3438B"/>
    <w:rsid w:val="00E34CC0"/>
    <w:rsid w:val="00E34FEB"/>
    <w:rsid w:val="00E3691B"/>
    <w:rsid w:val="00E36B06"/>
    <w:rsid w:val="00E371EA"/>
    <w:rsid w:val="00E4098F"/>
    <w:rsid w:val="00E40B47"/>
    <w:rsid w:val="00E45144"/>
    <w:rsid w:val="00E467D1"/>
    <w:rsid w:val="00E47E78"/>
    <w:rsid w:val="00E5040D"/>
    <w:rsid w:val="00E51B76"/>
    <w:rsid w:val="00E527A7"/>
    <w:rsid w:val="00E535C5"/>
    <w:rsid w:val="00E5685B"/>
    <w:rsid w:val="00E56BDF"/>
    <w:rsid w:val="00E57A64"/>
    <w:rsid w:val="00E57AE1"/>
    <w:rsid w:val="00E64170"/>
    <w:rsid w:val="00E64429"/>
    <w:rsid w:val="00E65826"/>
    <w:rsid w:val="00E67588"/>
    <w:rsid w:val="00E677DD"/>
    <w:rsid w:val="00E70978"/>
    <w:rsid w:val="00E728F9"/>
    <w:rsid w:val="00E72C6B"/>
    <w:rsid w:val="00E72DDE"/>
    <w:rsid w:val="00E7503E"/>
    <w:rsid w:val="00E7594B"/>
    <w:rsid w:val="00E80B27"/>
    <w:rsid w:val="00E82D0D"/>
    <w:rsid w:val="00E94932"/>
    <w:rsid w:val="00E94F33"/>
    <w:rsid w:val="00E96944"/>
    <w:rsid w:val="00EA0DDE"/>
    <w:rsid w:val="00EA1CFF"/>
    <w:rsid w:val="00EA1D0F"/>
    <w:rsid w:val="00EA39AF"/>
    <w:rsid w:val="00EA445F"/>
    <w:rsid w:val="00EA6062"/>
    <w:rsid w:val="00EB0872"/>
    <w:rsid w:val="00EB1A21"/>
    <w:rsid w:val="00EB1CC5"/>
    <w:rsid w:val="00EB2F35"/>
    <w:rsid w:val="00EB41AA"/>
    <w:rsid w:val="00EB4688"/>
    <w:rsid w:val="00EB4B20"/>
    <w:rsid w:val="00EB6A38"/>
    <w:rsid w:val="00EB6C07"/>
    <w:rsid w:val="00EC028D"/>
    <w:rsid w:val="00EC510E"/>
    <w:rsid w:val="00EC6273"/>
    <w:rsid w:val="00EC6372"/>
    <w:rsid w:val="00EC7455"/>
    <w:rsid w:val="00EC763B"/>
    <w:rsid w:val="00ED0DB8"/>
    <w:rsid w:val="00ED0E72"/>
    <w:rsid w:val="00ED1B4F"/>
    <w:rsid w:val="00ED4586"/>
    <w:rsid w:val="00ED57B1"/>
    <w:rsid w:val="00ED633B"/>
    <w:rsid w:val="00ED67C4"/>
    <w:rsid w:val="00EE0157"/>
    <w:rsid w:val="00EE24A5"/>
    <w:rsid w:val="00EE2BBB"/>
    <w:rsid w:val="00EE4301"/>
    <w:rsid w:val="00EE478C"/>
    <w:rsid w:val="00EE4BF8"/>
    <w:rsid w:val="00EE7D7C"/>
    <w:rsid w:val="00EF052B"/>
    <w:rsid w:val="00EF291A"/>
    <w:rsid w:val="00EF45B4"/>
    <w:rsid w:val="00EF500C"/>
    <w:rsid w:val="00EF6E24"/>
    <w:rsid w:val="00F021B5"/>
    <w:rsid w:val="00F0331A"/>
    <w:rsid w:val="00F066AD"/>
    <w:rsid w:val="00F100DD"/>
    <w:rsid w:val="00F10691"/>
    <w:rsid w:val="00F10FFF"/>
    <w:rsid w:val="00F1132C"/>
    <w:rsid w:val="00F12EE0"/>
    <w:rsid w:val="00F13F3D"/>
    <w:rsid w:val="00F14571"/>
    <w:rsid w:val="00F1499D"/>
    <w:rsid w:val="00F14A6C"/>
    <w:rsid w:val="00F15DD5"/>
    <w:rsid w:val="00F17D4B"/>
    <w:rsid w:val="00F17F08"/>
    <w:rsid w:val="00F210E3"/>
    <w:rsid w:val="00F23139"/>
    <w:rsid w:val="00F23C6F"/>
    <w:rsid w:val="00F24B34"/>
    <w:rsid w:val="00F25126"/>
    <w:rsid w:val="00F255F6"/>
    <w:rsid w:val="00F2781F"/>
    <w:rsid w:val="00F30712"/>
    <w:rsid w:val="00F3186A"/>
    <w:rsid w:val="00F321EC"/>
    <w:rsid w:val="00F33B6E"/>
    <w:rsid w:val="00F33C6B"/>
    <w:rsid w:val="00F3601B"/>
    <w:rsid w:val="00F41A87"/>
    <w:rsid w:val="00F42084"/>
    <w:rsid w:val="00F452C8"/>
    <w:rsid w:val="00F462BF"/>
    <w:rsid w:val="00F4637B"/>
    <w:rsid w:val="00F512CC"/>
    <w:rsid w:val="00F5149D"/>
    <w:rsid w:val="00F51A29"/>
    <w:rsid w:val="00F528A7"/>
    <w:rsid w:val="00F52C14"/>
    <w:rsid w:val="00F54348"/>
    <w:rsid w:val="00F545EE"/>
    <w:rsid w:val="00F55189"/>
    <w:rsid w:val="00F55A73"/>
    <w:rsid w:val="00F56EF1"/>
    <w:rsid w:val="00F56F3E"/>
    <w:rsid w:val="00F60B3C"/>
    <w:rsid w:val="00F62A4C"/>
    <w:rsid w:val="00F63690"/>
    <w:rsid w:val="00F650DA"/>
    <w:rsid w:val="00F65DB5"/>
    <w:rsid w:val="00F65DC4"/>
    <w:rsid w:val="00F66CD5"/>
    <w:rsid w:val="00F67A9A"/>
    <w:rsid w:val="00F67C88"/>
    <w:rsid w:val="00F707B6"/>
    <w:rsid w:val="00F70F4E"/>
    <w:rsid w:val="00F71DF3"/>
    <w:rsid w:val="00F721DC"/>
    <w:rsid w:val="00F7248D"/>
    <w:rsid w:val="00F73113"/>
    <w:rsid w:val="00F734F3"/>
    <w:rsid w:val="00F75FC4"/>
    <w:rsid w:val="00F76127"/>
    <w:rsid w:val="00F764FC"/>
    <w:rsid w:val="00F77EB0"/>
    <w:rsid w:val="00F800F0"/>
    <w:rsid w:val="00F808F0"/>
    <w:rsid w:val="00F80D6E"/>
    <w:rsid w:val="00F81035"/>
    <w:rsid w:val="00F83AF3"/>
    <w:rsid w:val="00F8416E"/>
    <w:rsid w:val="00F85981"/>
    <w:rsid w:val="00F860FC"/>
    <w:rsid w:val="00F867DD"/>
    <w:rsid w:val="00F87263"/>
    <w:rsid w:val="00F876A8"/>
    <w:rsid w:val="00F87E6E"/>
    <w:rsid w:val="00F935D5"/>
    <w:rsid w:val="00F93725"/>
    <w:rsid w:val="00F93B23"/>
    <w:rsid w:val="00F94008"/>
    <w:rsid w:val="00F94101"/>
    <w:rsid w:val="00F94F25"/>
    <w:rsid w:val="00F9605E"/>
    <w:rsid w:val="00F97127"/>
    <w:rsid w:val="00FA022E"/>
    <w:rsid w:val="00FA0ECD"/>
    <w:rsid w:val="00FA18F3"/>
    <w:rsid w:val="00FA1BD4"/>
    <w:rsid w:val="00FA2767"/>
    <w:rsid w:val="00FA29B5"/>
    <w:rsid w:val="00FA3C71"/>
    <w:rsid w:val="00FA3EE5"/>
    <w:rsid w:val="00FA4890"/>
    <w:rsid w:val="00FA539D"/>
    <w:rsid w:val="00FA5A5B"/>
    <w:rsid w:val="00FA7F67"/>
    <w:rsid w:val="00FB2CFE"/>
    <w:rsid w:val="00FB3247"/>
    <w:rsid w:val="00FB326B"/>
    <w:rsid w:val="00FB389B"/>
    <w:rsid w:val="00FB711B"/>
    <w:rsid w:val="00FB77FA"/>
    <w:rsid w:val="00FC10A6"/>
    <w:rsid w:val="00FC3248"/>
    <w:rsid w:val="00FC33B0"/>
    <w:rsid w:val="00FC3557"/>
    <w:rsid w:val="00FC3573"/>
    <w:rsid w:val="00FC3C70"/>
    <w:rsid w:val="00FC4A73"/>
    <w:rsid w:val="00FC559C"/>
    <w:rsid w:val="00FC5918"/>
    <w:rsid w:val="00FC5956"/>
    <w:rsid w:val="00FC5EFF"/>
    <w:rsid w:val="00FC5F45"/>
    <w:rsid w:val="00FC7007"/>
    <w:rsid w:val="00FC7F0D"/>
    <w:rsid w:val="00FD0A4A"/>
    <w:rsid w:val="00FD22CE"/>
    <w:rsid w:val="00FD2E07"/>
    <w:rsid w:val="00FD2FFB"/>
    <w:rsid w:val="00FD58AA"/>
    <w:rsid w:val="00FD59CA"/>
    <w:rsid w:val="00FD60EE"/>
    <w:rsid w:val="00FD6541"/>
    <w:rsid w:val="00FE0BAF"/>
    <w:rsid w:val="00FE10EA"/>
    <w:rsid w:val="00FE392D"/>
    <w:rsid w:val="00FE4A16"/>
    <w:rsid w:val="00FE645A"/>
    <w:rsid w:val="00FF02AA"/>
    <w:rsid w:val="00FF0BBE"/>
    <w:rsid w:val="00FF228C"/>
    <w:rsid w:val="00FF38F6"/>
    <w:rsid w:val="00FF52E0"/>
    <w:rsid w:val="00FF6102"/>
    <w:rsid w:val="00FF63AD"/>
    <w:rsid w:val="00FF7353"/>
    <w:rsid w:val="00FF7F9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aliases w:val="Summary box,Table Gridbeth,CMA Table Template,ASD Table"/>
    <w:basedOn w:val="TableNormal"/>
    <w:uiPriority w:val="3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Revision">
    <w:name w:val="Revision"/>
    <w:hidden/>
    <w:uiPriority w:val="99"/>
    <w:semiHidden/>
    <w:rsid w:val="00227515"/>
    <w:pPr>
      <w:spacing w:after="0" w:line="240" w:lineRule="auto"/>
    </w:pPr>
    <w:rPr>
      <w:sz w:val="24"/>
      <w:szCs w:val="24"/>
    </w:rPr>
  </w:style>
  <w:style w:type="character" w:styleId="UnresolvedMention">
    <w:name w:val="Unresolved Mention"/>
    <w:basedOn w:val="DefaultParagraphFont"/>
    <w:uiPriority w:val="99"/>
    <w:semiHidden/>
    <w:unhideWhenUsed/>
    <w:rsid w:val="00ED0DB8"/>
    <w:rPr>
      <w:color w:val="605E5C"/>
      <w:shd w:val="clear" w:color="auto" w:fill="E1DFDD"/>
    </w:rPr>
  </w:style>
  <w:style w:type="character" w:styleId="FollowedHyperlink">
    <w:name w:val="FollowedHyperlink"/>
    <w:basedOn w:val="DefaultParagraphFont"/>
    <w:uiPriority w:val="99"/>
    <w:semiHidden/>
    <w:unhideWhenUsed/>
    <w:rsid w:val="00A33E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1929">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91220210">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635480234">
      <w:bodyDiv w:val="1"/>
      <w:marLeft w:val="0"/>
      <w:marRight w:val="0"/>
      <w:marTop w:val="0"/>
      <w:marBottom w:val="0"/>
      <w:divBdr>
        <w:top w:val="none" w:sz="0" w:space="0" w:color="auto"/>
        <w:left w:val="none" w:sz="0" w:space="0" w:color="auto"/>
        <w:bottom w:val="none" w:sz="0" w:space="0" w:color="auto"/>
        <w:right w:val="none" w:sz="0" w:space="0" w:color="auto"/>
      </w:divBdr>
    </w:div>
    <w:div w:id="208707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ga.gov.au/hp/information-medicines-pi.htm" TargetMode="External"/><Relationship Id="rId13" Type="http://schemas.openxmlformats.org/officeDocument/2006/relationships/hyperlink" Target="https://www.pbs.gov.au/info/industry/listing/elements/pbac-meetings/psd/2022-03/cemiplimab-solution-for-iv-infusion-350-mg-in-7-ml-libtayo"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pbs.gov.au/info/industry/listing/elements/pbac-meetings/psd/2020-11/cemiplimab-solution-for-i-v-infusion-350-mg-in-7-ml-libta" TargetMode="External"/><Relationship Id="rId17" Type="http://schemas.openxmlformats.org/officeDocument/2006/relationships/image" Target="media/image3.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entral.health\DFSGroupData\Sites\CO1\CO\PBD\PEB\EVAL\DUSC\DUSC%20Documents\Predicted%20vs%20actual%20usage\pbs.gov.a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hyperlink" Target="http://www.pbs.gov.au/pbs/home" TargetMode="External"/><Relationship Id="rId19" Type="http://schemas.openxmlformats.org/officeDocument/2006/relationships/image" Target="media/image5.svg"/><Relationship Id="rId4" Type="http://schemas.openxmlformats.org/officeDocument/2006/relationships/settings" Target="settings.xml"/><Relationship Id="rId9" Type="http://schemas.openxmlformats.org/officeDocument/2006/relationships/hyperlink" Target="http://www.tga.gov.au/consumers/information-medicines-cmi.htm" TargetMode="External"/><Relationship Id="rId14" Type="http://schemas.openxmlformats.org/officeDocument/2006/relationships/hyperlink" Target="https://www.pbs.gov.au/info/industry/listing/elements/pbac-meetings/psd/2022-03/cemiplimab-solution-for-iv-infusion-350-mg-in-7-ml-libtayo"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kincancer.org/skin-cancer-information/squamous-cell-carcinoma/advanced-s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4F82B-27DE-4369-A0C3-FBA3FE91E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2931</Words>
  <Characters>15994</Characters>
  <Application>Microsoft Office Word</Application>
  <DocSecurity>0</DocSecurity>
  <Lines>373</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2025-12-01T21:33:00Z</dcterms:created>
  <dcterms:modified xsi:type="dcterms:W3CDTF">2025-12-01T21:34:00Z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7e31307b,97848df,6527a58a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ded8535,1557c2f,75b29f78</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2025-12-01T21:34:00Z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eacdd289-dbd7-43b7-ba25-3145e12fc8a9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