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3C130" w14:textId="4C8689EF" w:rsidR="00832324" w:rsidRDefault="00B846E6" w:rsidP="00F73113">
      <w:pPr>
        <w:pStyle w:val="Title"/>
      </w:pPr>
      <w:r>
        <w:t>Atezolizumab</w:t>
      </w:r>
      <w:r w:rsidR="00F24558" w:rsidRPr="00A26A9C">
        <w:t xml:space="preserve"> for </w:t>
      </w:r>
      <w:r w:rsidR="00CE07F7">
        <w:t>a</w:t>
      </w:r>
      <w:r w:rsidR="00CE07F7" w:rsidRPr="00CE07F7">
        <w:t>dvanced (unresectable) Barcelona Clinic Liver Cancer Stage B or Stage C hepatocellular carcinoma</w:t>
      </w:r>
      <w:r w:rsidR="007E5EAA">
        <w:t xml:space="preserve">: </w:t>
      </w:r>
      <w:r w:rsidR="00F419C5" w:rsidRPr="00F419C5">
        <w:t>predicted versus actual analysis</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30DDA631" w:rsidR="009053D3" w:rsidRPr="00F73113" w:rsidRDefault="00F24558" w:rsidP="00F73113">
      <w:pPr>
        <w:pStyle w:val="Meetingdate"/>
      </w:pPr>
      <w:r>
        <w:t xml:space="preserve">June </w:t>
      </w:r>
      <w:r w:rsidR="00D151EB" w:rsidRPr="00F73113">
        <w:t>20</w:t>
      </w:r>
      <w:r>
        <w:t>25</w:t>
      </w:r>
    </w:p>
    <w:p w14:paraId="1494B8AD" w14:textId="77777777" w:rsidR="005C6661" w:rsidRPr="00CF5E22" w:rsidRDefault="005C6661" w:rsidP="00CF5E22">
      <w:pPr>
        <w:pStyle w:val="Heading2"/>
      </w:pPr>
      <w:r w:rsidRPr="00CF5E22">
        <w:t>Abstract</w:t>
      </w:r>
    </w:p>
    <w:p w14:paraId="6C5868CC" w14:textId="1D542B70" w:rsidR="00ED5159" w:rsidRPr="00B36884" w:rsidRDefault="005C6661" w:rsidP="00B36884">
      <w:pPr>
        <w:pStyle w:val="Heading3"/>
      </w:pPr>
      <w:r w:rsidRPr="00CF5E22">
        <w:t>Purpose</w:t>
      </w:r>
    </w:p>
    <w:p w14:paraId="687D8C00" w14:textId="5C31325F" w:rsidR="00ED5159" w:rsidRPr="00ED5159" w:rsidRDefault="00ED5159" w:rsidP="006B5F85">
      <w:r w:rsidRPr="00ED5159">
        <w:t>A</w:t>
      </w:r>
      <w:r>
        <w:t xml:space="preserve">t its </w:t>
      </w:r>
      <w:r w:rsidR="00142707">
        <w:t>February 2023 meeting</w:t>
      </w:r>
      <w:r w:rsidR="008233E8">
        <w:t xml:space="preserve">, DUSC </w:t>
      </w:r>
      <w:r w:rsidR="005D3A4C">
        <w:t xml:space="preserve">considered that a review </w:t>
      </w:r>
      <w:r w:rsidR="00A26A9C">
        <w:t xml:space="preserve">of </w:t>
      </w:r>
      <w:r w:rsidR="00077627">
        <w:t>a</w:t>
      </w:r>
      <w:r w:rsidR="00B846E6">
        <w:t>tezolizumab</w:t>
      </w:r>
      <w:r w:rsidR="003F54D7" w:rsidRPr="003F54D7">
        <w:t xml:space="preserve"> for advanced (unresectable) Barcelona Clinic Liver Cancer </w:t>
      </w:r>
      <w:r w:rsidR="002D3EC2">
        <w:t xml:space="preserve">(BCLC) </w:t>
      </w:r>
      <w:r w:rsidR="003F54D7" w:rsidRPr="003F54D7">
        <w:t xml:space="preserve">Stage B or Stage C hepatocellular carcinoma </w:t>
      </w:r>
      <w:r w:rsidR="003F54D7">
        <w:t xml:space="preserve">(HCC) </w:t>
      </w:r>
      <w:r w:rsidR="00FD737F">
        <w:t xml:space="preserve">should be undertaken </w:t>
      </w:r>
      <w:r w:rsidR="009D2509">
        <w:t>in two years.</w:t>
      </w:r>
    </w:p>
    <w:p w14:paraId="03538E7F" w14:textId="322BB850"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1402BAE0" w14:textId="3CFB0971" w:rsidR="00F845BB" w:rsidRDefault="00B846E6" w:rsidP="002D144A">
      <w:pPr>
        <w:rPr>
          <w:highlight w:val="yellow"/>
        </w:rPr>
      </w:pPr>
      <w:r>
        <w:t>Atezolizumab</w:t>
      </w:r>
      <w:r w:rsidR="00F419C5" w:rsidRPr="00F419C5">
        <w:t xml:space="preserve"> </w:t>
      </w:r>
      <w:r w:rsidR="005D5208">
        <w:t xml:space="preserve">in combination with </w:t>
      </w:r>
      <w:r w:rsidR="00077627">
        <w:t>b</w:t>
      </w:r>
      <w:r w:rsidR="00D00965">
        <w:t>evacizumab</w:t>
      </w:r>
      <w:r w:rsidR="00A216D3">
        <w:t xml:space="preserve">, </w:t>
      </w:r>
      <w:r w:rsidR="00114A88">
        <w:t>(</w:t>
      </w:r>
      <w:r w:rsidR="00A216D3">
        <w:t xml:space="preserve">henceforth </w:t>
      </w:r>
      <w:r w:rsidR="00077627">
        <w:t>a</w:t>
      </w:r>
      <w:r>
        <w:t>tezolizumab</w:t>
      </w:r>
      <w:r w:rsidR="005D5208">
        <w:t>)</w:t>
      </w:r>
      <w:r w:rsidR="005D5208" w:rsidRPr="005D5208">
        <w:t xml:space="preserve"> </w:t>
      </w:r>
      <w:r w:rsidR="00900BC9">
        <w:t xml:space="preserve">was first listed on the PBS </w:t>
      </w:r>
      <w:r w:rsidR="00F419C5" w:rsidRPr="00F419C5">
        <w:t xml:space="preserve">for </w:t>
      </w:r>
      <w:r w:rsidR="001F1C86">
        <w:t>a</w:t>
      </w:r>
      <w:r w:rsidR="001F1C86" w:rsidRPr="001F1C86">
        <w:t xml:space="preserve">dvanced (unresectable) </w:t>
      </w:r>
      <w:r w:rsidR="001F1C86">
        <w:t>BCLC</w:t>
      </w:r>
      <w:r w:rsidR="001F1C86" w:rsidRPr="001F1C86">
        <w:t xml:space="preserve"> Stage B or Stage C </w:t>
      </w:r>
      <w:r w:rsidR="001F1C86">
        <w:t>HCC</w:t>
      </w:r>
      <w:r w:rsidR="001F1C86" w:rsidRPr="001F1C86">
        <w:t xml:space="preserve"> </w:t>
      </w:r>
      <w:r w:rsidR="00900BC9">
        <w:t xml:space="preserve">on </w:t>
      </w:r>
      <w:r w:rsidR="007F1D11">
        <w:t>1 November 2020.</w:t>
      </w:r>
    </w:p>
    <w:p w14:paraId="526743BB" w14:textId="77777777" w:rsidR="005C6661" w:rsidRDefault="005C6661" w:rsidP="00CF5E22">
      <w:pPr>
        <w:pStyle w:val="Heading3"/>
      </w:pPr>
      <w:r>
        <w:t>Data Source / methodology</w:t>
      </w:r>
    </w:p>
    <w:p w14:paraId="47B7C8E0" w14:textId="0B3A4F2C" w:rsidR="001302C4" w:rsidRDefault="001302C4" w:rsidP="001302C4">
      <w:pPr>
        <w:spacing w:after="0"/>
      </w:pPr>
      <w:r>
        <w:t xml:space="preserve">Authorities data and prescriptions data </w:t>
      </w:r>
      <w:r w:rsidR="00D67A33">
        <w:t>were</w:t>
      </w:r>
      <w:r>
        <w:t xml:space="preserve"> extracted from the prescription database and </w:t>
      </w:r>
    </w:p>
    <w:p w14:paraId="16D8DEDC" w14:textId="1E6FA624" w:rsidR="001302C4" w:rsidRPr="00CD66D4" w:rsidRDefault="001302C4" w:rsidP="001302C4">
      <w:pPr>
        <w:spacing w:after="0"/>
      </w:pPr>
      <w:r>
        <w:t>Authorities database maintained by the Department of Health</w:t>
      </w:r>
      <w:r w:rsidR="000B1B6B">
        <w:t>, Disability</w:t>
      </w:r>
      <w:r>
        <w:t xml:space="preserve"> and Age</w:t>
      </w:r>
      <w:r w:rsidR="000B1B6B">
        <w:t>ing</w:t>
      </w:r>
      <w:r>
        <w:t xml:space="preserve">, processed by Services Australia from between 1 </w:t>
      </w:r>
      <w:r w:rsidR="5140559F">
        <w:t>November</w:t>
      </w:r>
      <w:r w:rsidR="00E22370">
        <w:t xml:space="preserve"> 202</w:t>
      </w:r>
      <w:r w:rsidR="4FDC3027">
        <w:t>0</w:t>
      </w:r>
      <w:r>
        <w:t xml:space="preserve"> and </w:t>
      </w:r>
      <w:r w:rsidR="006C0205">
        <w:t>28 February 2025</w:t>
      </w:r>
      <w:r>
        <w:t>, respectively. Data were extracted based on the date of supply.</w:t>
      </w:r>
    </w:p>
    <w:p w14:paraId="6DB15932" w14:textId="77777777" w:rsidR="001302C4" w:rsidRDefault="001302C4" w:rsidP="005C6661">
      <w:pPr>
        <w:pStyle w:val="NoSpacing"/>
      </w:pPr>
    </w:p>
    <w:p w14:paraId="54B6A874" w14:textId="77777777" w:rsidR="00795293" w:rsidRDefault="005C6661" w:rsidP="00795293">
      <w:pPr>
        <w:pStyle w:val="Heading3"/>
      </w:pPr>
      <w:r>
        <w:t>Key Findings</w:t>
      </w:r>
    </w:p>
    <w:p w14:paraId="7D57A40B" w14:textId="72A21540" w:rsidR="00795293" w:rsidRDefault="00795293" w:rsidP="00795293">
      <w:pPr>
        <w:pStyle w:val="Heading3"/>
        <w:numPr>
          <w:ilvl w:val="0"/>
          <w:numId w:val="20"/>
        </w:numPr>
        <w:spacing w:before="0" w:after="0"/>
        <w:ind w:left="714" w:hanging="357"/>
        <w:rPr>
          <w:b w:val="0"/>
          <w:bCs/>
          <w:i w:val="0"/>
          <w:iCs/>
        </w:rPr>
      </w:pPr>
      <w:r>
        <w:rPr>
          <w:b w:val="0"/>
          <w:bCs/>
          <w:i w:val="0"/>
          <w:iCs/>
        </w:rPr>
        <w:t xml:space="preserve">The treatment duration has been </w:t>
      </w:r>
      <w:r w:rsidR="00761C46" w:rsidRPr="00D67A33">
        <w:rPr>
          <w:b w:val="0"/>
          <w:bCs/>
          <w:i w:val="0"/>
          <w:iCs/>
          <w:highlight w:val="black"/>
          <w:shd w:val="clear" w:color="auto" w:fill="BFBFBF" w:themeFill="background1" w:themeFillShade="BF"/>
        </w:rPr>
        <w:t>XXXXXXX</w:t>
      </w:r>
      <w:r>
        <w:rPr>
          <w:b w:val="0"/>
          <w:bCs/>
          <w:i w:val="0"/>
          <w:iCs/>
        </w:rPr>
        <w:t xml:space="preserve"> th</w:t>
      </w:r>
      <w:r w:rsidR="00D00965">
        <w:rPr>
          <w:b w:val="0"/>
          <w:bCs/>
          <w:i w:val="0"/>
          <w:iCs/>
        </w:rPr>
        <w:t>a</w:t>
      </w:r>
      <w:r>
        <w:rPr>
          <w:b w:val="0"/>
          <w:bCs/>
          <w:i w:val="0"/>
          <w:iCs/>
        </w:rPr>
        <w:t xml:space="preserve">n </w:t>
      </w:r>
      <w:r w:rsidR="00114A88">
        <w:rPr>
          <w:b w:val="0"/>
          <w:bCs/>
          <w:i w:val="0"/>
          <w:iCs/>
        </w:rPr>
        <w:t>predicted</w:t>
      </w:r>
      <w:r>
        <w:rPr>
          <w:b w:val="0"/>
          <w:bCs/>
          <w:i w:val="0"/>
          <w:iCs/>
        </w:rPr>
        <w:t>.</w:t>
      </w:r>
    </w:p>
    <w:p w14:paraId="31855BA2" w14:textId="10D326DB" w:rsidR="00795293" w:rsidRDefault="00795293" w:rsidP="00795293">
      <w:pPr>
        <w:pStyle w:val="Heading3"/>
        <w:numPr>
          <w:ilvl w:val="0"/>
          <w:numId w:val="20"/>
        </w:numPr>
        <w:spacing w:before="0" w:after="0"/>
        <w:ind w:left="714" w:hanging="357"/>
        <w:rPr>
          <w:b w:val="0"/>
          <w:bCs/>
          <w:i w:val="0"/>
          <w:iCs/>
        </w:rPr>
      </w:pPr>
      <w:r>
        <w:rPr>
          <w:b w:val="0"/>
          <w:bCs/>
          <w:i w:val="0"/>
          <w:iCs/>
        </w:rPr>
        <w:t xml:space="preserve">There have been </w:t>
      </w:r>
      <w:r w:rsidR="00761C46" w:rsidRPr="00D67A33">
        <w:rPr>
          <w:b w:val="0"/>
          <w:bCs/>
          <w:i w:val="0"/>
          <w:iCs/>
          <w:highlight w:val="black"/>
          <w:shd w:val="clear" w:color="auto" w:fill="BFBFBF" w:themeFill="background1" w:themeFillShade="BF"/>
        </w:rPr>
        <w:t>XXXXX</w:t>
      </w:r>
      <w:r>
        <w:rPr>
          <w:b w:val="0"/>
          <w:bCs/>
          <w:i w:val="0"/>
          <w:iCs/>
        </w:rPr>
        <w:t xml:space="preserve"> scripts dispensed then </w:t>
      </w:r>
      <w:r w:rsidR="00114A88">
        <w:rPr>
          <w:b w:val="0"/>
          <w:bCs/>
          <w:i w:val="0"/>
          <w:iCs/>
        </w:rPr>
        <w:t>predicted</w:t>
      </w:r>
      <w:r>
        <w:rPr>
          <w:b w:val="0"/>
          <w:bCs/>
          <w:i w:val="0"/>
          <w:iCs/>
        </w:rPr>
        <w:t>.</w:t>
      </w:r>
    </w:p>
    <w:p w14:paraId="578E1CB9" w14:textId="55B19E9B" w:rsidR="007D4BAE" w:rsidRDefault="007D4BAE" w:rsidP="007D4BAE">
      <w:pPr>
        <w:pStyle w:val="ListParagraph"/>
        <w:numPr>
          <w:ilvl w:val="0"/>
          <w:numId w:val="20"/>
        </w:numPr>
      </w:pPr>
      <w:r>
        <w:t xml:space="preserve">There has been </w:t>
      </w:r>
      <w:r w:rsidR="00761C46" w:rsidRPr="00D67A33">
        <w:rPr>
          <w:highlight w:val="black"/>
          <w:shd w:val="clear" w:color="auto" w:fill="BFBFBF" w:themeFill="background1" w:themeFillShade="BF"/>
        </w:rPr>
        <w:t>XXXX</w:t>
      </w:r>
      <w:r>
        <w:t xml:space="preserve"> replacement of </w:t>
      </w:r>
      <w:r w:rsidR="00077627">
        <w:t>l</w:t>
      </w:r>
      <w:r w:rsidR="00DF1B36">
        <w:t>envatinib</w:t>
      </w:r>
      <w:r w:rsidRPr="007D4BAE">
        <w:t xml:space="preserve"> or </w:t>
      </w:r>
      <w:r w:rsidR="00077627">
        <w:t>s</w:t>
      </w:r>
      <w:r w:rsidR="00DF1B36">
        <w:t>orafenib</w:t>
      </w:r>
      <w:r>
        <w:t xml:space="preserve"> for </w:t>
      </w:r>
      <w:r w:rsidR="00077627">
        <w:t>a</w:t>
      </w:r>
      <w:r w:rsidR="00B846E6">
        <w:t>tezolizumab</w:t>
      </w:r>
      <w:r w:rsidR="00D00965">
        <w:t xml:space="preserve"> then</w:t>
      </w:r>
      <w:r w:rsidR="00114A88">
        <w:t xml:space="preserve"> predicted</w:t>
      </w:r>
      <w:r>
        <w:t>.</w:t>
      </w:r>
    </w:p>
    <w:p w14:paraId="22515064" w14:textId="09B06E33" w:rsidR="007D4BAE" w:rsidRPr="007D4BAE" w:rsidRDefault="007D4BAE" w:rsidP="007D4BAE">
      <w:pPr>
        <w:pStyle w:val="ListParagraph"/>
        <w:numPr>
          <w:ilvl w:val="0"/>
          <w:numId w:val="20"/>
        </w:numPr>
      </w:pPr>
      <w:r>
        <w:t xml:space="preserve">Therapy with </w:t>
      </w:r>
      <w:r w:rsidR="00077627">
        <w:t>l</w:t>
      </w:r>
      <w:r w:rsidR="00DF1B36">
        <w:t>envatinib</w:t>
      </w:r>
      <w:r w:rsidRPr="007D4BAE">
        <w:t xml:space="preserve"> or </w:t>
      </w:r>
      <w:r w:rsidR="00077627">
        <w:t>s</w:t>
      </w:r>
      <w:r w:rsidR="00DF1B36">
        <w:t>orafenib</w:t>
      </w:r>
      <w:r>
        <w:t xml:space="preserve"> for HCC has been displaced to older</w:t>
      </w:r>
      <w:r w:rsidR="00B846E6">
        <w:t>,</w:t>
      </w:r>
      <w:r>
        <w:t xml:space="preserve"> possibly </w:t>
      </w:r>
      <w:r w:rsidR="00B846E6">
        <w:t>more</w:t>
      </w:r>
      <w:r>
        <w:t xml:space="preserve"> </w:t>
      </w:r>
      <w:r w:rsidR="00B846E6">
        <w:t>un</w:t>
      </w:r>
      <w:r>
        <w:t>well patients.</w:t>
      </w:r>
    </w:p>
    <w:p w14:paraId="38B57ECC" w14:textId="2CC43505" w:rsidR="00BB0D1A" w:rsidRPr="00795293" w:rsidRDefault="00BB0D1A" w:rsidP="007D4BAE">
      <w:pPr>
        <w:pStyle w:val="Heading3"/>
        <w:spacing w:before="0" w:after="0"/>
      </w:pPr>
    </w:p>
    <w:p w14:paraId="5B262047" w14:textId="525241DC" w:rsidR="00E677DD" w:rsidRPr="00CF5E22" w:rsidRDefault="00E677DD" w:rsidP="00CF5E22">
      <w:pPr>
        <w:pStyle w:val="Heading1"/>
      </w:pPr>
      <w:r w:rsidRPr="00CF5E22">
        <w:lastRenderedPageBreak/>
        <w:t xml:space="preserve">Purpose of </w:t>
      </w:r>
      <w:r w:rsidR="00D151EB" w:rsidRPr="00CF5E22">
        <w:t>analysis</w:t>
      </w:r>
    </w:p>
    <w:p w14:paraId="4CA68A9A" w14:textId="1A5EA264" w:rsidR="00684E86" w:rsidRDefault="00897254" w:rsidP="00CD1966">
      <w:pPr>
        <w:spacing w:after="0"/>
      </w:pPr>
      <w:r w:rsidRPr="00ED5159">
        <w:t>A</w:t>
      </w:r>
      <w:r>
        <w:t xml:space="preserve">t its February 2023 meeting, DUSC considered that a review of </w:t>
      </w:r>
      <w:r w:rsidR="00077627">
        <w:t>a</w:t>
      </w:r>
      <w:r w:rsidR="00B846E6">
        <w:t>tezolizumab</w:t>
      </w:r>
      <w:r w:rsidRPr="003F54D7">
        <w:t xml:space="preserve"> for advanced (unresectable) B</w:t>
      </w:r>
      <w:r>
        <w:t>CLC</w:t>
      </w:r>
      <w:r w:rsidRPr="003F54D7">
        <w:t xml:space="preserve"> Stage B or Stage C </w:t>
      </w:r>
      <w:r>
        <w:t>HCC should be undertaken in two years.</w:t>
      </w:r>
    </w:p>
    <w:p w14:paraId="0A22DC0D" w14:textId="77777777" w:rsidR="00CD1966" w:rsidRPr="00897254" w:rsidRDefault="00CD1966" w:rsidP="00CD1966">
      <w:pPr>
        <w:spacing w:after="0"/>
      </w:pPr>
    </w:p>
    <w:p w14:paraId="0A7F0B57" w14:textId="034D22D5" w:rsidR="006537D9" w:rsidRPr="005E22C2" w:rsidRDefault="00736041" w:rsidP="00CD1966">
      <w:pPr>
        <w:pStyle w:val="Heading1"/>
        <w:spacing w:before="0"/>
      </w:pPr>
      <w:r w:rsidRPr="005E22C2">
        <w:t>Background</w:t>
      </w:r>
    </w:p>
    <w:p w14:paraId="2C748275" w14:textId="77777777" w:rsidR="00EE2BBB" w:rsidRPr="007247B9" w:rsidRDefault="00EE2BBB" w:rsidP="00EE2BBB">
      <w:pPr>
        <w:pStyle w:val="Heading2"/>
      </w:pPr>
      <w:r w:rsidRPr="007247B9">
        <w:t>Clinical situation</w:t>
      </w:r>
    </w:p>
    <w:p w14:paraId="5ED0F9CA" w14:textId="58015C3D" w:rsidR="0095285D" w:rsidRPr="0095285D" w:rsidRDefault="0095285D" w:rsidP="00AE0871">
      <w:r w:rsidRPr="0095285D">
        <w:t>Liver cancer is the second leading cause of cancer death after lung cancer, has the same mortality rate as stomach cancer and is the seventh most common cancer globally.</w:t>
      </w:r>
      <w:r w:rsidR="00CF4D41">
        <w:t xml:space="preserve"> In most cases, HCC develops in the setting of chronic liver disease, and cirrhosis is present in 85%–90% of affected individuals.</w:t>
      </w:r>
      <w:r w:rsidR="00AE0871">
        <w:t xml:space="preserve"> H</w:t>
      </w:r>
      <w:r w:rsidR="00582532">
        <w:t>epatitis C</w:t>
      </w:r>
      <w:r w:rsidR="00636E59">
        <w:t xml:space="preserve"> virus</w:t>
      </w:r>
      <w:r w:rsidR="00AE0871">
        <w:t xml:space="preserve"> and </w:t>
      </w:r>
      <w:r w:rsidR="00582532" w:rsidRPr="00582532">
        <w:t>hepatitis B virus</w:t>
      </w:r>
      <w:r w:rsidR="00AE0871">
        <w:t xml:space="preserve"> are the aetiological factors responsible for 75% of HCC</w:t>
      </w:r>
      <w:r w:rsidR="00335BF3">
        <w:t>, o</w:t>
      </w:r>
      <w:r w:rsidR="00EC6137">
        <w:t>ther risk factors include</w:t>
      </w:r>
      <w:r w:rsidR="00335BF3">
        <w:t xml:space="preserve"> alcoholic liver disease and fatty liver disease.</w:t>
      </w:r>
      <w:r w:rsidR="00810B79">
        <w:rPr>
          <w:rStyle w:val="FootnoteReference"/>
        </w:rPr>
        <w:footnoteReference w:id="1"/>
      </w:r>
    </w:p>
    <w:p w14:paraId="0183A567" w14:textId="413DF87B" w:rsidR="007247B9" w:rsidRDefault="007247B9" w:rsidP="00CF5E22">
      <w:pPr>
        <w:pStyle w:val="Heading2"/>
      </w:pPr>
      <w:r>
        <w:t>Pharmacology</w:t>
      </w:r>
    </w:p>
    <w:p w14:paraId="4AE77424" w14:textId="42A611D3" w:rsidR="00A331DD" w:rsidRPr="007247B9" w:rsidRDefault="00B846E6" w:rsidP="00AE4BAC">
      <w:r>
        <w:t>Atezolizumab</w:t>
      </w:r>
      <w:r w:rsidR="008319A9" w:rsidRPr="008319A9">
        <w:t xml:space="preserve"> is an Fc-engineered humanised immunoglobulin G1 monoclonal antibody that directly binds to </w:t>
      </w:r>
      <w:r w:rsidR="00CC4312" w:rsidRPr="00CC4312">
        <w:t xml:space="preserve">Programmed death-ligand 1 </w:t>
      </w:r>
      <w:r w:rsidR="00CC4312">
        <w:t>(</w:t>
      </w:r>
      <w:r w:rsidR="008319A9" w:rsidRPr="008319A9">
        <w:t>PD-L1</w:t>
      </w:r>
      <w:r w:rsidR="00CC4312">
        <w:t>)</w:t>
      </w:r>
      <w:r w:rsidR="008319A9" w:rsidRPr="008319A9">
        <w:t xml:space="preserve"> and blocks interactions with the PD-1 and B7.1 receptors, releasing PD-L1/PD-1 pathway-mediated inhibition of the immune response, including reactivating the anti-tumour immune response. </w:t>
      </w:r>
      <w:r>
        <w:t>Atezolizumab</w:t>
      </w:r>
      <w:r w:rsidR="008319A9" w:rsidRPr="008319A9">
        <w:t xml:space="preserve"> leaves the PD-L2/PD-1 interaction intact, allowing PD-L2/PD-1 mediated inhibitory signals to persist.</w:t>
      </w:r>
      <w:r w:rsidR="000F4429">
        <w:t xml:space="preserve"> </w:t>
      </w:r>
      <w:r w:rsidR="00A331DD" w:rsidRPr="00A331DD">
        <w:t xml:space="preserve">Binding of PD-L1 to the PD-1 and B7.1 receptors found on T cells suppresses cytotoxic T-cell activity through the inhibition of T-cell proliferation and cytokine production. PD-L1 may be expressed on tumour cells and tumour-infiltrating immune </w:t>
      </w:r>
      <w:r w:rsidR="00505A53" w:rsidRPr="00A331DD">
        <w:t>cells and</w:t>
      </w:r>
      <w:r w:rsidR="00A331DD" w:rsidRPr="00A331DD">
        <w:t xml:space="preserve"> can contribute to the inhibition of the anti-tumour immune response in the microenvironment.</w:t>
      </w:r>
      <w:r w:rsidR="000F4429">
        <w:rPr>
          <w:rStyle w:val="FootnoteReference"/>
        </w:rPr>
        <w:footnoteReference w:id="2"/>
      </w:r>
    </w:p>
    <w:p w14:paraId="6AC18C88" w14:textId="51FB8299"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r w:rsidR="00761C60" w:rsidRPr="00761C60">
        <w:rPr>
          <w:vertAlign w:val="superscript"/>
        </w:rPr>
        <w:t>2</w:t>
      </w:r>
    </w:p>
    <w:p w14:paraId="7AA5350F" w14:textId="39162C6A" w:rsidR="001D68ED" w:rsidRDefault="00FA7AAA" w:rsidP="00A35800">
      <w:r>
        <w:t xml:space="preserve">The various forms of </w:t>
      </w:r>
      <w:r w:rsidR="00570003">
        <w:t>a</w:t>
      </w:r>
      <w:r w:rsidR="00B846E6">
        <w:t>tezolizumab</w:t>
      </w:r>
      <w:r w:rsidR="001D68ED" w:rsidRPr="001D68ED">
        <w:t xml:space="preserve"> </w:t>
      </w:r>
      <w:r w:rsidR="001D68ED">
        <w:t>w</w:t>
      </w:r>
      <w:r>
        <w:t>ere</w:t>
      </w:r>
      <w:r w:rsidR="001D68ED">
        <w:t xml:space="preserve"> </w:t>
      </w:r>
      <w:r w:rsidR="00C87560" w:rsidRPr="00C87560">
        <w:t>registered on the Australian Register of Therapeutic Goods (ARTG) on</w:t>
      </w:r>
      <w:r w:rsidR="00786B22">
        <w:t>:</w:t>
      </w:r>
    </w:p>
    <w:tbl>
      <w:tblPr>
        <w:tblStyle w:val="TableGrid"/>
        <w:tblW w:w="0" w:type="auto"/>
        <w:tblLook w:val="04A0" w:firstRow="1" w:lastRow="0" w:firstColumn="1" w:lastColumn="0" w:noHBand="0" w:noVBand="1"/>
      </w:tblPr>
      <w:tblGrid>
        <w:gridCol w:w="4473"/>
        <w:gridCol w:w="4474"/>
      </w:tblGrid>
      <w:tr w:rsidR="00846B08" w14:paraId="0C925124" w14:textId="77777777" w:rsidTr="001D68ED">
        <w:tc>
          <w:tcPr>
            <w:tcW w:w="4473" w:type="dxa"/>
          </w:tcPr>
          <w:p w14:paraId="2ADEE454" w14:textId="2D7FD5E9" w:rsidR="00846B08" w:rsidRPr="001D68ED" w:rsidRDefault="00FA7AAA" w:rsidP="00A35800">
            <w:r w:rsidRPr="00FA7AAA">
              <w:t>1875 mg/15 mL solution for injection vial</w:t>
            </w:r>
          </w:p>
        </w:tc>
        <w:tc>
          <w:tcPr>
            <w:tcW w:w="4474" w:type="dxa"/>
          </w:tcPr>
          <w:p w14:paraId="43EA3F7C" w14:textId="560FA609" w:rsidR="00846B08" w:rsidRDefault="00FA7AAA" w:rsidP="00A35800">
            <w:r w:rsidRPr="00FA7AAA">
              <w:t>29 February 2024</w:t>
            </w:r>
          </w:p>
        </w:tc>
      </w:tr>
      <w:tr w:rsidR="001D68ED" w14:paraId="28CCDE8C" w14:textId="77777777" w:rsidTr="001D68ED">
        <w:tc>
          <w:tcPr>
            <w:tcW w:w="4473" w:type="dxa"/>
          </w:tcPr>
          <w:p w14:paraId="0E21CE8A" w14:textId="53C539C3" w:rsidR="001D68ED" w:rsidRDefault="0068040F" w:rsidP="00A35800">
            <w:pPr>
              <w:rPr>
                <w:highlight w:val="yellow"/>
              </w:rPr>
            </w:pPr>
            <w:r w:rsidRPr="001D68ED">
              <w:t>840 mg/14 mL injection concentrated vial</w:t>
            </w:r>
          </w:p>
        </w:tc>
        <w:tc>
          <w:tcPr>
            <w:tcW w:w="4474" w:type="dxa"/>
          </w:tcPr>
          <w:p w14:paraId="41FD2DA5" w14:textId="54E0B321" w:rsidR="001D68ED" w:rsidRDefault="0068040F" w:rsidP="00A35800">
            <w:pPr>
              <w:rPr>
                <w:highlight w:val="yellow"/>
              </w:rPr>
            </w:pPr>
            <w:r>
              <w:t>31 July 2019</w:t>
            </w:r>
          </w:p>
        </w:tc>
      </w:tr>
      <w:tr w:rsidR="001D68ED" w14:paraId="515E94FB" w14:textId="77777777" w:rsidTr="001D68ED">
        <w:tc>
          <w:tcPr>
            <w:tcW w:w="4473" w:type="dxa"/>
          </w:tcPr>
          <w:p w14:paraId="56825EE6" w14:textId="2FC91D17" w:rsidR="001D68ED" w:rsidRDefault="00846B08" w:rsidP="00A35800">
            <w:pPr>
              <w:rPr>
                <w:highlight w:val="yellow"/>
              </w:rPr>
            </w:pPr>
            <w:r w:rsidRPr="00846B08">
              <w:t>1200 mg/20 mL injection concentrated vial</w:t>
            </w:r>
          </w:p>
        </w:tc>
        <w:tc>
          <w:tcPr>
            <w:tcW w:w="4474" w:type="dxa"/>
          </w:tcPr>
          <w:p w14:paraId="627F86AD" w14:textId="418C1FF5" w:rsidR="001D68ED" w:rsidRDefault="00846B08" w:rsidP="00A35800">
            <w:pPr>
              <w:rPr>
                <w:highlight w:val="yellow"/>
              </w:rPr>
            </w:pPr>
            <w:r w:rsidRPr="00846B08">
              <w:t>27 July 2017</w:t>
            </w:r>
          </w:p>
        </w:tc>
      </w:tr>
    </w:tbl>
    <w:p w14:paraId="00D8EFDB" w14:textId="77777777" w:rsidR="001D68ED" w:rsidRDefault="001D68ED" w:rsidP="00A35800">
      <w:pPr>
        <w:rPr>
          <w:highlight w:val="yellow"/>
        </w:rPr>
      </w:pPr>
    </w:p>
    <w:p w14:paraId="588E14C4" w14:textId="405F006D" w:rsidR="00FA2564" w:rsidRDefault="00B846E6" w:rsidP="00A35800">
      <w:r>
        <w:t>Atezolizumab</w:t>
      </w:r>
      <w:r w:rsidR="00FA2564">
        <w:t xml:space="preserve"> is </w:t>
      </w:r>
      <w:r w:rsidR="00D046E0" w:rsidRPr="00D046E0">
        <w:t>currently TGA registered for the following indications:</w:t>
      </w:r>
    </w:p>
    <w:p w14:paraId="6C06A9E9" w14:textId="66525CC7" w:rsidR="00EA20C5" w:rsidRPr="00EA20C5" w:rsidRDefault="00EA20C5" w:rsidP="00EA20C5">
      <w:pPr>
        <w:rPr>
          <w:b/>
          <w:bCs/>
        </w:rPr>
      </w:pPr>
      <w:r w:rsidRPr="00EA20C5">
        <w:rPr>
          <w:b/>
          <w:bCs/>
        </w:rPr>
        <w:lastRenderedPageBreak/>
        <w:t>Early-stage non-small cell lung cancer</w:t>
      </w:r>
      <w:r>
        <w:rPr>
          <w:b/>
          <w:bCs/>
        </w:rPr>
        <w:t xml:space="preserve"> (NSCLC)</w:t>
      </w:r>
    </w:p>
    <w:p w14:paraId="56B13519" w14:textId="75A5003D" w:rsidR="00EA20C5" w:rsidRDefault="00B846E6" w:rsidP="00EA20C5">
      <w:r>
        <w:t>Atezolizumab</w:t>
      </w:r>
      <w:r w:rsidR="00AC5BAF">
        <w:t xml:space="preserve"> a</w:t>
      </w:r>
      <w:r w:rsidR="00EA20C5">
        <w:t>s monotherapy is indicated as adjuvant treatment following complete resection and no progression after platinum-based adjuvant chemotherapy for adult patients with stage II to IIIA (as per 7th edition of the UICC/AJCC staging system) NSCLC whose tumours have PD-L1 expression on ≥ 50% of tumour cells.</w:t>
      </w:r>
    </w:p>
    <w:p w14:paraId="674ED7D2" w14:textId="77777777" w:rsidR="00EA20C5" w:rsidRPr="0008248C" w:rsidRDefault="00EA20C5" w:rsidP="00EA20C5">
      <w:pPr>
        <w:rPr>
          <w:b/>
          <w:bCs/>
        </w:rPr>
      </w:pPr>
      <w:r w:rsidRPr="0008248C">
        <w:rPr>
          <w:b/>
          <w:bCs/>
        </w:rPr>
        <w:t>Metastatic non-small cell lung cancer</w:t>
      </w:r>
    </w:p>
    <w:p w14:paraId="56BA8807" w14:textId="17F32896" w:rsidR="00EA20C5" w:rsidRDefault="00B846E6" w:rsidP="00EA20C5">
      <w:r>
        <w:t>Atezolizumab</w:t>
      </w:r>
      <w:r w:rsidR="00AC5BAF">
        <w:t xml:space="preserve"> i</w:t>
      </w:r>
      <w:r w:rsidR="00EA20C5">
        <w:t xml:space="preserve">n combination with </w:t>
      </w:r>
      <w:r w:rsidR="00E567A9">
        <w:t>b</w:t>
      </w:r>
      <w:r w:rsidR="00D00965">
        <w:t>evacizumab</w:t>
      </w:r>
      <w:r w:rsidR="00EA20C5">
        <w:t xml:space="preserve">, paclitaxel and carboplatin, is indicated for the first-line treatment of adult patients with metastatic NSCLC. In patients with EGFR mutant or ALK-positive NSCLC, in combination with </w:t>
      </w:r>
      <w:r w:rsidR="00566291">
        <w:t>b</w:t>
      </w:r>
      <w:r w:rsidR="00D00965">
        <w:t>evacizumab</w:t>
      </w:r>
      <w:r w:rsidR="00EA20C5">
        <w:t>, paclitaxel and carboplatin, is indicated only after failure of appropriate targeted therapies.</w:t>
      </w:r>
    </w:p>
    <w:p w14:paraId="4D014E3B" w14:textId="3192613E" w:rsidR="00EA20C5" w:rsidRDefault="00B846E6" w:rsidP="00EA20C5">
      <w:r>
        <w:t>Atezolizumab</w:t>
      </w:r>
      <w:r w:rsidR="00AC5BAF">
        <w:t xml:space="preserve"> i</w:t>
      </w:r>
      <w:r w:rsidR="00EA20C5">
        <w:t>n combination with nanoparticle albumin-bound paclitaxel (nab-paclitaxel) and carboplatin, is indicated for first-line treatment of patients with metastatic non-squamous NSCLC who do not have tumour EGFR or ALK genomic aberrations.</w:t>
      </w:r>
    </w:p>
    <w:p w14:paraId="46231788" w14:textId="690A211B" w:rsidR="00EA20C5" w:rsidRDefault="00B846E6" w:rsidP="00EA20C5">
      <w:r>
        <w:t>Atezolizumab</w:t>
      </w:r>
      <w:r w:rsidR="00AC5BAF">
        <w:t xml:space="preserve"> a</w:t>
      </w:r>
      <w:r w:rsidR="00EA20C5">
        <w:t xml:space="preserve">s monotherapy is indicated for the treatment of adult patients with locally advanced or metastatic NSCLC after prior chemotherapy. Patients with EGFR mutant or ALK-positive NSCLC should also have received targeted therapies before receiving </w:t>
      </w:r>
      <w:r>
        <w:t>Atezolizumab</w:t>
      </w:r>
      <w:r w:rsidR="00EA20C5">
        <w:t>.</w:t>
      </w:r>
    </w:p>
    <w:p w14:paraId="089DB31D" w14:textId="77777777" w:rsidR="00EA20C5" w:rsidRPr="0092380D" w:rsidRDefault="00EA20C5" w:rsidP="00EA20C5">
      <w:pPr>
        <w:rPr>
          <w:b/>
          <w:bCs/>
        </w:rPr>
      </w:pPr>
      <w:r w:rsidRPr="0092380D">
        <w:rPr>
          <w:b/>
          <w:bCs/>
        </w:rPr>
        <w:t>Small cell lung cancer</w:t>
      </w:r>
    </w:p>
    <w:p w14:paraId="24ED0BF8" w14:textId="08100405" w:rsidR="00EA20C5" w:rsidRDefault="00B846E6" w:rsidP="00EA20C5">
      <w:r>
        <w:t>Atezolizumab</w:t>
      </w:r>
      <w:r w:rsidR="00F35B6C">
        <w:t xml:space="preserve"> i</w:t>
      </w:r>
      <w:r w:rsidR="00EA20C5">
        <w:t>n combination with carboplatin and etoposide, is indicated for the first-line treatment of patients with extensive-stage small cell lung cancer.</w:t>
      </w:r>
    </w:p>
    <w:p w14:paraId="34F0F7EB" w14:textId="77777777" w:rsidR="00EA20C5" w:rsidRPr="0092380D" w:rsidRDefault="00EA20C5" w:rsidP="00EA20C5">
      <w:pPr>
        <w:rPr>
          <w:b/>
          <w:bCs/>
        </w:rPr>
      </w:pPr>
      <w:r w:rsidRPr="0092380D">
        <w:rPr>
          <w:b/>
          <w:bCs/>
        </w:rPr>
        <w:t>Urothelial carcinoma</w:t>
      </w:r>
    </w:p>
    <w:p w14:paraId="1B63CF82" w14:textId="10662780" w:rsidR="00EA20C5" w:rsidRDefault="00B846E6" w:rsidP="0092380D">
      <w:r>
        <w:t>Atezolizumab</w:t>
      </w:r>
      <w:r w:rsidR="0092380D">
        <w:t xml:space="preserve"> i</w:t>
      </w:r>
      <w:r w:rsidR="00EA20C5">
        <w:t>s indicated for the treatment of patients with locally advanced or metastatic urothelial carcinoma who are considered cisplatin ineligible and whose tumours express PD-L1 (PD-L1 stained tumour-infiltrating immune cells covering ≥ 5% of the tumour area), as determined by a validated test.</w:t>
      </w:r>
    </w:p>
    <w:p w14:paraId="5F1C7F99" w14:textId="77777777" w:rsidR="00EA20C5" w:rsidRDefault="00EA20C5" w:rsidP="00EA20C5">
      <w:r>
        <w:t>This indication is approved based on overall response rate and duration of response in a single-arm study. Improvements in overall survival, progression-free survival, or health-related quality of life have not been established.</w:t>
      </w:r>
    </w:p>
    <w:p w14:paraId="6357F476" w14:textId="77777777" w:rsidR="00EA20C5" w:rsidRPr="0092380D" w:rsidRDefault="00EA20C5" w:rsidP="00EA20C5">
      <w:pPr>
        <w:rPr>
          <w:b/>
          <w:bCs/>
        </w:rPr>
      </w:pPr>
      <w:r w:rsidRPr="0092380D">
        <w:rPr>
          <w:b/>
          <w:bCs/>
        </w:rPr>
        <w:t>Hepatocellular carcinoma</w:t>
      </w:r>
    </w:p>
    <w:p w14:paraId="57E704F8" w14:textId="3CA1CAE2" w:rsidR="00C87560" w:rsidRDefault="00B846E6" w:rsidP="00A35800">
      <w:r>
        <w:t>Atezolizumab</w:t>
      </w:r>
      <w:r w:rsidR="0092380D">
        <w:t xml:space="preserve"> i</w:t>
      </w:r>
      <w:r w:rsidR="00EA20C5">
        <w:t xml:space="preserve">n combination with </w:t>
      </w:r>
      <w:r w:rsidR="00FA7F73">
        <w:t>b</w:t>
      </w:r>
      <w:r w:rsidR="00D00965">
        <w:t>evacizumab</w:t>
      </w:r>
      <w:r w:rsidR="00EA20C5">
        <w:t>, is indicated for the treatment of patients with unresectable or metastatic hepatocellular carcinoma (HCC) who have not received prior systemic therapy.</w:t>
      </w:r>
    </w:p>
    <w:p w14:paraId="50922856" w14:textId="77777777" w:rsidR="00D00965" w:rsidRDefault="00D00965" w:rsidP="00A35800">
      <w:pPr>
        <w:rPr>
          <w:highlight w:val="yellow"/>
        </w:rPr>
      </w:pPr>
    </w:p>
    <w:p w14:paraId="39940975" w14:textId="77777777" w:rsidR="00823DB3" w:rsidRDefault="00823DB3" w:rsidP="00A35800">
      <w:pPr>
        <w:rPr>
          <w:highlight w:val="yellow"/>
        </w:rPr>
      </w:pPr>
    </w:p>
    <w:p w14:paraId="2EC92A0E" w14:textId="77777777" w:rsidR="00823DB3" w:rsidRDefault="00823DB3" w:rsidP="00A35800">
      <w:pPr>
        <w:rPr>
          <w:highlight w:val="yellow"/>
        </w:rPr>
      </w:pPr>
    </w:p>
    <w:p w14:paraId="15E919C1" w14:textId="1B3BA560" w:rsidR="006B709B" w:rsidRDefault="006B709B" w:rsidP="00CF5E22">
      <w:pPr>
        <w:pStyle w:val="Heading2"/>
      </w:pPr>
      <w:r>
        <w:lastRenderedPageBreak/>
        <w:t>Dosage and administration</w:t>
      </w:r>
    </w:p>
    <w:p w14:paraId="28FF5B09" w14:textId="4370426C" w:rsidR="00237A60" w:rsidRDefault="008712DB" w:rsidP="00A35800">
      <w:r w:rsidRPr="008712DB">
        <w:t>T</w:t>
      </w:r>
      <w:r>
        <w:t xml:space="preserve">he recommended dose </w:t>
      </w:r>
      <w:r w:rsidR="00CC4AD6">
        <w:t>a</w:t>
      </w:r>
      <w:r w:rsidR="00B846E6">
        <w:t>tezolizumab</w:t>
      </w:r>
      <w:r>
        <w:t xml:space="preserve"> </w:t>
      </w:r>
      <w:r w:rsidR="000E0A82">
        <w:t xml:space="preserve">in HCC </w:t>
      </w:r>
      <w:r>
        <w:t xml:space="preserve">for adults </w:t>
      </w:r>
      <w:r w:rsidR="000E0A82">
        <w:t>is</w:t>
      </w:r>
      <w:r w:rsidR="00A31713">
        <w:t>:</w:t>
      </w:r>
    </w:p>
    <w:p w14:paraId="46F68B09" w14:textId="6603BE47" w:rsidR="002F50EA" w:rsidRDefault="00A649F0" w:rsidP="002F50EA">
      <w:pPr>
        <w:spacing w:after="0"/>
      </w:pPr>
      <w:r>
        <w:t>Intra</w:t>
      </w:r>
      <w:r w:rsidR="00742AC9">
        <w:t>-venous (</w:t>
      </w:r>
      <w:r w:rsidR="00A31713">
        <w:t>I</w:t>
      </w:r>
      <w:r w:rsidR="002F50EA">
        <w:t>V</w:t>
      </w:r>
      <w:r w:rsidR="00742AC9">
        <w:t>)</w:t>
      </w:r>
      <w:r w:rsidR="00A31713">
        <w:t xml:space="preserve"> formulation</w:t>
      </w:r>
      <w:r w:rsidR="002F50EA">
        <w:t xml:space="preserve"> is any one of:</w:t>
      </w:r>
    </w:p>
    <w:p w14:paraId="7EBB0E49" w14:textId="09D51065" w:rsidR="002F50EA" w:rsidRDefault="002F50EA" w:rsidP="0060792F">
      <w:pPr>
        <w:pStyle w:val="ListParagraph"/>
        <w:numPr>
          <w:ilvl w:val="0"/>
          <w:numId w:val="5"/>
        </w:numPr>
        <w:spacing w:after="0"/>
      </w:pPr>
      <w:r>
        <w:t>840 mg every 2 weeks, or</w:t>
      </w:r>
    </w:p>
    <w:p w14:paraId="0B6CC771" w14:textId="4CA5C97B" w:rsidR="002F50EA" w:rsidRDefault="002F50EA" w:rsidP="0060792F">
      <w:pPr>
        <w:pStyle w:val="ListParagraph"/>
        <w:numPr>
          <w:ilvl w:val="0"/>
          <w:numId w:val="5"/>
        </w:numPr>
        <w:spacing w:after="0"/>
      </w:pPr>
      <w:r>
        <w:t>1200 mg every 3 weeks, or</w:t>
      </w:r>
    </w:p>
    <w:p w14:paraId="3031E7FB" w14:textId="77AD1702" w:rsidR="002F50EA" w:rsidRDefault="002F50EA" w:rsidP="002F50EA">
      <w:pPr>
        <w:pStyle w:val="ListParagraph"/>
        <w:numPr>
          <w:ilvl w:val="0"/>
          <w:numId w:val="5"/>
        </w:numPr>
        <w:spacing w:after="0"/>
      </w:pPr>
      <w:r>
        <w:t>1680 mg every 4 weeks</w:t>
      </w:r>
      <w:r w:rsidR="00C64B3F">
        <w:t>.</w:t>
      </w:r>
    </w:p>
    <w:p w14:paraId="011419E0" w14:textId="76AFC04D" w:rsidR="002F50EA" w:rsidRDefault="00742AC9" w:rsidP="002F50EA">
      <w:pPr>
        <w:spacing w:after="0"/>
      </w:pPr>
      <w:r>
        <w:t>Sub-cutaneous (</w:t>
      </w:r>
      <w:r w:rsidR="002F50EA">
        <w:t>SC</w:t>
      </w:r>
      <w:r>
        <w:t>)</w:t>
      </w:r>
      <w:r w:rsidR="002F50EA">
        <w:t xml:space="preserve"> formulation:</w:t>
      </w:r>
    </w:p>
    <w:p w14:paraId="5052AAFF" w14:textId="3CA2F3EA" w:rsidR="0060792F" w:rsidRDefault="0060792F" w:rsidP="0060792F">
      <w:pPr>
        <w:pStyle w:val="ListParagraph"/>
        <w:numPr>
          <w:ilvl w:val="0"/>
          <w:numId w:val="6"/>
        </w:numPr>
        <w:spacing w:after="0"/>
      </w:pPr>
      <w:r w:rsidRPr="0060792F">
        <w:t>1875 mg every 3 weeks</w:t>
      </w:r>
      <w:r w:rsidR="00C64B3F">
        <w:t>.</w:t>
      </w:r>
    </w:p>
    <w:p w14:paraId="7A6DCE28" w14:textId="77777777" w:rsidR="00C64B3F" w:rsidRDefault="00C64B3F" w:rsidP="00C64B3F">
      <w:pPr>
        <w:spacing w:after="0"/>
      </w:pPr>
    </w:p>
    <w:p w14:paraId="2297CA15" w14:textId="6560902E" w:rsidR="00C64B3F" w:rsidRDefault="00C64B3F" w:rsidP="00C64B3F">
      <w:r>
        <w:t>D</w:t>
      </w:r>
      <w:r w:rsidRPr="00536897">
        <w:t xml:space="preserve">ose modification </w:t>
      </w:r>
      <w:r w:rsidR="00B81D77">
        <w:t xml:space="preserve">(delay or discontinuation) </w:t>
      </w:r>
      <w:r>
        <w:t>is required</w:t>
      </w:r>
      <w:r w:rsidRPr="00536897">
        <w:t xml:space="preserve"> for </w:t>
      </w:r>
      <w:r w:rsidR="00A26E43">
        <w:t>adverse reactions</w:t>
      </w:r>
      <w:r w:rsidRPr="00536897">
        <w:t xml:space="preserve"> related to </w:t>
      </w:r>
      <w:r w:rsidR="000A1DE9">
        <w:t>a</w:t>
      </w:r>
      <w:r w:rsidR="00B846E6">
        <w:t>tezolizumab</w:t>
      </w:r>
      <w:r>
        <w:t>.</w:t>
      </w:r>
      <w:r w:rsidR="003B315A">
        <w:t xml:space="preserve"> Dose reductions are not recommended.</w:t>
      </w:r>
    </w:p>
    <w:p w14:paraId="7BF05F42" w14:textId="4EDEF25B" w:rsidR="007D4BAE" w:rsidRDefault="00C64B3F" w:rsidP="00F17D4B">
      <w:r w:rsidRPr="002F61CA">
        <w:t xml:space="preserve">The current Product Information (PI) and Consumer Medicine Information (CMI) </w:t>
      </w:r>
      <w:r w:rsidR="003044B8">
        <w:t xml:space="preserve">(for both the IV and SC formulations) </w:t>
      </w:r>
      <w:r w:rsidRPr="002F61CA">
        <w:t xml:space="preserve">are available from </w:t>
      </w:r>
      <w:hyperlink r:id="rId8" w:history="1">
        <w:r>
          <w:rPr>
            <w:rStyle w:val="Hyperlink"/>
          </w:rPr>
          <w:t>the TGA (Product Information)</w:t>
        </w:r>
      </w:hyperlink>
      <w:r>
        <w:t xml:space="preserve"> and</w:t>
      </w:r>
      <w:r w:rsidR="0076236F">
        <w:t xml:space="preserve"> the</w:t>
      </w:r>
      <w:r>
        <w:t xml:space="preserve"> </w:t>
      </w:r>
      <w:hyperlink r:id="rId9" w:history="1">
        <w:r w:rsidR="0076236F">
          <w:rPr>
            <w:rStyle w:val="Hyperlink"/>
          </w:rPr>
          <w:t>TGA (Consumer Medicines Information)</w:t>
        </w:r>
      </w:hyperlink>
      <w:r>
        <w:t>.</w:t>
      </w:r>
    </w:p>
    <w:p w14:paraId="46E2BB42" w14:textId="09E2C59C" w:rsidR="00DF0B13" w:rsidRPr="007247B9" w:rsidDel="00EE2BBB" w:rsidRDefault="00DF0B13" w:rsidP="00CF5E22">
      <w:pPr>
        <w:pStyle w:val="Heading2"/>
      </w:pPr>
      <w:r w:rsidRPr="007247B9" w:rsidDel="00EE2BBB">
        <w:t>PBS listing details</w:t>
      </w:r>
      <w:r w:rsidR="00D151EB" w:rsidDel="00EE2BBB">
        <w:t xml:space="preserve"> (as </w:t>
      </w:r>
      <w:r w:rsidR="00AB5EBA" w:rsidDel="00EE2BBB">
        <w:t>of</w:t>
      </w:r>
      <w:r w:rsidR="005E663D">
        <w:t xml:space="preserve"> 1 March 2025</w:t>
      </w:r>
      <w:r w:rsidR="00D151EB" w:rsidDel="00EE2BBB">
        <w:t>)</w:t>
      </w:r>
    </w:p>
    <w:p w14:paraId="1D47784A" w14:textId="2240618A" w:rsidR="001420B3" w:rsidRPr="001420B3" w:rsidDel="00EE2BBB" w:rsidRDefault="001420B3" w:rsidP="00CF5E22">
      <w:pPr>
        <w:pStyle w:val="Tabletitle"/>
      </w:pPr>
      <w:r w:rsidRPr="001420B3" w:rsidDel="00EE2BBB">
        <w:t xml:space="preserve">Table </w:t>
      </w:r>
      <w:r w:rsidR="003318A6">
        <w:t>1</w:t>
      </w:r>
      <w:r w:rsidRPr="001420B3" w:rsidDel="00EE2BBB">
        <w:t xml:space="preserve">: </w:t>
      </w:r>
      <w:r w:rsidR="009663B6" w:rsidDel="00EE2BBB">
        <w:t>PB</w:t>
      </w:r>
      <w:r w:rsidR="00D151EB" w:rsidDel="00EE2BBB">
        <w:t>S listing of</w:t>
      </w:r>
      <w:r w:rsidR="003318A6">
        <w:t xml:space="preserve"> </w:t>
      </w:r>
      <w:r w:rsidR="008559F0">
        <w:t>a</w:t>
      </w:r>
      <w:r w:rsidR="00B846E6">
        <w:t>tezolizumab</w:t>
      </w:r>
      <w:r w:rsidR="003318A6" w:rsidRPr="003318A6">
        <w:t xml:space="preserve"> for advanced (unresectable) Barcelona Clinic Liver Cancer Stage B or Stage C hepatocellular carcinoma</w:t>
      </w:r>
    </w:p>
    <w:tbl>
      <w:tblPr>
        <w:tblStyle w:val="TableGrid"/>
        <w:tblW w:w="9064" w:type="dxa"/>
        <w:tblLayout w:type="fixed"/>
        <w:tblLook w:val="04A0" w:firstRow="1" w:lastRow="0" w:firstColumn="1" w:lastColumn="0" w:noHBand="0" w:noVBand="1"/>
      </w:tblPr>
      <w:tblGrid>
        <w:gridCol w:w="969"/>
        <w:gridCol w:w="2400"/>
        <w:gridCol w:w="1701"/>
        <w:gridCol w:w="850"/>
        <w:gridCol w:w="1040"/>
        <w:gridCol w:w="2104"/>
      </w:tblGrid>
      <w:tr w:rsidR="0093111F" w:rsidRPr="00A35800" w:rsidDel="00EE2BBB" w14:paraId="6AA19A37" w14:textId="77B518AD" w:rsidTr="7440C284">
        <w:trPr>
          <w:trHeight w:val="694"/>
          <w:tblHeader/>
        </w:trPr>
        <w:tc>
          <w:tcPr>
            <w:tcW w:w="969" w:type="dxa"/>
            <w:shd w:val="clear" w:color="auto" w:fill="BFBFBF" w:themeFill="background1" w:themeFillShade="BF"/>
          </w:tcPr>
          <w:p w14:paraId="56A3DEA0" w14:textId="1A878237" w:rsidR="0093111F" w:rsidRPr="00A35800" w:rsidDel="00EE2BBB" w:rsidRDefault="0093111F" w:rsidP="00A35800">
            <w:pPr>
              <w:pStyle w:val="Tableheading"/>
              <w:rPr>
                <w:sz w:val="20"/>
                <w:szCs w:val="20"/>
              </w:rPr>
            </w:pPr>
            <w:r w:rsidRPr="00A35800" w:rsidDel="00EE2BBB">
              <w:rPr>
                <w:sz w:val="20"/>
                <w:szCs w:val="20"/>
              </w:rPr>
              <w:t>Item</w:t>
            </w:r>
          </w:p>
        </w:tc>
        <w:tc>
          <w:tcPr>
            <w:tcW w:w="2400" w:type="dxa"/>
            <w:shd w:val="clear" w:color="auto" w:fill="BFBFBF" w:themeFill="background1" w:themeFillShade="BF"/>
          </w:tcPr>
          <w:p w14:paraId="67A07252" w14:textId="6DE43662" w:rsidR="0093111F" w:rsidRPr="00A35800" w:rsidDel="00EE2BBB" w:rsidRDefault="0093111F" w:rsidP="00A35800">
            <w:pPr>
              <w:pStyle w:val="Tableheading"/>
              <w:rPr>
                <w:sz w:val="20"/>
                <w:szCs w:val="20"/>
              </w:rPr>
            </w:pPr>
            <w:r w:rsidRPr="00A35800" w:rsidDel="00EE2BBB">
              <w:rPr>
                <w:sz w:val="20"/>
                <w:szCs w:val="20"/>
              </w:rPr>
              <w:t>Name, form &amp; strength, pack size</w:t>
            </w:r>
          </w:p>
        </w:tc>
        <w:tc>
          <w:tcPr>
            <w:tcW w:w="1701" w:type="dxa"/>
            <w:shd w:val="clear" w:color="auto" w:fill="BFBFBF" w:themeFill="background1" w:themeFillShade="BF"/>
          </w:tcPr>
          <w:p w14:paraId="114E9799" w14:textId="71E76A27" w:rsidR="0093111F" w:rsidRPr="00A35800" w:rsidDel="00EE2BBB" w:rsidRDefault="0093111F" w:rsidP="00A35800">
            <w:pPr>
              <w:pStyle w:val="Tableheading"/>
              <w:rPr>
                <w:sz w:val="20"/>
                <w:szCs w:val="20"/>
              </w:rPr>
            </w:pPr>
            <w:r w:rsidRPr="00A35800" w:rsidDel="00EE2BBB">
              <w:rPr>
                <w:sz w:val="20"/>
                <w:szCs w:val="20"/>
              </w:rPr>
              <w:t>Max</w:t>
            </w:r>
            <w:r w:rsidR="00A13C60" w:rsidRPr="00A35800" w:rsidDel="00EE2BBB">
              <w:rPr>
                <w:sz w:val="20"/>
                <w:szCs w:val="20"/>
              </w:rPr>
              <w:t xml:space="preserve">. </w:t>
            </w:r>
            <w:r w:rsidRPr="00A35800" w:rsidDel="00EE2BBB">
              <w:rPr>
                <w:sz w:val="20"/>
                <w:szCs w:val="20"/>
              </w:rPr>
              <w:t xml:space="preserve">quant. </w:t>
            </w:r>
          </w:p>
        </w:tc>
        <w:tc>
          <w:tcPr>
            <w:tcW w:w="850" w:type="dxa"/>
            <w:shd w:val="clear" w:color="auto" w:fill="BFBFBF" w:themeFill="background1" w:themeFillShade="BF"/>
          </w:tcPr>
          <w:p w14:paraId="0F1A79F7" w14:textId="170F6D44" w:rsidR="0093111F" w:rsidRPr="00A35800" w:rsidDel="00EE2BBB" w:rsidRDefault="0093111F" w:rsidP="00A35800">
            <w:pPr>
              <w:pStyle w:val="Tableheading"/>
              <w:rPr>
                <w:sz w:val="20"/>
                <w:szCs w:val="20"/>
              </w:rPr>
            </w:pPr>
            <w:r w:rsidRPr="00A35800" w:rsidDel="00EE2BBB">
              <w:rPr>
                <w:sz w:val="20"/>
                <w:szCs w:val="20"/>
              </w:rPr>
              <w:t xml:space="preserve">Rpts </w:t>
            </w:r>
          </w:p>
        </w:tc>
        <w:tc>
          <w:tcPr>
            <w:tcW w:w="1040" w:type="dxa"/>
            <w:shd w:val="clear" w:color="auto" w:fill="BFBFBF" w:themeFill="background1" w:themeFillShade="BF"/>
          </w:tcPr>
          <w:p w14:paraId="05C5A0BF" w14:textId="2CFF9AC9" w:rsidR="0093111F" w:rsidRPr="00A35800" w:rsidDel="00EE2BBB" w:rsidRDefault="0093111F" w:rsidP="00A35800">
            <w:pPr>
              <w:pStyle w:val="Tableheading"/>
              <w:rPr>
                <w:sz w:val="20"/>
                <w:szCs w:val="20"/>
              </w:rPr>
            </w:pPr>
            <w:r w:rsidRPr="00A35800" w:rsidDel="00EE2BBB">
              <w:rPr>
                <w:sz w:val="20"/>
                <w:szCs w:val="20"/>
              </w:rPr>
              <w:t>DPMQ</w:t>
            </w:r>
          </w:p>
        </w:tc>
        <w:tc>
          <w:tcPr>
            <w:tcW w:w="2104" w:type="dxa"/>
            <w:shd w:val="clear" w:color="auto" w:fill="BFBFBF" w:themeFill="background1" w:themeFillShade="BF"/>
          </w:tcPr>
          <w:p w14:paraId="09B472B7" w14:textId="479D46E2" w:rsidR="0093111F" w:rsidRPr="00A35800" w:rsidDel="00EE2BBB" w:rsidRDefault="0093111F" w:rsidP="00A35800">
            <w:pPr>
              <w:pStyle w:val="Tableheading"/>
              <w:rPr>
                <w:sz w:val="20"/>
                <w:szCs w:val="20"/>
              </w:rPr>
            </w:pPr>
            <w:r w:rsidRPr="00A35800" w:rsidDel="00EE2BBB">
              <w:rPr>
                <w:sz w:val="20"/>
                <w:szCs w:val="20"/>
              </w:rPr>
              <w:t>Brand name and manufacturer</w:t>
            </w:r>
          </w:p>
        </w:tc>
      </w:tr>
      <w:tr w:rsidR="0093111F" w:rsidRPr="00A35800" w:rsidDel="00EE2BBB" w14:paraId="2AF9D84B" w14:textId="0D323411" w:rsidTr="7440C284">
        <w:trPr>
          <w:trHeight w:val="552"/>
          <w:tblHeader/>
        </w:trPr>
        <w:tc>
          <w:tcPr>
            <w:tcW w:w="969" w:type="dxa"/>
            <w:vAlign w:val="center"/>
          </w:tcPr>
          <w:p w14:paraId="0A3E3442" w14:textId="263D3BA2" w:rsidR="0093111F" w:rsidRPr="00122E8F" w:rsidDel="00EE2BBB" w:rsidRDefault="00223FC1" w:rsidP="00274753">
            <w:pPr>
              <w:pStyle w:val="Tablewriting"/>
              <w:jc w:val="center"/>
              <w:rPr>
                <w:rFonts w:cstheme="minorHAnsi"/>
              </w:rPr>
            </w:pPr>
            <w:r w:rsidRPr="00122E8F">
              <w:rPr>
                <w:rFonts w:cstheme="minorHAnsi"/>
              </w:rPr>
              <w:t>12167J</w:t>
            </w:r>
          </w:p>
        </w:tc>
        <w:tc>
          <w:tcPr>
            <w:tcW w:w="2400" w:type="dxa"/>
            <w:vAlign w:val="center"/>
          </w:tcPr>
          <w:p w14:paraId="0F676F51" w14:textId="080BE1CA" w:rsidR="0093111F" w:rsidRPr="00122E8F" w:rsidDel="00EE2BBB" w:rsidRDefault="00B846E6" w:rsidP="00274753">
            <w:pPr>
              <w:pStyle w:val="Tablewriting"/>
              <w:jc w:val="center"/>
              <w:rPr>
                <w:rFonts w:cstheme="minorHAnsi"/>
              </w:rPr>
            </w:pPr>
            <w:r>
              <w:rPr>
                <w:rFonts w:cstheme="minorHAnsi"/>
              </w:rPr>
              <w:t>Atezolizumab</w:t>
            </w:r>
            <w:r w:rsidR="002D0086" w:rsidRPr="00122E8F">
              <w:rPr>
                <w:rFonts w:cstheme="minorHAnsi"/>
              </w:rPr>
              <w:t xml:space="preserve"> 1.2 g/20 mL injection, 20 mL vial</w:t>
            </w:r>
          </w:p>
        </w:tc>
        <w:tc>
          <w:tcPr>
            <w:tcW w:w="1701" w:type="dxa"/>
            <w:vAlign w:val="center"/>
          </w:tcPr>
          <w:p w14:paraId="0E2637C4" w14:textId="7CD518E9" w:rsidR="0093111F" w:rsidRPr="00122E8F" w:rsidDel="00EE2BBB" w:rsidRDefault="002D0086" w:rsidP="00274753">
            <w:pPr>
              <w:pStyle w:val="Tablewriting"/>
              <w:jc w:val="center"/>
              <w:rPr>
                <w:rFonts w:cstheme="minorHAnsi"/>
              </w:rPr>
            </w:pPr>
            <w:r w:rsidRPr="00122E8F">
              <w:rPr>
                <w:rFonts w:cstheme="minorHAnsi"/>
              </w:rPr>
              <w:t>1200 mg</w:t>
            </w:r>
          </w:p>
        </w:tc>
        <w:tc>
          <w:tcPr>
            <w:tcW w:w="850" w:type="dxa"/>
            <w:vAlign w:val="center"/>
          </w:tcPr>
          <w:p w14:paraId="6B361CAA" w14:textId="1629A998" w:rsidR="0093111F" w:rsidRPr="00122E8F" w:rsidDel="00EE2BBB" w:rsidRDefault="002D0086" w:rsidP="00274753">
            <w:pPr>
              <w:pStyle w:val="Tablewriting"/>
              <w:jc w:val="center"/>
              <w:rPr>
                <w:rFonts w:cstheme="minorHAnsi"/>
              </w:rPr>
            </w:pPr>
            <w:r w:rsidRPr="00122E8F">
              <w:rPr>
                <w:rFonts w:cstheme="minorHAnsi"/>
              </w:rPr>
              <w:t>3</w:t>
            </w:r>
          </w:p>
        </w:tc>
        <w:tc>
          <w:tcPr>
            <w:tcW w:w="1040" w:type="dxa"/>
            <w:vAlign w:val="center"/>
          </w:tcPr>
          <w:p w14:paraId="15F68405" w14:textId="4E3E76CE" w:rsidR="0093111F" w:rsidRPr="00122E8F" w:rsidDel="00EE2BBB" w:rsidRDefault="00D3203C" w:rsidP="00274753">
            <w:pPr>
              <w:pStyle w:val="Tablewriting"/>
              <w:jc w:val="center"/>
              <w:rPr>
                <w:rFonts w:cstheme="minorHAnsi"/>
              </w:rPr>
            </w:pPr>
            <w:r w:rsidRPr="00122E8F">
              <w:rPr>
                <w:rFonts w:cstheme="minorHAnsi"/>
              </w:rPr>
              <w:t>$6976.63</w:t>
            </w:r>
          </w:p>
        </w:tc>
        <w:tc>
          <w:tcPr>
            <w:tcW w:w="2104" w:type="dxa"/>
            <w:vAlign w:val="center"/>
          </w:tcPr>
          <w:p w14:paraId="2D337AC6" w14:textId="683AEB67" w:rsidR="0093111F" w:rsidRPr="00122E8F" w:rsidDel="00EE2BBB" w:rsidRDefault="00D3203C" w:rsidP="00274753">
            <w:pPr>
              <w:pStyle w:val="Tablewriting"/>
              <w:jc w:val="center"/>
              <w:rPr>
                <w:rFonts w:cstheme="minorHAnsi"/>
              </w:rPr>
            </w:pPr>
            <w:r w:rsidRPr="00122E8F">
              <w:rPr>
                <w:rFonts w:cstheme="minorHAnsi"/>
              </w:rPr>
              <w:t>Tecentriq</w:t>
            </w:r>
            <w:r w:rsidR="006E2A49" w:rsidRPr="00122E8F">
              <w:rPr>
                <w:rFonts w:cstheme="minorHAnsi"/>
              </w:rPr>
              <w:t>,</w:t>
            </w:r>
            <w:r w:rsidR="003D2697" w:rsidRPr="00122E8F">
              <w:rPr>
                <w:rFonts w:cstheme="minorHAnsi"/>
              </w:rPr>
              <w:t xml:space="preserve"> Roche Products Pty Ltd</w:t>
            </w:r>
          </w:p>
        </w:tc>
      </w:tr>
      <w:tr w:rsidR="002F2502" w:rsidRPr="00A35800" w:rsidDel="00EE2BBB" w14:paraId="5A26F6DA" w14:textId="5F9D4936" w:rsidTr="7440C284">
        <w:trPr>
          <w:trHeight w:val="546"/>
          <w:tblHeader/>
        </w:trPr>
        <w:tc>
          <w:tcPr>
            <w:tcW w:w="969" w:type="dxa"/>
            <w:vAlign w:val="center"/>
          </w:tcPr>
          <w:p w14:paraId="76F26606" w14:textId="54B5CAE3" w:rsidR="002F2502" w:rsidRPr="00122E8F" w:rsidDel="00EE2BBB" w:rsidRDefault="002F2502" w:rsidP="00274753">
            <w:pPr>
              <w:pStyle w:val="Tablewriting"/>
              <w:jc w:val="center"/>
              <w:rPr>
                <w:rFonts w:cstheme="minorHAnsi"/>
              </w:rPr>
            </w:pPr>
            <w:r w:rsidRPr="00122E8F">
              <w:rPr>
                <w:rFonts w:cstheme="minorHAnsi"/>
              </w:rPr>
              <w:t>12155R</w:t>
            </w:r>
          </w:p>
        </w:tc>
        <w:tc>
          <w:tcPr>
            <w:tcW w:w="2400" w:type="dxa"/>
            <w:vAlign w:val="center"/>
          </w:tcPr>
          <w:p w14:paraId="4C40F7E7" w14:textId="52690F4E" w:rsidR="002F2502" w:rsidRPr="00122E8F" w:rsidDel="00EE2BBB" w:rsidRDefault="00B846E6" w:rsidP="7440C284">
            <w:pPr>
              <w:pStyle w:val="Tablewriting"/>
              <w:jc w:val="center"/>
            </w:pPr>
            <w:r>
              <w:rPr>
                <w:rFonts w:cstheme="minorBidi"/>
              </w:rPr>
              <w:t>Atezolizumab</w:t>
            </w:r>
            <w:r w:rsidR="002F2502" w:rsidRPr="7440C284">
              <w:rPr>
                <w:rFonts w:cstheme="minorBidi"/>
              </w:rPr>
              <w:t xml:space="preserve"> </w:t>
            </w:r>
            <w:r w:rsidR="468C3473" w:rsidRPr="7440C284">
              <w:rPr>
                <w:rFonts w:ascii="Calibri" w:eastAsia="Calibri" w:hAnsi="Calibri"/>
                <w:color w:val="000000" w:themeColor="text1"/>
                <w:sz w:val="19"/>
                <w:szCs w:val="19"/>
              </w:rPr>
              <w:t>1.2 g/20 mL injection, 20 mL vial</w:t>
            </w:r>
          </w:p>
        </w:tc>
        <w:tc>
          <w:tcPr>
            <w:tcW w:w="1701" w:type="dxa"/>
            <w:vAlign w:val="center"/>
          </w:tcPr>
          <w:p w14:paraId="73733F58" w14:textId="3E8458CF" w:rsidR="002F2502" w:rsidRPr="00122E8F" w:rsidDel="00EE2BBB" w:rsidRDefault="002F2502" w:rsidP="00274753">
            <w:pPr>
              <w:pStyle w:val="Tablewriting"/>
              <w:jc w:val="center"/>
              <w:rPr>
                <w:rFonts w:cstheme="minorHAnsi"/>
              </w:rPr>
            </w:pPr>
            <w:r w:rsidRPr="00122E8F">
              <w:rPr>
                <w:rFonts w:cstheme="minorHAnsi"/>
              </w:rPr>
              <w:t>1200 mg</w:t>
            </w:r>
          </w:p>
        </w:tc>
        <w:tc>
          <w:tcPr>
            <w:tcW w:w="850" w:type="dxa"/>
            <w:vAlign w:val="center"/>
          </w:tcPr>
          <w:p w14:paraId="2751F86C" w14:textId="7379A702" w:rsidR="002F2502" w:rsidRPr="00122E8F" w:rsidDel="00EE2BBB" w:rsidRDefault="002F2502" w:rsidP="00274753">
            <w:pPr>
              <w:pStyle w:val="Tablewriting"/>
              <w:jc w:val="center"/>
              <w:rPr>
                <w:rFonts w:cstheme="minorHAnsi"/>
              </w:rPr>
            </w:pPr>
            <w:r w:rsidRPr="00122E8F">
              <w:rPr>
                <w:rFonts w:cstheme="minorHAnsi"/>
              </w:rPr>
              <w:t>8</w:t>
            </w:r>
          </w:p>
        </w:tc>
        <w:tc>
          <w:tcPr>
            <w:tcW w:w="1040" w:type="dxa"/>
            <w:vAlign w:val="center"/>
          </w:tcPr>
          <w:p w14:paraId="0EB41EFB" w14:textId="513D5B0F" w:rsidR="002F2502" w:rsidRPr="00122E8F" w:rsidDel="00EE2BBB" w:rsidRDefault="002F2502" w:rsidP="00274753">
            <w:pPr>
              <w:pStyle w:val="Tablewriting"/>
              <w:jc w:val="center"/>
              <w:rPr>
                <w:rFonts w:cstheme="minorHAnsi"/>
              </w:rPr>
            </w:pPr>
            <w:r w:rsidRPr="00122E8F">
              <w:rPr>
                <w:rFonts w:cstheme="minorHAnsi"/>
              </w:rPr>
              <w:t>$6976.63</w:t>
            </w:r>
          </w:p>
        </w:tc>
        <w:tc>
          <w:tcPr>
            <w:tcW w:w="2104" w:type="dxa"/>
            <w:vAlign w:val="center"/>
          </w:tcPr>
          <w:p w14:paraId="2F152B32" w14:textId="39DB424A" w:rsidR="002F2502" w:rsidRPr="00122E8F" w:rsidDel="00EE2BBB" w:rsidRDefault="002F2502" w:rsidP="00274753">
            <w:pPr>
              <w:pStyle w:val="Tablewriting"/>
              <w:jc w:val="center"/>
              <w:rPr>
                <w:rFonts w:cstheme="minorHAnsi"/>
              </w:rPr>
            </w:pPr>
            <w:r w:rsidRPr="00122E8F">
              <w:rPr>
                <w:rFonts w:cstheme="minorHAnsi"/>
              </w:rPr>
              <w:t>Tecentriq, Roche Products Pty Ltd</w:t>
            </w:r>
          </w:p>
        </w:tc>
      </w:tr>
      <w:tr w:rsidR="000270C9" w:rsidRPr="00A35800" w:rsidDel="00EE2BBB" w14:paraId="1FF13524" w14:textId="77777777" w:rsidTr="7440C284">
        <w:trPr>
          <w:trHeight w:val="546"/>
          <w:tblHeader/>
        </w:trPr>
        <w:tc>
          <w:tcPr>
            <w:tcW w:w="969" w:type="dxa"/>
            <w:vAlign w:val="center"/>
          </w:tcPr>
          <w:p w14:paraId="5265DDA4" w14:textId="24B7B409" w:rsidR="000270C9" w:rsidRPr="00122E8F" w:rsidDel="00EE2BBB" w:rsidRDefault="000270C9" w:rsidP="00274753">
            <w:pPr>
              <w:pStyle w:val="Tablewriting"/>
              <w:jc w:val="center"/>
              <w:rPr>
                <w:rFonts w:cstheme="minorHAnsi"/>
              </w:rPr>
            </w:pPr>
            <w:r w:rsidRPr="00122E8F">
              <w:rPr>
                <w:rFonts w:cstheme="minorHAnsi"/>
              </w:rPr>
              <w:t>12159Y</w:t>
            </w:r>
          </w:p>
        </w:tc>
        <w:tc>
          <w:tcPr>
            <w:tcW w:w="2400" w:type="dxa"/>
            <w:vAlign w:val="center"/>
          </w:tcPr>
          <w:p w14:paraId="28F4BE5C" w14:textId="0EE3C3AF" w:rsidR="000270C9" w:rsidRPr="00122E8F" w:rsidDel="00EE2BBB" w:rsidRDefault="00B846E6" w:rsidP="00274753">
            <w:pPr>
              <w:pStyle w:val="Tablewriting"/>
              <w:jc w:val="center"/>
              <w:rPr>
                <w:rFonts w:cstheme="minorHAnsi"/>
              </w:rPr>
            </w:pPr>
            <w:r>
              <w:rPr>
                <w:rFonts w:cstheme="minorHAnsi"/>
              </w:rPr>
              <w:t>Atezolizumab</w:t>
            </w:r>
            <w:r w:rsidR="002A4E26" w:rsidRPr="00122E8F">
              <w:rPr>
                <w:rFonts w:cstheme="minorHAnsi"/>
              </w:rPr>
              <w:t xml:space="preserve"> 840 mg/14 mL injection, 14 mL vial</w:t>
            </w:r>
          </w:p>
        </w:tc>
        <w:tc>
          <w:tcPr>
            <w:tcW w:w="1701" w:type="dxa"/>
            <w:vAlign w:val="center"/>
          </w:tcPr>
          <w:p w14:paraId="5037AAD5" w14:textId="21A9F801" w:rsidR="000270C9" w:rsidRPr="00122E8F" w:rsidDel="00EE2BBB" w:rsidRDefault="002A4E26" w:rsidP="00274753">
            <w:pPr>
              <w:pStyle w:val="Tablewriting"/>
              <w:jc w:val="center"/>
              <w:rPr>
                <w:rFonts w:cstheme="minorHAnsi"/>
              </w:rPr>
            </w:pPr>
            <w:r w:rsidRPr="00122E8F">
              <w:rPr>
                <w:rFonts w:cstheme="minorHAnsi"/>
              </w:rPr>
              <w:t>1680 m</w:t>
            </w:r>
            <w:r w:rsidR="00B654F4" w:rsidRPr="00122E8F">
              <w:rPr>
                <w:rFonts w:cstheme="minorHAnsi"/>
              </w:rPr>
              <w:t>g</w:t>
            </w:r>
          </w:p>
        </w:tc>
        <w:tc>
          <w:tcPr>
            <w:tcW w:w="850" w:type="dxa"/>
            <w:vAlign w:val="center"/>
          </w:tcPr>
          <w:p w14:paraId="02A19E4D" w14:textId="7090AA0C" w:rsidR="000270C9" w:rsidRPr="00122E8F" w:rsidDel="00EE2BBB" w:rsidRDefault="002A4E26" w:rsidP="00274753">
            <w:pPr>
              <w:pStyle w:val="Tablewriting"/>
              <w:jc w:val="center"/>
              <w:rPr>
                <w:rFonts w:cstheme="minorHAnsi"/>
              </w:rPr>
            </w:pPr>
            <w:r w:rsidRPr="00122E8F">
              <w:rPr>
                <w:rFonts w:cstheme="minorHAnsi"/>
              </w:rPr>
              <w:t>5</w:t>
            </w:r>
          </w:p>
        </w:tc>
        <w:tc>
          <w:tcPr>
            <w:tcW w:w="1040" w:type="dxa"/>
            <w:vAlign w:val="center"/>
          </w:tcPr>
          <w:p w14:paraId="0D429930" w14:textId="443B1D92" w:rsidR="000270C9" w:rsidRPr="00122E8F" w:rsidDel="00EE2BBB" w:rsidRDefault="002A4E26" w:rsidP="00274753">
            <w:pPr>
              <w:pStyle w:val="Tablewriting"/>
              <w:jc w:val="center"/>
              <w:rPr>
                <w:rFonts w:cstheme="minorHAnsi"/>
              </w:rPr>
            </w:pPr>
            <w:r w:rsidRPr="00122E8F">
              <w:rPr>
                <w:rFonts w:cstheme="minorHAnsi"/>
              </w:rPr>
              <w:t>$9713.34</w:t>
            </w:r>
          </w:p>
        </w:tc>
        <w:tc>
          <w:tcPr>
            <w:tcW w:w="2104" w:type="dxa"/>
            <w:vAlign w:val="center"/>
          </w:tcPr>
          <w:p w14:paraId="4EFB762B" w14:textId="49930015" w:rsidR="000270C9" w:rsidRPr="00122E8F" w:rsidDel="00EE2BBB" w:rsidRDefault="002A4E26" w:rsidP="00274753">
            <w:pPr>
              <w:pStyle w:val="Tablewriting"/>
              <w:jc w:val="center"/>
              <w:rPr>
                <w:rFonts w:cstheme="minorHAnsi"/>
              </w:rPr>
            </w:pPr>
            <w:r w:rsidRPr="00122E8F">
              <w:rPr>
                <w:rFonts w:cstheme="minorHAnsi"/>
              </w:rPr>
              <w:t>Tecentriq, Roche Products Pty Ltd</w:t>
            </w:r>
          </w:p>
        </w:tc>
      </w:tr>
      <w:tr w:rsidR="00D66B79" w:rsidRPr="00A35800" w:rsidDel="00EE2BBB" w14:paraId="014BB68B" w14:textId="77777777" w:rsidTr="7440C284">
        <w:trPr>
          <w:trHeight w:val="546"/>
          <w:tblHeader/>
        </w:trPr>
        <w:tc>
          <w:tcPr>
            <w:tcW w:w="969" w:type="dxa"/>
            <w:vAlign w:val="center"/>
          </w:tcPr>
          <w:p w14:paraId="34721503" w14:textId="77777777" w:rsidR="00D66B79" w:rsidRPr="00122E8F" w:rsidRDefault="00D66B79" w:rsidP="00274753">
            <w:pPr>
              <w:jc w:val="center"/>
              <w:rPr>
                <w:rFonts w:cstheme="minorHAnsi"/>
                <w:color w:val="000000"/>
                <w:sz w:val="20"/>
                <w:szCs w:val="20"/>
              </w:rPr>
            </w:pPr>
            <w:r w:rsidRPr="00122E8F">
              <w:rPr>
                <w:rFonts w:cstheme="minorHAnsi"/>
                <w:color w:val="000000"/>
                <w:sz w:val="20"/>
                <w:szCs w:val="20"/>
              </w:rPr>
              <w:t>12171N</w:t>
            </w:r>
          </w:p>
          <w:p w14:paraId="667FB791" w14:textId="77777777" w:rsidR="00D66B79" w:rsidRPr="00122E8F" w:rsidDel="00EE2BBB" w:rsidRDefault="00D66B79" w:rsidP="00274753">
            <w:pPr>
              <w:pStyle w:val="Tablewriting"/>
              <w:jc w:val="center"/>
              <w:rPr>
                <w:rFonts w:cstheme="minorHAnsi"/>
              </w:rPr>
            </w:pPr>
          </w:p>
        </w:tc>
        <w:tc>
          <w:tcPr>
            <w:tcW w:w="2400" w:type="dxa"/>
            <w:vAlign w:val="center"/>
          </w:tcPr>
          <w:p w14:paraId="4CB21283" w14:textId="15B006F0" w:rsidR="00D66B79" w:rsidRPr="00122E8F" w:rsidDel="00EE2BBB" w:rsidRDefault="00B846E6" w:rsidP="00274753">
            <w:pPr>
              <w:pStyle w:val="Tablewriting"/>
              <w:jc w:val="center"/>
              <w:rPr>
                <w:rFonts w:cstheme="minorHAnsi"/>
              </w:rPr>
            </w:pPr>
            <w:r>
              <w:rPr>
                <w:rFonts w:cstheme="minorHAnsi"/>
              </w:rPr>
              <w:t>Atezolizumab</w:t>
            </w:r>
            <w:r w:rsidR="00D66B79" w:rsidRPr="00122E8F">
              <w:rPr>
                <w:rFonts w:cstheme="minorHAnsi"/>
              </w:rPr>
              <w:t xml:space="preserve"> 1.2 g/20 mL injection, 20 mL vial</w:t>
            </w:r>
          </w:p>
        </w:tc>
        <w:tc>
          <w:tcPr>
            <w:tcW w:w="1701" w:type="dxa"/>
            <w:vAlign w:val="center"/>
          </w:tcPr>
          <w:p w14:paraId="667D0773" w14:textId="7305ED66" w:rsidR="00D66B79" w:rsidRPr="00122E8F" w:rsidDel="00EE2BBB" w:rsidRDefault="00D66B79" w:rsidP="00274753">
            <w:pPr>
              <w:pStyle w:val="Tablewriting"/>
              <w:jc w:val="center"/>
              <w:rPr>
                <w:rFonts w:cstheme="minorHAnsi"/>
              </w:rPr>
            </w:pPr>
            <w:r w:rsidRPr="00122E8F">
              <w:rPr>
                <w:rFonts w:cstheme="minorHAnsi"/>
              </w:rPr>
              <w:t>1200 mg</w:t>
            </w:r>
          </w:p>
        </w:tc>
        <w:tc>
          <w:tcPr>
            <w:tcW w:w="850" w:type="dxa"/>
            <w:vAlign w:val="center"/>
          </w:tcPr>
          <w:p w14:paraId="6593BB24" w14:textId="45716328" w:rsidR="00D66B79" w:rsidRPr="00122E8F" w:rsidDel="00EE2BBB" w:rsidRDefault="00D66B79" w:rsidP="00274753">
            <w:pPr>
              <w:pStyle w:val="Tablewriting"/>
              <w:jc w:val="center"/>
              <w:rPr>
                <w:rFonts w:cstheme="minorHAnsi"/>
              </w:rPr>
            </w:pPr>
            <w:r w:rsidRPr="00122E8F">
              <w:rPr>
                <w:rFonts w:cstheme="minorHAnsi"/>
              </w:rPr>
              <w:t>3</w:t>
            </w:r>
          </w:p>
        </w:tc>
        <w:tc>
          <w:tcPr>
            <w:tcW w:w="1040" w:type="dxa"/>
            <w:vAlign w:val="center"/>
          </w:tcPr>
          <w:p w14:paraId="6F7F3149" w14:textId="2139CD09" w:rsidR="00D66B79" w:rsidRPr="00122E8F" w:rsidDel="00EE2BBB" w:rsidRDefault="00D66B79" w:rsidP="00274753">
            <w:pPr>
              <w:pStyle w:val="Tablewriting"/>
              <w:jc w:val="center"/>
              <w:rPr>
                <w:rFonts w:cstheme="minorHAnsi"/>
              </w:rPr>
            </w:pPr>
            <w:r w:rsidRPr="00122E8F">
              <w:rPr>
                <w:rFonts w:cstheme="minorHAnsi"/>
              </w:rPr>
              <w:t>$6837.50</w:t>
            </w:r>
          </w:p>
        </w:tc>
        <w:tc>
          <w:tcPr>
            <w:tcW w:w="2104" w:type="dxa"/>
            <w:vAlign w:val="center"/>
          </w:tcPr>
          <w:p w14:paraId="7D92BC38" w14:textId="64E0E5EA" w:rsidR="00D66B79" w:rsidRPr="00122E8F" w:rsidDel="00EE2BBB" w:rsidRDefault="00D66B79" w:rsidP="00274753">
            <w:pPr>
              <w:pStyle w:val="Tablewriting"/>
              <w:jc w:val="center"/>
              <w:rPr>
                <w:rFonts w:cstheme="minorHAnsi"/>
              </w:rPr>
            </w:pPr>
            <w:r w:rsidRPr="00122E8F">
              <w:rPr>
                <w:rFonts w:cstheme="minorHAnsi"/>
              </w:rPr>
              <w:t>Tecentriq, Roche Products Pty Ltd</w:t>
            </w:r>
          </w:p>
        </w:tc>
      </w:tr>
      <w:tr w:rsidR="00C113E1" w:rsidRPr="00A35800" w:rsidDel="00EE2BBB" w14:paraId="443E02D0" w14:textId="77777777" w:rsidTr="7440C284">
        <w:trPr>
          <w:trHeight w:val="546"/>
          <w:tblHeader/>
        </w:trPr>
        <w:tc>
          <w:tcPr>
            <w:tcW w:w="969" w:type="dxa"/>
            <w:vAlign w:val="center"/>
          </w:tcPr>
          <w:p w14:paraId="5B8D6028" w14:textId="4FA4A4FF" w:rsidR="00C113E1" w:rsidRPr="00122E8F" w:rsidDel="00EE2BBB" w:rsidRDefault="00C113E1" w:rsidP="00274753">
            <w:pPr>
              <w:pStyle w:val="Tablewriting"/>
              <w:jc w:val="center"/>
              <w:rPr>
                <w:rFonts w:cstheme="minorHAnsi"/>
              </w:rPr>
            </w:pPr>
            <w:r w:rsidRPr="00122E8F">
              <w:rPr>
                <w:rFonts w:cstheme="minorHAnsi"/>
              </w:rPr>
              <w:t>12168K</w:t>
            </w:r>
          </w:p>
        </w:tc>
        <w:tc>
          <w:tcPr>
            <w:tcW w:w="2400" w:type="dxa"/>
            <w:vAlign w:val="center"/>
          </w:tcPr>
          <w:p w14:paraId="59AED1CD" w14:textId="2D7E833B" w:rsidR="00C113E1" w:rsidRPr="00122E8F" w:rsidDel="00EE2BBB" w:rsidRDefault="00B846E6" w:rsidP="00274753">
            <w:pPr>
              <w:pStyle w:val="Tablewriting"/>
              <w:jc w:val="center"/>
              <w:rPr>
                <w:rFonts w:cstheme="minorHAnsi"/>
              </w:rPr>
            </w:pPr>
            <w:r>
              <w:rPr>
                <w:rFonts w:cstheme="minorHAnsi"/>
              </w:rPr>
              <w:t>Atezolizumab</w:t>
            </w:r>
            <w:r w:rsidR="00C113E1" w:rsidRPr="00122E8F">
              <w:rPr>
                <w:rFonts w:cstheme="minorHAnsi"/>
              </w:rPr>
              <w:t xml:space="preserve"> 1.2 g/20 mL injection, 20 mL vial</w:t>
            </w:r>
          </w:p>
        </w:tc>
        <w:tc>
          <w:tcPr>
            <w:tcW w:w="1701" w:type="dxa"/>
            <w:vAlign w:val="center"/>
          </w:tcPr>
          <w:p w14:paraId="22B39C50" w14:textId="31FCB4AB" w:rsidR="00C113E1" w:rsidRPr="00122E8F" w:rsidDel="00EE2BBB" w:rsidRDefault="00C113E1" w:rsidP="00274753">
            <w:pPr>
              <w:pStyle w:val="Tablewriting"/>
              <w:jc w:val="center"/>
              <w:rPr>
                <w:rFonts w:cstheme="minorHAnsi"/>
              </w:rPr>
            </w:pPr>
            <w:r w:rsidRPr="00122E8F">
              <w:rPr>
                <w:rFonts w:cstheme="minorHAnsi"/>
              </w:rPr>
              <w:t>1200 mg</w:t>
            </w:r>
          </w:p>
        </w:tc>
        <w:tc>
          <w:tcPr>
            <w:tcW w:w="850" w:type="dxa"/>
            <w:vAlign w:val="center"/>
          </w:tcPr>
          <w:p w14:paraId="5F805FAF" w14:textId="4841F6ED" w:rsidR="00C113E1" w:rsidRPr="00122E8F" w:rsidDel="00EE2BBB" w:rsidRDefault="00C113E1" w:rsidP="00274753">
            <w:pPr>
              <w:pStyle w:val="Tablewriting"/>
              <w:jc w:val="center"/>
              <w:rPr>
                <w:rFonts w:cstheme="minorHAnsi"/>
              </w:rPr>
            </w:pPr>
            <w:r w:rsidRPr="00122E8F">
              <w:rPr>
                <w:rFonts w:cstheme="minorHAnsi"/>
              </w:rPr>
              <w:t>8</w:t>
            </w:r>
          </w:p>
        </w:tc>
        <w:tc>
          <w:tcPr>
            <w:tcW w:w="1040" w:type="dxa"/>
            <w:vAlign w:val="center"/>
          </w:tcPr>
          <w:p w14:paraId="5AE3A65F" w14:textId="46D7216C" w:rsidR="00C113E1" w:rsidRPr="00122E8F" w:rsidDel="00EE2BBB" w:rsidRDefault="00C113E1" w:rsidP="00274753">
            <w:pPr>
              <w:pStyle w:val="Tablewriting"/>
              <w:jc w:val="center"/>
              <w:rPr>
                <w:rFonts w:cstheme="minorHAnsi"/>
              </w:rPr>
            </w:pPr>
            <w:r w:rsidRPr="00122E8F">
              <w:rPr>
                <w:rFonts w:cstheme="minorHAnsi"/>
              </w:rPr>
              <w:t>$6837.50</w:t>
            </w:r>
          </w:p>
        </w:tc>
        <w:tc>
          <w:tcPr>
            <w:tcW w:w="2104" w:type="dxa"/>
            <w:vAlign w:val="center"/>
          </w:tcPr>
          <w:p w14:paraId="6A7276A2" w14:textId="462A1403" w:rsidR="00C113E1" w:rsidRPr="00122E8F" w:rsidDel="00EE2BBB" w:rsidRDefault="00C113E1" w:rsidP="00274753">
            <w:pPr>
              <w:pStyle w:val="Tablewriting"/>
              <w:jc w:val="center"/>
              <w:rPr>
                <w:rFonts w:cstheme="minorHAnsi"/>
              </w:rPr>
            </w:pPr>
            <w:r w:rsidRPr="00122E8F">
              <w:rPr>
                <w:rFonts w:cstheme="minorHAnsi"/>
              </w:rPr>
              <w:t>Tecentriq, Roche Products Pty Ltd</w:t>
            </w:r>
          </w:p>
        </w:tc>
      </w:tr>
      <w:tr w:rsidR="00B654F4" w:rsidRPr="00A35800" w:rsidDel="00EE2BBB" w14:paraId="7D4920A2" w14:textId="77777777" w:rsidTr="7440C284">
        <w:trPr>
          <w:trHeight w:val="546"/>
          <w:tblHeader/>
        </w:trPr>
        <w:tc>
          <w:tcPr>
            <w:tcW w:w="969" w:type="dxa"/>
            <w:vAlign w:val="center"/>
          </w:tcPr>
          <w:p w14:paraId="4D60F8D0" w14:textId="77777777" w:rsidR="00B654F4" w:rsidRPr="00122E8F" w:rsidRDefault="00B654F4" w:rsidP="00274753">
            <w:pPr>
              <w:jc w:val="center"/>
              <w:rPr>
                <w:rFonts w:cstheme="minorHAnsi"/>
                <w:color w:val="000000"/>
                <w:sz w:val="20"/>
                <w:szCs w:val="20"/>
              </w:rPr>
            </w:pPr>
            <w:r w:rsidRPr="00122E8F">
              <w:rPr>
                <w:rFonts w:cstheme="minorHAnsi"/>
                <w:color w:val="000000"/>
                <w:sz w:val="20"/>
                <w:szCs w:val="20"/>
              </w:rPr>
              <w:t>12174R</w:t>
            </w:r>
          </w:p>
          <w:p w14:paraId="0A1F8520" w14:textId="77777777" w:rsidR="00B654F4" w:rsidRPr="00122E8F" w:rsidDel="00EE2BBB" w:rsidRDefault="00B654F4" w:rsidP="00274753">
            <w:pPr>
              <w:pStyle w:val="Tablewriting"/>
              <w:jc w:val="center"/>
              <w:rPr>
                <w:rFonts w:cstheme="minorHAnsi"/>
              </w:rPr>
            </w:pPr>
          </w:p>
        </w:tc>
        <w:tc>
          <w:tcPr>
            <w:tcW w:w="2400" w:type="dxa"/>
            <w:vAlign w:val="center"/>
          </w:tcPr>
          <w:p w14:paraId="7642CFB9" w14:textId="01EC496A" w:rsidR="00B654F4" w:rsidRPr="00122E8F" w:rsidDel="00EE2BBB" w:rsidRDefault="00B846E6" w:rsidP="00274753">
            <w:pPr>
              <w:pStyle w:val="Tablewriting"/>
              <w:jc w:val="center"/>
              <w:rPr>
                <w:rFonts w:cstheme="minorHAnsi"/>
              </w:rPr>
            </w:pPr>
            <w:r>
              <w:rPr>
                <w:rFonts w:cstheme="minorHAnsi"/>
              </w:rPr>
              <w:t>Atezolizumab</w:t>
            </w:r>
            <w:r w:rsidR="00B654F4" w:rsidRPr="00122E8F">
              <w:rPr>
                <w:rFonts w:cstheme="minorHAnsi"/>
              </w:rPr>
              <w:t xml:space="preserve"> 840 mg/14 mL injection, 14 mL vial</w:t>
            </w:r>
          </w:p>
        </w:tc>
        <w:tc>
          <w:tcPr>
            <w:tcW w:w="1701" w:type="dxa"/>
            <w:vAlign w:val="center"/>
          </w:tcPr>
          <w:p w14:paraId="7C27E7C3" w14:textId="6C29FCAC" w:rsidR="00B654F4" w:rsidRPr="00122E8F" w:rsidDel="00EE2BBB" w:rsidRDefault="00B654F4" w:rsidP="00274753">
            <w:pPr>
              <w:pStyle w:val="Tablewriting"/>
              <w:jc w:val="center"/>
              <w:rPr>
                <w:rFonts w:cstheme="minorHAnsi"/>
              </w:rPr>
            </w:pPr>
            <w:r w:rsidRPr="00122E8F">
              <w:rPr>
                <w:rFonts w:cstheme="minorHAnsi"/>
              </w:rPr>
              <w:t>1680 mg</w:t>
            </w:r>
          </w:p>
        </w:tc>
        <w:tc>
          <w:tcPr>
            <w:tcW w:w="850" w:type="dxa"/>
            <w:vAlign w:val="center"/>
          </w:tcPr>
          <w:p w14:paraId="21F311E9" w14:textId="21CF40EE" w:rsidR="00B654F4" w:rsidRPr="00122E8F" w:rsidDel="00EE2BBB" w:rsidRDefault="00B654F4" w:rsidP="00274753">
            <w:pPr>
              <w:pStyle w:val="Tablewriting"/>
              <w:jc w:val="center"/>
              <w:rPr>
                <w:rFonts w:cstheme="minorHAnsi"/>
              </w:rPr>
            </w:pPr>
            <w:r w:rsidRPr="00122E8F">
              <w:rPr>
                <w:rFonts w:cstheme="minorHAnsi"/>
              </w:rPr>
              <w:t>5</w:t>
            </w:r>
          </w:p>
        </w:tc>
        <w:tc>
          <w:tcPr>
            <w:tcW w:w="1040" w:type="dxa"/>
            <w:vAlign w:val="center"/>
          </w:tcPr>
          <w:p w14:paraId="0502EB0B" w14:textId="34999A87" w:rsidR="00B654F4" w:rsidRPr="00122E8F" w:rsidDel="00EE2BBB" w:rsidRDefault="005E4F65" w:rsidP="00274753">
            <w:pPr>
              <w:pStyle w:val="Tablewriting"/>
              <w:jc w:val="center"/>
              <w:rPr>
                <w:rFonts w:cstheme="minorHAnsi"/>
              </w:rPr>
            </w:pPr>
            <w:r w:rsidRPr="00122E8F">
              <w:rPr>
                <w:rFonts w:cstheme="minorHAnsi"/>
              </w:rPr>
              <w:t>$9536.43</w:t>
            </w:r>
          </w:p>
        </w:tc>
        <w:tc>
          <w:tcPr>
            <w:tcW w:w="2104" w:type="dxa"/>
            <w:vAlign w:val="center"/>
          </w:tcPr>
          <w:p w14:paraId="5BFFBED7" w14:textId="7BCE20B6" w:rsidR="00B654F4" w:rsidRPr="00122E8F" w:rsidDel="00EE2BBB" w:rsidRDefault="00B654F4" w:rsidP="00274753">
            <w:pPr>
              <w:pStyle w:val="Tablewriting"/>
              <w:jc w:val="center"/>
              <w:rPr>
                <w:rFonts w:cstheme="minorHAnsi"/>
              </w:rPr>
            </w:pPr>
            <w:r w:rsidRPr="00122E8F">
              <w:rPr>
                <w:rFonts w:cstheme="minorHAnsi"/>
              </w:rPr>
              <w:t>Tecentriq, Roche Products Pty Ltd</w:t>
            </w:r>
          </w:p>
        </w:tc>
      </w:tr>
      <w:tr w:rsidR="00B654F4" w:rsidRPr="00A35800" w:rsidDel="00EE2BBB" w14:paraId="153D8D17" w14:textId="77777777" w:rsidTr="7440C284">
        <w:trPr>
          <w:trHeight w:val="546"/>
          <w:tblHeader/>
        </w:trPr>
        <w:tc>
          <w:tcPr>
            <w:tcW w:w="969" w:type="dxa"/>
            <w:vAlign w:val="center"/>
          </w:tcPr>
          <w:p w14:paraId="713631FD" w14:textId="77777777" w:rsidR="00E42767" w:rsidRPr="00122E8F" w:rsidRDefault="00E42767" w:rsidP="00274753">
            <w:pPr>
              <w:jc w:val="center"/>
              <w:rPr>
                <w:rFonts w:cstheme="minorHAnsi"/>
                <w:color w:val="000000"/>
                <w:sz w:val="20"/>
                <w:szCs w:val="20"/>
              </w:rPr>
            </w:pPr>
            <w:r w:rsidRPr="00122E8F">
              <w:rPr>
                <w:rFonts w:cstheme="minorHAnsi"/>
                <w:color w:val="000000"/>
                <w:sz w:val="20"/>
                <w:szCs w:val="20"/>
              </w:rPr>
              <w:t>14278L</w:t>
            </w:r>
          </w:p>
          <w:p w14:paraId="134A5DBE" w14:textId="77777777" w:rsidR="00B654F4" w:rsidRPr="00122E8F" w:rsidDel="00EE2BBB" w:rsidRDefault="00B654F4" w:rsidP="00274753">
            <w:pPr>
              <w:pStyle w:val="Tablewriting"/>
              <w:jc w:val="center"/>
              <w:rPr>
                <w:rFonts w:cstheme="minorHAnsi"/>
              </w:rPr>
            </w:pPr>
          </w:p>
        </w:tc>
        <w:tc>
          <w:tcPr>
            <w:tcW w:w="2400" w:type="dxa"/>
            <w:vAlign w:val="center"/>
          </w:tcPr>
          <w:p w14:paraId="26FB0A8E" w14:textId="1CD27619" w:rsidR="00B654F4" w:rsidRPr="00122E8F" w:rsidDel="00EE2BBB" w:rsidRDefault="00B846E6" w:rsidP="00274753">
            <w:pPr>
              <w:pStyle w:val="Tablewriting"/>
              <w:jc w:val="center"/>
              <w:rPr>
                <w:rFonts w:cstheme="minorHAnsi"/>
              </w:rPr>
            </w:pPr>
            <w:r>
              <w:rPr>
                <w:rFonts w:cstheme="minorHAnsi"/>
              </w:rPr>
              <w:t>Atezolizumab</w:t>
            </w:r>
            <w:r w:rsidR="00E42767" w:rsidRPr="00122E8F">
              <w:rPr>
                <w:rFonts w:cstheme="minorHAnsi"/>
              </w:rPr>
              <w:t xml:space="preserve"> 1.875 g/15 mL injection, 15 mL vial</w:t>
            </w:r>
          </w:p>
        </w:tc>
        <w:tc>
          <w:tcPr>
            <w:tcW w:w="1701" w:type="dxa"/>
            <w:vAlign w:val="center"/>
          </w:tcPr>
          <w:p w14:paraId="07D0BCD6" w14:textId="73C032EE" w:rsidR="00B654F4" w:rsidRPr="00122E8F" w:rsidDel="00EE2BBB" w:rsidRDefault="00E42767" w:rsidP="00274753">
            <w:pPr>
              <w:pStyle w:val="Tablewriting"/>
              <w:jc w:val="center"/>
              <w:rPr>
                <w:rFonts w:cstheme="minorHAnsi"/>
              </w:rPr>
            </w:pPr>
            <w:r w:rsidRPr="00122E8F">
              <w:rPr>
                <w:rFonts w:cstheme="minorHAnsi"/>
              </w:rPr>
              <w:t>1</w:t>
            </w:r>
          </w:p>
        </w:tc>
        <w:tc>
          <w:tcPr>
            <w:tcW w:w="850" w:type="dxa"/>
            <w:vAlign w:val="center"/>
          </w:tcPr>
          <w:p w14:paraId="6DE909A6" w14:textId="5EAA4B5C" w:rsidR="00B654F4" w:rsidRPr="00122E8F" w:rsidDel="00EE2BBB" w:rsidRDefault="00AA23AD" w:rsidP="00274753">
            <w:pPr>
              <w:pStyle w:val="Tablewriting"/>
              <w:jc w:val="center"/>
              <w:rPr>
                <w:rFonts w:cstheme="minorHAnsi"/>
              </w:rPr>
            </w:pPr>
            <w:r w:rsidRPr="00122E8F">
              <w:rPr>
                <w:rFonts w:cstheme="minorHAnsi"/>
              </w:rPr>
              <w:t>3</w:t>
            </w:r>
          </w:p>
        </w:tc>
        <w:tc>
          <w:tcPr>
            <w:tcW w:w="1040" w:type="dxa"/>
            <w:vAlign w:val="center"/>
          </w:tcPr>
          <w:p w14:paraId="20241014" w14:textId="09515113" w:rsidR="00B654F4" w:rsidRPr="00122E8F" w:rsidDel="00EE2BBB" w:rsidRDefault="006E4BCF" w:rsidP="00274753">
            <w:pPr>
              <w:pStyle w:val="Tablewriting"/>
              <w:jc w:val="center"/>
              <w:rPr>
                <w:rFonts w:cstheme="minorHAnsi"/>
              </w:rPr>
            </w:pPr>
            <w:r w:rsidRPr="00122E8F">
              <w:rPr>
                <w:rFonts w:cstheme="minorHAnsi"/>
              </w:rPr>
              <w:t>$6909.97</w:t>
            </w:r>
          </w:p>
        </w:tc>
        <w:tc>
          <w:tcPr>
            <w:tcW w:w="2104" w:type="dxa"/>
            <w:vAlign w:val="center"/>
          </w:tcPr>
          <w:p w14:paraId="2289A2F6" w14:textId="49441AA0" w:rsidR="00B654F4" w:rsidRPr="00122E8F" w:rsidDel="00EE2BBB" w:rsidRDefault="006E4BCF" w:rsidP="00274753">
            <w:pPr>
              <w:pStyle w:val="Tablewriting"/>
              <w:jc w:val="center"/>
              <w:rPr>
                <w:rFonts w:cstheme="minorHAnsi"/>
              </w:rPr>
            </w:pPr>
            <w:r w:rsidRPr="00122E8F">
              <w:rPr>
                <w:rFonts w:cstheme="minorHAnsi"/>
              </w:rPr>
              <w:t>Tecentriq SC, Roche Products Pty Ltd</w:t>
            </w:r>
          </w:p>
        </w:tc>
      </w:tr>
      <w:tr w:rsidR="008C45EF" w:rsidRPr="00A35800" w:rsidDel="00EE2BBB" w14:paraId="30900240" w14:textId="77777777" w:rsidTr="7440C284">
        <w:trPr>
          <w:trHeight w:val="546"/>
          <w:tblHeader/>
        </w:trPr>
        <w:tc>
          <w:tcPr>
            <w:tcW w:w="969" w:type="dxa"/>
            <w:vAlign w:val="center"/>
          </w:tcPr>
          <w:p w14:paraId="2E20129D" w14:textId="77777777" w:rsidR="008C45EF" w:rsidRPr="00122E8F" w:rsidRDefault="008C45EF" w:rsidP="00274753">
            <w:pPr>
              <w:jc w:val="center"/>
              <w:rPr>
                <w:rFonts w:cstheme="minorHAnsi"/>
                <w:color w:val="000000"/>
                <w:sz w:val="20"/>
                <w:szCs w:val="20"/>
              </w:rPr>
            </w:pPr>
            <w:r w:rsidRPr="00122E8F">
              <w:rPr>
                <w:rFonts w:cstheme="minorHAnsi"/>
                <w:color w:val="000000"/>
                <w:sz w:val="20"/>
                <w:szCs w:val="20"/>
              </w:rPr>
              <w:t>14277K</w:t>
            </w:r>
          </w:p>
          <w:p w14:paraId="527AF01B" w14:textId="77777777" w:rsidR="008C45EF" w:rsidRPr="00122E8F" w:rsidDel="00EE2BBB" w:rsidRDefault="008C45EF" w:rsidP="00274753">
            <w:pPr>
              <w:pStyle w:val="Tablewriting"/>
              <w:jc w:val="center"/>
              <w:rPr>
                <w:rFonts w:cstheme="minorHAnsi"/>
              </w:rPr>
            </w:pPr>
          </w:p>
        </w:tc>
        <w:tc>
          <w:tcPr>
            <w:tcW w:w="2400" w:type="dxa"/>
            <w:vAlign w:val="center"/>
          </w:tcPr>
          <w:p w14:paraId="515A0AC8" w14:textId="6D0E1380" w:rsidR="008C45EF" w:rsidRPr="00122E8F" w:rsidDel="00EE2BBB" w:rsidRDefault="00B846E6" w:rsidP="00274753">
            <w:pPr>
              <w:pStyle w:val="Tablewriting"/>
              <w:jc w:val="center"/>
              <w:rPr>
                <w:rFonts w:cstheme="minorHAnsi"/>
              </w:rPr>
            </w:pPr>
            <w:r>
              <w:rPr>
                <w:rFonts w:cstheme="minorHAnsi"/>
              </w:rPr>
              <w:t>Atezolizumab</w:t>
            </w:r>
            <w:r w:rsidR="008C45EF" w:rsidRPr="00122E8F">
              <w:rPr>
                <w:rFonts w:cstheme="minorHAnsi"/>
              </w:rPr>
              <w:t xml:space="preserve"> 1.875 g/15 mL injection, 15 mL vial</w:t>
            </w:r>
          </w:p>
        </w:tc>
        <w:tc>
          <w:tcPr>
            <w:tcW w:w="1701" w:type="dxa"/>
            <w:vAlign w:val="center"/>
          </w:tcPr>
          <w:p w14:paraId="065C85BC" w14:textId="7578B991" w:rsidR="008C45EF" w:rsidRPr="00122E8F" w:rsidDel="00EE2BBB" w:rsidRDefault="008C45EF" w:rsidP="00274753">
            <w:pPr>
              <w:pStyle w:val="Tablewriting"/>
              <w:jc w:val="center"/>
              <w:rPr>
                <w:rFonts w:cstheme="minorHAnsi"/>
              </w:rPr>
            </w:pPr>
            <w:r w:rsidRPr="00122E8F">
              <w:rPr>
                <w:rFonts w:cstheme="minorHAnsi"/>
              </w:rPr>
              <w:t>1</w:t>
            </w:r>
          </w:p>
        </w:tc>
        <w:tc>
          <w:tcPr>
            <w:tcW w:w="850" w:type="dxa"/>
            <w:vAlign w:val="center"/>
          </w:tcPr>
          <w:p w14:paraId="26832011" w14:textId="37874A3D" w:rsidR="008C45EF" w:rsidRPr="00122E8F" w:rsidDel="00EE2BBB" w:rsidRDefault="008C45EF" w:rsidP="00274753">
            <w:pPr>
              <w:pStyle w:val="Tablewriting"/>
              <w:jc w:val="center"/>
              <w:rPr>
                <w:rFonts w:cstheme="minorHAnsi"/>
              </w:rPr>
            </w:pPr>
            <w:r w:rsidRPr="00122E8F">
              <w:rPr>
                <w:rFonts w:cstheme="minorHAnsi"/>
              </w:rPr>
              <w:t>3</w:t>
            </w:r>
          </w:p>
        </w:tc>
        <w:tc>
          <w:tcPr>
            <w:tcW w:w="1040" w:type="dxa"/>
            <w:vAlign w:val="center"/>
          </w:tcPr>
          <w:p w14:paraId="0F71EA72" w14:textId="3DA3414A" w:rsidR="008C45EF" w:rsidRPr="00122E8F" w:rsidDel="00EE2BBB" w:rsidRDefault="00AA23AD" w:rsidP="00274753">
            <w:pPr>
              <w:pStyle w:val="Tablewriting"/>
              <w:jc w:val="center"/>
              <w:rPr>
                <w:rFonts w:cstheme="minorHAnsi"/>
              </w:rPr>
            </w:pPr>
            <w:r w:rsidRPr="00122E8F">
              <w:rPr>
                <w:rFonts w:cstheme="minorHAnsi"/>
              </w:rPr>
              <w:t>$6747.37</w:t>
            </w:r>
          </w:p>
        </w:tc>
        <w:tc>
          <w:tcPr>
            <w:tcW w:w="2104" w:type="dxa"/>
            <w:vAlign w:val="center"/>
          </w:tcPr>
          <w:p w14:paraId="203BC8B8" w14:textId="4FD39BA5" w:rsidR="008C45EF" w:rsidRPr="00122E8F" w:rsidDel="00EE2BBB" w:rsidRDefault="008C45EF" w:rsidP="00274753">
            <w:pPr>
              <w:pStyle w:val="Tablewriting"/>
              <w:jc w:val="center"/>
              <w:rPr>
                <w:rFonts w:cstheme="minorHAnsi"/>
              </w:rPr>
            </w:pPr>
            <w:r w:rsidRPr="00122E8F">
              <w:rPr>
                <w:rFonts w:cstheme="minorHAnsi"/>
              </w:rPr>
              <w:t>Tecentriq SC, Roche Products Pty Ltd</w:t>
            </w:r>
          </w:p>
        </w:tc>
      </w:tr>
      <w:tr w:rsidR="00D1067D" w:rsidRPr="00A35800" w:rsidDel="00EE2BBB" w14:paraId="2ADE320D" w14:textId="77777777" w:rsidTr="7440C284">
        <w:trPr>
          <w:trHeight w:val="546"/>
          <w:tblHeader/>
        </w:trPr>
        <w:tc>
          <w:tcPr>
            <w:tcW w:w="969" w:type="dxa"/>
            <w:vAlign w:val="center"/>
          </w:tcPr>
          <w:p w14:paraId="499B4239" w14:textId="4786E2DA" w:rsidR="00D1067D" w:rsidRPr="00122E8F" w:rsidDel="00EE2BBB" w:rsidRDefault="00D1067D" w:rsidP="00274753">
            <w:pPr>
              <w:pStyle w:val="Tablewriting"/>
              <w:jc w:val="center"/>
              <w:rPr>
                <w:rFonts w:cstheme="minorHAnsi"/>
              </w:rPr>
            </w:pPr>
            <w:r w:rsidRPr="00122E8F">
              <w:rPr>
                <w:rFonts w:cstheme="minorHAnsi"/>
              </w:rPr>
              <w:t>14575D</w:t>
            </w:r>
          </w:p>
        </w:tc>
        <w:tc>
          <w:tcPr>
            <w:tcW w:w="2400" w:type="dxa"/>
            <w:vAlign w:val="center"/>
          </w:tcPr>
          <w:p w14:paraId="64486969" w14:textId="69372062" w:rsidR="00D1067D" w:rsidRPr="00122E8F" w:rsidDel="00EE2BBB" w:rsidRDefault="00B846E6" w:rsidP="00274753">
            <w:pPr>
              <w:pStyle w:val="Tablewriting"/>
              <w:jc w:val="center"/>
              <w:rPr>
                <w:rFonts w:cstheme="minorHAnsi"/>
              </w:rPr>
            </w:pPr>
            <w:r>
              <w:rPr>
                <w:rFonts w:cstheme="minorHAnsi"/>
              </w:rPr>
              <w:t>Atezolizumab</w:t>
            </w:r>
            <w:r w:rsidR="00D1067D" w:rsidRPr="00122E8F">
              <w:rPr>
                <w:rFonts w:cstheme="minorHAnsi"/>
              </w:rPr>
              <w:t xml:space="preserve"> 1.875 g/15 mL injection, 15 mL vial</w:t>
            </w:r>
          </w:p>
        </w:tc>
        <w:tc>
          <w:tcPr>
            <w:tcW w:w="1701" w:type="dxa"/>
            <w:vAlign w:val="center"/>
          </w:tcPr>
          <w:p w14:paraId="4900BFC7" w14:textId="392B53BC" w:rsidR="00D1067D" w:rsidRPr="00122E8F" w:rsidDel="00EE2BBB" w:rsidRDefault="00D1067D" w:rsidP="00274753">
            <w:pPr>
              <w:pStyle w:val="Tablewriting"/>
              <w:jc w:val="center"/>
              <w:rPr>
                <w:rFonts w:cstheme="minorHAnsi"/>
              </w:rPr>
            </w:pPr>
            <w:r w:rsidRPr="00122E8F">
              <w:rPr>
                <w:rFonts w:cstheme="minorHAnsi"/>
              </w:rPr>
              <w:t>1</w:t>
            </w:r>
          </w:p>
        </w:tc>
        <w:tc>
          <w:tcPr>
            <w:tcW w:w="850" w:type="dxa"/>
            <w:vAlign w:val="center"/>
          </w:tcPr>
          <w:p w14:paraId="3CCA1EF1" w14:textId="1A5017EA" w:rsidR="00D1067D" w:rsidRPr="00122E8F" w:rsidDel="00EE2BBB" w:rsidRDefault="00D1067D" w:rsidP="00274753">
            <w:pPr>
              <w:pStyle w:val="Tablewriting"/>
              <w:jc w:val="center"/>
              <w:rPr>
                <w:rFonts w:cstheme="minorHAnsi"/>
              </w:rPr>
            </w:pPr>
            <w:r w:rsidRPr="00122E8F">
              <w:rPr>
                <w:rFonts w:cstheme="minorHAnsi"/>
              </w:rPr>
              <w:t>8</w:t>
            </w:r>
          </w:p>
        </w:tc>
        <w:tc>
          <w:tcPr>
            <w:tcW w:w="1040" w:type="dxa"/>
            <w:vAlign w:val="center"/>
          </w:tcPr>
          <w:p w14:paraId="3111E1BD" w14:textId="5AC1198D" w:rsidR="00D1067D" w:rsidRPr="00122E8F" w:rsidDel="00EE2BBB" w:rsidRDefault="00D1067D" w:rsidP="00274753">
            <w:pPr>
              <w:pStyle w:val="Tablewriting"/>
              <w:jc w:val="center"/>
              <w:rPr>
                <w:rFonts w:cstheme="minorHAnsi"/>
              </w:rPr>
            </w:pPr>
            <w:r w:rsidRPr="00122E8F">
              <w:rPr>
                <w:rFonts w:cstheme="minorHAnsi"/>
              </w:rPr>
              <w:t>$6747.37</w:t>
            </w:r>
          </w:p>
        </w:tc>
        <w:tc>
          <w:tcPr>
            <w:tcW w:w="2104" w:type="dxa"/>
            <w:vAlign w:val="center"/>
          </w:tcPr>
          <w:p w14:paraId="160DCF80" w14:textId="3CFE2006" w:rsidR="00D1067D" w:rsidRPr="00122E8F" w:rsidDel="00EE2BBB" w:rsidRDefault="00D1067D" w:rsidP="00274753">
            <w:pPr>
              <w:pStyle w:val="Tablewriting"/>
              <w:jc w:val="center"/>
              <w:rPr>
                <w:rFonts w:cstheme="minorHAnsi"/>
              </w:rPr>
            </w:pPr>
            <w:r w:rsidRPr="00122E8F">
              <w:rPr>
                <w:rFonts w:cstheme="minorHAnsi"/>
              </w:rPr>
              <w:t>Tecentriq SC, Roche Products Pty Ltd</w:t>
            </w:r>
          </w:p>
        </w:tc>
      </w:tr>
      <w:tr w:rsidR="000357AC" w:rsidRPr="00A35800" w:rsidDel="00EE2BBB" w14:paraId="2432965A" w14:textId="77777777" w:rsidTr="7440C284">
        <w:trPr>
          <w:trHeight w:val="546"/>
          <w:tblHeader/>
        </w:trPr>
        <w:tc>
          <w:tcPr>
            <w:tcW w:w="969" w:type="dxa"/>
            <w:vAlign w:val="center"/>
          </w:tcPr>
          <w:p w14:paraId="081BE055" w14:textId="0F32B787" w:rsidR="000357AC" w:rsidRPr="00122E8F" w:rsidRDefault="000357AC" w:rsidP="00274753">
            <w:pPr>
              <w:pStyle w:val="Tablewriting"/>
              <w:jc w:val="center"/>
              <w:rPr>
                <w:rFonts w:cstheme="minorHAnsi"/>
              </w:rPr>
            </w:pPr>
            <w:r w:rsidRPr="00122E8F">
              <w:rPr>
                <w:rFonts w:cstheme="minorHAnsi"/>
              </w:rPr>
              <w:t>14566P</w:t>
            </w:r>
          </w:p>
        </w:tc>
        <w:tc>
          <w:tcPr>
            <w:tcW w:w="2400" w:type="dxa"/>
            <w:vAlign w:val="center"/>
          </w:tcPr>
          <w:p w14:paraId="3079DAB3" w14:textId="3CA12017" w:rsidR="000357AC" w:rsidRPr="00122E8F" w:rsidDel="00EE2BBB" w:rsidRDefault="00B846E6" w:rsidP="00274753">
            <w:pPr>
              <w:pStyle w:val="Tablewriting"/>
              <w:jc w:val="center"/>
              <w:rPr>
                <w:rFonts w:cstheme="minorHAnsi"/>
              </w:rPr>
            </w:pPr>
            <w:r>
              <w:rPr>
                <w:rFonts w:cstheme="minorHAnsi"/>
              </w:rPr>
              <w:t>Atezolizumab</w:t>
            </w:r>
            <w:r w:rsidR="000357AC" w:rsidRPr="00122E8F">
              <w:rPr>
                <w:rFonts w:cstheme="minorHAnsi"/>
              </w:rPr>
              <w:t xml:space="preserve"> 1.875 g/15 mL injection, 15 mL vial</w:t>
            </w:r>
          </w:p>
        </w:tc>
        <w:tc>
          <w:tcPr>
            <w:tcW w:w="1701" w:type="dxa"/>
            <w:vAlign w:val="center"/>
          </w:tcPr>
          <w:p w14:paraId="4DC7C143" w14:textId="78911027" w:rsidR="000357AC" w:rsidRPr="00122E8F" w:rsidDel="00EE2BBB" w:rsidRDefault="000357AC" w:rsidP="00274753">
            <w:pPr>
              <w:pStyle w:val="Tablewriting"/>
              <w:jc w:val="center"/>
              <w:rPr>
                <w:rFonts w:cstheme="minorHAnsi"/>
              </w:rPr>
            </w:pPr>
            <w:r w:rsidRPr="00122E8F">
              <w:rPr>
                <w:rFonts w:cstheme="minorHAnsi"/>
              </w:rPr>
              <w:t>1</w:t>
            </w:r>
          </w:p>
        </w:tc>
        <w:tc>
          <w:tcPr>
            <w:tcW w:w="850" w:type="dxa"/>
            <w:vAlign w:val="center"/>
          </w:tcPr>
          <w:p w14:paraId="034DF36F" w14:textId="306E7110" w:rsidR="000357AC" w:rsidRPr="00122E8F" w:rsidDel="00EE2BBB" w:rsidRDefault="000357AC" w:rsidP="00274753">
            <w:pPr>
              <w:pStyle w:val="Tablewriting"/>
              <w:jc w:val="center"/>
              <w:rPr>
                <w:rFonts w:cstheme="minorHAnsi"/>
              </w:rPr>
            </w:pPr>
            <w:r w:rsidRPr="00122E8F">
              <w:rPr>
                <w:rFonts w:cstheme="minorHAnsi"/>
              </w:rPr>
              <w:t>8</w:t>
            </w:r>
          </w:p>
        </w:tc>
        <w:tc>
          <w:tcPr>
            <w:tcW w:w="1040" w:type="dxa"/>
            <w:vAlign w:val="center"/>
          </w:tcPr>
          <w:p w14:paraId="60809B13" w14:textId="6D4C3231" w:rsidR="000357AC" w:rsidRPr="00122E8F" w:rsidDel="00EE2BBB" w:rsidRDefault="000357AC" w:rsidP="00274753">
            <w:pPr>
              <w:pStyle w:val="Tablewriting"/>
              <w:jc w:val="center"/>
              <w:rPr>
                <w:rFonts w:cstheme="minorHAnsi"/>
              </w:rPr>
            </w:pPr>
            <w:r w:rsidRPr="00122E8F">
              <w:rPr>
                <w:rFonts w:cstheme="minorHAnsi"/>
              </w:rPr>
              <w:t>$6909.97</w:t>
            </w:r>
          </w:p>
        </w:tc>
        <w:tc>
          <w:tcPr>
            <w:tcW w:w="2104" w:type="dxa"/>
            <w:vAlign w:val="center"/>
          </w:tcPr>
          <w:p w14:paraId="40CA191F" w14:textId="1F2E6A07" w:rsidR="000357AC" w:rsidRPr="00122E8F" w:rsidDel="00EE2BBB" w:rsidRDefault="000357AC" w:rsidP="00274753">
            <w:pPr>
              <w:pStyle w:val="Tablewriting"/>
              <w:jc w:val="center"/>
              <w:rPr>
                <w:rFonts w:cstheme="minorHAnsi"/>
              </w:rPr>
            </w:pPr>
            <w:r w:rsidRPr="00122E8F">
              <w:rPr>
                <w:rFonts w:cstheme="minorHAnsi"/>
              </w:rPr>
              <w:t>Tecentriq SC, Roche Products Pty Ltd</w:t>
            </w:r>
          </w:p>
        </w:tc>
      </w:tr>
    </w:tbl>
    <w:p w14:paraId="0BE42F3C" w14:textId="33D8155B" w:rsidR="003D09BE" w:rsidRPr="00A35800" w:rsidDel="00EE2BBB" w:rsidRDefault="007408C7" w:rsidP="005C078A">
      <w:pPr>
        <w:pStyle w:val="Notes"/>
        <w:spacing w:after="0"/>
      </w:pPr>
      <w:r w:rsidRPr="00A35800" w:rsidDel="00EE2BBB">
        <w:t xml:space="preserve">Source: </w:t>
      </w:r>
      <w:r w:rsidR="001624D7" w:rsidDel="00EE2BBB">
        <w:t xml:space="preserve">the </w:t>
      </w:r>
      <w:hyperlink r:id="rId10" w:history="1">
        <w:r w:rsidR="001624D7" w:rsidRPr="001624D7" w:rsidDel="00EE2BBB">
          <w:rPr>
            <w:rStyle w:val="Hyperlink"/>
          </w:rPr>
          <w:t>PBS website</w:t>
        </w:r>
      </w:hyperlink>
      <w:r w:rsidR="001624D7" w:rsidDel="00EE2BBB">
        <w:t>.</w:t>
      </w:r>
      <w:r w:rsidR="0080485E" w:rsidDel="00EE2BBB">
        <w:t xml:space="preserve">  </w:t>
      </w:r>
      <w:r w:rsidR="00FB008D">
        <w:t xml:space="preserve">A </w:t>
      </w:r>
      <w:r w:rsidR="0080485E" w:rsidRPr="0080485E" w:rsidDel="00EE2BBB">
        <w:t>Special Pricing Arrangement is in place.</w:t>
      </w:r>
    </w:p>
    <w:p w14:paraId="1AFA1485" w14:textId="3186A599" w:rsidR="004C3186" w:rsidDel="00EE2BBB" w:rsidRDefault="004C3186" w:rsidP="00CF5E22">
      <w:pPr>
        <w:pStyle w:val="Heading3"/>
      </w:pPr>
      <w:r w:rsidDel="00EE2BBB">
        <w:lastRenderedPageBreak/>
        <w:t>Restriction</w:t>
      </w:r>
    </w:p>
    <w:p w14:paraId="7DF4935F" w14:textId="51CE56F6" w:rsidR="00007154" w:rsidRDefault="00007154" w:rsidP="00007154">
      <w:r>
        <w:t>Advanced (unresectable) Barcelona Clinic Liver Cancer Stage B or Stage C hepatocellular carcinoma</w:t>
      </w:r>
      <w:r w:rsidR="00FB008D">
        <w:t>.</w:t>
      </w:r>
    </w:p>
    <w:p w14:paraId="142E84AC" w14:textId="77777777" w:rsidR="00E25F30" w:rsidRDefault="00E25F30" w:rsidP="00C60232">
      <w:pPr>
        <w:spacing w:after="0"/>
        <w:rPr>
          <w:u w:val="single"/>
        </w:rPr>
      </w:pPr>
      <w:r w:rsidRPr="00E25F30">
        <w:rPr>
          <w:u w:val="single"/>
        </w:rPr>
        <w:t>Treatment Phase: Initial treatment</w:t>
      </w:r>
    </w:p>
    <w:p w14:paraId="5F71D72D" w14:textId="77777777" w:rsidR="00FB008D" w:rsidRPr="00E25F30" w:rsidRDefault="00FB008D" w:rsidP="00C60232">
      <w:pPr>
        <w:spacing w:after="0"/>
        <w:rPr>
          <w:u w:val="single"/>
        </w:rPr>
      </w:pPr>
    </w:p>
    <w:p w14:paraId="57A480FE" w14:textId="77777777" w:rsidR="00E25F30" w:rsidRPr="00E25F30" w:rsidRDefault="00E25F30" w:rsidP="00C60232">
      <w:pPr>
        <w:spacing w:after="0"/>
      </w:pPr>
      <w:r>
        <w:t>Treatment criteria:</w:t>
      </w:r>
    </w:p>
    <w:p w14:paraId="5CF56730" w14:textId="67717703" w:rsidR="00E25F30" w:rsidRPr="00E25F30" w:rsidRDefault="00E25F30" w:rsidP="00C60232">
      <w:pPr>
        <w:numPr>
          <w:ilvl w:val="0"/>
          <w:numId w:val="7"/>
        </w:numPr>
        <w:spacing w:after="0"/>
      </w:pPr>
      <w:r>
        <w:t xml:space="preserve">Patient must be undergoing combination treatment with </w:t>
      </w:r>
      <w:r w:rsidR="00D00965">
        <w:t>Bevacizumab</w:t>
      </w:r>
      <w:r>
        <w:t xml:space="preserve"> and </w:t>
      </w:r>
      <w:r w:rsidR="00B846E6">
        <w:t>Atezolizumab</w:t>
      </w:r>
      <w:r>
        <w:t xml:space="preserve"> until disease progression, unless not tolerated.</w:t>
      </w:r>
    </w:p>
    <w:p w14:paraId="4D849140" w14:textId="77777777" w:rsidR="00E25F30" w:rsidRPr="00E25F30" w:rsidRDefault="00E25F30" w:rsidP="00C60232">
      <w:pPr>
        <w:spacing w:after="0"/>
      </w:pPr>
      <w:r>
        <w:t>Clinical criteria:</w:t>
      </w:r>
    </w:p>
    <w:p w14:paraId="71C524E8" w14:textId="77777777" w:rsidR="00E25F30" w:rsidRPr="00E25F30" w:rsidRDefault="00E25F30" w:rsidP="00C60232">
      <w:pPr>
        <w:numPr>
          <w:ilvl w:val="0"/>
          <w:numId w:val="8"/>
        </w:numPr>
        <w:spacing w:after="0"/>
      </w:pPr>
      <w:r w:rsidRPr="00E25F30">
        <w:t>Patient must have a WHO performance status of 0 or 1,</w:t>
      </w:r>
    </w:p>
    <w:p w14:paraId="3325BE43" w14:textId="77777777" w:rsidR="00E25F30" w:rsidRPr="00E25F30" w:rsidRDefault="00E25F30" w:rsidP="00C60232">
      <w:pPr>
        <w:spacing w:after="0"/>
      </w:pPr>
      <w:r>
        <w:t>AND</w:t>
      </w:r>
    </w:p>
    <w:p w14:paraId="4A00CC0F" w14:textId="77777777" w:rsidR="00E25F30" w:rsidRPr="00E25F30" w:rsidRDefault="00E25F30" w:rsidP="00C60232">
      <w:pPr>
        <w:numPr>
          <w:ilvl w:val="0"/>
          <w:numId w:val="9"/>
        </w:numPr>
        <w:spacing w:after="0"/>
      </w:pPr>
      <w:r>
        <w:t>Patient must not be suitable for transarterial chemoembolisation,</w:t>
      </w:r>
    </w:p>
    <w:p w14:paraId="1BA12C60" w14:textId="77777777" w:rsidR="00E25F30" w:rsidRPr="00E25F30" w:rsidRDefault="00E25F30" w:rsidP="00C60232">
      <w:pPr>
        <w:spacing w:after="0"/>
      </w:pPr>
      <w:r>
        <w:t>AND</w:t>
      </w:r>
    </w:p>
    <w:p w14:paraId="113018F3" w14:textId="77777777" w:rsidR="00E25F30" w:rsidRPr="00E25F30" w:rsidRDefault="00E25F30" w:rsidP="00C60232">
      <w:pPr>
        <w:numPr>
          <w:ilvl w:val="0"/>
          <w:numId w:val="10"/>
        </w:numPr>
        <w:spacing w:after="0"/>
      </w:pPr>
      <w:r>
        <w:t>Patient must have Child Pugh class A,</w:t>
      </w:r>
    </w:p>
    <w:p w14:paraId="7D39CCFC" w14:textId="77777777" w:rsidR="00E25F30" w:rsidRPr="00E25F30" w:rsidRDefault="00E25F30" w:rsidP="00C60232">
      <w:pPr>
        <w:spacing w:after="0"/>
      </w:pPr>
      <w:r>
        <w:t>AND</w:t>
      </w:r>
    </w:p>
    <w:p w14:paraId="2D79CDEB" w14:textId="77777777" w:rsidR="00E25F30" w:rsidRPr="00E25F30" w:rsidRDefault="00E25F30" w:rsidP="00C60232">
      <w:pPr>
        <w:numPr>
          <w:ilvl w:val="0"/>
          <w:numId w:val="11"/>
        </w:numPr>
        <w:spacing w:after="0"/>
      </w:pPr>
      <w:r w:rsidRPr="00E25F30">
        <w:t>The condition must be untreated with systemic therapy; OR</w:t>
      </w:r>
    </w:p>
    <w:p w14:paraId="34DD7947" w14:textId="77777777" w:rsidR="00E25F30" w:rsidRDefault="00E25F30" w:rsidP="00C60232">
      <w:pPr>
        <w:numPr>
          <w:ilvl w:val="0"/>
          <w:numId w:val="11"/>
        </w:numPr>
        <w:spacing w:after="0"/>
      </w:pPr>
      <w:r w:rsidRPr="00E25F30">
        <w:t>Patient must have developed intolerance to a vascular endothelial growth factor (VEGF) tyrosine kinase inhibitor (TKI) of a severity necessitating permanent treatment withdrawal.</w:t>
      </w:r>
    </w:p>
    <w:p w14:paraId="7D4B7A15" w14:textId="77777777" w:rsidR="00C60232" w:rsidRPr="00E25F30" w:rsidRDefault="00C60232" w:rsidP="00C60232">
      <w:pPr>
        <w:spacing w:after="0"/>
        <w:ind w:left="720"/>
      </w:pPr>
    </w:p>
    <w:p w14:paraId="11516E58" w14:textId="77777777" w:rsidR="00C60232" w:rsidRDefault="00C60232" w:rsidP="00C60232">
      <w:pPr>
        <w:spacing w:after="0"/>
      </w:pPr>
      <w:r>
        <w:t>Caution</w:t>
      </w:r>
    </w:p>
    <w:p w14:paraId="7C02D53F" w14:textId="107D3802" w:rsidR="00C60232" w:rsidRDefault="00C60232" w:rsidP="00C60232">
      <w:pPr>
        <w:spacing w:after="0"/>
      </w:pPr>
      <w:r>
        <w:t xml:space="preserve">The safety of </w:t>
      </w:r>
      <w:r w:rsidR="00700F69">
        <w:t>a</w:t>
      </w:r>
      <w:r w:rsidR="00B846E6">
        <w:t>tezolizumab</w:t>
      </w:r>
      <w:r>
        <w:t xml:space="preserve"> in combination with </w:t>
      </w:r>
      <w:r w:rsidR="00700F69">
        <w:t>b</w:t>
      </w:r>
      <w:r w:rsidR="00D00965">
        <w:t>evacizumab</w:t>
      </w:r>
      <w:r>
        <w:t xml:space="preserve"> has not been established in patients who have incompletely treated varices, variceal bleeding within the previous 6 months or who are at high risk of bleeding. Patients should be assessed for risk of variceal bleeding prior to treatment with this combination.</w:t>
      </w:r>
    </w:p>
    <w:p w14:paraId="13BBC355" w14:textId="77777777" w:rsidR="00C60232" w:rsidRDefault="00C60232" w:rsidP="00C60232">
      <w:pPr>
        <w:spacing w:after="0"/>
      </w:pPr>
    </w:p>
    <w:p w14:paraId="254147A8" w14:textId="77777777" w:rsidR="00C60232" w:rsidRDefault="00C60232" w:rsidP="00C60232">
      <w:pPr>
        <w:spacing w:after="0"/>
      </w:pPr>
      <w:r>
        <w:t>Note</w:t>
      </w:r>
    </w:p>
    <w:p w14:paraId="04C269E4" w14:textId="00C0C1F0" w:rsidR="00C60232" w:rsidRDefault="00C60232" w:rsidP="00C60232">
      <w:pPr>
        <w:spacing w:after="0"/>
      </w:pPr>
      <w:r>
        <w:t>In the first few months after start of immunotherapy, some patients can have a transient tumour flare with subsequent disease response. When progression is suspected, this should be confirmed through a confirmatory scan, taken at least 4 weeks later.</w:t>
      </w:r>
    </w:p>
    <w:p w14:paraId="3164F931" w14:textId="77777777" w:rsidR="00C60232" w:rsidRDefault="00C60232" w:rsidP="00C60232">
      <w:pPr>
        <w:spacing w:after="0"/>
      </w:pPr>
      <w:r>
        <w:t>Note</w:t>
      </w:r>
    </w:p>
    <w:p w14:paraId="07A4E3E1" w14:textId="5C146513" w:rsidR="00C60232" w:rsidRDefault="00C60232" w:rsidP="00C60232">
      <w:pPr>
        <w:spacing w:after="0"/>
      </w:pPr>
      <w:r>
        <w:t>No increase in the maximum amount or number of units may be authorised.</w:t>
      </w:r>
    </w:p>
    <w:p w14:paraId="5BC6F0C0" w14:textId="77777777" w:rsidR="00C60232" w:rsidRDefault="00C60232" w:rsidP="00C60232">
      <w:pPr>
        <w:spacing w:after="0"/>
      </w:pPr>
      <w:r>
        <w:t>Note</w:t>
      </w:r>
    </w:p>
    <w:p w14:paraId="256403D9" w14:textId="5B217D04" w:rsidR="00C60232" w:rsidRDefault="00C60232" w:rsidP="00C60232">
      <w:pPr>
        <w:spacing w:after="0"/>
      </w:pPr>
      <w:r>
        <w:t>No increase in the maximum number of repeats may be authorised.</w:t>
      </w:r>
    </w:p>
    <w:p w14:paraId="08F46617" w14:textId="77777777" w:rsidR="00C60232" w:rsidRDefault="00C60232" w:rsidP="00C60232">
      <w:pPr>
        <w:spacing w:after="0"/>
      </w:pPr>
      <w:r>
        <w:t>Note</w:t>
      </w:r>
    </w:p>
    <w:p w14:paraId="74FEEEBF" w14:textId="2EF25C9B" w:rsidR="00461D98" w:rsidRDefault="00C60232" w:rsidP="00D84969">
      <w:pPr>
        <w:spacing w:after="0"/>
      </w:pPr>
      <w:r>
        <w:t>Special Pricing Arrangements apply.</w:t>
      </w:r>
    </w:p>
    <w:p w14:paraId="40FA1C5D" w14:textId="77777777" w:rsidR="00D84969" w:rsidRDefault="00D84969" w:rsidP="00D84969">
      <w:pPr>
        <w:spacing w:after="0"/>
      </w:pPr>
    </w:p>
    <w:p w14:paraId="7BB5D3E2" w14:textId="77777777" w:rsidR="00975E76" w:rsidRPr="00975E76" w:rsidRDefault="00975E76" w:rsidP="00975E76">
      <w:pPr>
        <w:rPr>
          <w:u w:val="single"/>
        </w:rPr>
      </w:pPr>
      <w:r w:rsidRPr="00975E76">
        <w:rPr>
          <w:u w:val="single"/>
        </w:rPr>
        <w:t>Treatment Phase: Continuing treatment of hepatocellular carcinoma - 3 weekly treatment regimen</w:t>
      </w:r>
    </w:p>
    <w:p w14:paraId="098E7BCB" w14:textId="77777777" w:rsidR="00975E76" w:rsidRPr="00975E76" w:rsidRDefault="00975E76" w:rsidP="00FB008D">
      <w:pPr>
        <w:spacing w:after="0"/>
      </w:pPr>
      <w:r>
        <w:t>Treatment criteria:</w:t>
      </w:r>
    </w:p>
    <w:p w14:paraId="3A2FC36F" w14:textId="7A0CC4C2" w:rsidR="00975E76" w:rsidRPr="00975E76" w:rsidRDefault="00975E76" w:rsidP="00FB008D">
      <w:pPr>
        <w:numPr>
          <w:ilvl w:val="0"/>
          <w:numId w:val="14"/>
        </w:numPr>
        <w:spacing w:after="0"/>
      </w:pPr>
      <w:r>
        <w:t xml:space="preserve">Patient must be undergoing combination treatment with </w:t>
      </w:r>
      <w:r w:rsidR="00D00965">
        <w:t>Bevacizumab</w:t>
      </w:r>
      <w:r>
        <w:t xml:space="preserve"> until disease progression, unless not tolerated.</w:t>
      </w:r>
    </w:p>
    <w:p w14:paraId="55694500" w14:textId="77777777" w:rsidR="00975E76" w:rsidRPr="00975E76" w:rsidRDefault="00975E76" w:rsidP="00FB008D">
      <w:pPr>
        <w:spacing w:after="0"/>
      </w:pPr>
      <w:r>
        <w:t>Clinical criteria:</w:t>
      </w:r>
    </w:p>
    <w:p w14:paraId="4288FC5F" w14:textId="77777777" w:rsidR="00975E76" w:rsidRPr="00975E76" w:rsidRDefault="00975E76" w:rsidP="00FB008D">
      <w:pPr>
        <w:numPr>
          <w:ilvl w:val="0"/>
          <w:numId w:val="15"/>
        </w:numPr>
        <w:spacing w:after="0"/>
      </w:pPr>
      <w:r>
        <w:lastRenderedPageBreak/>
        <w:t>Patient must have previously received PBS-subsidised treatment with this drug for this condition,</w:t>
      </w:r>
    </w:p>
    <w:p w14:paraId="1C46AD84" w14:textId="77777777" w:rsidR="00975E76" w:rsidRPr="00975E76" w:rsidRDefault="00975E76" w:rsidP="00FB008D">
      <w:pPr>
        <w:spacing w:after="0"/>
      </w:pPr>
      <w:r>
        <w:t>AND</w:t>
      </w:r>
    </w:p>
    <w:p w14:paraId="5E7B7519" w14:textId="77777777" w:rsidR="00975E76" w:rsidRDefault="00975E76" w:rsidP="00FB008D">
      <w:pPr>
        <w:numPr>
          <w:ilvl w:val="0"/>
          <w:numId w:val="16"/>
        </w:numPr>
        <w:spacing w:after="0"/>
      </w:pPr>
      <w:r w:rsidRPr="00975E76">
        <w:t>Patient must not have developed disease progression while being treated with this drug for this condition.</w:t>
      </w:r>
    </w:p>
    <w:p w14:paraId="2EEAB5FF" w14:textId="77777777" w:rsidR="00FB008D" w:rsidRPr="00975E76" w:rsidRDefault="00FB008D" w:rsidP="00FB008D">
      <w:pPr>
        <w:spacing w:after="0"/>
        <w:ind w:left="720"/>
      </w:pPr>
    </w:p>
    <w:p w14:paraId="4148193F" w14:textId="58E03BD0" w:rsidR="00975E76" w:rsidRDefault="00975E76" w:rsidP="00FB008D">
      <w:pPr>
        <w:spacing w:after="0"/>
      </w:pPr>
      <w:r w:rsidRPr="00975E76">
        <w:t>PBS supply of this drug must be through only one of the two continuing treatment regimens at any given time</w:t>
      </w:r>
      <w:r w:rsidR="00FB008D">
        <w:t>.</w:t>
      </w:r>
    </w:p>
    <w:p w14:paraId="39BE6973" w14:textId="77777777" w:rsidR="00FB008D" w:rsidRPr="00975E76" w:rsidRDefault="00FB008D" w:rsidP="00FB008D">
      <w:pPr>
        <w:spacing w:after="0"/>
      </w:pPr>
    </w:p>
    <w:p w14:paraId="3EE6EA25" w14:textId="591D22C7" w:rsidR="00F11207" w:rsidRPr="00F11207" w:rsidRDefault="00F11207" w:rsidP="00FB008D">
      <w:pPr>
        <w:spacing w:after="0"/>
      </w:pPr>
      <w:r w:rsidRPr="00F11207">
        <w:t>Note</w:t>
      </w:r>
    </w:p>
    <w:p w14:paraId="3BB16B54" w14:textId="77777777" w:rsidR="00F11207" w:rsidRPr="00F11207" w:rsidRDefault="00F11207" w:rsidP="00FB008D">
      <w:pPr>
        <w:spacing w:after="0"/>
      </w:pPr>
      <w:r w:rsidRPr="00F11207">
        <w:t>No increase in the maximum amount or number of units may be authorised.</w:t>
      </w:r>
    </w:p>
    <w:p w14:paraId="206F3FD9" w14:textId="77777777" w:rsidR="00F11207" w:rsidRPr="00F11207" w:rsidRDefault="00F11207" w:rsidP="00FB008D">
      <w:pPr>
        <w:spacing w:after="0"/>
      </w:pPr>
      <w:r w:rsidRPr="00F11207">
        <w:t>Note</w:t>
      </w:r>
    </w:p>
    <w:p w14:paraId="66F12280" w14:textId="77777777" w:rsidR="00F11207" w:rsidRPr="00F11207" w:rsidRDefault="00F11207" w:rsidP="00FB008D">
      <w:pPr>
        <w:spacing w:after="0"/>
      </w:pPr>
      <w:r w:rsidRPr="00F11207">
        <w:t>No increase in the maximum number of repeats may be authorised.</w:t>
      </w:r>
    </w:p>
    <w:p w14:paraId="4BC56AF5" w14:textId="77777777" w:rsidR="00F11207" w:rsidRPr="00F11207" w:rsidRDefault="00F11207" w:rsidP="00FB008D">
      <w:pPr>
        <w:spacing w:after="0"/>
      </w:pPr>
      <w:r w:rsidRPr="00F11207">
        <w:t>Note</w:t>
      </w:r>
    </w:p>
    <w:p w14:paraId="6FA50667" w14:textId="77777777" w:rsidR="00F11207" w:rsidRPr="00F11207" w:rsidRDefault="00F11207" w:rsidP="00FB008D">
      <w:pPr>
        <w:spacing w:after="0"/>
      </w:pPr>
      <w:r w:rsidRPr="00F11207">
        <w:t>Special Pricing Arrangements apply.</w:t>
      </w:r>
    </w:p>
    <w:p w14:paraId="5E9527B4" w14:textId="77777777" w:rsidR="007D4BAE" w:rsidRDefault="007D4BAE" w:rsidP="00FB008D">
      <w:pPr>
        <w:spacing w:after="0"/>
      </w:pPr>
    </w:p>
    <w:p w14:paraId="55143DCD" w14:textId="3348A4CE" w:rsidR="00C0322B" w:rsidRPr="00FB008D" w:rsidRDefault="00C0322B" w:rsidP="00FB008D">
      <w:pPr>
        <w:spacing w:after="0"/>
        <w:rPr>
          <w:u w:val="single"/>
        </w:rPr>
      </w:pPr>
      <w:r w:rsidRPr="00C0322B">
        <w:rPr>
          <w:u w:val="single"/>
        </w:rPr>
        <w:t xml:space="preserve">Treatment Phase: Continuing treatment where </w:t>
      </w:r>
      <w:r w:rsidR="00D00965">
        <w:rPr>
          <w:u w:val="single"/>
        </w:rPr>
        <w:t>Bevacizumab</w:t>
      </w:r>
      <w:r w:rsidRPr="00C0322B">
        <w:rPr>
          <w:u w:val="single"/>
        </w:rPr>
        <w:t xml:space="preserve"> is discontinued - 4 weekly treatment regimen</w:t>
      </w:r>
    </w:p>
    <w:p w14:paraId="446B2A77" w14:textId="77777777" w:rsidR="00FB008D" w:rsidRPr="00C0322B" w:rsidRDefault="00FB008D" w:rsidP="00FB008D">
      <w:pPr>
        <w:spacing w:after="0"/>
      </w:pPr>
    </w:p>
    <w:p w14:paraId="0493C9A0" w14:textId="77777777" w:rsidR="00C0322B" w:rsidRPr="00C0322B" w:rsidRDefault="00C0322B" w:rsidP="00FB008D">
      <w:pPr>
        <w:spacing w:after="0"/>
      </w:pPr>
      <w:r>
        <w:t>Clinical criteria:</w:t>
      </w:r>
    </w:p>
    <w:p w14:paraId="34AAC509" w14:textId="77777777" w:rsidR="00C0322B" w:rsidRPr="00C0322B" w:rsidRDefault="00C0322B" w:rsidP="00FB008D">
      <w:pPr>
        <w:numPr>
          <w:ilvl w:val="0"/>
          <w:numId w:val="17"/>
        </w:numPr>
        <w:spacing w:after="0"/>
      </w:pPr>
      <w:r>
        <w:t>Patient must have previously received PBS-subsidised treatment with this drug for this condition,</w:t>
      </w:r>
    </w:p>
    <w:p w14:paraId="1655AFCE" w14:textId="77777777" w:rsidR="00C0322B" w:rsidRPr="00C0322B" w:rsidRDefault="00C0322B" w:rsidP="00FB008D">
      <w:pPr>
        <w:spacing w:after="0"/>
      </w:pPr>
      <w:r>
        <w:t>AND</w:t>
      </w:r>
    </w:p>
    <w:p w14:paraId="70463AE3" w14:textId="77777777" w:rsidR="00C0322B" w:rsidRDefault="00C0322B" w:rsidP="00FB008D">
      <w:pPr>
        <w:numPr>
          <w:ilvl w:val="0"/>
          <w:numId w:val="18"/>
        </w:numPr>
        <w:spacing w:after="0"/>
      </w:pPr>
      <w:r w:rsidRPr="00C0322B">
        <w:t>Patient must not have developed disease progression while being treated with this drug for this condition.</w:t>
      </w:r>
    </w:p>
    <w:p w14:paraId="1A1512D4" w14:textId="77777777" w:rsidR="00FB008D" w:rsidRPr="00C0322B" w:rsidRDefault="00FB008D" w:rsidP="00FB008D">
      <w:pPr>
        <w:spacing w:after="0"/>
        <w:ind w:left="720"/>
      </w:pPr>
    </w:p>
    <w:p w14:paraId="514E1A7D" w14:textId="358009FC" w:rsidR="00C0322B" w:rsidRDefault="00C0322B" w:rsidP="00FB008D">
      <w:pPr>
        <w:spacing w:after="0"/>
      </w:pPr>
      <w:r w:rsidRPr="00C0322B">
        <w:t>PBS supply of this drug must be through only one of the two continuing treatment regimens at any given time</w:t>
      </w:r>
      <w:r w:rsidR="00FB008D">
        <w:t>.</w:t>
      </w:r>
    </w:p>
    <w:p w14:paraId="3EB0E4DF" w14:textId="77777777" w:rsidR="00FB008D" w:rsidRPr="00C0322B" w:rsidRDefault="00FB008D" w:rsidP="00FB008D">
      <w:pPr>
        <w:spacing w:after="0"/>
      </w:pPr>
    </w:p>
    <w:p w14:paraId="2C478330" w14:textId="77777777" w:rsidR="00C0322B" w:rsidRPr="00C0322B" w:rsidRDefault="00C0322B" w:rsidP="00FB008D">
      <w:pPr>
        <w:spacing w:after="0"/>
      </w:pPr>
      <w:hyperlink r:id="rId11" w:history="1">
        <w:r w:rsidRPr="00C0322B">
          <w:rPr>
            <w:rStyle w:val="Hyperlink"/>
            <w:color w:val="auto"/>
            <w:u w:val="none"/>
          </w:rPr>
          <w:t>Note</w:t>
        </w:r>
      </w:hyperlink>
    </w:p>
    <w:p w14:paraId="4E808BDF" w14:textId="77777777" w:rsidR="00C0322B" w:rsidRPr="00C0322B" w:rsidRDefault="00C0322B" w:rsidP="00FB008D">
      <w:pPr>
        <w:spacing w:after="0"/>
      </w:pPr>
      <w:r w:rsidRPr="00C0322B">
        <w:t>No increase in the maximum amount or number of units may be authorised.</w:t>
      </w:r>
    </w:p>
    <w:p w14:paraId="3482D622" w14:textId="77777777" w:rsidR="00C0322B" w:rsidRPr="00C0322B" w:rsidRDefault="00C0322B" w:rsidP="00FB008D">
      <w:pPr>
        <w:spacing w:after="0"/>
      </w:pPr>
      <w:r w:rsidRPr="00C0322B">
        <w:t>Note</w:t>
      </w:r>
    </w:p>
    <w:p w14:paraId="1A5DB450" w14:textId="77777777" w:rsidR="00C0322B" w:rsidRPr="00C0322B" w:rsidRDefault="00C0322B" w:rsidP="00FB008D">
      <w:pPr>
        <w:spacing w:after="0"/>
      </w:pPr>
      <w:r w:rsidRPr="00C0322B">
        <w:t>Increased repeats of up to 11 may be requested for doses of 840 mg administered every 2 weeks</w:t>
      </w:r>
    </w:p>
    <w:p w14:paraId="17DB325D" w14:textId="77777777" w:rsidR="00C0322B" w:rsidRPr="00C0322B" w:rsidRDefault="00C0322B" w:rsidP="00FB008D">
      <w:pPr>
        <w:spacing w:after="0"/>
      </w:pPr>
      <w:r w:rsidRPr="00C0322B">
        <w:t>Note</w:t>
      </w:r>
    </w:p>
    <w:p w14:paraId="30D4895C" w14:textId="72909CCB" w:rsidR="008D2CAD" w:rsidRDefault="00C0322B" w:rsidP="00875242">
      <w:pPr>
        <w:spacing w:after="0"/>
      </w:pPr>
      <w:r w:rsidRPr="00C0322B">
        <w:t>Special Pricing Arrangements apply.</w:t>
      </w:r>
    </w:p>
    <w:p w14:paraId="07810C2A" w14:textId="77777777" w:rsidR="00875242" w:rsidRDefault="00875242" w:rsidP="00875242">
      <w:pPr>
        <w:spacing w:after="0"/>
      </w:pPr>
    </w:p>
    <w:p w14:paraId="45B0FCA5" w14:textId="787B4994" w:rsidR="005C078A" w:rsidRDefault="00B846E6" w:rsidP="00875242">
      <w:pPr>
        <w:spacing w:after="0"/>
      </w:pPr>
      <w:r>
        <w:t>Atezolizumab</w:t>
      </w:r>
      <w:r w:rsidR="000102D2">
        <w:t xml:space="preserve"> is also PBS listed for the following conditions:</w:t>
      </w:r>
    </w:p>
    <w:p w14:paraId="6CEA208E" w14:textId="5E84F1C8" w:rsidR="000102D2" w:rsidRDefault="00C843EB" w:rsidP="00875242">
      <w:pPr>
        <w:pStyle w:val="ListParagraph"/>
        <w:numPr>
          <w:ilvl w:val="0"/>
          <w:numId w:val="6"/>
        </w:numPr>
        <w:spacing w:after="0"/>
      </w:pPr>
      <w:r w:rsidRPr="00C843EB">
        <w:t>Locally advanced or metastatic non-small cell lung cancer</w:t>
      </w:r>
      <w:r w:rsidR="00450369">
        <w:t xml:space="preserve"> (NSCLC)</w:t>
      </w:r>
      <w:r w:rsidR="00875242">
        <w:t>.</w:t>
      </w:r>
    </w:p>
    <w:p w14:paraId="78AEF5A9" w14:textId="3B85EF72" w:rsidR="00C843EB" w:rsidRDefault="00770D5B" w:rsidP="00875242">
      <w:pPr>
        <w:pStyle w:val="ListParagraph"/>
        <w:numPr>
          <w:ilvl w:val="0"/>
          <w:numId w:val="6"/>
        </w:numPr>
        <w:spacing w:after="0"/>
      </w:pPr>
      <w:r w:rsidRPr="00770D5B">
        <w:t xml:space="preserve">Stage IV (metastatic) </w:t>
      </w:r>
      <w:r w:rsidR="001957BD">
        <w:t>NSCLC</w:t>
      </w:r>
      <w:r w:rsidR="00875242">
        <w:t>.</w:t>
      </w:r>
    </w:p>
    <w:p w14:paraId="1B5FD5C2" w14:textId="589419F1" w:rsidR="009D1633" w:rsidRDefault="009D1633" w:rsidP="00875242">
      <w:pPr>
        <w:pStyle w:val="ListParagraph"/>
        <w:numPr>
          <w:ilvl w:val="0"/>
          <w:numId w:val="6"/>
        </w:numPr>
        <w:spacing w:after="0"/>
      </w:pPr>
      <w:r w:rsidRPr="009D1633">
        <w:t>Extensive-stage small cell lung cancer</w:t>
      </w:r>
      <w:r w:rsidR="00875242">
        <w:t>.</w:t>
      </w:r>
    </w:p>
    <w:p w14:paraId="4B1CC50E" w14:textId="04956129" w:rsidR="00107708" w:rsidRDefault="00107708" w:rsidP="00875242">
      <w:pPr>
        <w:pStyle w:val="ListParagraph"/>
        <w:numPr>
          <w:ilvl w:val="0"/>
          <w:numId w:val="6"/>
        </w:numPr>
        <w:spacing w:after="0"/>
      </w:pPr>
      <w:r w:rsidRPr="00107708">
        <w:t xml:space="preserve">Resected early stage (Stage II to IIIA) </w:t>
      </w:r>
      <w:r w:rsidR="001957BD">
        <w:t>NSCLC</w:t>
      </w:r>
      <w:r w:rsidR="00875242">
        <w:t>.</w:t>
      </w:r>
    </w:p>
    <w:p w14:paraId="4285BB32" w14:textId="77777777" w:rsidR="00875242" w:rsidRDefault="00875242" w:rsidP="00875242">
      <w:pPr>
        <w:pStyle w:val="ListParagraph"/>
        <w:spacing w:after="0"/>
      </w:pPr>
    </w:p>
    <w:p w14:paraId="22433632" w14:textId="2FC3A7A4" w:rsidR="006775F1" w:rsidRDefault="006775F1" w:rsidP="00A35800">
      <w:pPr>
        <w:rPr>
          <w:rStyle w:val="Hyperlink"/>
        </w:rPr>
      </w:pPr>
      <w:r w:rsidRPr="006775F1" w:rsidDel="00EE2BBB">
        <w:t xml:space="preserve">For </w:t>
      </w:r>
      <w:r w:rsidR="00835337" w:rsidDel="00EE2BBB">
        <w:t xml:space="preserve">details of the current PBS listing refer to the </w:t>
      </w:r>
      <w:hyperlink r:id="rId12" w:history="1">
        <w:r w:rsidR="00835337" w:rsidRPr="00645D51" w:rsidDel="00EE2BBB">
          <w:rPr>
            <w:rStyle w:val="Hyperlink"/>
          </w:rPr>
          <w:t>PBS website</w:t>
        </w:r>
      </w:hyperlink>
      <w:r w:rsidR="00835337" w:rsidDel="00EE2BBB">
        <w:rPr>
          <w:rStyle w:val="Hyperlink"/>
        </w:rPr>
        <w:t>.</w:t>
      </w:r>
    </w:p>
    <w:p w14:paraId="515306D4" w14:textId="77777777" w:rsidR="00761C60" w:rsidRPr="006775F1" w:rsidDel="00EE2BBB" w:rsidRDefault="00761C60" w:rsidP="00A35800"/>
    <w:p w14:paraId="39EF75ED" w14:textId="73256AB5" w:rsidR="00675BB1" w:rsidRPr="00675BB1" w:rsidDel="00EE2BBB" w:rsidRDefault="00675BB1" w:rsidP="00CF5E22">
      <w:pPr>
        <w:pStyle w:val="Heading3"/>
      </w:pPr>
      <w:r w:rsidRPr="00675BB1" w:rsidDel="00EE2BBB">
        <w:lastRenderedPageBreak/>
        <w:t>Changes to listing</w:t>
      </w:r>
    </w:p>
    <w:p w14:paraId="031262CF" w14:textId="2520D48E" w:rsidR="006B18E0" w:rsidDel="00EE2BBB" w:rsidRDefault="00F1638E" w:rsidP="00A35800">
      <w:r w:rsidRPr="00F1638E">
        <w:t>On 3</w:t>
      </w:r>
      <w:r w:rsidR="00F80286">
        <w:t>1 October 2022</w:t>
      </w:r>
      <w:r w:rsidRPr="00F1638E">
        <w:t xml:space="preserve"> the Grandfather arrangements ceased.</w:t>
      </w:r>
    </w:p>
    <w:p w14:paraId="64C94A85" w14:textId="3EA926AF" w:rsidR="00BF544D" w:rsidRPr="002F61CA" w:rsidDel="00EE2BBB" w:rsidRDefault="00BF544D" w:rsidP="00BF544D">
      <w:r w:rsidRPr="002F61CA" w:rsidDel="00EE2BBB">
        <w:t xml:space="preserve">Current PBS listing details are available from </w:t>
      </w:r>
      <w:r w:rsidDel="00EE2BBB">
        <w:t xml:space="preserve">the </w:t>
      </w:r>
      <w:hyperlink r:id="rId13" w:history="1">
        <w:r w:rsidRPr="00645D51" w:rsidDel="00EE2BBB">
          <w:rPr>
            <w:rStyle w:val="Hyperlink"/>
          </w:rPr>
          <w:t>PBS website</w:t>
        </w:r>
      </w:hyperlink>
      <w:r w:rsidDel="00EE2BBB">
        <w:t>.</w:t>
      </w:r>
    </w:p>
    <w:p w14:paraId="6FE6A2D3" w14:textId="22513E77" w:rsidR="00076BEA" w:rsidRPr="006A60BB" w:rsidRDefault="00394AEE" w:rsidP="006A60BB">
      <w:pPr>
        <w:pStyle w:val="Heading2"/>
      </w:pPr>
      <w:r>
        <w:t>Relevant aspects of</w:t>
      </w:r>
      <w:r w:rsidR="00736041" w:rsidRPr="005E22C2">
        <w:t xml:space="preserve"> consideration</w:t>
      </w:r>
      <w:r>
        <w:t xml:space="preserve"> by the Pharmaceutical Benefits Advisory Committee (PBAC)</w:t>
      </w:r>
    </w:p>
    <w:p w14:paraId="35544E56" w14:textId="25872A02" w:rsidR="00A2223F" w:rsidRPr="00A2223F" w:rsidRDefault="002A445F" w:rsidP="00A35800">
      <w:r w:rsidRPr="00786CA6">
        <w:t xml:space="preserve">At its </w:t>
      </w:r>
      <w:r w:rsidR="00786CA6" w:rsidRPr="00786CA6">
        <w:t xml:space="preserve">July 2020 meeting the PBAC recommended the Section 100 (Efficient Funding of Chemotherapy - Public and Private Hospital) Authority Required (STREAMLINED) listing of </w:t>
      </w:r>
      <w:r w:rsidR="00EB4CBE">
        <w:t>a</w:t>
      </w:r>
      <w:r w:rsidR="00B846E6">
        <w:t>tezolizumab</w:t>
      </w:r>
      <w:r w:rsidR="00786CA6" w:rsidRPr="00786CA6">
        <w:t xml:space="preserve"> </w:t>
      </w:r>
      <w:r w:rsidR="00791800">
        <w:t xml:space="preserve">IV </w:t>
      </w:r>
      <w:r w:rsidR="00786CA6" w:rsidRPr="00786CA6">
        <w:t xml:space="preserve">in combination with </w:t>
      </w:r>
      <w:r w:rsidR="00EB4CBE">
        <w:t>b</w:t>
      </w:r>
      <w:r w:rsidR="00D00965">
        <w:t>evacizumab</w:t>
      </w:r>
      <w:r w:rsidR="00786CA6" w:rsidRPr="00786CA6">
        <w:t xml:space="preserve"> for the treatment of patients with advanced unresectable BCLC stage B or stage C HCC who have not received prior systemic treatment.</w:t>
      </w:r>
      <w:r w:rsidR="008C76E3">
        <w:t xml:space="preserve"> </w:t>
      </w:r>
    </w:p>
    <w:p w14:paraId="70539E18" w14:textId="7BDA1960" w:rsidR="00D94863" w:rsidRDefault="00D94863" w:rsidP="00D94863">
      <w:r>
        <w:t xml:space="preserve">For further details refer to </w:t>
      </w:r>
      <w:r w:rsidRPr="00F65F0D">
        <w:t xml:space="preserve">the </w:t>
      </w:r>
      <w:hyperlink r:id="rId14" w:history="1">
        <w:r w:rsidRPr="006A60BB">
          <w:rPr>
            <w:rStyle w:val="Hyperlink"/>
          </w:rPr>
          <w:t>Public Summary Document</w:t>
        </w:r>
      </w:hyperlink>
      <w:r w:rsidRPr="00F65F0D">
        <w:t xml:space="preserve"> from the </w:t>
      </w:r>
      <w:r w:rsidR="006A60BB">
        <w:t>July 2020</w:t>
      </w:r>
      <w:r>
        <w:t xml:space="preserve"> PBAC meeting.</w:t>
      </w:r>
    </w:p>
    <w:p w14:paraId="22C307DE" w14:textId="071E9D55" w:rsidR="00A2223F" w:rsidRDefault="00E35357" w:rsidP="00D94863">
      <w:r>
        <w:t xml:space="preserve">At its March 2024 meeting the </w:t>
      </w:r>
      <w:r w:rsidRPr="00E35357">
        <w:t xml:space="preserve">PBAC recommended the dual Section 85 General Schedule and Section 100 (Efficient Funding of Chemotherapy – Related Benefits) Authority Required listings of </w:t>
      </w:r>
      <w:r w:rsidR="00CD00C4">
        <w:t>a</w:t>
      </w:r>
      <w:r w:rsidR="00B846E6">
        <w:t>tezolizumab</w:t>
      </w:r>
      <w:r w:rsidRPr="00E35357">
        <w:t xml:space="preserve"> SC for locally advanced or metastatic NSCLC, stage IV (metastatic) NSCLC, extensive-stage small cell lung cancer (ES-SCLC), advanced (unresectable) Barcelona Clinic Liver Cancer Stage B or Stage C </w:t>
      </w:r>
      <w:r w:rsidR="00450369">
        <w:t>HCC</w:t>
      </w:r>
      <w:r w:rsidRPr="00E35357">
        <w:t xml:space="preserve"> and resected early stage (Stage II to IIIA) NSCLC for which </w:t>
      </w:r>
      <w:r w:rsidR="00CD00C4">
        <w:t>a</w:t>
      </w:r>
      <w:r w:rsidR="00B846E6">
        <w:t>tezolizumab</w:t>
      </w:r>
      <w:r w:rsidRPr="00E35357">
        <w:t xml:space="preserve"> IV is currently listed.</w:t>
      </w:r>
    </w:p>
    <w:p w14:paraId="1A74A95C" w14:textId="116DEABE" w:rsidR="000C529F" w:rsidRPr="00F65F0D" w:rsidRDefault="000C529F" w:rsidP="00D94863">
      <w:r>
        <w:t xml:space="preserve">For further details refer to </w:t>
      </w:r>
      <w:r w:rsidRPr="00F65F0D">
        <w:t xml:space="preserve">the </w:t>
      </w:r>
      <w:hyperlink r:id="rId15" w:history="1">
        <w:r w:rsidRPr="006A60BB">
          <w:rPr>
            <w:rStyle w:val="Hyperlink"/>
          </w:rPr>
          <w:t>Public Summary Document</w:t>
        </w:r>
      </w:hyperlink>
      <w:r w:rsidRPr="00F65F0D">
        <w:t xml:space="preserve"> from the </w:t>
      </w:r>
      <w:r w:rsidR="006A60BB">
        <w:t>March 2024</w:t>
      </w:r>
      <w:r>
        <w:t xml:space="preserve"> PBAC meeting.</w:t>
      </w:r>
    </w:p>
    <w:p w14:paraId="72C2CA24" w14:textId="4A28B89A" w:rsidR="000F2F51" w:rsidRDefault="00ED633B" w:rsidP="00CF5E22">
      <w:pPr>
        <w:pStyle w:val="Heading2"/>
      </w:pPr>
      <w:r>
        <w:t>A</w:t>
      </w:r>
      <w:r w:rsidR="000F2F51">
        <w:t xml:space="preserve">pproach </w:t>
      </w:r>
      <w:r>
        <w:t xml:space="preserve">taken to </w:t>
      </w:r>
      <w:r w:rsidR="000F2F51">
        <w:t>estimat</w:t>
      </w:r>
      <w:r>
        <w:t>e</w:t>
      </w:r>
      <w:r w:rsidR="000F2F51">
        <w:t xml:space="preserve"> utilisation</w:t>
      </w:r>
    </w:p>
    <w:p w14:paraId="333E8616" w14:textId="2D4579C2" w:rsidR="00BC3F86" w:rsidRDefault="00BE065B" w:rsidP="00A35800">
      <w:r>
        <w:t xml:space="preserve">The July 2020 submission for the PBS listing </w:t>
      </w:r>
      <w:r w:rsidR="003915AA">
        <w:t xml:space="preserve">of </w:t>
      </w:r>
      <w:r w:rsidR="0086549B">
        <w:t>a</w:t>
      </w:r>
      <w:r w:rsidR="003915AA" w:rsidRPr="003915AA">
        <w:t>tezolizumab for the treatment of patients with unresectable locally advanced or metastatic BCLC Stage B or Stage C HCC</w:t>
      </w:r>
      <w:r w:rsidR="003915AA">
        <w:t xml:space="preserve"> (the submission) used a</w:t>
      </w:r>
      <w:r w:rsidR="00BC3F86" w:rsidRPr="00BC3F86">
        <w:t xml:space="preserve"> mixed </w:t>
      </w:r>
      <w:r w:rsidR="00A031AE">
        <w:t xml:space="preserve">epidemiological and market </w:t>
      </w:r>
      <w:r w:rsidR="00BC3F86" w:rsidRPr="00BC3F86">
        <w:t xml:space="preserve">model approach to inform the utilisation estimates and financial implications </w:t>
      </w:r>
      <w:r w:rsidR="00AE048B">
        <w:t>for</w:t>
      </w:r>
      <w:r w:rsidR="00BC3F86" w:rsidRPr="00BC3F86">
        <w:t xml:space="preserve"> </w:t>
      </w:r>
      <w:r w:rsidR="00D67A33">
        <w:t xml:space="preserve">the </w:t>
      </w:r>
      <w:r w:rsidR="00BC3F86" w:rsidRPr="00BC3F86">
        <w:t xml:space="preserve">listing of </w:t>
      </w:r>
      <w:r w:rsidR="002C2461">
        <w:t>a</w:t>
      </w:r>
      <w:r w:rsidR="00B846E6">
        <w:t>tezolizumab</w:t>
      </w:r>
      <w:r w:rsidR="00BC3F86" w:rsidRPr="00BC3F86">
        <w:t xml:space="preserve"> in patients with unresectable locally advanced or metastatic BCLC Stage B or C HCC who have not received prior systemic treatment.</w:t>
      </w:r>
    </w:p>
    <w:p w14:paraId="31EA9168" w14:textId="288DC104" w:rsidR="00BC3F86" w:rsidRDefault="00AE048B" w:rsidP="00A35800">
      <w:pPr>
        <w:rPr>
          <w:lang w:val="en-GB" w:eastAsia="en-GB"/>
        </w:rPr>
      </w:pPr>
      <w:r>
        <w:t xml:space="preserve">An </w:t>
      </w:r>
      <w:r w:rsidR="00BC3F86" w:rsidRPr="00BC3F86">
        <w:t xml:space="preserve">epidemiological approach was utilised to estimate the number of patients eligible for </w:t>
      </w:r>
      <w:r w:rsidR="00A031AE">
        <w:t>a</w:t>
      </w:r>
      <w:r w:rsidR="00B846E6">
        <w:t>tezolizumab</w:t>
      </w:r>
      <w:r w:rsidR="00BC3F86" w:rsidRPr="00BC3F86">
        <w:t>.</w:t>
      </w:r>
      <w:r w:rsidR="00ED2D10">
        <w:t xml:space="preserve"> </w:t>
      </w:r>
      <w:r w:rsidR="00A031AE">
        <w:t>G</w:t>
      </w:r>
      <w:r w:rsidR="00BC3F86">
        <w:t xml:space="preserve">iven the listings of </w:t>
      </w:r>
      <w:r w:rsidR="00A031AE">
        <w:t>s</w:t>
      </w:r>
      <w:r w:rsidR="00DF1B36">
        <w:t>orafenib</w:t>
      </w:r>
      <w:r w:rsidR="00BC3F86">
        <w:t xml:space="preserve"> and </w:t>
      </w:r>
      <w:r w:rsidR="00A031AE">
        <w:t>l</w:t>
      </w:r>
      <w:r w:rsidR="00DF1B36">
        <w:t>envatinib</w:t>
      </w:r>
      <w:r w:rsidR="00BC3F86">
        <w:t xml:space="preserve"> for </w:t>
      </w:r>
      <w:r w:rsidR="00BC3F86">
        <w:rPr>
          <w:lang w:val="en-GB" w:eastAsia="en-GB"/>
        </w:rPr>
        <w:t>advanced</w:t>
      </w:r>
      <w:r w:rsidR="00BC3F86" w:rsidRPr="00A857A6">
        <w:rPr>
          <w:lang w:val="en-GB" w:eastAsia="en-GB"/>
        </w:rPr>
        <w:t xml:space="preserve"> </w:t>
      </w:r>
      <w:r w:rsidR="00BC3F86">
        <w:rPr>
          <w:lang w:val="en-GB" w:eastAsia="en-GB"/>
        </w:rPr>
        <w:t>BCLC</w:t>
      </w:r>
      <w:r w:rsidR="00BC3F86" w:rsidRPr="00E80AE9">
        <w:rPr>
          <w:lang w:val="en-GB" w:eastAsia="en-GB"/>
        </w:rPr>
        <w:t xml:space="preserve"> Stage B or Stage C</w:t>
      </w:r>
      <w:r w:rsidR="00BC3F86">
        <w:rPr>
          <w:lang w:val="en-GB" w:eastAsia="en-GB"/>
        </w:rPr>
        <w:t xml:space="preserve"> HCC</w:t>
      </w:r>
      <w:r w:rsidR="00D67A33">
        <w:rPr>
          <w:lang w:val="en-GB" w:eastAsia="en-GB"/>
        </w:rPr>
        <w:t xml:space="preserve"> at the time</w:t>
      </w:r>
      <w:r w:rsidR="00BC3F86">
        <w:rPr>
          <w:lang w:val="en-GB" w:eastAsia="en-GB"/>
        </w:rPr>
        <w:t xml:space="preserve">, a combination of PBS item reports and PBS 10% sample market data were used to inform the market environment </w:t>
      </w:r>
      <w:r w:rsidR="00D67A33">
        <w:rPr>
          <w:lang w:val="en-GB" w:eastAsia="en-GB"/>
        </w:rPr>
        <w:t xml:space="preserve">at the time of the submission </w:t>
      </w:r>
      <w:r w:rsidR="00BC3F86">
        <w:rPr>
          <w:lang w:val="en-GB" w:eastAsia="en-GB"/>
        </w:rPr>
        <w:t xml:space="preserve">and likely replacement with the introduction of </w:t>
      </w:r>
      <w:r w:rsidR="00A031AE">
        <w:t>a</w:t>
      </w:r>
      <w:r w:rsidR="00B846E6">
        <w:t>tezolizumab</w:t>
      </w:r>
      <w:r w:rsidR="00BC3F86">
        <w:rPr>
          <w:lang w:val="en-GB" w:eastAsia="en-GB"/>
        </w:rPr>
        <w:t>.</w:t>
      </w:r>
    </w:p>
    <w:p w14:paraId="6FC99AF7" w14:textId="26B7971B" w:rsidR="00F93414" w:rsidRDefault="00F93414" w:rsidP="00A35800">
      <w:r w:rsidRPr="00F93414">
        <w:t xml:space="preserve">The submission estimated that </w:t>
      </w:r>
      <w:r w:rsidR="00761C46" w:rsidRPr="00D67A33">
        <w:rPr>
          <w:highlight w:val="black"/>
          <w:shd w:val="clear" w:color="auto" w:fill="FFFFFF" w:themeFill="background1"/>
        </w:rPr>
        <w:t>XXXXX</w:t>
      </w:r>
      <w:r w:rsidRPr="00F93414">
        <w:t xml:space="preserve"> of patients with HCC have WHO PS 0 or 1</w:t>
      </w:r>
      <w:r w:rsidR="00B846E6">
        <w:t>.</w:t>
      </w:r>
      <w:r w:rsidR="003C0ABB">
        <w:rPr>
          <w:rStyle w:val="FootnoteReference"/>
        </w:rPr>
        <w:footnoteReference w:id="3"/>
      </w:r>
      <w:r w:rsidRPr="00F93414">
        <w:t xml:space="preserve"> The evaluation considered that this figure likely underestimated eligibility in early-stage diagnosis and overestimated eligibility in later stage diagnosis, which accounts for </w:t>
      </w:r>
      <w:r w:rsidR="00761C46" w:rsidRPr="00D67A33">
        <w:rPr>
          <w:highlight w:val="black"/>
          <w:shd w:val="clear" w:color="auto" w:fill="BFBFBF" w:themeFill="background1" w:themeFillShade="BF"/>
        </w:rPr>
        <w:t>XXX</w:t>
      </w:r>
      <w:r w:rsidRPr="00F93414">
        <w:t xml:space="preserve"> of </w:t>
      </w:r>
      <w:r w:rsidRPr="00F93414">
        <w:lastRenderedPageBreak/>
        <w:t>patient numbers (Subgroup 4)</w:t>
      </w:r>
      <w:r w:rsidR="00B846E6">
        <w:t>.</w:t>
      </w:r>
      <w:r w:rsidR="003C0ABB">
        <w:rPr>
          <w:rStyle w:val="FootnoteReference"/>
        </w:rPr>
        <w:footnoteReference w:id="4"/>
      </w:r>
      <w:r w:rsidRPr="00F93414">
        <w:t xml:space="preserve"> The PBAC agreed with the </w:t>
      </w:r>
      <w:r w:rsidR="009B760D" w:rsidRPr="009B760D">
        <w:t>Economics Sub-Committee</w:t>
      </w:r>
      <w:r w:rsidRPr="00F93414">
        <w:t xml:space="preserve"> that this figure of </w:t>
      </w:r>
      <w:r w:rsidR="00761C46" w:rsidRPr="00D67A33">
        <w:rPr>
          <w:highlight w:val="black"/>
        </w:rPr>
        <w:t>XXXXX</w:t>
      </w:r>
      <w:r w:rsidRPr="00F93414">
        <w:t xml:space="preserve"> was a significant overestimate, as patients with BCLC B or C are often frail and do not have WHO PS 0 or 1.</w:t>
      </w:r>
      <w:r w:rsidR="007D4BAE">
        <w:t xml:space="preserve"> Uptake was assumed to be </w:t>
      </w:r>
      <w:r w:rsidR="00761C46" w:rsidRPr="00D67A33">
        <w:rPr>
          <w:highlight w:val="black"/>
          <w:shd w:val="clear" w:color="auto" w:fill="FFFFFF" w:themeFill="background1"/>
        </w:rPr>
        <w:t>XXX</w:t>
      </w:r>
      <w:r w:rsidR="007D4BAE" w:rsidRPr="00FC0FDE">
        <w:rPr>
          <w:shd w:val="clear" w:color="auto" w:fill="FFFFFF" w:themeFill="background1"/>
        </w:rPr>
        <w:t>.</w:t>
      </w:r>
      <w:r w:rsidR="007D4BAE" w:rsidRPr="007D4BAE">
        <w:rPr>
          <w:vertAlign w:val="superscript"/>
        </w:rPr>
        <w:t>6</w:t>
      </w:r>
    </w:p>
    <w:p w14:paraId="659D9633" w14:textId="66780ECF" w:rsidR="003C0ABB" w:rsidRDefault="003C0ABB" w:rsidP="00A35800">
      <w:r>
        <w:t>The p</w:t>
      </w:r>
      <w:r w:rsidRPr="004633EB">
        <w:t xml:space="preserve">roportion of </w:t>
      </w:r>
      <w:r w:rsidR="00CD6044">
        <w:t>s</w:t>
      </w:r>
      <w:r w:rsidR="00DF1B36">
        <w:t>orafenib</w:t>
      </w:r>
      <w:r w:rsidRPr="004633EB">
        <w:t xml:space="preserve"> and </w:t>
      </w:r>
      <w:r w:rsidR="00CD6044">
        <w:t>l</w:t>
      </w:r>
      <w:r w:rsidR="00DF1B36">
        <w:t>envatinib</w:t>
      </w:r>
      <w:r w:rsidRPr="004633EB">
        <w:t xml:space="preserve"> replaced with </w:t>
      </w:r>
      <w:r w:rsidR="00CD6044">
        <w:t>a</w:t>
      </w:r>
      <w:r w:rsidR="00B846E6">
        <w:t>tezolizumab</w:t>
      </w:r>
      <w:r w:rsidRPr="004633EB">
        <w:t xml:space="preserve"> after listing</w:t>
      </w:r>
      <w:r>
        <w:t xml:space="preserve"> was estimated at </w:t>
      </w:r>
      <w:r w:rsidR="00761C46" w:rsidRPr="00D67A33">
        <w:rPr>
          <w:highlight w:val="black"/>
          <w:shd w:val="clear" w:color="auto" w:fill="FFFFFF" w:themeFill="background1"/>
        </w:rPr>
        <w:t>XXX</w:t>
      </w:r>
      <w:r w:rsidR="00B846E6" w:rsidRPr="00FC0FDE">
        <w:t>.</w:t>
      </w:r>
      <w:r>
        <w:rPr>
          <w:rStyle w:val="FootnoteReference"/>
        </w:rPr>
        <w:t>6</w:t>
      </w:r>
      <w:r>
        <w:t xml:space="preserve"> </w:t>
      </w:r>
      <w:r w:rsidRPr="00A216D3">
        <w:t xml:space="preserve">This </w:t>
      </w:r>
      <w:r>
        <w:t xml:space="preserve">was thought to </w:t>
      </w:r>
      <w:r w:rsidRPr="00A216D3">
        <w:t xml:space="preserve">may be an overestimate since it assumes that all patients for whom it is eligible (WHO PS 0-1) will be treated with </w:t>
      </w:r>
      <w:r w:rsidR="00CD6044">
        <w:t>a</w:t>
      </w:r>
      <w:r w:rsidR="00B846E6">
        <w:t>tezolizumab</w:t>
      </w:r>
      <w:r w:rsidRPr="00A216D3">
        <w:t xml:space="preserve"> rather than </w:t>
      </w:r>
      <w:r w:rsidR="00CD6044">
        <w:t>s</w:t>
      </w:r>
      <w:r w:rsidR="00DF1B36">
        <w:t>orafenib</w:t>
      </w:r>
      <w:r w:rsidRPr="00A216D3">
        <w:t xml:space="preserve"> and </w:t>
      </w:r>
      <w:r w:rsidR="00CD6044">
        <w:t>l</w:t>
      </w:r>
      <w:r w:rsidR="00DF1B36">
        <w:t>envatinib</w:t>
      </w:r>
      <w:r w:rsidR="00B846E6">
        <w:t>.</w:t>
      </w:r>
      <w:r w:rsidR="00114A88">
        <w:rPr>
          <w:rStyle w:val="FootnoteReference"/>
        </w:rPr>
        <w:t>5</w:t>
      </w:r>
    </w:p>
    <w:p w14:paraId="4FBBD013" w14:textId="70EFD52E" w:rsidR="00F93414" w:rsidRPr="00F93414" w:rsidRDefault="00A216D3" w:rsidP="00F93414">
      <w:r>
        <w:t xml:space="preserve">The submission assumed that there would be </w:t>
      </w:r>
      <w:r w:rsidR="00761C46" w:rsidRPr="00FC0FDE">
        <w:rPr>
          <w:highlight w:val="black"/>
        </w:rPr>
        <w:t>XXX</w:t>
      </w:r>
      <w:r>
        <w:t xml:space="preserve"> Grandfathered patients</w:t>
      </w:r>
      <w:r w:rsidR="00B846E6">
        <w:t>.</w:t>
      </w:r>
      <w:r w:rsidR="00651FDE">
        <w:rPr>
          <w:vertAlign w:val="superscript"/>
        </w:rPr>
        <w:t>4</w:t>
      </w:r>
      <w:r>
        <w:t xml:space="preserve"> The evaluation of the submission </w:t>
      </w:r>
      <w:r w:rsidRPr="00A216D3">
        <w:t xml:space="preserve">considered this </w:t>
      </w:r>
      <w:r w:rsidR="00DD2DBB">
        <w:t>wa</w:t>
      </w:r>
      <w:r w:rsidRPr="00A216D3">
        <w:t>s most likely an overestimate</w:t>
      </w:r>
      <w:r w:rsidR="00B846E6">
        <w:t>.</w:t>
      </w:r>
      <w:r w:rsidR="00651FDE">
        <w:rPr>
          <w:vertAlign w:val="superscript"/>
        </w:rPr>
        <w:t>5</w:t>
      </w:r>
    </w:p>
    <w:p w14:paraId="17BD6D93" w14:textId="5567EB5C" w:rsidR="00F93414" w:rsidRPr="00F93414" w:rsidRDefault="00F93414" w:rsidP="00F93414">
      <w:r w:rsidRPr="00F93414">
        <w:t xml:space="preserve">The submission did not estimate prevalent patients </w:t>
      </w:r>
      <w:r w:rsidR="00B83DF9" w:rsidRPr="00B83DF9">
        <w:t xml:space="preserve">as it was assumed that in addition to the low survival in advanced HCC, </w:t>
      </w:r>
      <w:r w:rsidR="00BE065B" w:rsidRPr="00BE065B">
        <w:t xml:space="preserve">the average duration of treatment being less than </w:t>
      </w:r>
      <w:r w:rsidR="00C8087F">
        <w:t>one</w:t>
      </w:r>
      <w:r w:rsidR="00BE065B" w:rsidRPr="00BE065B">
        <w:t xml:space="preserve"> year</w:t>
      </w:r>
      <w:r w:rsidR="00BE065B">
        <w:t>, and</w:t>
      </w:r>
      <w:r w:rsidR="00BE065B" w:rsidRPr="00BE065B">
        <w:t xml:space="preserve"> </w:t>
      </w:r>
      <w:r w:rsidR="00B83DF9" w:rsidRPr="00B83DF9">
        <w:t xml:space="preserve">any patients diagnosed in previous years would have already initiated a systemic therapy thus making them ineligible for </w:t>
      </w:r>
      <w:r w:rsidR="00D15887">
        <w:t>a</w:t>
      </w:r>
      <w:r w:rsidR="00B846E6">
        <w:t>tezolizumab</w:t>
      </w:r>
      <w:r w:rsidR="00B83DF9" w:rsidRPr="00B83DF9">
        <w:t xml:space="preserve"> according to the proposed PBS restriction</w:t>
      </w:r>
      <w:r w:rsidR="00BE065B">
        <w:t>.</w:t>
      </w:r>
      <w:r w:rsidR="00B83DF9">
        <w:rPr>
          <w:rStyle w:val="FootnoteReference"/>
        </w:rPr>
        <w:footnoteReference w:id="5"/>
      </w:r>
    </w:p>
    <w:p w14:paraId="487F6178" w14:textId="004BE83D" w:rsidR="004633EB" w:rsidRPr="00AC47DB" w:rsidRDefault="00B83DF9" w:rsidP="00A35800">
      <w:r w:rsidRPr="00B83DF9">
        <w:t xml:space="preserve">The average treatment duration for </w:t>
      </w:r>
      <w:r w:rsidR="00D15887">
        <w:t>a</w:t>
      </w:r>
      <w:r w:rsidR="00B846E6">
        <w:t>tezolizumab</w:t>
      </w:r>
      <w:r w:rsidRPr="00B83DF9">
        <w:t xml:space="preserve"> was estimated to be </w:t>
      </w:r>
      <w:r w:rsidR="00761C46" w:rsidRPr="00FC0FDE">
        <w:rPr>
          <w:highlight w:val="black"/>
        </w:rPr>
        <w:t>XXXXXX</w:t>
      </w:r>
      <w:r w:rsidRPr="00B83DF9">
        <w:t xml:space="preserve"> days (</w:t>
      </w:r>
      <w:r w:rsidR="00761C46" w:rsidRPr="00FC0FDE">
        <w:rPr>
          <w:highlight w:val="black"/>
        </w:rPr>
        <w:t>XXXXX</w:t>
      </w:r>
      <w:r w:rsidRPr="00B83DF9">
        <w:t xml:space="preserve"> months) and </w:t>
      </w:r>
      <w:r w:rsidR="00761C46" w:rsidRPr="00FC0FDE">
        <w:rPr>
          <w:highlight w:val="black"/>
        </w:rPr>
        <w:t>XXXXXX</w:t>
      </w:r>
      <w:r w:rsidRPr="00B83DF9">
        <w:t xml:space="preserve"> days (</w:t>
      </w:r>
      <w:r w:rsidR="00761C46" w:rsidRPr="00FC0FDE">
        <w:rPr>
          <w:highlight w:val="black"/>
        </w:rPr>
        <w:t>XXXXX</w:t>
      </w:r>
      <w:r w:rsidRPr="00B83DF9">
        <w:t xml:space="preserve"> months)</w:t>
      </w:r>
      <w:r w:rsidR="00B846E6">
        <w:t>.</w:t>
      </w:r>
      <w:r w:rsidR="00651FDE">
        <w:rPr>
          <w:vertAlign w:val="superscript"/>
        </w:rPr>
        <w:t>6</w:t>
      </w:r>
    </w:p>
    <w:p w14:paraId="0DEBD50F" w14:textId="69B931E7" w:rsidR="00094DCF" w:rsidRDefault="00ED633B" w:rsidP="00CF5E22">
      <w:pPr>
        <w:pStyle w:val="Heading2"/>
      </w:pPr>
      <w:r>
        <w:t xml:space="preserve">Previous reviews by </w:t>
      </w:r>
      <w:r w:rsidR="00177B86">
        <w:t xml:space="preserve">the </w:t>
      </w:r>
      <w:r>
        <w:t>DUSC</w:t>
      </w:r>
    </w:p>
    <w:p w14:paraId="5C143877" w14:textId="048ECF4D" w:rsidR="00E371EA" w:rsidRPr="00ED633B" w:rsidRDefault="009D1ED5" w:rsidP="00A35800">
      <w:r>
        <w:t xml:space="preserve">For details of the DUSC consideration of </w:t>
      </w:r>
      <w:r w:rsidR="0062646E">
        <w:t>a</w:t>
      </w:r>
      <w:r w:rsidR="00B846E6">
        <w:t>tezolizumab</w:t>
      </w:r>
      <w:r w:rsidR="00AC47DB" w:rsidRPr="00AC47DB">
        <w:t xml:space="preserve"> for extensive-stage small cell lung cancer</w:t>
      </w:r>
      <w:r>
        <w:t xml:space="preserve"> refer to the </w:t>
      </w:r>
      <w:hyperlink r:id="rId16" w:history="1">
        <w:r w:rsidR="00AC47DB" w:rsidRPr="00AC47DB">
          <w:rPr>
            <w:rStyle w:val="Hyperlink"/>
          </w:rPr>
          <w:t xml:space="preserve">Public Release Document - </w:t>
        </w:r>
        <w:r w:rsidR="00B846E6">
          <w:rPr>
            <w:rStyle w:val="Hyperlink"/>
          </w:rPr>
          <w:t>Atezolizumab</w:t>
        </w:r>
        <w:r w:rsidR="00AC47DB" w:rsidRPr="00AC47DB">
          <w:rPr>
            <w:rStyle w:val="Hyperlink"/>
          </w:rPr>
          <w:t xml:space="preserve"> for extensive-stage small cell lung cancer: analysis of predicted versus actual utilisation</w:t>
        </w:r>
      </w:hyperlink>
      <w:r>
        <w:t xml:space="preserve"> from the </w:t>
      </w:r>
      <w:r w:rsidR="00AC47DB">
        <w:t>September 2022</w:t>
      </w:r>
      <w:r>
        <w:t xml:space="preserve"> DUSC meeting.</w:t>
      </w:r>
    </w:p>
    <w:p w14:paraId="0312FFEC" w14:textId="5C6A9662" w:rsidR="00E677DD" w:rsidRPr="005E22C2" w:rsidRDefault="00E677DD" w:rsidP="00CF5E22">
      <w:pPr>
        <w:pStyle w:val="Heading1"/>
      </w:pPr>
      <w:r w:rsidRPr="005E22C2">
        <w:t>Method</w:t>
      </w:r>
      <w:r w:rsidR="001B5D37" w:rsidRPr="005E22C2">
        <w:t>s</w:t>
      </w:r>
    </w:p>
    <w:p w14:paraId="31F0C2A6" w14:textId="77777777" w:rsidR="001B2218" w:rsidRPr="00B80402" w:rsidRDefault="001B2218" w:rsidP="001B2218">
      <w:pPr>
        <w:spacing w:before="240"/>
        <w:rPr>
          <w:b/>
          <w:bCs/>
          <w:i/>
          <w:iCs/>
        </w:rPr>
      </w:pPr>
      <w:r w:rsidRPr="00B80402">
        <w:rPr>
          <w:b/>
          <w:bCs/>
          <w:i/>
          <w:iCs/>
        </w:rPr>
        <w:t>Patient level analysis</w:t>
      </w:r>
    </w:p>
    <w:p w14:paraId="7C6832DE" w14:textId="7525F454" w:rsidR="001B2218" w:rsidRDefault="001B2218" w:rsidP="001B2218">
      <w:r w:rsidRPr="00B80402">
        <w:t xml:space="preserve">The number of </w:t>
      </w:r>
      <w:r>
        <w:t>incident</w:t>
      </w:r>
      <w:r w:rsidR="00E2436C">
        <w:t xml:space="preserve"> patients,</w:t>
      </w:r>
      <w:r>
        <w:t xml:space="preserve"> </w:t>
      </w:r>
      <w:r w:rsidRPr="00B80402">
        <w:t>prevalent patients</w:t>
      </w:r>
      <w:r w:rsidR="00E2436C">
        <w:t>,</w:t>
      </w:r>
      <w:r>
        <w:t xml:space="preserve"> and scripts </w:t>
      </w:r>
      <w:r w:rsidR="00E2436C">
        <w:t>dispensed</w:t>
      </w:r>
      <w:r w:rsidRPr="00B80402">
        <w:t xml:space="preserve"> was determined by counting the number of people supplied at least one PBS prescription using person specific numbers (non-identifying) in the data for the specified time periods. Patient initiation was defined as the date of supply of the first PBS or RPBS prescription.</w:t>
      </w:r>
    </w:p>
    <w:p w14:paraId="44746350" w14:textId="0D25877D" w:rsidR="001B2218" w:rsidRDefault="001B2218" w:rsidP="001B2218">
      <w:r>
        <w:t xml:space="preserve">PBS prescription data also contains age and gender information. </w:t>
      </w:r>
      <w:r w:rsidRPr="00D01051">
        <w:t xml:space="preserve">Patient age was derived as the age at first supply. </w:t>
      </w:r>
      <w:r>
        <w:t xml:space="preserve">This information was used to perform a breakdown of </w:t>
      </w:r>
      <w:r w:rsidR="00E2436C">
        <w:t>incident</w:t>
      </w:r>
      <w:r>
        <w:t xml:space="preserve"> patients by age and gender. </w:t>
      </w:r>
    </w:p>
    <w:p w14:paraId="2B19E086" w14:textId="77777777" w:rsidR="001B2218" w:rsidRDefault="001B2218" w:rsidP="001B2218">
      <w:pPr>
        <w:rPr>
          <w:b/>
          <w:bCs/>
          <w:i/>
          <w:iCs/>
        </w:rPr>
      </w:pPr>
      <w:r w:rsidRPr="003251DC">
        <w:rPr>
          <w:b/>
          <w:bCs/>
          <w:i/>
          <w:iCs/>
        </w:rPr>
        <w:t>Treatment sequence</w:t>
      </w:r>
    </w:p>
    <w:p w14:paraId="69D7449A" w14:textId="0AA6A7BA" w:rsidR="001B2218" w:rsidRDefault="00B17B70" w:rsidP="001B2218">
      <w:pPr>
        <w:spacing w:after="0"/>
      </w:pPr>
      <w:r w:rsidRPr="00B17B70">
        <w:t xml:space="preserve">To </w:t>
      </w:r>
      <w:r>
        <w:t>examine</w:t>
      </w:r>
      <w:r w:rsidRPr="00B17B70">
        <w:t xml:space="preserve"> the therapy sequence from </w:t>
      </w:r>
      <w:r>
        <w:t xml:space="preserve">a </w:t>
      </w:r>
      <w:r w:rsidRPr="00B17B70">
        <w:t>VEGF</w:t>
      </w:r>
      <w:r>
        <w:t>-</w:t>
      </w:r>
      <w:r w:rsidRPr="00B17B70">
        <w:t xml:space="preserve">TKI to treatment with </w:t>
      </w:r>
      <w:r w:rsidR="001A041C">
        <w:t>a</w:t>
      </w:r>
      <w:r w:rsidR="00B846E6">
        <w:t>tezolizumab</w:t>
      </w:r>
      <w:r>
        <w:t xml:space="preserve"> for HCC</w:t>
      </w:r>
      <w:r w:rsidRPr="00B17B70">
        <w:t xml:space="preserve">, prescription data for </w:t>
      </w:r>
      <w:r w:rsidR="00F11BC2">
        <w:t>s</w:t>
      </w:r>
      <w:r w:rsidR="00DF1B36">
        <w:t>orafenib</w:t>
      </w:r>
      <w:r w:rsidR="00D2702F" w:rsidRPr="00D2702F">
        <w:t xml:space="preserve"> for advanced Barcelona Clinic Liver Cancer Stage B or </w:t>
      </w:r>
      <w:r w:rsidR="00D2702F" w:rsidRPr="00D2702F">
        <w:lastRenderedPageBreak/>
        <w:t xml:space="preserve">Stage C hepatocellular carcinoma and </w:t>
      </w:r>
      <w:r w:rsidR="00F11BC2">
        <w:t>l</w:t>
      </w:r>
      <w:r w:rsidR="00DF1B36">
        <w:t>envatinib</w:t>
      </w:r>
      <w:r w:rsidR="00D2702F" w:rsidRPr="00D2702F">
        <w:t xml:space="preserve"> for advanced (unresectable) Barcelona Clinic Liver Cancer Stage B or Stage C hepatocellular carcinoma</w:t>
      </w:r>
      <w:r w:rsidR="00D2702F">
        <w:t xml:space="preserve">, </w:t>
      </w:r>
      <w:r w:rsidRPr="00B17B70">
        <w:t xml:space="preserve">were extracted from the start of </w:t>
      </w:r>
      <w:r w:rsidR="00D2702F">
        <w:t>November 2020</w:t>
      </w:r>
      <w:r w:rsidRPr="00B17B70">
        <w:t xml:space="preserve"> to the end of </w:t>
      </w:r>
      <w:r w:rsidR="00D2702F">
        <w:t>February</w:t>
      </w:r>
      <w:r w:rsidRPr="00B17B70">
        <w:t xml:space="preserve"> 202</w:t>
      </w:r>
      <w:r w:rsidR="00D2702F">
        <w:t>5</w:t>
      </w:r>
      <w:r w:rsidRPr="00B17B70">
        <w:t>. These data were merged with patients who had been supplied</w:t>
      </w:r>
      <w:r w:rsidR="00D2702F">
        <w:t xml:space="preserve"> </w:t>
      </w:r>
      <w:r w:rsidR="00F11BC2">
        <w:t>a</w:t>
      </w:r>
      <w:r w:rsidR="00B846E6">
        <w:t>tezolizumab</w:t>
      </w:r>
      <w:r w:rsidR="00D2702F" w:rsidRPr="00D2702F">
        <w:t xml:space="preserve"> for HCC</w:t>
      </w:r>
      <w:r w:rsidRPr="00B17B70">
        <w:t xml:space="preserve"> to identify the last medication which was used directly prior to the most recent use of </w:t>
      </w:r>
      <w:r w:rsidR="00F11BC2">
        <w:t>a</w:t>
      </w:r>
      <w:r w:rsidR="00B846E6">
        <w:t>tezolizumab</w:t>
      </w:r>
      <w:r w:rsidR="00D2702F" w:rsidRPr="00D2702F">
        <w:t xml:space="preserve"> for HCC</w:t>
      </w:r>
      <w:r w:rsidRPr="00B17B70">
        <w:t>.</w:t>
      </w:r>
    </w:p>
    <w:p w14:paraId="33CBE0B6" w14:textId="77777777" w:rsidR="001B2218" w:rsidRDefault="001B2218" w:rsidP="001B2218">
      <w:pPr>
        <w:spacing w:after="0"/>
      </w:pPr>
    </w:p>
    <w:p w14:paraId="2F786A14" w14:textId="77777777" w:rsidR="001B2218" w:rsidRPr="0086569E" w:rsidRDefault="001B2218" w:rsidP="001B2218">
      <w:pPr>
        <w:spacing w:after="0"/>
        <w:rPr>
          <w:b/>
          <w:bCs/>
          <w:i/>
          <w:iCs/>
        </w:rPr>
      </w:pPr>
      <w:r w:rsidRPr="0086569E">
        <w:rPr>
          <w:b/>
          <w:bCs/>
          <w:i/>
          <w:iCs/>
        </w:rPr>
        <w:t>Treatment duration analysis</w:t>
      </w:r>
    </w:p>
    <w:p w14:paraId="398A5171" w14:textId="77777777" w:rsidR="001B2218" w:rsidRDefault="001B2218" w:rsidP="001B2218">
      <w:pPr>
        <w:spacing w:after="0"/>
      </w:pPr>
    </w:p>
    <w:p w14:paraId="66C40623" w14:textId="58D276A4" w:rsidR="001B2218" w:rsidRDefault="001B2218" w:rsidP="001B2218">
      <w:pPr>
        <w:spacing w:after="0"/>
      </w:pPr>
      <w:r>
        <w:t xml:space="preserve">Time (days) on treatment </w:t>
      </w:r>
      <w:r w:rsidR="003A111E">
        <w:t xml:space="preserve">was obtained </w:t>
      </w:r>
      <w:r>
        <w:t xml:space="preserve">for all patients initiating </w:t>
      </w:r>
      <w:bookmarkStart w:id="0" w:name="_Hlk181257431"/>
      <w:r w:rsidR="003A111E">
        <w:t>a</w:t>
      </w:r>
      <w:r w:rsidR="00B846E6">
        <w:t>tezolizumab</w:t>
      </w:r>
      <w:r w:rsidRPr="00193F8E">
        <w:t xml:space="preserve"> for</w:t>
      </w:r>
      <w:r w:rsidR="00E2436C">
        <w:t xml:space="preserve"> HCC</w:t>
      </w:r>
      <w:r w:rsidRPr="00193F8E">
        <w:t xml:space="preserve"> </w:t>
      </w:r>
      <w:bookmarkEnd w:id="0"/>
      <w:r>
        <w:t xml:space="preserve">with follow-up to the end of </w:t>
      </w:r>
      <w:r w:rsidR="00E2436C">
        <w:t>February</w:t>
      </w:r>
      <w:r>
        <w:t xml:space="preserve"> 202</w:t>
      </w:r>
      <w:r w:rsidR="00E2436C">
        <w:t>5</w:t>
      </w:r>
      <w:r>
        <w:t xml:space="preserve"> (excluding patients initiating in the last 6 months, i.e. on or after </w:t>
      </w:r>
      <w:r w:rsidR="00E2436C">
        <w:t>1 October 2024</w:t>
      </w:r>
      <w:r>
        <w:t>). Kaplan-Meier analysis was undertaken to analyse the time on treatment. Time on treatment was determined with and without treatment breaks.</w:t>
      </w:r>
    </w:p>
    <w:p w14:paraId="7E99B3EF" w14:textId="77777777" w:rsidR="003A111E" w:rsidRDefault="003A111E" w:rsidP="001B2218">
      <w:pPr>
        <w:spacing w:after="0"/>
      </w:pPr>
    </w:p>
    <w:p w14:paraId="092C6A13" w14:textId="77777777" w:rsidR="001B2218" w:rsidRDefault="001B2218" w:rsidP="001B2218">
      <w:pPr>
        <w:spacing w:after="0"/>
      </w:pPr>
      <w:r>
        <w:t xml:space="preserve">Patients were assumed to have had a break in therapy if there was a period of no supply </w:t>
      </w:r>
    </w:p>
    <w:p w14:paraId="07EE09F6" w14:textId="49C4EF5D" w:rsidR="001B2218" w:rsidRDefault="001B2218" w:rsidP="001B2218">
      <w:pPr>
        <w:spacing w:after="0"/>
      </w:pPr>
      <w:r>
        <w:t xml:space="preserve">equivalent to three times the median time between supplies (i.e. </w:t>
      </w:r>
      <w:r w:rsidR="00E2436C">
        <w:t>63</w:t>
      </w:r>
      <w:r>
        <w:t xml:space="preserve"> days, 3 x </w:t>
      </w:r>
      <w:r w:rsidR="00E2436C">
        <w:t>21</w:t>
      </w:r>
      <w:r>
        <w:t xml:space="preserve"> days). </w:t>
      </w:r>
    </w:p>
    <w:p w14:paraId="5200D88A" w14:textId="0155C51C" w:rsidR="001B2218" w:rsidRDefault="001B2218" w:rsidP="001B2218">
      <w:pPr>
        <w:spacing w:after="0"/>
      </w:pPr>
      <w:r>
        <w:t xml:space="preserve">Patients who had a supply within </w:t>
      </w:r>
      <w:r w:rsidR="00E2436C">
        <w:t>63</w:t>
      </w:r>
      <w:r>
        <w:t xml:space="preserve"> days of the analysis end date were assumed to be </w:t>
      </w:r>
    </w:p>
    <w:p w14:paraId="6BEDDFA0" w14:textId="68AE1F33" w:rsidR="007D4BAE" w:rsidRDefault="001B2218" w:rsidP="001B2218">
      <w:pPr>
        <w:spacing w:after="0"/>
      </w:pPr>
      <w:r>
        <w:t>continuing on therapy. These patients were censored from the Kaplan-Meier analysis.</w:t>
      </w:r>
      <w:r>
        <w:cr/>
      </w:r>
    </w:p>
    <w:p w14:paraId="54E4BF1A" w14:textId="77777777" w:rsidR="00D2702F" w:rsidRPr="00D63334" w:rsidRDefault="00D2702F" w:rsidP="00D2702F">
      <w:pPr>
        <w:spacing w:after="0"/>
        <w:rPr>
          <w:b/>
          <w:bCs/>
          <w:i/>
          <w:iCs/>
        </w:rPr>
      </w:pPr>
      <w:r w:rsidRPr="00D63334">
        <w:rPr>
          <w:b/>
          <w:bCs/>
          <w:i/>
          <w:iCs/>
        </w:rPr>
        <w:t xml:space="preserve">Dose modification </w:t>
      </w:r>
    </w:p>
    <w:p w14:paraId="668434CA" w14:textId="77777777" w:rsidR="00D2702F" w:rsidRDefault="00D2702F" w:rsidP="00D2702F">
      <w:pPr>
        <w:spacing w:after="0"/>
      </w:pPr>
    </w:p>
    <w:p w14:paraId="78EA1C3F" w14:textId="0816B3FC" w:rsidR="00D2702F" w:rsidRPr="002D127D" w:rsidRDefault="00B846E6" w:rsidP="00D2702F">
      <w:pPr>
        <w:rPr>
          <w:rFonts w:ascii="Calibri" w:eastAsia="Times New Roman" w:hAnsi="Calibri" w:cs="Calibri"/>
          <w:color w:val="000000"/>
        </w:rPr>
      </w:pPr>
      <w:r>
        <w:t>Atezolizumab</w:t>
      </w:r>
      <w:r w:rsidR="00AF0E01">
        <w:t xml:space="preserve"> for HCC</w:t>
      </w:r>
      <w:r w:rsidR="00D2702F" w:rsidRPr="00B8079A">
        <w:t xml:space="preserve"> </w:t>
      </w:r>
      <w:r w:rsidR="00D2702F" w:rsidRPr="004059E7">
        <w:t xml:space="preserve">is </w:t>
      </w:r>
      <w:r w:rsidR="00D2702F">
        <w:t xml:space="preserve">taken </w:t>
      </w:r>
      <w:r w:rsidR="00C62570">
        <w:t>initially as</w:t>
      </w:r>
      <w:r w:rsidR="00C3619B">
        <w:t xml:space="preserve"> 1200 mg </w:t>
      </w:r>
      <w:r w:rsidR="0054024F">
        <w:t xml:space="preserve">IV </w:t>
      </w:r>
      <w:r w:rsidR="00C3619B">
        <w:t xml:space="preserve">every 3 weeks </w:t>
      </w:r>
      <w:r w:rsidR="00C62570">
        <w:t xml:space="preserve">or </w:t>
      </w:r>
      <w:r w:rsidR="00C3619B" w:rsidRPr="00C3619B">
        <w:t xml:space="preserve">1875 mg every 3 weeks </w:t>
      </w:r>
      <w:r w:rsidR="0054024F">
        <w:t>if given SC</w:t>
      </w:r>
      <w:r w:rsidR="00C3619B">
        <w:t xml:space="preserve"> </w:t>
      </w:r>
      <w:r w:rsidR="0054024F">
        <w:t xml:space="preserve">before moving on to a continuing dose of </w:t>
      </w:r>
      <w:r w:rsidR="00C3619B" w:rsidRPr="00C3619B">
        <w:t xml:space="preserve">1200 mg IV every 3 weeks </w:t>
      </w:r>
      <w:r w:rsidR="0054024F">
        <w:t>or</w:t>
      </w:r>
      <w:r w:rsidR="00C3619B">
        <w:t xml:space="preserve"> </w:t>
      </w:r>
      <w:r w:rsidR="00C3619B" w:rsidRPr="00C3619B">
        <w:t>1875 mg every 3 weeks</w:t>
      </w:r>
      <w:r w:rsidR="00C3619B">
        <w:t xml:space="preserve"> </w:t>
      </w:r>
      <w:r w:rsidR="0054024F">
        <w:t>if given SC</w:t>
      </w:r>
      <w:r w:rsidR="00C3619B">
        <w:t xml:space="preserve">, if </w:t>
      </w:r>
      <w:r w:rsidR="004914E1">
        <w:t>b</w:t>
      </w:r>
      <w:r w:rsidR="00D00965">
        <w:t>evacizumab</w:t>
      </w:r>
      <w:r w:rsidR="00C3619B" w:rsidRPr="00C3619B">
        <w:t xml:space="preserve"> is discontinued</w:t>
      </w:r>
      <w:r w:rsidR="00C3619B">
        <w:t xml:space="preserve"> treatment is 1680 mg IV every 4 weeks or </w:t>
      </w:r>
      <w:r w:rsidR="00C3619B" w:rsidRPr="00C3619B">
        <w:t xml:space="preserve">840 mg </w:t>
      </w:r>
      <w:r w:rsidR="00C3619B">
        <w:t xml:space="preserve">IV </w:t>
      </w:r>
      <w:r w:rsidR="00C3619B" w:rsidRPr="00C3619B">
        <w:t>every 2 weeks</w:t>
      </w:r>
      <w:r w:rsidR="00C3619B">
        <w:t>.</w:t>
      </w:r>
      <w:r w:rsidR="00D2702F">
        <w:t xml:space="preserve"> Dose may be modified </w:t>
      </w:r>
      <w:r w:rsidR="00D2702F" w:rsidRPr="004059E7">
        <w:t>due to</w:t>
      </w:r>
      <w:r w:rsidR="00CA6377">
        <w:t xml:space="preserve"> </w:t>
      </w:r>
      <w:r w:rsidR="008B41AE">
        <w:t>b</w:t>
      </w:r>
      <w:r w:rsidR="00D00965">
        <w:t>evacizumab</w:t>
      </w:r>
      <w:r w:rsidR="00CA6377">
        <w:t xml:space="preserve"> discontinu</w:t>
      </w:r>
      <w:r w:rsidR="00D00965">
        <w:t>ation due to</w:t>
      </w:r>
      <w:r w:rsidR="00CA6377">
        <w:t xml:space="preserve"> unacceptable toxicity</w:t>
      </w:r>
      <w:r w:rsidR="00D00965">
        <w:t>.</w:t>
      </w:r>
      <w:r w:rsidR="00D2702F" w:rsidRPr="004059E7">
        <w:t xml:space="preserve"> </w:t>
      </w:r>
      <w:r w:rsidR="00D2702F">
        <w:t xml:space="preserve">The dose of </w:t>
      </w:r>
      <w:r w:rsidR="008B41AE">
        <w:t>a</w:t>
      </w:r>
      <w:r>
        <w:t>tezolizumab</w:t>
      </w:r>
      <w:r w:rsidR="00D2702F" w:rsidRPr="004059E7">
        <w:t xml:space="preserve"> was determined </w:t>
      </w:r>
      <w:r w:rsidR="00D2702F" w:rsidRPr="002351CE">
        <w:t>by</w:t>
      </w:r>
      <w:r w:rsidR="00D2702F">
        <w:t xml:space="preserve"> calculating</w:t>
      </w:r>
      <w:r w:rsidR="00D2702F" w:rsidRPr="002351CE">
        <w:t xml:space="preserve"> the total amount of drug dispensed as the product of the mass per unit of drug supplied by the PBS quantity dispensed. </w:t>
      </w:r>
    </w:p>
    <w:p w14:paraId="7AC4FDDB" w14:textId="77777777" w:rsidR="00D2702F" w:rsidRDefault="00D2702F" w:rsidP="001B2218">
      <w:pPr>
        <w:spacing w:after="0"/>
      </w:pPr>
    </w:p>
    <w:p w14:paraId="1C6BCF89" w14:textId="77777777" w:rsidR="001B2218" w:rsidRPr="00B80402" w:rsidRDefault="001B2218" w:rsidP="001B2218">
      <w:pPr>
        <w:rPr>
          <w:b/>
          <w:bCs/>
          <w:i/>
          <w:iCs/>
        </w:rPr>
      </w:pPr>
      <w:r w:rsidRPr="00B80402">
        <w:rPr>
          <w:b/>
          <w:bCs/>
          <w:i/>
          <w:iCs/>
        </w:rPr>
        <w:t>Predicted versus actual analysis</w:t>
      </w:r>
    </w:p>
    <w:p w14:paraId="6F05701E" w14:textId="77777777" w:rsidR="001B2218" w:rsidRPr="00B80402" w:rsidRDefault="001B2218" w:rsidP="001B2218">
      <w:r w:rsidRPr="00B80402">
        <w:t xml:space="preserve">Predicted versus actual analysis of the number of patients treated, </w:t>
      </w:r>
      <w:r>
        <w:t xml:space="preserve">and </w:t>
      </w:r>
      <w:r w:rsidRPr="00B80402">
        <w:t xml:space="preserve">prescriptions dispensed. </w:t>
      </w:r>
    </w:p>
    <w:p w14:paraId="3EAB1553" w14:textId="77777777" w:rsidR="001B2218" w:rsidRPr="00B80402" w:rsidRDefault="001B2218" w:rsidP="001B2218">
      <w:r w:rsidRPr="00B80402">
        <w:t>The differences in actual compared to predicted utilisation was determined using the following calculation:</w:t>
      </w:r>
    </w:p>
    <w:p w14:paraId="14B28BCF" w14:textId="5AEFE26A" w:rsidR="002C6FF1" w:rsidRDefault="001B2218" w:rsidP="00A35800">
      <w:r w:rsidRPr="00B80402">
        <w:t>Difference (%) = ((Actual – Predicted)/Predicted) x 100.</w:t>
      </w:r>
    </w:p>
    <w:p w14:paraId="3EC13893" w14:textId="77777777" w:rsidR="001A1C93" w:rsidRDefault="001A1C93" w:rsidP="00A35800"/>
    <w:p w14:paraId="571DFDBD" w14:textId="77777777" w:rsidR="001A1C93" w:rsidRDefault="001A1C93" w:rsidP="00A35800"/>
    <w:p w14:paraId="654A6624" w14:textId="77777777" w:rsidR="001A1C93" w:rsidRDefault="001A1C93" w:rsidP="00A35800"/>
    <w:p w14:paraId="4F91A98A" w14:textId="00180E30" w:rsidR="00C714D0" w:rsidRPr="005E22C2" w:rsidRDefault="00C714D0" w:rsidP="00CF5E22">
      <w:pPr>
        <w:pStyle w:val="Heading1"/>
      </w:pPr>
      <w:r w:rsidRPr="005E22C2">
        <w:lastRenderedPageBreak/>
        <w:t>Results</w:t>
      </w:r>
    </w:p>
    <w:p w14:paraId="2221FF19" w14:textId="336CE8B2"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66AF4AFA" w14:textId="1FA8FF6D" w:rsidR="008A7EC3" w:rsidRPr="008A7EC3" w:rsidRDefault="00736041" w:rsidP="007D4BAE">
      <w:pPr>
        <w:pStyle w:val="Heading3"/>
      </w:pPr>
      <w:r w:rsidRPr="005E22C2">
        <w:t>Overall utilisation</w:t>
      </w:r>
    </w:p>
    <w:p w14:paraId="6D434956" w14:textId="77E9D60A" w:rsidR="00A05A9B" w:rsidRPr="008A7EC3" w:rsidRDefault="008A7EC3" w:rsidP="008A7EC3">
      <w:pPr>
        <w:pStyle w:val="Figurecaption"/>
        <w:spacing w:before="200" w:after="20"/>
        <w:rPr>
          <w:b/>
          <w:bCs/>
          <w:sz w:val="24"/>
          <w:szCs w:val="24"/>
        </w:rPr>
      </w:pPr>
      <w:r w:rsidRPr="006A3636">
        <w:rPr>
          <w:b/>
          <w:bCs/>
          <w:sz w:val="24"/>
          <w:szCs w:val="24"/>
        </w:rPr>
        <w:t xml:space="preserve">Table </w:t>
      </w:r>
      <w:r>
        <w:rPr>
          <w:b/>
          <w:bCs/>
          <w:sz w:val="24"/>
          <w:szCs w:val="24"/>
        </w:rPr>
        <w:t>2</w:t>
      </w:r>
      <w:r w:rsidRPr="006A3636">
        <w:rPr>
          <w:b/>
          <w:bCs/>
          <w:sz w:val="24"/>
          <w:szCs w:val="24"/>
        </w:rPr>
        <w:t>: Number of incident (new)</w:t>
      </w:r>
      <w:r>
        <w:rPr>
          <w:b/>
          <w:bCs/>
          <w:sz w:val="24"/>
          <w:szCs w:val="24"/>
        </w:rPr>
        <w:t xml:space="preserve"> </w:t>
      </w:r>
      <w:r w:rsidRPr="006A3636">
        <w:rPr>
          <w:b/>
          <w:bCs/>
          <w:sz w:val="24"/>
          <w:szCs w:val="24"/>
        </w:rPr>
        <w:t>prevalent (total treated) patients and scripts by year</w:t>
      </w:r>
    </w:p>
    <w:tbl>
      <w:tblPr>
        <w:tblStyle w:val="TableGrid"/>
        <w:tblW w:w="0" w:type="auto"/>
        <w:tblLook w:val="04A0" w:firstRow="1" w:lastRow="0" w:firstColumn="1" w:lastColumn="0" w:noHBand="0" w:noVBand="1"/>
      </w:tblPr>
      <w:tblGrid>
        <w:gridCol w:w="1340"/>
        <w:gridCol w:w="2360"/>
        <w:gridCol w:w="2480"/>
        <w:gridCol w:w="2240"/>
      </w:tblGrid>
      <w:tr w:rsidR="00B23B6B" w:rsidRPr="00B23B6B" w14:paraId="7C4F9A01" w14:textId="77777777" w:rsidTr="008A7EC3">
        <w:trPr>
          <w:trHeight w:val="288"/>
        </w:trPr>
        <w:tc>
          <w:tcPr>
            <w:tcW w:w="1340" w:type="dxa"/>
            <w:shd w:val="clear" w:color="auto" w:fill="BFBFBF" w:themeFill="background1" w:themeFillShade="BF"/>
            <w:noWrap/>
            <w:hideMark/>
          </w:tcPr>
          <w:p w14:paraId="50D77521" w14:textId="66297DE7" w:rsidR="00B23B6B" w:rsidRPr="00B23B6B" w:rsidRDefault="00703C6E" w:rsidP="00B23B6B">
            <w:pPr>
              <w:pStyle w:val="Figurecaption"/>
              <w:rPr>
                <w:b/>
                <w:bCs/>
              </w:rPr>
            </w:pPr>
            <w:r>
              <w:rPr>
                <w:b/>
                <w:bCs/>
              </w:rPr>
              <w:t>Year</w:t>
            </w:r>
          </w:p>
        </w:tc>
        <w:tc>
          <w:tcPr>
            <w:tcW w:w="2360" w:type="dxa"/>
            <w:shd w:val="clear" w:color="auto" w:fill="BFBFBF" w:themeFill="background1" w:themeFillShade="BF"/>
            <w:noWrap/>
            <w:hideMark/>
          </w:tcPr>
          <w:p w14:paraId="74B563E7" w14:textId="5452583A" w:rsidR="00B23B6B" w:rsidRPr="00B23B6B" w:rsidRDefault="00B23B6B" w:rsidP="00B23B6B">
            <w:pPr>
              <w:pStyle w:val="Figurecaption"/>
              <w:rPr>
                <w:b/>
                <w:bCs/>
              </w:rPr>
            </w:pPr>
            <w:r>
              <w:rPr>
                <w:b/>
                <w:bCs/>
              </w:rPr>
              <w:t>I</w:t>
            </w:r>
            <w:r w:rsidRPr="00B23B6B">
              <w:rPr>
                <w:b/>
                <w:bCs/>
              </w:rPr>
              <w:t>ncident</w:t>
            </w:r>
            <w:r>
              <w:rPr>
                <w:b/>
                <w:bCs/>
              </w:rPr>
              <w:t xml:space="preserve"> </w:t>
            </w:r>
            <w:r w:rsidRPr="00B23B6B">
              <w:rPr>
                <w:b/>
                <w:bCs/>
              </w:rPr>
              <w:t>patients</w:t>
            </w:r>
          </w:p>
        </w:tc>
        <w:tc>
          <w:tcPr>
            <w:tcW w:w="2480" w:type="dxa"/>
            <w:shd w:val="clear" w:color="auto" w:fill="BFBFBF" w:themeFill="background1" w:themeFillShade="BF"/>
            <w:noWrap/>
            <w:hideMark/>
          </w:tcPr>
          <w:p w14:paraId="6DC68ADA" w14:textId="71D5AA41" w:rsidR="00B23B6B" w:rsidRPr="00B23B6B" w:rsidRDefault="00B23B6B" w:rsidP="00B23B6B">
            <w:pPr>
              <w:pStyle w:val="Figurecaption"/>
              <w:rPr>
                <w:b/>
                <w:bCs/>
              </w:rPr>
            </w:pPr>
            <w:r>
              <w:rPr>
                <w:b/>
                <w:bCs/>
              </w:rPr>
              <w:t xml:space="preserve">Prevalent </w:t>
            </w:r>
            <w:r w:rsidRPr="00B23B6B">
              <w:rPr>
                <w:b/>
                <w:bCs/>
              </w:rPr>
              <w:t>patients</w:t>
            </w:r>
          </w:p>
        </w:tc>
        <w:tc>
          <w:tcPr>
            <w:tcW w:w="2240" w:type="dxa"/>
            <w:shd w:val="clear" w:color="auto" w:fill="BFBFBF" w:themeFill="background1" w:themeFillShade="BF"/>
            <w:noWrap/>
            <w:hideMark/>
          </w:tcPr>
          <w:p w14:paraId="74C9C9CC" w14:textId="51AE2686" w:rsidR="00B23B6B" w:rsidRPr="00B23B6B" w:rsidRDefault="00B23B6B" w:rsidP="00B23B6B">
            <w:pPr>
              <w:pStyle w:val="Figurecaption"/>
              <w:rPr>
                <w:b/>
                <w:bCs/>
              </w:rPr>
            </w:pPr>
            <w:r>
              <w:rPr>
                <w:b/>
                <w:bCs/>
              </w:rPr>
              <w:t>S</w:t>
            </w:r>
            <w:r w:rsidRPr="00B23B6B">
              <w:rPr>
                <w:b/>
                <w:bCs/>
              </w:rPr>
              <w:t>cripts</w:t>
            </w:r>
          </w:p>
        </w:tc>
      </w:tr>
      <w:tr w:rsidR="00B23B6B" w:rsidRPr="00B23B6B" w14:paraId="46D85A45" w14:textId="77777777" w:rsidTr="00B23B6B">
        <w:trPr>
          <w:trHeight w:val="288"/>
        </w:trPr>
        <w:tc>
          <w:tcPr>
            <w:tcW w:w="1340" w:type="dxa"/>
            <w:noWrap/>
            <w:hideMark/>
          </w:tcPr>
          <w:p w14:paraId="14D42528" w14:textId="60CFF80F" w:rsidR="00B23B6B" w:rsidRPr="00B23B6B" w:rsidRDefault="00B23B6B" w:rsidP="00B23B6B">
            <w:pPr>
              <w:pStyle w:val="Figurecaption"/>
            </w:pPr>
            <w:r w:rsidRPr="00B23B6B">
              <w:t>2020</w:t>
            </w:r>
            <w:r w:rsidR="00703C6E" w:rsidRPr="00703C6E">
              <w:rPr>
                <w:vertAlign w:val="superscript"/>
              </w:rPr>
              <w:t>1</w:t>
            </w:r>
          </w:p>
        </w:tc>
        <w:tc>
          <w:tcPr>
            <w:tcW w:w="2360" w:type="dxa"/>
            <w:noWrap/>
            <w:hideMark/>
          </w:tcPr>
          <w:p w14:paraId="29A22EB3" w14:textId="77777777" w:rsidR="00B23B6B" w:rsidRPr="00B23B6B" w:rsidRDefault="00B23B6B" w:rsidP="00B23B6B">
            <w:pPr>
              <w:pStyle w:val="Figurecaption"/>
            </w:pPr>
            <w:r w:rsidRPr="00B23B6B">
              <w:t>110</w:t>
            </w:r>
          </w:p>
        </w:tc>
        <w:tc>
          <w:tcPr>
            <w:tcW w:w="2480" w:type="dxa"/>
            <w:noWrap/>
            <w:hideMark/>
          </w:tcPr>
          <w:p w14:paraId="4DE64139" w14:textId="77777777" w:rsidR="00B23B6B" w:rsidRPr="00B23B6B" w:rsidRDefault="00B23B6B" w:rsidP="00B23B6B">
            <w:pPr>
              <w:pStyle w:val="Figurecaption"/>
            </w:pPr>
            <w:r w:rsidRPr="00B23B6B">
              <w:t>112</w:t>
            </w:r>
          </w:p>
        </w:tc>
        <w:tc>
          <w:tcPr>
            <w:tcW w:w="2240" w:type="dxa"/>
            <w:noWrap/>
            <w:hideMark/>
          </w:tcPr>
          <w:p w14:paraId="15610A64" w14:textId="77777777" w:rsidR="00B23B6B" w:rsidRPr="00B23B6B" w:rsidRDefault="00B23B6B" w:rsidP="00B23B6B">
            <w:pPr>
              <w:pStyle w:val="Figurecaption"/>
            </w:pPr>
            <w:r w:rsidRPr="00B23B6B">
              <w:t>206</w:t>
            </w:r>
          </w:p>
        </w:tc>
      </w:tr>
      <w:tr w:rsidR="00B23B6B" w:rsidRPr="00B23B6B" w14:paraId="096754EE" w14:textId="77777777" w:rsidTr="00B23B6B">
        <w:trPr>
          <w:trHeight w:val="288"/>
        </w:trPr>
        <w:tc>
          <w:tcPr>
            <w:tcW w:w="1340" w:type="dxa"/>
            <w:noWrap/>
            <w:hideMark/>
          </w:tcPr>
          <w:p w14:paraId="750BEEE4" w14:textId="77777777" w:rsidR="00B23B6B" w:rsidRPr="00B23B6B" w:rsidRDefault="00B23B6B" w:rsidP="00B23B6B">
            <w:pPr>
              <w:pStyle w:val="Figurecaption"/>
            </w:pPr>
            <w:r w:rsidRPr="00B23B6B">
              <w:t>2021</w:t>
            </w:r>
          </w:p>
        </w:tc>
        <w:tc>
          <w:tcPr>
            <w:tcW w:w="2360" w:type="dxa"/>
            <w:noWrap/>
            <w:hideMark/>
          </w:tcPr>
          <w:p w14:paraId="65D89B42" w14:textId="77777777" w:rsidR="00B23B6B" w:rsidRPr="00B23B6B" w:rsidRDefault="00B23B6B" w:rsidP="00B23B6B">
            <w:pPr>
              <w:pStyle w:val="Figurecaption"/>
            </w:pPr>
            <w:r w:rsidRPr="00B23B6B">
              <w:t>533</w:t>
            </w:r>
          </w:p>
        </w:tc>
        <w:tc>
          <w:tcPr>
            <w:tcW w:w="2480" w:type="dxa"/>
            <w:noWrap/>
            <w:hideMark/>
          </w:tcPr>
          <w:p w14:paraId="41C92BB0" w14:textId="77777777" w:rsidR="00B23B6B" w:rsidRPr="00B23B6B" w:rsidRDefault="00B23B6B" w:rsidP="00B23B6B">
            <w:pPr>
              <w:pStyle w:val="Figurecaption"/>
            </w:pPr>
            <w:r w:rsidRPr="00B23B6B">
              <w:t>657</w:t>
            </w:r>
          </w:p>
        </w:tc>
        <w:tc>
          <w:tcPr>
            <w:tcW w:w="2240" w:type="dxa"/>
            <w:noWrap/>
            <w:hideMark/>
          </w:tcPr>
          <w:p w14:paraId="5D9DCA50" w14:textId="2AABBE03" w:rsidR="00B23B6B" w:rsidRPr="00B23B6B" w:rsidRDefault="00B23B6B" w:rsidP="00B23B6B">
            <w:pPr>
              <w:pStyle w:val="Figurecaption"/>
            </w:pPr>
            <w:r w:rsidRPr="00B23B6B">
              <w:t>3</w:t>
            </w:r>
            <w:r w:rsidR="006A6371">
              <w:t>,</w:t>
            </w:r>
            <w:r w:rsidRPr="00B23B6B">
              <w:t>727</w:t>
            </w:r>
          </w:p>
        </w:tc>
      </w:tr>
      <w:tr w:rsidR="00B23B6B" w:rsidRPr="00B23B6B" w14:paraId="7922C59B" w14:textId="77777777" w:rsidTr="00B23B6B">
        <w:trPr>
          <w:trHeight w:val="288"/>
        </w:trPr>
        <w:tc>
          <w:tcPr>
            <w:tcW w:w="1340" w:type="dxa"/>
            <w:noWrap/>
            <w:hideMark/>
          </w:tcPr>
          <w:p w14:paraId="5C31D738" w14:textId="77777777" w:rsidR="00B23B6B" w:rsidRPr="00B23B6B" w:rsidRDefault="00B23B6B" w:rsidP="00B23B6B">
            <w:pPr>
              <w:pStyle w:val="Figurecaption"/>
            </w:pPr>
            <w:r w:rsidRPr="00B23B6B">
              <w:t>2022</w:t>
            </w:r>
          </w:p>
        </w:tc>
        <w:tc>
          <w:tcPr>
            <w:tcW w:w="2360" w:type="dxa"/>
            <w:noWrap/>
            <w:hideMark/>
          </w:tcPr>
          <w:p w14:paraId="7F1A7859" w14:textId="77777777" w:rsidR="00B23B6B" w:rsidRPr="00B23B6B" w:rsidRDefault="00B23B6B" w:rsidP="00B23B6B">
            <w:pPr>
              <w:pStyle w:val="Figurecaption"/>
            </w:pPr>
            <w:r w:rsidRPr="00B23B6B">
              <w:t>505</w:t>
            </w:r>
          </w:p>
        </w:tc>
        <w:tc>
          <w:tcPr>
            <w:tcW w:w="2480" w:type="dxa"/>
            <w:noWrap/>
            <w:hideMark/>
          </w:tcPr>
          <w:p w14:paraId="3587FBF3" w14:textId="77777777" w:rsidR="00B23B6B" w:rsidRPr="00B23B6B" w:rsidRDefault="00B23B6B" w:rsidP="00B23B6B">
            <w:pPr>
              <w:pStyle w:val="Figurecaption"/>
            </w:pPr>
            <w:r w:rsidRPr="00B23B6B">
              <w:t>869</w:t>
            </w:r>
          </w:p>
        </w:tc>
        <w:tc>
          <w:tcPr>
            <w:tcW w:w="2240" w:type="dxa"/>
            <w:noWrap/>
            <w:hideMark/>
          </w:tcPr>
          <w:p w14:paraId="3CD95871" w14:textId="1C880EC8" w:rsidR="00B23B6B" w:rsidRPr="00B23B6B" w:rsidRDefault="00B23B6B" w:rsidP="00B23B6B">
            <w:pPr>
              <w:pStyle w:val="Figurecaption"/>
            </w:pPr>
            <w:r w:rsidRPr="00B23B6B">
              <w:t>5</w:t>
            </w:r>
            <w:r w:rsidR="006A6371">
              <w:t>,</w:t>
            </w:r>
            <w:r w:rsidRPr="00B23B6B">
              <w:t>653</w:t>
            </w:r>
          </w:p>
        </w:tc>
      </w:tr>
      <w:tr w:rsidR="00B23B6B" w:rsidRPr="00B23B6B" w14:paraId="5B9EBF64" w14:textId="77777777" w:rsidTr="00B23B6B">
        <w:trPr>
          <w:trHeight w:val="288"/>
        </w:trPr>
        <w:tc>
          <w:tcPr>
            <w:tcW w:w="1340" w:type="dxa"/>
            <w:noWrap/>
            <w:hideMark/>
          </w:tcPr>
          <w:p w14:paraId="4603D45A" w14:textId="77777777" w:rsidR="00B23B6B" w:rsidRPr="00B23B6B" w:rsidRDefault="00B23B6B" w:rsidP="00B23B6B">
            <w:pPr>
              <w:pStyle w:val="Figurecaption"/>
            </w:pPr>
            <w:r w:rsidRPr="00B23B6B">
              <w:t>2023</w:t>
            </w:r>
          </w:p>
        </w:tc>
        <w:tc>
          <w:tcPr>
            <w:tcW w:w="2360" w:type="dxa"/>
            <w:noWrap/>
            <w:hideMark/>
          </w:tcPr>
          <w:p w14:paraId="1BF66314" w14:textId="77777777" w:rsidR="00B23B6B" w:rsidRPr="00B23B6B" w:rsidRDefault="00B23B6B" w:rsidP="00B23B6B">
            <w:pPr>
              <w:pStyle w:val="Figurecaption"/>
            </w:pPr>
            <w:r w:rsidRPr="00B23B6B">
              <w:t>522</w:t>
            </w:r>
          </w:p>
        </w:tc>
        <w:tc>
          <w:tcPr>
            <w:tcW w:w="2480" w:type="dxa"/>
            <w:noWrap/>
            <w:hideMark/>
          </w:tcPr>
          <w:p w14:paraId="5643BCB2" w14:textId="77777777" w:rsidR="00B23B6B" w:rsidRPr="00B23B6B" w:rsidRDefault="00B23B6B" w:rsidP="00B23B6B">
            <w:pPr>
              <w:pStyle w:val="Figurecaption"/>
            </w:pPr>
            <w:r w:rsidRPr="00B23B6B">
              <w:t>955</w:t>
            </w:r>
          </w:p>
        </w:tc>
        <w:tc>
          <w:tcPr>
            <w:tcW w:w="2240" w:type="dxa"/>
            <w:noWrap/>
            <w:hideMark/>
          </w:tcPr>
          <w:p w14:paraId="7FAAEEF9" w14:textId="0965AC1A" w:rsidR="00B23B6B" w:rsidRPr="00B23B6B" w:rsidRDefault="00B23B6B" w:rsidP="00B23B6B">
            <w:pPr>
              <w:pStyle w:val="Figurecaption"/>
            </w:pPr>
            <w:r w:rsidRPr="00B23B6B">
              <w:t>6</w:t>
            </w:r>
            <w:r w:rsidR="006A6371">
              <w:t>,</w:t>
            </w:r>
            <w:r w:rsidRPr="00B23B6B">
              <w:t>135</w:t>
            </w:r>
          </w:p>
        </w:tc>
      </w:tr>
      <w:tr w:rsidR="00B23B6B" w:rsidRPr="00B23B6B" w14:paraId="342B2435" w14:textId="77777777" w:rsidTr="00B23B6B">
        <w:trPr>
          <w:trHeight w:val="288"/>
        </w:trPr>
        <w:tc>
          <w:tcPr>
            <w:tcW w:w="1340" w:type="dxa"/>
            <w:noWrap/>
            <w:hideMark/>
          </w:tcPr>
          <w:p w14:paraId="74213FC2" w14:textId="77777777" w:rsidR="00B23B6B" w:rsidRPr="00B23B6B" w:rsidRDefault="00B23B6B" w:rsidP="00B23B6B">
            <w:pPr>
              <w:pStyle w:val="Figurecaption"/>
            </w:pPr>
            <w:r w:rsidRPr="00B23B6B">
              <w:t>2024</w:t>
            </w:r>
          </w:p>
        </w:tc>
        <w:tc>
          <w:tcPr>
            <w:tcW w:w="2360" w:type="dxa"/>
            <w:noWrap/>
            <w:hideMark/>
          </w:tcPr>
          <w:p w14:paraId="3A97ECEA" w14:textId="77777777" w:rsidR="00B23B6B" w:rsidRPr="00B23B6B" w:rsidRDefault="00B23B6B" w:rsidP="00B23B6B">
            <w:pPr>
              <w:pStyle w:val="Figurecaption"/>
            </w:pPr>
            <w:r w:rsidRPr="00B23B6B">
              <w:t>526</w:t>
            </w:r>
          </w:p>
        </w:tc>
        <w:tc>
          <w:tcPr>
            <w:tcW w:w="2480" w:type="dxa"/>
            <w:noWrap/>
            <w:hideMark/>
          </w:tcPr>
          <w:p w14:paraId="71689529" w14:textId="19A54B24" w:rsidR="00B23B6B" w:rsidRPr="00B23B6B" w:rsidRDefault="00B23B6B" w:rsidP="00B23B6B">
            <w:pPr>
              <w:pStyle w:val="Figurecaption"/>
            </w:pPr>
            <w:r w:rsidRPr="00B23B6B">
              <w:t>1</w:t>
            </w:r>
            <w:r w:rsidR="006A6371">
              <w:t>,</w:t>
            </w:r>
            <w:r w:rsidRPr="00B23B6B">
              <w:t>010</w:t>
            </w:r>
          </w:p>
        </w:tc>
        <w:tc>
          <w:tcPr>
            <w:tcW w:w="2240" w:type="dxa"/>
            <w:noWrap/>
            <w:hideMark/>
          </w:tcPr>
          <w:p w14:paraId="542F4306" w14:textId="2FF29C5F" w:rsidR="00B23B6B" w:rsidRPr="00B23B6B" w:rsidRDefault="00B23B6B" w:rsidP="00B23B6B">
            <w:pPr>
              <w:pStyle w:val="Figurecaption"/>
            </w:pPr>
            <w:r w:rsidRPr="00B23B6B">
              <w:t>7</w:t>
            </w:r>
            <w:r w:rsidR="006A6371">
              <w:t>,</w:t>
            </w:r>
            <w:r w:rsidRPr="00B23B6B">
              <w:t>033</w:t>
            </w:r>
          </w:p>
        </w:tc>
      </w:tr>
      <w:tr w:rsidR="00B23B6B" w:rsidRPr="00B23B6B" w14:paraId="6D225A0E" w14:textId="77777777" w:rsidTr="00B23B6B">
        <w:trPr>
          <w:trHeight w:val="288"/>
        </w:trPr>
        <w:tc>
          <w:tcPr>
            <w:tcW w:w="1340" w:type="dxa"/>
            <w:noWrap/>
            <w:hideMark/>
          </w:tcPr>
          <w:p w14:paraId="7618D5B9" w14:textId="256C3BEE" w:rsidR="00B23B6B" w:rsidRPr="00B23B6B" w:rsidRDefault="00B23B6B" w:rsidP="00B23B6B">
            <w:pPr>
              <w:pStyle w:val="Figurecaption"/>
            </w:pPr>
            <w:r w:rsidRPr="00B23B6B">
              <w:t>2025</w:t>
            </w:r>
            <w:r w:rsidR="00703C6E" w:rsidRPr="00703C6E">
              <w:rPr>
                <w:vertAlign w:val="superscript"/>
              </w:rPr>
              <w:t>2</w:t>
            </w:r>
          </w:p>
        </w:tc>
        <w:tc>
          <w:tcPr>
            <w:tcW w:w="2360" w:type="dxa"/>
            <w:noWrap/>
            <w:hideMark/>
          </w:tcPr>
          <w:p w14:paraId="31CC1D8F" w14:textId="77777777" w:rsidR="00B23B6B" w:rsidRPr="00B23B6B" w:rsidRDefault="00B23B6B" w:rsidP="00B23B6B">
            <w:pPr>
              <w:pStyle w:val="Figurecaption"/>
            </w:pPr>
            <w:r w:rsidRPr="00B23B6B">
              <w:t>94</w:t>
            </w:r>
          </w:p>
        </w:tc>
        <w:tc>
          <w:tcPr>
            <w:tcW w:w="2480" w:type="dxa"/>
            <w:noWrap/>
            <w:hideMark/>
          </w:tcPr>
          <w:p w14:paraId="7E96BA75" w14:textId="77777777" w:rsidR="00B23B6B" w:rsidRPr="00B23B6B" w:rsidRDefault="00B23B6B" w:rsidP="00B23B6B">
            <w:pPr>
              <w:pStyle w:val="Figurecaption"/>
            </w:pPr>
            <w:r w:rsidRPr="00B23B6B">
              <w:t>544</w:t>
            </w:r>
          </w:p>
        </w:tc>
        <w:tc>
          <w:tcPr>
            <w:tcW w:w="2240" w:type="dxa"/>
            <w:noWrap/>
            <w:hideMark/>
          </w:tcPr>
          <w:p w14:paraId="777C0D97" w14:textId="178DA4A9" w:rsidR="00B23B6B" w:rsidRPr="00B23B6B" w:rsidRDefault="00B23B6B" w:rsidP="00B23B6B">
            <w:pPr>
              <w:pStyle w:val="Figurecaption"/>
            </w:pPr>
            <w:r w:rsidRPr="00B23B6B">
              <w:t>1</w:t>
            </w:r>
            <w:r w:rsidR="006A6371">
              <w:t>,</w:t>
            </w:r>
            <w:r w:rsidRPr="00B23B6B">
              <w:t>182</w:t>
            </w:r>
          </w:p>
        </w:tc>
      </w:tr>
      <w:tr w:rsidR="00B23B6B" w:rsidRPr="00B23B6B" w14:paraId="29572A44" w14:textId="77777777" w:rsidTr="00B23B6B">
        <w:trPr>
          <w:trHeight w:val="288"/>
        </w:trPr>
        <w:tc>
          <w:tcPr>
            <w:tcW w:w="1340" w:type="dxa"/>
            <w:noWrap/>
            <w:hideMark/>
          </w:tcPr>
          <w:p w14:paraId="4A2C1DFC" w14:textId="77777777" w:rsidR="00B23B6B" w:rsidRPr="00B23B6B" w:rsidRDefault="00B23B6B" w:rsidP="00B23B6B">
            <w:pPr>
              <w:pStyle w:val="Figurecaption"/>
              <w:rPr>
                <w:b/>
                <w:bCs/>
              </w:rPr>
            </w:pPr>
            <w:r w:rsidRPr="00B23B6B">
              <w:rPr>
                <w:b/>
                <w:bCs/>
              </w:rPr>
              <w:t>Grand Total</w:t>
            </w:r>
          </w:p>
        </w:tc>
        <w:tc>
          <w:tcPr>
            <w:tcW w:w="2360" w:type="dxa"/>
            <w:noWrap/>
            <w:hideMark/>
          </w:tcPr>
          <w:p w14:paraId="198734B3" w14:textId="32BD6F47" w:rsidR="00B23B6B" w:rsidRPr="00B23B6B" w:rsidRDefault="00B23B6B" w:rsidP="00B23B6B">
            <w:pPr>
              <w:pStyle w:val="Figurecaption"/>
              <w:rPr>
                <w:b/>
                <w:bCs/>
              </w:rPr>
            </w:pPr>
            <w:r w:rsidRPr="00B23B6B">
              <w:rPr>
                <w:b/>
                <w:bCs/>
              </w:rPr>
              <w:t>2</w:t>
            </w:r>
            <w:r w:rsidR="006A6371">
              <w:rPr>
                <w:b/>
                <w:bCs/>
              </w:rPr>
              <w:t>,</w:t>
            </w:r>
            <w:r w:rsidRPr="00B23B6B">
              <w:rPr>
                <w:b/>
                <w:bCs/>
              </w:rPr>
              <w:t>290</w:t>
            </w:r>
          </w:p>
        </w:tc>
        <w:tc>
          <w:tcPr>
            <w:tcW w:w="2480" w:type="dxa"/>
            <w:noWrap/>
            <w:hideMark/>
          </w:tcPr>
          <w:p w14:paraId="72FD7CEF" w14:textId="2862C3E5" w:rsidR="00B23B6B" w:rsidRPr="00B23B6B" w:rsidRDefault="00B23B6B" w:rsidP="00B23B6B">
            <w:pPr>
              <w:pStyle w:val="Figurecaption"/>
              <w:rPr>
                <w:b/>
                <w:bCs/>
              </w:rPr>
            </w:pPr>
            <w:r w:rsidRPr="00B23B6B">
              <w:rPr>
                <w:b/>
                <w:bCs/>
              </w:rPr>
              <w:t>4</w:t>
            </w:r>
            <w:r w:rsidR="006A6371">
              <w:rPr>
                <w:b/>
                <w:bCs/>
              </w:rPr>
              <w:t>,</w:t>
            </w:r>
            <w:r w:rsidRPr="00B23B6B">
              <w:rPr>
                <w:b/>
                <w:bCs/>
              </w:rPr>
              <w:t>147</w:t>
            </w:r>
          </w:p>
        </w:tc>
        <w:tc>
          <w:tcPr>
            <w:tcW w:w="2240" w:type="dxa"/>
            <w:noWrap/>
            <w:hideMark/>
          </w:tcPr>
          <w:p w14:paraId="01AEC8BA" w14:textId="7001FE82" w:rsidR="00B23B6B" w:rsidRPr="00B23B6B" w:rsidRDefault="00B23B6B" w:rsidP="00B23B6B">
            <w:pPr>
              <w:pStyle w:val="Figurecaption"/>
              <w:rPr>
                <w:b/>
                <w:bCs/>
              </w:rPr>
            </w:pPr>
            <w:r w:rsidRPr="00B23B6B">
              <w:rPr>
                <w:b/>
                <w:bCs/>
              </w:rPr>
              <w:t>23</w:t>
            </w:r>
            <w:r w:rsidR="006A6371">
              <w:rPr>
                <w:b/>
                <w:bCs/>
              </w:rPr>
              <w:t>,</w:t>
            </w:r>
            <w:r w:rsidRPr="00B23B6B">
              <w:rPr>
                <w:b/>
                <w:bCs/>
              </w:rPr>
              <w:t>936</w:t>
            </w:r>
          </w:p>
        </w:tc>
      </w:tr>
    </w:tbl>
    <w:p w14:paraId="378F1EFE" w14:textId="19976CA9" w:rsidR="00A05A9B" w:rsidRDefault="00703C6E" w:rsidP="007D4151">
      <w:pPr>
        <w:pStyle w:val="Figurecaption"/>
        <w:spacing w:before="0" w:after="0"/>
      </w:pPr>
      <w:r>
        <w:t>Note</w:t>
      </w:r>
      <w:r w:rsidR="00B77001">
        <w:t>:</w:t>
      </w:r>
    </w:p>
    <w:p w14:paraId="13CCF353" w14:textId="5C98EFE2" w:rsidR="00B77001" w:rsidRDefault="00B77001" w:rsidP="007D4151">
      <w:pPr>
        <w:pStyle w:val="Figurecaption"/>
        <w:spacing w:before="0" w:after="0"/>
      </w:pPr>
      <w:r w:rsidRPr="00261ED6">
        <w:rPr>
          <w:vertAlign w:val="superscript"/>
        </w:rPr>
        <w:t>1</w:t>
      </w:r>
      <w:r>
        <w:t>For the period 1 November 2020 to 31 December 2020</w:t>
      </w:r>
    </w:p>
    <w:p w14:paraId="5B4C8985" w14:textId="36BCA978" w:rsidR="00B77001" w:rsidRDefault="00B77001" w:rsidP="007D4151">
      <w:pPr>
        <w:pStyle w:val="Figurecaption"/>
        <w:spacing w:before="0" w:after="0"/>
      </w:pPr>
      <w:r w:rsidRPr="00261ED6">
        <w:rPr>
          <w:vertAlign w:val="superscript"/>
        </w:rPr>
        <w:t>2</w:t>
      </w:r>
      <w:r>
        <w:t>For the period 1 January</w:t>
      </w:r>
      <w:r w:rsidR="00261ED6">
        <w:t xml:space="preserve"> 2025 to 28 February 2025.</w:t>
      </w:r>
    </w:p>
    <w:p w14:paraId="4DF4C86B" w14:textId="77777777" w:rsidR="0013705A" w:rsidRDefault="0013705A" w:rsidP="00FE645A">
      <w:pPr>
        <w:pStyle w:val="Figurecaption"/>
      </w:pPr>
    </w:p>
    <w:p w14:paraId="4DFEA965" w14:textId="4C299D9F" w:rsidR="00945B16" w:rsidRDefault="0013705A" w:rsidP="00945B16">
      <w:pPr>
        <w:pStyle w:val="Figurecaption"/>
      </w:pPr>
      <w:r>
        <w:rPr>
          <w:noProof/>
        </w:rPr>
        <w:drawing>
          <wp:inline distT="0" distB="0" distL="0" distR="0" wp14:anchorId="1110F18F" wp14:editId="75588792">
            <wp:extent cx="5448300" cy="3223260"/>
            <wp:effectExtent l="0" t="0" r="0" b="15240"/>
            <wp:docPr id="371179686" name="Chart 1">
              <a:extLst xmlns:a="http://schemas.openxmlformats.org/drawingml/2006/main">
                <a:ext uri="{FF2B5EF4-FFF2-40B4-BE49-F238E27FC236}">
                  <a16:creationId xmlns:a16="http://schemas.microsoft.com/office/drawing/2014/main" id="{22A664CE-606E-B48F-7295-B692B398E1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95EC251" w14:textId="4F6F324F" w:rsidR="008A7EC3" w:rsidRPr="008A7EC3" w:rsidRDefault="008A7EC3" w:rsidP="008A7EC3">
      <w:pPr>
        <w:pStyle w:val="Heading3"/>
        <w:spacing w:before="0" w:after="0"/>
        <w:rPr>
          <w:i w:val="0"/>
          <w:iCs/>
        </w:rPr>
      </w:pPr>
      <w:r w:rsidRPr="000D4C6A">
        <w:rPr>
          <w:i w:val="0"/>
          <w:iCs/>
        </w:rPr>
        <w:t xml:space="preserve">Figure </w:t>
      </w:r>
      <w:r>
        <w:rPr>
          <w:i w:val="0"/>
          <w:iCs/>
        </w:rPr>
        <w:t>1</w:t>
      </w:r>
      <w:r w:rsidRPr="000D4C6A">
        <w:rPr>
          <w:i w:val="0"/>
          <w:iCs/>
        </w:rPr>
        <w:t xml:space="preserve">: Number of treated prevalent and incident patients, and scripts by </w:t>
      </w:r>
      <w:r>
        <w:rPr>
          <w:i w:val="0"/>
          <w:iCs/>
        </w:rPr>
        <w:t>quarter</w:t>
      </w:r>
    </w:p>
    <w:p w14:paraId="23531A23" w14:textId="47552AFB" w:rsidR="00945B16" w:rsidRDefault="00945B16" w:rsidP="008A7EC3">
      <w:pPr>
        <w:pStyle w:val="Figurecaption"/>
        <w:spacing w:before="0" w:after="0"/>
      </w:pPr>
      <w:r>
        <w:t>Note:</w:t>
      </w:r>
    </w:p>
    <w:p w14:paraId="11248A58" w14:textId="2C1B3A7D" w:rsidR="00945B16" w:rsidRDefault="00945B16" w:rsidP="008A7EC3">
      <w:pPr>
        <w:pStyle w:val="Figurecaption"/>
        <w:spacing w:before="0" w:after="0"/>
      </w:pPr>
      <w:r>
        <w:t>Scripts (dotted line) are marked on the secondary axis</w:t>
      </w:r>
      <w:r w:rsidR="00585E5F">
        <w:t>.</w:t>
      </w:r>
    </w:p>
    <w:p w14:paraId="4E6C5CA4" w14:textId="2111D832" w:rsidR="00BC0953" w:rsidRDefault="00BC0953" w:rsidP="008A7EC3">
      <w:pPr>
        <w:pStyle w:val="Figurecaption"/>
        <w:spacing w:before="0" w:after="0"/>
      </w:pPr>
      <w:r>
        <w:t>Q42020 and Q1</w:t>
      </w:r>
      <w:r w:rsidR="00656CF1">
        <w:t>2025 have not been included as the</w:t>
      </w:r>
      <w:r w:rsidR="009E5A66">
        <w:t xml:space="preserve"> data is only derived from</w:t>
      </w:r>
      <w:r w:rsidR="00656CF1">
        <w:t xml:space="preserve"> partial quarters.</w:t>
      </w:r>
    </w:p>
    <w:p w14:paraId="638F2437" w14:textId="784FBE3C" w:rsidR="006E14A1" w:rsidRDefault="006E14A1" w:rsidP="00945B16">
      <w:pPr>
        <w:pStyle w:val="Figurecaption"/>
      </w:pPr>
    </w:p>
    <w:p w14:paraId="5F54B064" w14:textId="77777777" w:rsidR="001A1C93" w:rsidRDefault="001A1C93" w:rsidP="00945B16">
      <w:pPr>
        <w:pStyle w:val="Figurecaption"/>
      </w:pPr>
    </w:p>
    <w:p w14:paraId="32A535D5" w14:textId="77777777" w:rsidR="001A1C93" w:rsidRDefault="001A1C93" w:rsidP="00945B16">
      <w:pPr>
        <w:pStyle w:val="Figurecaption"/>
      </w:pPr>
    </w:p>
    <w:p w14:paraId="61E23864" w14:textId="77777777" w:rsidR="001A1C93" w:rsidRDefault="001A1C93" w:rsidP="00945B16">
      <w:pPr>
        <w:pStyle w:val="Figurecaption"/>
      </w:pPr>
    </w:p>
    <w:p w14:paraId="1219F992" w14:textId="723D6185" w:rsidR="00275826" w:rsidRDefault="00736041" w:rsidP="001A1C93">
      <w:pPr>
        <w:pStyle w:val="Heading3"/>
      </w:pPr>
      <w:r w:rsidRPr="005E22C2">
        <w:lastRenderedPageBreak/>
        <w:t>Utilisation by relevant sub-populations/regions</w:t>
      </w:r>
      <w:r w:rsidR="001B5D37" w:rsidRPr="005E22C2">
        <w:t xml:space="preserve"> or patient level analysis</w:t>
      </w:r>
    </w:p>
    <w:p w14:paraId="45D2FCBE" w14:textId="5E1C0EDC" w:rsidR="00275826" w:rsidRDefault="00897FD1" w:rsidP="00A35800">
      <w:r>
        <w:rPr>
          <w:noProof/>
        </w:rPr>
        <w:drawing>
          <wp:inline distT="0" distB="0" distL="0" distR="0" wp14:anchorId="7B9251BF" wp14:editId="3FD80A9D">
            <wp:extent cx="5261610" cy="2816860"/>
            <wp:effectExtent l="0" t="0" r="0" b="2540"/>
            <wp:docPr id="1738237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61610" cy="2816860"/>
                    </a:xfrm>
                    <a:prstGeom prst="rect">
                      <a:avLst/>
                    </a:prstGeom>
                    <a:noFill/>
                  </pic:spPr>
                </pic:pic>
              </a:graphicData>
            </a:graphic>
          </wp:inline>
        </w:drawing>
      </w:r>
    </w:p>
    <w:p w14:paraId="325B43DF" w14:textId="37D3217B" w:rsidR="008A7EC3" w:rsidRPr="001A1C93" w:rsidRDefault="008A7EC3" w:rsidP="001A1C93">
      <w:pPr>
        <w:tabs>
          <w:tab w:val="left" w:pos="720"/>
        </w:tabs>
        <w:autoSpaceDE w:val="0"/>
        <w:autoSpaceDN w:val="0"/>
        <w:adjustRightInd w:val="0"/>
        <w:spacing w:before="240"/>
        <w:rPr>
          <w:rFonts w:ascii="Calibri" w:hAnsi="Calibri" w:cs="Calibri"/>
          <w:b/>
          <w:bCs/>
        </w:rPr>
      </w:pPr>
      <w:r w:rsidRPr="00046262">
        <w:rPr>
          <w:rFonts w:ascii="Calibri" w:hAnsi="Calibri" w:cs="Calibri"/>
          <w:b/>
          <w:bCs/>
        </w:rPr>
        <w:t xml:space="preserve">Figure </w:t>
      </w:r>
      <w:r>
        <w:rPr>
          <w:rFonts w:ascii="Calibri" w:hAnsi="Calibri" w:cs="Calibri"/>
          <w:b/>
          <w:bCs/>
        </w:rPr>
        <w:t>2</w:t>
      </w:r>
      <w:r w:rsidRPr="00046262">
        <w:rPr>
          <w:rFonts w:ascii="Calibri" w:hAnsi="Calibri" w:cs="Calibri"/>
          <w:b/>
          <w:bCs/>
        </w:rPr>
        <w:t>: Incident patients by gender and 5-year age group</w:t>
      </w:r>
    </w:p>
    <w:p w14:paraId="350EE995" w14:textId="7E6E0669" w:rsidR="006E0D5F" w:rsidRDefault="00D57C74" w:rsidP="00A35800">
      <w:r>
        <w:t xml:space="preserve">Males </w:t>
      </w:r>
      <w:r w:rsidR="00C46529">
        <w:t xml:space="preserve">to female ratio </w:t>
      </w:r>
      <w:r w:rsidR="007A15FF">
        <w:t xml:space="preserve">of incident patients </w:t>
      </w:r>
      <w:r w:rsidR="009A56A5">
        <w:t xml:space="preserve">dispensed </w:t>
      </w:r>
      <w:r w:rsidR="00C31648">
        <w:t>a</w:t>
      </w:r>
      <w:r w:rsidR="00B846E6">
        <w:t>tezolizumab</w:t>
      </w:r>
      <w:r w:rsidR="004D3D5B">
        <w:t xml:space="preserve"> for </w:t>
      </w:r>
      <w:r w:rsidR="007D2F58">
        <w:t>a</w:t>
      </w:r>
      <w:r w:rsidR="007D2F58" w:rsidRPr="007D2F58">
        <w:t>dvanced (unresectable) Barcelona Clinic Liver Cancer Stage B or Stage C</w:t>
      </w:r>
      <w:r w:rsidR="00F76308">
        <w:t xml:space="preserve"> HCC </w:t>
      </w:r>
      <w:r w:rsidR="00C46529">
        <w:t xml:space="preserve">is approx. 4:1. </w:t>
      </w:r>
      <w:r w:rsidR="006A71FB">
        <w:t>This is comparable to the rates of</w:t>
      </w:r>
      <w:r w:rsidR="002C41FF">
        <w:t xml:space="preserve"> </w:t>
      </w:r>
      <w:r w:rsidR="00F76308">
        <w:t>HCC</w:t>
      </w:r>
      <w:r w:rsidR="009A12ED">
        <w:t xml:space="preserve"> (L1.01</w:t>
      </w:r>
      <w:r w:rsidR="00220CF1">
        <w:t>.01</w:t>
      </w:r>
      <w:r w:rsidR="009A12ED">
        <w:t>)</w:t>
      </w:r>
      <w:r w:rsidR="002C41FF">
        <w:t xml:space="preserve"> </w:t>
      </w:r>
      <w:r w:rsidR="006A71FB">
        <w:t>(</w:t>
      </w:r>
      <w:r w:rsidR="002C41FF">
        <w:t xml:space="preserve">crude </w:t>
      </w:r>
      <w:r w:rsidR="00A00B5B">
        <w:t>incident</w:t>
      </w:r>
      <w:r w:rsidR="002C41FF">
        <w:t xml:space="preserve"> rate for 202</w:t>
      </w:r>
      <w:r w:rsidR="009A12ED">
        <w:t>0</w:t>
      </w:r>
      <w:r w:rsidR="006A71FB">
        <w:t>) of</w:t>
      </w:r>
      <w:r w:rsidR="00633FBA">
        <w:t xml:space="preserve"> </w:t>
      </w:r>
      <w:r w:rsidR="00504595">
        <w:t>11.2</w:t>
      </w:r>
      <w:r w:rsidR="002C41FF">
        <w:t xml:space="preserve"> </w:t>
      </w:r>
      <w:r w:rsidR="00633FBA">
        <w:t xml:space="preserve">cases </w:t>
      </w:r>
      <w:r w:rsidR="00A00B5B">
        <w:t xml:space="preserve">per 100,000 males </w:t>
      </w:r>
      <w:r w:rsidR="002C41FF">
        <w:t xml:space="preserve">and </w:t>
      </w:r>
      <w:r w:rsidR="00A00B5B">
        <w:t>females</w:t>
      </w:r>
      <w:r w:rsidR="002C41FF">
        <w:t xml:space="preserve"> </w:t>
      </w:r>
      <w:r w:rsidR="0090769C">
        <w:t>2.9</w:t>
      </w:r>
      <w:r w:rsidR="00A00B5B">
        <w:t xml:space="preserve"> </w:t>
      </w:r>
      <w:r w:rsidR="00633FBA">
        <w:t xml:space="preserve">case </w:t>
      </w:r>
      <w:r w:rsidR="00A00B5B">
        <w:t>per 100,000 females</w:t>
      </w:r>
      <w:r w:rsidR="008C7382">
        <w:t xml:space="preserve"> or approx. 4:1</w:t>
      </w:r>
      <w:r w:rsidR="00A00B5B">
        <w:t>.</w:t>
      </w:r>
      <w:r w:rsidR="00472F31" w:rsidRPr="00472F31">
        <w:rPr>
          <w:rStyle w:val="FootnoteReference"/>
        </w:rPr>
        <w:t xml:space="preserve"> </w:t>
      </w:r>
      <w:r w:rsidR="00472F31">
        <w:rPr>
          <w:rStyle w:val="FootnoteReference"/>
        </w:rPr>
        <w:footnoteReference w:id="6"/>
      </w:r>
    </w:p>
    <w:p w14:paraId="7FBE52A6" w14:textId="7EF160BD" w:rsidR="00760506" w:rsidRDefault="0026655D" w:rsidP="00A35800">
      <w:r>
        <w:rPr>
          <w:noProof/>
        </w:rPr>
        <w:drawing>
          <wp:inline distT="0" distB="0" distL="0" distR="0" wp14:anchorId="0D192DEC" wp14:editId="51BC357A">
            <wp:extent cx="5250180" cy="2971800"/>
            <wp:effectExtent l="0" t="0" r="7620" b="0"/>
            <wp:docPr id="1912638219" name="Chart 1">
              <a:extLst xmlns:a="http://schemas.openxmlformats.org/drawingml/2006/main">
                <a:ext uri="{FF2B5EF4-FFF2-40B4-BE49-F238E27FC236}">
                  <a16:creationId xmlns:a16="http://schemas.microsoft.com/office/drawing/2014/main" id="{5180ED23-CC71-616B-E07F-D67DF899F8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A57DDE6" w14:textId="6F8C7FED" w:rsidR="008A7EC3" w:rsidRPr="008A7EC3" w:rsidRDefault="008A7EC3" w:rsidP="00A35800">
      <w:pPr>
        <w:rPr>
          <w:b/>
          <w:bCs/>
        </w:rPr>
      </w:pPr>
      <w:r w:rsidRPr="008A7EC3">
        <w:rPr>
          <w:b/>
          <w:bCs/>
        </w:rPr>
        <w:t>Figure 3: Incident cases of HCC</w:t>
      </w:r>
    </w:p>
    <w:p w14:paraId="7730083A" w14:textId="76227F4E" w:rsidR="00603A14" w:rsidRDefault="00897FD1" w:rsidP="00A35800">
      <w:r>
        <w:rPr>
          <w:noProof/>
        </w:rPr>
        <w:lastRenderedPageBreak/>
        <w:drawing>
          <wp:inline distT="0" distB="0" distL="0" distR="0" wp14:anchorId="5636B6CF" wp14:editId="5DC8A9AF">
            <wp:extent cx="5401310" cy="3139440"/>
            <wp:effectExtent l="0" t="0" r="8890" b="3810"/>
            <wp:docPr id="19481120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1310" cy="3139440"/>
                    </a:xfrm>
                    <a:prstGeom prst="rect">
                      <a:avLst/>
                    </a:prstGeom>
                    <a:noFill/>
                  </pic:spPr>
                </pic:pic>
              </a:graphicData>
            </a:graphic>
          </wp:inline>
        </w:drawing>
      </w:r>
    </w:p>
    <w:p w14:paraId="29A06A50" w14:textId="0AF4FBB8" w:rsidR="005B7789" w:rsidRPr="005B7789" w:rsidRDefault="005B7789" w:rsidP="00A35800">
      <w:pPr>
        <w:rPr>
          <w:b/>
          <w:bCs/>
        </w:rPr>
      </w:pPr>
      <w:r w:rsidRPr="005B7789">
        <w:rPr>
          <w:b/>
          <w:bCs/>
        </w:rPr>
        <w:t>Figure 4: Incident patients on treatment</w:t>
      </w:r>
      <w:r w:rsidR="00512544">
        <w:rPr>
          <w:b/>
          <w:bCs/>
        </w:rPr>
        <w:t xml:space="preserve"> with </w:t>
      </w:r>
      <w:r w:rsidR="00DD2D66">
        <w:rPr>
          <w:b/>
          <w:bCs/>
        </w:rPr>
        <w:t>a</w:t>
      </w:r>
      <w:r w:rsidR="00B846E6">
        <w:rPr>
          <w:b/>
          <w:bCs/>
        </w:rPr>
        <w:t>tezolizumab</w:t>
      </w:r>
    </w:p>
    <w:p w14:paraId="022224B2" w14:textId="5A3069E5" w:rsidR="00B53542" w:rsidRDefault="00B53542" w:rsidP="00A35800">
      <w:r>
        <w:t xml:space="preserve">25.5% of incident patients on treatment </w:t>
      </w:r>
      <w:r w:rsidR="00512544">
        <w:t xml:space="preserve">with </w:t>
      </w:r>
      <w:r w:rsidR="00DD2D66">
        <w:t>a</w:t>
      </w:r>
      <w:r w:rsidR="00B846E6">
        <w:t>tezolizumab</w:t>
      </w:r>
      <w:r w:rsidR="00512544">
        <w:t xml:space="preserve"> </w:t>
      </w:r>
      <w:r>
        <w:t>are 75 years of age</w:t>
      </w:r>
      <w:r w:rsidR="005B7789">
        <w:t xml:space="preserve"> or </w:t>
      </w:r>
      <w:r w:rsidR="00512544">
        <w:t>older</w:t>
      </w:r>
      <w:r>
        <w:t xml:space="preserve">, </w:t>
      </w:r>
      <w:r w:rsidR="4F081FF0">
        <w:t>while</w:t>
      </w:r>
      <w:r>
        <w:t xml:space="preserve"> 26.4% of incident cases of </w:t>
      </w:r>
      <w:r w:rsidR="00512544">
        <w:t>HCC</w:t>
      </w:r>
      <w:r w:rsidR="005B7789">
        <w:t xml:space="preserve"> </w:t>
      </w:r>
      <w:r w:rsidR="22793468">
        <w:t>are</w:t>
      </w:r>
      <w:r w:rsidR="005B7789">
        <w:t xml:space="preserve"> in people 75 years of age or </w:t>
      </w:r>
      <w:r w:rsidR="00512544">
        <w:t>older</w:t>
      </w:r>
      <w:r>
        <w:t>.</w:t>
      </w:r>
    </w:p>
    <w:p w14:paraId="58386EF1" w14:textId="77777777" w:rsidR="00521A84" w:rsidRDefault="00521A84" w:rsidP="00A35800"/>
    <w:p w14:paraId="210C507C" w14:textId="2A2CC8C2" w:rsidR="009129C4" w:rsidRDefault="00B1204F" w:rsidP="00A35800">
      <w:r>
        <w:rPr>
          <w:noProof/>
        </w:rPr>
        <w:drawing>
          <wp:inline distT="0" distB="0" distL="0" distR="0" wp14:anchorId="131E9631" wp14:editId="0B7C2190">
            <wp:extent cx="5486400" cy="3180715"/>
            <wp:effectExtent l="0" t="0" r="0" b="635"/>
            <wp:docPr id="1032821084" name="Chart 1">
              <a:extLst xmlns:a="http://schemas.openxmlformats.org/drawingml/2006/main">
                <a:ext uri="{FF2B5EF4-FFF2-40B4-BE49-F238E27FC236}">
                  <a16:creationId xmlns:a16="http://schemas.microsoft.com/office/drawing/2014/main" id="{B71A5357-9C8A-09EC-6B49-17AA3910DF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0820039" w14:textId="5BEE3C24" w:rsidR="00657CB6" w:rsidRPr="00657CB6" w:rsidRDefault="00657CB6" w:rsidP="007D4151">
      <w:pPr>
        <w:spacing w:after="0"/>
        <w:rPr>
          <w:b/>
          <w:bCs/>
        </w:rPr>
      </w:pPr>
      <w:r w:rsidRPr="00657CB6">
        <w:rPr>
          <w:b/>
          <w:bCs/>
        </w:rPr>
        <w:t xml:space="preserve">Figure </w:t>
      </w:r>
      <w:r w:rsidR="00B379A4">
        <w:rPr>
          <w:b/>
          <w:bCs/>
        </w:rPr>
        <w:t>5</w:t>
      </w:r>
      <w:r w:rsidRPr="00657CB6">
        <w:rPr>
          <w:b/>
          <w:bCs/>
        </w:rPr>
        <w:t xml:space="preserve">: Incident patients and script numbers for initial treatment with </w:t>
      </w:r>
      <w:r w:rsidR="00DD2D66">
        <w:rPr>
          <w:b/>
          <w:bCs/>
        </w:rPr>
        <w:t>a</w:t>
      </w:r>
      <w:r w:rsidR="00B846E6">
        <w:rPr>
          <w:b/>
          <w:bCs/>
        </w:rPr>
        <w:t>tezolizumab</w:t>
      </w:r>
    </w:p>
    <w:p w14:paraId="26CF9ACB" w14:textId="77777777" w:rsidR="00B1204F" w:rsidRDefault="00B1204F" w:rsidP="00657CB6">
      <w:pPr>
        <w:pStyle w:val="Figurecaption"/>
        <w:spacing w:before="0" w:after="0"/>
      </w:pPr>
      <w:r>
        <w:t>Note:</w:t>
      </w:r>
    </w:p>
    <w:p w14:paraId="05721AF7" w14:textId="77777777" w:rsidR="00B1204F" w:rsidRDefault="00B1204F" w:rsidP="00657CB6">
      <w:pPr>
        <w:pStyle w:val="Figurecaption"/>
        <w:spacing w:before="0" w:after="0"/>
      </w:pPr>
      <w:r>
        <w:t>Scripts (dotted line) are marked on the secondary axis.</w:t>
      </w:r>
    </w:p>
    <w:p w14:paraId="1649A571" w14:textId="77777777" w:rsidR="009E5A66" w:rsidRDefault="009E5A66" w:rsidP="00657CB6">
      <w:pPr>
        <w:pStyle w:val="Figurecaption"/>
        <w:spacing w:before="0" w:after="0"/>
      </w:pPr>
      <w:r>
        <w:t>Q42020 and Q12025 have not been included as the data is only derived from partial quarters.</w:t>
      </w:r>
    </w:p>
    <w:p w14:paraId="503181B4" w14:textId="77777777" w:rsidR="009E5A66" w:rsidRDefault="009E5A66" w:rsidP="00B1204F">
      <w:pPr>
        <w:pStyle w:val="Figurecaption"/>
      </w:pPr>
    </w:p>
    <w:p w14:paraId="2A12AA94" w14:textId="77777777" w:rsidR="00B1204F" w:rsidRDefault="00B1204F" w:rsidP="00A35800"/>
    <w:p w14:paraId="20276586" w14:textId="77777777" w:rsidR="007D4151" w:rsidRDefault="007D4151" w:rsidP="00A35800"/>
    <w:p w14:paraId="58442C2C" w14:textId="7DFACBC2" w:rsidR="009129C4" w:rsidRDefault="0036098C" w:rsidP="00CE49C1">
      <w:pPr>
        <w:spacing w:after="0"/>
      </w:pPr>
      <w:r>
        <w:rPr>
          <w:noProof/>
        </w:rPr>
        <w:drawing>
          <wp:inline distT="0" distB="0" distL="0" distR="0" wp14:anchorId="00C3A287" wp14:editId="7295F592">
            <wp:extent cx="5749290" cy="3304540"/>
            <wp:effectExtent l="0" t="0" r="3810" b="0"/>
            <wp:docPr id="94622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49290" cy="3304540"/>
                    </a:xfrm>
                    <a:prstGeom prst="rect">
                      <a:avLst/>
                    </a:prstGeom>
                    <a:noFill/>
                  </pic:spPr>
                </pic:pic>
              </a:graphicData>
            </a:graphic>
          </wp:inline>
        </w:drawing>
      </w:r>
    </w:p>
    <w:p w14:paraId="486B0657" w14:textId="13E643BA" w:rsidR="00657CB6" w:rsidRPr="00657CB6" w:rsidRDefault="00657CB6" w:rsidP="00CE49C1">
      <w:pPr>
        <w:spacing w:after="0"/>
        <w:rPr>
          <w:b/>
          <w:bCs/>
        </w:rPr>
      </w:pPr>
      <w:r w:rsidRPr="00657CB6">
        <w:rPr>
          <w:b/>
          <w:bCs/>
        </w:rPr>
        <w:t xml:space="preserve">Figure </w:t>
      </w:r>
      <w:r w:rsidR="00B379A4">
        <w:rPr>
          <w:b/>
          <w:bCs/>
        </w:rPr>
        <w:t>6</w:t>
      </w:r>
      <w:r w:rsidRPr="00657CB6">
        <w:rPr>
          <w:b/>
          <w:bCs/>
        </w:rPr>
        <w:t xml:space="preserve">: Incident patients for continuing treatment with </w:t>
      </w:r>
      <w:r w:rsidR="00B6157C">
        <w:rPr>
          <w:b/>
          <w:bCs/>
        </w:rPr>
        <w:t>a</w:t>
      </w:r>
      <w:r w:rsidR="00B846E6">
        <w:rPr>
          <w:b/>
          <w:bCs/>
        </w:rPr>
        <w:t>tezolizumab</w:t>
      </w:r>
    </w:p>
    <w:p w14:paraId="00216D2E" w14:textId="77777777" w:rsidR="005B7550" w:rsidRDefault="005B7550" w:rsidP="00657CB6">
      <w:pPr>
        <w:pStyle w:val="Figurecaption"/>
        <w:spacing w:before="0" w:after="0"/>
      </w:pPr>
      <w:r>
        <w:t>Note:</w:t>
      </w:r>
    </w:p>
    <w:p w14:paraId="1D663922" w14:textId="6248B510" w:rsidR="005B7550" w:rsidRDefault="005B7550" w:rsidP="00657CB6">
      <w:pPr>
        <w:pStyle w:val="Figurecaption"/>
        <w:spacing w:before="0" w:after="0"/>
      </w:pPr>
      <w:r>
        <w:t xml:space="preserve">4 </w:t>
      </w:r>
      <w:r w:rsidR="00B943D6">
        <w:t>(</w:t>
      </w:r>
      <w:r w:rsidR="00382A16">
        <w:t xml:space="preserve">or </w:t>
      </w:r>
      <w:r w:rsidR="00B943D6">
        <w:t xml:space="preserve">2) </w:t>
      </w:r>
      <w:r>
        <w:t>weekly continuing treatment regime (dotted line) are marked on the secondary axis.</w:t>
      </w:r>
    </w:p>
    <w:p w14:paraId="6ACBC6BA" w14:textId="77777777" w:rsidR="009E5A66" w:rsidRDefault="009E5A66" w:rsidP="00657CB6">
      <w:pPr>
        <w:pStyle w:val="Figurecaption"/>
        <w:spacing w:before="0" w:after="0"/>
      </w:pPr>
      <w:r>
        <w:t>Q42020 and Q12025 have not been included as the data is only derived from partial quarters.</w:t>
      </w:r>
    </w:p>
    <w:p w14:paraId="5098715B" w14:textId="68CE4620" w:rsidR="0096487B" w:rsidRPr="00E93A5B" w:rsidRDefault="0096487B" w:rsidP="00657CB6">
      <w:pPr>
        <w:spacing w:after="0"/>
        <w:rPr>
          <w:sz w:val="20"/>
          <w:szCs w:val="20"/>
        </w:rPr>
      </w:pPr>
      <w:r w:rsidRPr="005B3B2E">
        <w:rPr>
          <w:sz w:val="20"/>
          <w:szCs w:val="20"/>
        </w:rPr>
        <w:t>Patient numbers</w:t>
      </w:r>
      <w:r w:rsidR="00162347">
        <w:rPr>
          <w:sz w:val="20"/>
          <w:szCs w:val="20"/>
        </w:rPr>
        <w:t xml:space="preserve"> for 4 weekly treatment regime</w:t>
      </w:r>
      <w:r w:rsidRPr="005B3B2E">
        <w:rPr>
          <w:sz w:val="20"/>
          <w:szCs w:val="20"/>
        </w:rPr>
        <w:t xml:space="preserve"> have been redacted as numbers are small</w:t>
      </w:r>
      <w:r>
        <w:rPr>
          <w:sz w:val="20"/>
          <w:szCs w:val="20"/>
        </w:rPr>
        <w:t>.</w:t>
      </w:r>
    </w:p>
    <w:p w14:paraId="62B4B04C" w14:textId="77777777" w:rsidR="00FF787C" w:rsidRDefault="00FF787C" w:rsidP="005B7550">
      <w:pPr>
        <w:pStyle w:val="Figurecaption"/>
      </w:pPr>
    </w:p>
    <w:p w14:paraId="5F300057" w14:textId="60205A71" w:rsidR="00590BD3" w:rsidRPr="00A9438D" w:rsidRDefault="00A9438D" w:rsidP="005B7550">
      <w:pPr>
        <w:pStyle w:val="Figurecaption"/>
        <w:rPr>
          <w:b/>
          <w:bCs/>
          <w:sz w:val="24"/>
          <w:szCs w:val="24"/>
        </w:rPr>
      </w:pPr>
      <w:r w:rsidRPr="00A9438D">
        <w:rPr>
          <w:b/>
          <w:bCs/>
          <w:sz w:val="24"/>
          <w:szCs w:val="24"/>
        </w:rPr>
        <w:t xml:space="preserve">Table </w:t>
      </w:r>
      <w:r w:rsidR="00DB7EE4">
        <w:rPr>
          <w:b/>
          <w:bCs/>
          <w:sz w:val="24"/>
          <w:szCs w:val="24"/>
        </w:rPr>
        <w:t>3</w:t>
      </w:r>
      <w:r w:rsidRPr="00A9438D">
        <w:rPr>
          <w:b/>
          <w:bCs/>
          <w:sz w:val="24"/>
          <w:szCs w:val="24"/>
        </w:rPr>
        <w:t>: Dose s</w:t>
      </w:r>
      <w:r w:rsidR="00B50CCA" w:rsidRPr="00A9438D">
        <w:rPr>
          <w:b/>
          <w:bCs/>
          <w:sz w:val="24"/>
          <w:szCs w:val="24"/>
        </w:rPr>
        <w:t>equence frequency</w:t>
      </w:r>
      <w:r w:rsidR="00FA1308" w:rsidRPr="00A9438D">
        <w:rPr>
          <w:b/>
          <w:bCs/>
          <w:sz w:val="24"/>
          <w:szCs w:val="24"/>
        </w:rPr>
        <w:t xml:space="preserve"> </w:t>
      </w:r>
      <w:r w:rsidRPr="00A9438D">
        <w:rPr>
          <w:b/>
          <w:bCs/>
          <w:sz w:val="24"/>
          <w:szCs w:val="24"/>
        </w:rPr>
        <w:t xml:space="preserve">by </w:t>
      </w:r>
      <w:r w:rsidR="00590BD3" w:rsidRPr="00A9438D">
        <w:rPr>
          <w:b/>
          <w:bCs/>
          <w:sz w:val="24"/>
          <w:szCs w:val="24"/>
        </w:rPr>
        <w:t>incident patients</w:t>
      </w:r>
    </w:p>
    <w:tbl>
      <w:tblPr>
        <w:tblStyle w:val="TableGrid"/>
        <w:tblW w:w="0" w:type="auto"/>
        <w:tblLook w:val="04A0" w:firstRow="1" w:lastRow="0" w:firstColumn="1" w:lastColumn="0" w:noHBand="0" w:noVBand="1"/>
      </w:tblPr>
      <w:tblGrid>
        <w:gridCol w:w="2547"/>
        <w:gridCol w:w="2977"/>
      </w:tblGrid>
      <w:tr w:rsidR="00222DAC" w:rsidRPr="00222DAC" w14:paraId="5C2C06C8" w14:textId="77777777" w:rsidTr="00A9438D">
        <w:trPr>
          <w:trHeight w:val="288"/>
        </w:trPr>
        <w:tc>
          <w:tcPr>
            <w:tcW w:w="2547" w:type="dxa"/>
            <w:shd w:val="clear" w:color="auto" w:fill="BFBFBF" w:themeFill="background1" w:themeFillShade="BF"/>
            <w:noWrap/>
          </w:tcPr>
          <w:p w14:paraId="243AD06E" w14:textId="66ECB74C" w:rsidR="00222DAC" w:rsidRPr="00A9438D" w:rsidRDefault="00222DAC" w:rsidP="00222DAC">
            <w:pPr>
              <w:pStyle w:val="Figurecaption"/>
              <w:rPr>
                <w:rFonts w:cstheme="minorHAnsi"/>
                <w:b/>
                <w:bCs/>
              </w:rPr>
            </w:pPr>
            <w:r w:rsidRPr="00A9438D">
              <w:rPr>
                <w:rFonts w:cstheme="minorHAnsi"/>
                <w:b/>
                <w:bCs/>
              </w:rPr>
              <w:t>Dose sequence</w:t>
            </w:r>
          </w:p>
        </w:tc>
        <w:tc>
          <w:tcPr>
            <w:tcW w:w="2977" w:type="dxa"/>
            <w:shd w:val="clear" w:color="auto" w:fill="BFBFBF" w:themeFill="background1" w:themeFillShade="BF"/>
            <w:noWrap/>
          </w:tcPr>
          <w:p w14:paraId="7F5ADF0E" w14:textId="6D19CE97" w:rsidR="00222DAC" w:rsidRPr="00A9438D" w:rsidRDefault="00614E71" w:rsidP="00222DAC">
            <w:pPr>
              <w:pStyle w:val="Figurecaption"/>
              <w:rPr>
                <w:rFonts w:cstheme="minorHAnsi"/>
                <w:b/>
                <w:bCs/>
              </w:rPr>
            </w:pPr>
            <w:r w:rsidRPr="00A9438D">
              <w:rPr>
                <w:rFonts w:cstheme="minorHAnsi"/>
                <w:b/>
                <w:bCs/>
              </w:rPr>
              <w:t xml:space="preserve">Proportion of </w:t>
            </w:r>
            <w:r w:rsidR="00222DAC" w:rsidRPr="00A9438D">
              <w:rPr>
                <w:rFonts w:cstheme="minorHAnsi"/>
                <w:b/>
                <w:bCs/>
              </w:rPr>
              <w:t>Incident patients</w:t>
            </w:r>
          </w:p>
        </w:tc>
      </w:tr>
      <w:tr w:rsidR="00403644" w:rsidRPr="00222DAC" w14:paraId="3C1A3790" w14:textId="77777777" w:rsidTr="00A9438D">
        <w:trPr>
          <w:trHeight w:val="288"/>
        </w:trPr>
        <w:tc>
          <w:tcPr>
            <w:tcW w:w="2547" w:type="dxa"/>
            <w:noWrap/>
            <w:hideMark/>
          </w:tcPr>
          <w:p w14:paraId="12A7868A" w14:textId="77777777" w:rsidR="00403644" w:rsidRPr="00A9438D" w:rsidRDefault="00403644" w:rsidP="00403644">
            <w:pPr>
              <w:pStyle w:val="Figurecaption"/>
              <w:rPr>
                <w:rFonts w:cstheme="minorHAnsi"/>
              </w:rPr>
            </w:pPr>
            <w:r w:rsidRPr="00A9438D">
              <w:rPr>
                <w:rFonts w:cstheme="minorHAnsi"/>
              </w:rPr>
              <w:t>1200 mg</w:t>
            </w:r>
          </w:p>
        </w:tc>
        <w:tc>
          <w:tcPr>
            <w:tcW w:w="2977" w:type="dxa"/>
            <w:noWrap/>
            <w:vAlign w:val="bottom"/>
            <w:hideMark/>
          </w:tcPr>
          <w:p w14:paraId="3FE12A22" w14:textId="09437176" w:rsidR="00403644" w:rsidRPr="00A9438D" w:rsidRDefault="00403644" w:rsidP="00A9438D">
            <w:pPr>
              <w:pStyle w:val="Figurecaption"/>
              <w:jc w:val="center"/>
              <w:rPr>
                <w:rFonts w:cstheme="minorHAnsi"/>
              </w:rPr>
            </w:pPr>
            <w:r w:rsidRPr="00A9438D">
              <w:rPr>
                <w:rFonts w:cstheme="minorHAnsi"/>
                <w:color w:val="000000"/>
              </w:rPr>
              <w:t>96.9</w:t>
            </w:r>
            <w:r w:rsidR="00A9438D" w:rsidRPr="00A9438D">
              <w:rPr>
                <w:rFonts w:cstheme="minorHAnsi"/>
                <w:color w:val="000000"/>
              </w:rPr>
              <w:t>%</w:t>
            </w:r>
          </w:p>
        </w:tc>
      </w:tr>
      <w:tr w:rsidR="00403644" w:rsidRPr="00222DAC" w14:paraId="6043A1AE" w14:textId="77777777" w:rsidTr="00A9438D">
        <w:trPr>
          <w:trHeight w:val="288"/>
        </w:trPr>
        <w:tc>
          <w:tcPr>
            <w:tcW w:w="2547" w:type="dxa"/>
            <w:noWrap/>
            <w:hideMark/>
          </w:tcPr>
          <w:p w14:paraId="54D267A7" w14:textId="77777777" w:rsidR="00403644" w:rsidRPr="00A9438D" w:rsidRDefault="00403644" w:rsidP="00403644">
            <w:pPr>
              <w:pStyle w:val="Figurecaption"/>
              <w:rPr>
                <w:rFonts w:cstheme="minorHAnsi"/>
              </w:rPr>
            </w:pPr>
            <w:r w:rsidRPr="00A9438D">
              <w:rPr>
                <w:rFonts w:cstheme="minorHAnsi"/>
              </w:rPr>
              <w:t xml:space="preserve">1200 mg -&gt;840 mg </w:t>
            </w:r>
          </w:p>
        </w:tc>
        <w:tc>
          <w:tcPr>
            <w:tcW w:w="2977" w:type="dxa"/>
            <w:noWrap/>
            <w:vAlign w:val="bottom"/>
            <w:hideMark/>
          </w:tcPr>
          <w:p w14:paraId="26DF516E" w14:textId="3BDCF984" w:rsidR="00403644" w:rsidRPr="00A9438D" w:rsidRDefault="00FC0FDE" w:rsidP="00A9438D">
            <w:pPr>
              <w:pStyle w:val="Figurecaption"/>
              <w:jc w:val="center"/>
              <w:rPr>
                <w:rFonts w:cstheme="minorHAnsi"/>
              </w:rPr>
            </w:pPr>
            <w:r w:rsidRPr="00FC0FDE">
              <w:rPr>
                <w:rFonts w:cstheme="minorHAnsi"/>
                <w:highlight w:val="black"/>
              </w:rPr>
              <w:t>XXXX</w:t>
            </w:r>
          </w:p>
        </w:tc>
      </w:tr>
      <w:tr w:rsidR="00403644" w:rsidRPr="00222DAC" w14:paraId="20E4B7FC" w14:textId="77777777" w:rsidTr="00A9438D">
        <w:trPr>
          <w:trHeight w:val="288"/>
        </w:trPr>
        <w:tc>
          <w:tcPr>
            <w:tcW w:w="2547" w:type="dxa"/>
            <w:noWrap/>
            <w:hideMark/>
          </w:tcPr>
          <w:p w14:paraId="1D9E7D4F" w14:textId="77777777" w:rsidR="00403644" w:rsidRPr="00A9438D" w:rsidRDefault="00403644" w:rsidP="00403644">
            <w:pPr>
              <w:pStyle w:val="Figurecaption"/>
              <w:rPr>
                <w:rFonts w:cstheme="minorHAnsi"/>
              </w:rPr>
            </w:pPr>
            <w:r w:rsidRPr="00A9438D">
              <w:rPr>
                <w:rFonts w:cstheme="minorHAnsi"/>
              </w:rPr>
              <w:t xml:space="preserve">1200 mg -&gt;1875 mg </w:t>
            </w:r>
          </w:p>
        </w:tc>
        <w:tc>
          <w:tcPr>
            <w:tcW w:w="2977" w:type="dxa"/>
            <w:shd w:val="clear" w:color="auto" w:fill="FFFFFF" w:themeFill="background1"/>
            <w:noWrap/>
            <w:vAlign w:val="bottom"/>
            <w:hideMark/>
          </w:tcPr>
          <w:p w14:paraId="643A0528" w14:textId="05359203" w:rsidR="00403644" w:rsidRPr="00A9438D" w:rsidRDefault="00FC0FDE" w:rsidP="00A9438D">
            <w:pPr>
              <w:pStyle w:val="Figurecaption"/>
              <w:jc w:val="center"/>
              <w:rPr>
                <w:rFonts w:cstheme="minorHAnsi"/>
              </w:rPr>
            </w:pPr>
            <w:r w:rsidRPr="00FC0FDE">
              <w:rPr>
                <w:rFonts w:cstheme="minorHAnsi"/>
                <w:highlight w:val="black"/>
              </w:rPr>
              <w:t>XXXX</w:t>
            </w:r>
          </w:p>
        </w:tc>
      </w:tr>
      <w:tr w:rsidR="00403644" w:rsidRPr="00222DAC" w14:paraId="2F64D9FF" w14:textId="77777777" w:rsidTr="00A9438D">
        <w:trPr>
          <w:trHeight w:val="288"/>
        </w:trPr>
        <w:tc>
          <w:tcPr>
            <w:tcW w:w="2547" w:type="dxa"/>
            <w:noWrap/>
            <w:hideMark/>
          </w:tcPr>
          <w:p w14:paraId="0172F9F8" w14:textId="77777777" w:rsidR="00403644" w:rsidRPr="00A9438D" w:rsidRDefault="00403644" w:rsidP="00403644">
            <w:pPr>
              <w:pStyle w:val="Figurecaption"/>
              <w:rPr>
                <w:rFonts w:cstheme="minorHAnsi"/>
              </w:rPr>
            </w:pPr>
            <w:r w:rsidRPr="00A9438D">
              <w:rPr>
                <w:rFonts w:cstheme="minorHAnsi"/>
              </w:rPr>
              <w:t>840 mg</w:t>
            </w:r>
          </w:p>
        </w:tc>
        <w:tc>
          <w:tcPr>
            <w:tcW w:w="2977" w:type="dxa"/>
            <w:noWrap/>
            <w:vAlign w:val="bottom"/>
            <w:hideMark/>
          </w:tcPr>
          <w:p w14:paraId="32EC5425" w14:textId="4ED058B9" w:rsidR="00403644" w:rsidRPr="00A9438D" w:rsidRDefault="00FC0FDE" w:rsidP="00A9438D">
            <w:pPr>
              <w:pStyle w:val="Figurecaption"/>
              <w:jc w:val="center"/>
              <w:rPr>
                <w:rFonts w:cstheme="minorHAnsi"/>
              </w:rPr>
            </w:pPr>
            <w:r w:rsidRPr="00FC0FDE">
              <w:rPr>
                <w:rFonts w:cstheme="minorHAnsi"/>
                <w:highlight w:val="black"/>
              </w:rPr>
              <w:t>XXXX</w:t>
            </w:r>
          </w:p>
        </w:tc>
      </w:tr>
      <w:tr w:rsidR="00403644" w:rsidRPr="00222DAC" w14:paraId="3E269EE6" w14:textId="77777777" w:rsidTr="00A9438D">
        <w:trPr>
          <w:trHeight w:val="288"/>
        </w:trPr>
        <w:tc>
          <w:tcPr>
            <w:tcW w:w="2547" w:type="dxa"/>
            <w:noWrap/>
            <w:hideMark/>
          </w:tcPr>
          <w:p w14:paraId="4B0BE6B6" w14:textId="77777777" w:rsidR="00403644" w:rsidRPr="00A9438D" w:rsidRDefault="00403644" w:rsidP="00403644">
            <w:pPr>
              <w:pStyle w:val="Figurecaption"/>
              <w:rPr>
                <w:rFonts w:cstheme="minorHAnsi"/>
              </w:rPr>
            </w:pPr>
            <w:r w:rsidRPr="00A9438D">
              <w:rPr>
                <w:rFonts w:cstheme="minorHAnsi"/>
              </w:rPr>
              <w:t xml:space="preserve">840 mg -&gt;1200 mg </w:t>
            </w:r>
          </w:p>
        </w:tc>
        <w:tc>
          <w:tcPr>
            <w:tcW w:w="2977" w:type="dxa"/>
            <w:noWrap/>
            <w:vAlign w:val="bottom"/>
            <w:hideMark/>
          </w:tcPr>
          <w:p w14:paraId="229EB8DC" w14:textId="4A976BBB" w:rsidR="00403644" w:rsidRPr="00A9438D" w:rsidRDefault="00FC0FDE" w:rsidP="00A9438D">
            <w:pPr>
              <w:pStyle w:val="Figurecaption"/>
              <w:jc w:val="center"/>
              <w:rPr>
                <w:rFonts w:cstheme="minorHAnsi"/>
              </w:rPr>
            </w:pPr>
            <w:r w:rsidRPr="00FC0FDE">
              <w:rPr>
                <w:rFonts w:cstheme="minorHAnsi"/>
                <w:highlight w:val="black"/>
              </w:rPr>
              <w:t>XXXX</w:t>
            </w:r>
          </w:p>
        </w:tc>
      </w:tr>
    </w:tbl>
    <w:p w14:paraId="2F74FEEE" w14:textId="77777777" w:rsidR="00B50CCA" w:rsidRDefault="00B50CCA" w:rsidP="005B7550">
      <w:pPr>
        <w:pStyle w:val="Figurecaption"/>
      </w:pPr>
    </w:p>
    <w:p w14:paraId="5E9B334D" w14:textId="636C6448" w:rsidR="00512C89" w:rsidRPr="00A9438D" w:rsidRDefault="00A9438D" w:rsidP="00A9438D">
      <w:pPr>
        <w:spacing w:after="0"/>
        <w:rPr>
          <w:b/>
          <w:bCs/>
        </w:rPr>
      </w:pPr>
      <w:r w:rsidRPr="00A9438D">
        <w:rPr>
          <w:b/>
          <w:bCs/>
        </w:rPr>
        <w:t xml:space="preserve">Table </w:t>
      </w:r>
      <w:r w:rsidR="00DB7EE4">
        <w:rPr>
          <w:b/>
          <w:bCs/>
        </w:rPr>
        <w:t>4</w:t>
      </w:r>
      <w:r w:rsidRPr="00A9438D">
        <w:rPr>
          <w:b/>
          <w:bCs/>
        </w:rPr>
        <w:t xml:space="preserve">: </w:t>
      </w:r>
      <w:r w:rsidR="00BA3DEF" w:rsidRPr="00A9438D">
        <w:rPr>
          <w:b/>
          <w:bCs/>
        </w:rPr>
        <w:t>Dose</w:t>
      </w:r>
      <w:r w:rsidRPr="00A9438D">
        <w:rPr>
          <w:b/>
          <w:bCs/>
        </w:rPr>
        <w:t xml:space="preserve"> dispensed</w:t>
      </w:r>
    </w:p>
    <w:tbl>
      <w:tblPr>
        <w:tblW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977"/>
      </w:tblGrid>
      <w:tr w:rsidR="00BA3DEF" w:rsidRPr="00BA3DEF" w14:paraId="02F3E017" w14:textId="77777777" w:rsidTr="00A9438D">
        <w:trPr>
          <w:trHeight w:val="288"/>
        </w:trPr>
        <w:tc>
          <w:tcPr>
            <w:tcW w:w="2547" w:type="dxa"/>
            <w:shd w:val="clear" w:color="auto" w:fill="BFBFBF" w:themeFill="background1" w:themeFillShade="BF"/>
            <w:noWrap/>
            <w:vAlign w:val="bottom"/>
          </w:tcPr>
          <w:p w14:paraId="091CBEF8" w14:textId="1BCE0B78" w:rsidR="00BA3DEF" w:rsidRPr="00A9438D" w:rsidRDefault="00BA3DEF" w:rsidP="00BA3DEF">
            <w:pPr>
              <w:spacing w:after="0"/>
              <w:rPr>
                <w:rFonts w:eastAsia="Times New Roman" w:cstheme="minorHAnsi"/>
                <w:b/>
                <w:bCs/>
                <w:color w:val="000000"/>
                <w:sz w:val="20"/>
                <w:szCs w:val="20"/>
              </w:rPr>
            </w:pPr>
            <w:r w:rsidRPr="00A9438D">
              <w:rPr>
                <w:rFonts w:eastAsia="Times New Roman" w:cstheme="minorHAnsi"/>
                <w:b/>
                <w:bCs/>
                <w:color w:val="000000"/>
                <w:sz w:val="20"/>
                <w:szCs w:val="20"/>
              </w:rPr>
              <w:t>Dose</w:t>
            </w:r>
            <w:r w:rsidR="00A9438D">
              <w:rPr>
                <w:rFonts w:eastAsia="Times New Roman" w:cstheme="minorHAnsi"/>
                <w:b/>
                <w:bCs/>
                <w:color w:val="000000"/>
                <w:sz w:val="20"/>
                <w:szCs w:val="20"/>
              </w:rPr>
              <w:t xml:space="preserve"> dispensed</w:t>
            </w:r>
          </w:p>
        </w:tc>
        <w:tc>
          <w:tcPr>
            <w:tcW w:w="2977" w:type="dxa"/>
            <w:shd w:val="clear" w:color="auto" w:fill="BFBFBF" w:themeFill="background1" w:themeFillShade="BF"/>
            <w:noWrap/>
            <w:vAlign w:val="bottom"/>
          </w:tcPr>
          <w:p w14:paraId="2ED6D69C" w14:textId="5A5B5590" w:rsidR="00BA3DEF" w:rsidRPr="00A9438D" w:rsidRDefault="00614E71" w:rsidP="00A9438D">
            <w:pPr>
              <w:spacing w:after="0"/>
              <w:rPr>
                <w:rFonts w:eastAsia="Times New Roman" w:cstheme="minorHAnsi"/>
                <w:b/>
                <w:bCs/>
                <w:color w:val="000000"/>
                <w:sz w:val="20"/>
                <w:szCs w:val="20"/>
              </w:rPr>
            </w:pPr>
            <w:r w:rsidRPr="00A9438D">
              <w:rPr>
                <w:rFonts w:eastAsia="Times New Roman" w:cstheme="minorHAnsi"/>
                <w:b/>
                <w:bCs/>
                <w:color w:val="000000"/>
                <w:sz w:val="20"/>
                <w:szCs w:val="20"/>
              </w:rPr>
              <w:t xml:space="preserve">Proportion of </w:t>
            </w:r>
            <w:r w:rsidR="00B64BE4" w:rsidRPr="00A9438D">
              <w:rPr>
                <w:rFonts w:eastAsia="Times New Roman" w:cstheme="minorHAnsi"/>
                <w:b/>
                <w:bCs/>
                <w:color w:val="000000"/>
                <w:sz w:val="20"/>
                <w:szCs w:val="20"/>
              </w:rPr>
              <w:t>Scripts</w:t>
            </w:r>
          </w:p>
        </w:tc>
      </w:tr>
      <w:tr w:rsidR="007360C3" w:rsidRPr="00BA3DEF" w14:paraId="2908FE4C" w14:textId="77777777" w:rsidTr="00A9438D">
        <w:trPr>
          <w:trHeight w:val="288"/>
        </w:trPr>
        <w:tc>
          <w:tcPr>
            <w:tcW w:w="2547" w:type="dxa"/>
            <w:noWrap/>
            <w:vAlign w:val="bottom"/>
            <w:hideMark/>
          </w:tcPr>
          <w:p w14:paraId="4F0A6A16" w14:textId="77777777" w:rsidR="007360C3" w:rsidRPr="00A9438D" w:rsidRDefault="007360C3" w:rsidP="007360C3">
            <w:pPr>
              <w:spacing w:after="0"/>
              <w:rPr>
                <w:rFonts w:eastAsia="Times New Roman" w:cstheme="minorHAnsi"/>
                <w:color w:val="000000"/>
                <w:sz w:val="20"/>
                <w:szCs w:val="20"/>
              </w:rPr>
            </w:pPr>
            <w:r w:rsidRPr="00A9438D">
              <w:rPr>
                <w:rFonts w:eastAsia="Times New Roman" w:cstheme="minorHAnsi"/>
                <w:color w:val="000000"/>
                <w:sz w:val="20"/>
                <w:szCs w:val="20"/>
              </w:rPr>
              <w:t>1200mg</w:t>
            </w:r>
          </w:p>
        </w:tc>
        <w:tc>
          <w:tcPr>
            <w:tcW w:w="2977" w:type="dxa"/>
            <w:noWrap/>
            <w:vAlign w:val="bottom"/>
            <w:hideMark/>
          </w:tcPr>
          <w:p w14:paraId="5D949AF1" w14:textId="71D18776" w:rsidR="007360C3" w:rsidRPr="00A9438D" w:rsidRDefault="007360C3" w:rsidP="00A9438D">
            <w:pPr>
              <w:spacing w:after="0"/>
              <w:jc w:val="center"/>
              <w:rPr>
                <w:rFonts w:eastAsia="Times New Roman" w:cstheme="minorHAnsi"/>
                <w:color w:val="000000"/>
                <w:sz w:val="20"/>
                <w:szCs w:val="20"/>
              </w:rPr>
            </w:pPr>
            <w:r w:rsidRPr="00A9438D">
              <w:rPr>
                <w:rFonts w:cstheme="minorHAnsi"/>
                <w:color w:val="000000"/>
                <w:sz w:val="20"/>
                <w:szCs w:val="20"/>
              </w:rPr>
              <w:t>97.7</w:t>
            </w:r>
            <w:r w:rsidR="00A9438D" w:rsidRPr="00A9438D">
              <w:rPr>
                <w:rFonts w:cstheme="minorHAnsi"/>
                <w:color w:val="000000"/>
                <w:sz w:val="20"/>
                <w:szCs w:val="20"/>
              </w:rPr>
              <w:t>%</w:t>
            </w:r>
          </w:p>
        </w:tc>
      </w:tr>
      <w:tr w:rsidR="007360C3" w:rsidRPr="00BA3DEF" w14:paraId="3F475320" w14:textId="77777777" w:rsidTr="00A9438D">
        <w:trPr>
          <w:trHeight w:val="288"/>
        </w:trPr>
        <w:tc>
          <w:tcPr>
            <w:tcW w:w="2547" w:type="dxa"/>
            <w:noWrap/>
            <w:vAlign w:val="bottom"/>
            <w:hideMark/>
          </w:tcPr>
          <w:p w14:paraId="59106EEB" w14:textId="77777777" w:rsidR="007360C3" w:rsidRPr="00A9438D" w:rsidRDefault="007360C3" w:rsidP="007360C3">
            <w:pPr>
              <w:spacing w:after="0"/>
              <w:rPr>
                <w:rFonts w:eastAsia="Times New Roman" w:cstheme="minorHAnsi"/>
                <w:color w:val="000000"/>
                <w:sz w:val="20"/>
                <w:szCs w:val="20"/>
              </w:rPr>
            </w:pPr>
            <w:r w:rsidRPr="00A9438D">
              <w:rPr>
                <w:rFonts w:eastAsia="Times New Roman" w:cstheme="minorHAnsi"/>
                <w:color w:val="000000"/>
                <w:sz w:val="20"/>
                <w:szCs w:val="20"/>
              </w:rPr>
              <w:t>1680mg</w:t>
            </w:r>
          </w:p>
        </w:tc>
        <w:tc>
          <w:tcPr>
            <w:tcW w:w="2977" w:type="dxa"/>
            <w:noWrap/>
            <w:vAlign w:val="bottom"/>
            <w:hideMark/>
          </w:tcPr>
          <w:p w14:paraId="667C07E2" w14:textId="4C890697" w:rsidR="007360C3" w:rsidRPr="00A9438D" w:rsidRDefault="00FC0FDE" w:rsidP="00A9438D">
            <w:pPr>
              <w:spacing w:after="0"/>
              <w:jc w:val="center"/>
              <w:rPr>
                <w:rFonts w:eastAsia="Times New Roman" w:cstheme="minorHAnsi"/>
                <w:color w:val="000000"/>
                <w:sz w:val="20"/>
                <w:szCs w:val="20"/>
              </w:rPr>
            </w:pPr>
            <w:r w:rsidRPr="00FC0FDE">
              <w:rPr>
                <w:rFonts w:eastAsia="Times New Roman" w:cstheme="minorHAnsi"/>
                <w:color w:val="000000"/>
                <w:sz w:val="20"/>
                <w:szCs w:val="20"/>
                <w:highlight w:val="black"/>
              </w:rPr>
              <w:t>XXXX</w:t>
            </w:r>
          </w:p>
        </w:tc>
      </w:tr>
      <w:tr w:rsidR="007360C3" w:rsidRPr="00BA3DEF" w14:paraId="7FE47E1A" w14:textId="77777777" w:rsidTr="00A9438D">
        <w:trPr>
          <w:trHeight w:val="288"/>
        </w:trPr>
        <w:tc>
          <w:tcPr>
            <w:tcW w:w="2547" w:type="dxa"/>
            <w:noWrap/>
            <w:vAlign w:val="bottom"/>
            <w:hideMark/>
          </w:tcPr>
          <w:p w14:paraId="2E4CCD4A" w14:textId="77777777" w:rsidR="007360C3" w:rsidRPr="00A9438D" w:rsidRDefault="007360C3" w:rsidP="007360C3">
            <w:pPr>
              <w:spacing w:after="0"/>
              <w:rPr>
                <w:rFonts w:eastAsia="Times New Roman" w:cstheme="minorHAnsi"/>
                <w:color w:val="000000"/>
                <w:sz w:val="20"/>
                <w:szCs w:val="20"/>
              </w:rPr>
            </w:pPr>
            <w:r w:rsidRPr="00A9438D">
              <w:rPr>
                <w:rFonts w:eastAsia="Times New Roman" w:cstheme="minorHAnsi"/>
                <w:color w:val="000000"/>
                <w:sz w:val="20"/>
                <w:szCs w:val="20"/>
              </w:rPr>
              <w:t>1875mg</w:t>
            </w:r>
          </w:p>
        </w:tc>
        <w:tc>
          <w:tcPr>
            <w:tcW w:w="2977" w:type="dxa"/>
            <w:noWrap/>
            <w:vAlign w:val="bottom"/>
            <w:hideMark/>
          </w:tcPr>
          <w:p w14:paraId="536C617B" w14:textId="7AE382B7" w:rsidR="007360C3" w:rsidRPr="00A9438D" w:rsidRDefault="00FC0FDE" w:rsidP="00A9438D">
            <w:pPr>
              <w:spacing w:after="0"/>
              <w:jc w:val="center"/>
              <w:rPr>
                <w:rFonts w:eastAsia="Times New Roman" w:cstheme="minorHAnsi"/>
                <w:color w:val="000000"/>
                <w:sz w:val="20"/>
                <w:szCs w:val="20"/>
              </w:rPr>
            </w:pPr>
            <w:r w:rsidRPr="00FC0FDE">
              <w:rPr>
                <w:rFonts w:eastAsia="Times New Roman" w:cstheme="minorHAnsi"/>
                <w:color w:val="000000"/>
                <w:sz w:val="20"/>
                <w:szCs w:val="20"/>
                <w:highlight w:val="black"/>
              </w:rPr>
              <w:t>XXXX</w:t>
            </w:r>
          </w:p>
        </w:tc>
      </w:tr>
      <w:tr w:rsidR="007360C3" w:rsidRPr="00BA3DEF" w14:paraId="6CE66316" w14:textId="77777777" w:rsidTr="00A9438D">
        <w:trPr>
          <w:trHeight w:val="288"/>
        </w:trPr>
        <w:tc>
          <w:tcPr>
            <w:tcW w:w="2547" w:type="dxa"/>
            <w:noWrap/>
            <w:vAlign w:val="bottom"/>
            <w:hideMark/>
          </w:tcPr>
          <w:p w14:paraId="7BC6A427" w14:textId="77777777" w:rsidR="007360C3" w:rsidRPr="00A9438D" w:rsidRDefault="007360C3" w:rsidP="007360C3">
            <w:pPr>
              <w:spacing w:after="0"/>
              <w:rPr>
                <w:rFonts w:eastAsia="Times New Roman" w:cstheme="minorHAnsi"/>
                <w:color w:val="000000"/>
                <w:sz w:val="20"/>
                <w:szCs w:val="20"/>
              </w:rPr>
            </w:pPr>
            <w:r w:rsidRPr="00A9438D">
              <w:rPr>
                <w:rFonts w:eastAsia="Times New Roman" w:cstheme="minorHAnsi"/>
                <w:color w:val="000000"/>
                <w:sz w:val="20"/>
                <w:szCs w:val="20"/>
              </w:rPr>
              <w:t>840mg</w:t>
            </w:r>
          </w:p>
        </w:tc>
        <w:tc>
          <w:tcPr>
            <w:tcW w:w="2977" w:type="dxa"/>
            <w:noWrap/>
            <w:vAlign w:val="bottom"/>
            <w:hideMark/>
          </w:tcPr>
          <w:p w14:paraId="0E945DFD" w14:textId="55FFFB60" w:rsidR="007360C3" w:rsidRPr="00A9438D" w:rsidRDefault="00FC0FDE" w:rsidP="00A9438D">
            <w:pPr>
              <w:spacing w:after="0"/>
              <w:jc w:val="center"/>
              <w:rPr>
                <w:rFonts w:eastAsia="Times New Roman" w:cstheme="minorHAnsi"/>
                <w:color w:val="000000"/>
                <w:sz w:val="20"/>
                <w:szCs w:val="20"/>
              </w:rPr>
            </w:pPr>
            <w:r w:rsidRPr="00FC0FDE">
              <w:rPr>
                <w:rFonts w:eastAsia="Times New Roman" w:cstheme="minorHAnsi"/>
                <w:color w:val="000000"/>
                <w:sz w:val="20"/>
                <w:szCs w:val="20"/>
                <w:highlight w:val="black"/>
              </w:rPr>
              <w:t>XXXX</w:t>
            </w:r>
          </w:p>
        </w:tc>
      </w:tr>
    </w:tbl>
    <w:p w14:paraId="414EDB64" w14:textId="77777777" w:rsidR="00A9438D" w:rsidRDefault="00A9438D" w:rsidP="00A35800"/>
    <w:p w14:paraId="4327F556" w14:textId="7BD0521B" w:rsidR="000A135D" w:rsidRDefault="00A9438D" w:rsidP="00A35800">
      <w:r>
        <w:lastRenderedPageBreak/>
        <w:t>The proportion</w:t>
      </w:r>
      <w:r w:rsidR="00DC5B5E">
        <w:t xml:space="preserve"> of 1200mg scripts which are initial </w:t>
      </w:r>
      <w:r>
        <w:t>is</w:t>
      </w:r>
      <w:r w:rsidR="00DC5B5E">
        <w:t xml:space="preserve"> </w:t>
      </w:r>
      <w:r w:rsidR="00FE49B5">
        <w:t>42%</w:t>
      </w:r>
      <w:r w:rsidR="00B37216">
        <w:t xml:space="preserve">, </w:t>
      </w:r>
      <w:r>
        <w:t xml:space="preserve">while the proportion of those </w:t>
      </w:r>
      <w:r w:rsidR="00B37216">
        <w:t xml:space="preserve">which are </w:t>
      </w:r>
      <w:r w:rsidR="00DF1B36">
        <w:t>continuing is</w:t>
      </w:r>
      <w:r>
        <w:t xml:space="preserve"> </w:t>
      </w:r>
      <w:r w:rsidR="00F21A40">
        <w:t>58</w:t>
      </w:r>
      <w:r w:rsidR="00C6587E">
        <w:t>%.</w:t>
      </w:r>
    </w:p>
    <w:p w14:paraId="0582644D" w14:textId="51D9C118" w:rsidR="00CB385E" w:rsidRDefault="00C6587E" w:rsidP="00A35800">
      <w:r>
        <w:t>Only a small proportion of patients move onto the 4 or 2 weekly regime.</w:t>
      </w:r>
    </w:p>
    <w:p w14:paraId="63396299" w14:textId="29CC8213" w:rsidR="00CB385E" w:rsidRPr="00855839" w:rsidRDefault="00A9438D" w:rsidP="00CB385E">
      <w:pPr>
        <w:pStyle w:val="Figurecaption"/>
        <w:rPr>
          <w:b/>
          <w:bCs/>
          <w:sz w:val="24"/>
          <w:szCs w:val="24"/>
        </w:rPr>
      </w:pPr>
      <w:r>
        <w:rPr>
          <w:b/>
          <w:bCs/>
          <w:sz w:val="24"/>
          <w:szCs w:val="24"/>
        </w:rPr>
        <w:t xml:space="preserve">Table </w:t>
      </w:r>
      <w:r w:rsidR="00DB7EE4">
        <w:rPr>
          <w:b/>
          <w:bCs/>
          <w:sz w:val="24"/>
          <w:szCs w:val="24"/>
        </w:rPr>
        <w:t>5</w:t>
      </w:r>
      <w:r>
        <w:rPr>
          <w:b/>
          <w:bCs/>
          <w:sz w:val="24"/>
          <w:szCs w:val="24"/>
        </w:rPr>
        <w:t xml:space="preserve">: </w:t>
      </w:r>
      <w:r w:rsidR="00CB385E">
        <w:rPr>
          <w:b/>
          <w:bCs/>
          <w:sz w:val="24"/>
          <w:szCs w:val="24"/>
        </w:rPr>
        <w:t>Time on treatment (days)</w:t>
      </w:r>
    </w:p>
    <w:tbl>
      <w:tblPr>
        <w:tblStyle w:val="TableGrid"/>
        <w:tblW w:w="6741" w:type="dxa"/>
        <w:tblLook w:val="04A0" w:firstRow="1" w:lastRow="0" w:firstColumn="1" w:lastColumn="0" w:noHBand="0" w:noVBand="1"/>
      </w:tblPr>
      <w:tblGrid>
        <w:gridCol w:w="1215"/>
        <w:gridCol w:w="1164"/>
        <w:gridCol w:w="2181"/>
        <w:gridCol w:w="2181"/>
      </w:tblGrid>
      <w:tr w:rsidR="00CB385E" w14:paraId="3C13BC47" w14:textId="77777777" w:rsidTr="420663C3">
        <w:tc>
          <w:tcPr>
            <w:tcW w:w="2379" w:type="dxa"/>
            <w:gridSpan w:val="2"/>
            <w:shd w:val="clear" w:color="auto" w:fill="BFBFBF" w:themeFill="background1" w:themeFillShade="BF"/>
          </w:tcPr>
          <w:p w14:paraId="2B8870C8" w14:textId="77777777" w:rsidR="00CB385E" w:rsidRPr="009D5F09" w:rsidRDefault="00CB385E" w:rsidP="006C57F9">
            <w:pPr>
              <w:pStyle w:val="Figurecaption"/>
            </w:pPr>
          </w:p>
        </w:tc>
        <w:tc>
          <w:tcPr>
            <w:tcW w:w="2181" w:type="dxa"/>
            <w:shd w:val="clear" w:color="auto" w:fill="BFBFBF" w:themeFill="background1" w:themeFillShade="BF"/>
          </w:tcPr>
          <w:p w14:paraId="2C5B8365" w14:textId="77777777" w:rsidR="00CB385E" w:rsidRPr="009D5F09" w:rsidRDefault="00CB385E" w:rsidP="006C57F9">
            <w:pPr>
              <w:pStyle w:val="Figurecaption"/>
              <w:jc w:val="center"/>
              <w:rPr>
                <w:b/>
                <w:bCs/>
              </w:rPr>
            </w:pPr>
            <w:r w:rsidRPr="009D5F09">
              <w:rPr>
                <w:b/>
                <w:bCs/>
              </w:rPr>
              <w:t>With breaks</w:t>
            </w:r>
          </w:p>
        </w:tc>
        <w:tc>
          <w:tcPr>
            <w:tcW w:w="2181" w:type="dxa"/>
            <w:shd w:val="clear" w:color="auto" w:fill="BFBFBF" w:themeFill="background1" w:themeFillShade="BF"/>
          </w:tcPr>
          <w:p w14:paraId="4DCC9242" w14:textId="77777777" w:rsidR="00CB385E" w:rsidRPr="009D5F09" w:rsidRDefault="00CB385E" w:rsidP="006C57F9">
            <w:pPr>
              <w:pStyle w:val="Figurecaption"/>
              <w:jc w:val="center"/>
              <w:rPr>
                <w:b/>
                <w:bCs/>
              </w:rPr>
            </w:pPr>
            <w:r w:rsidRPr="009D5F09">
              <w:rPr>
                <w:b/>
                <w:bCs/>
              </w:rPr>
              <w:t>Without breaks</w:t>
            </w:r>
          </w:p>
        </w:tc>
      </w:tr>
      <w:tr w:rsidR="00CB385E" w14:paraId="1FBDF8A7" w14:textId="77777777" w:rsidTr="420663C3">
        <w:tc>
          <w:tcPr>
            <w:tcW w:w="2379" w:type="dxa"/>
            <w:gridSpan w:val="2"/>
          </w:tcPr>
          <w:p w14:paraId="5C2AC283" w14:textId="77777777" w:rsidR="00CB385E" w:rsidRPr="009D5F09" w:rsidRDefault="00CB385E" w:rsidP="006C57F9">
            <w:pPr>
              <w:pStyle w:val="Figurecaption"/>
              <w:ind w:left="720"/>
              <w:rPr>
                <w:b/>
                <w:bCs/>
              </w:rPr>
            </w:pPr>
            <w:r w:rsidRPr="009D5F09">
              <w:rPr>
                <w:b/>
                <w:bCs/>
              </w:rPr>
              <w:t>Mean</w:t>
            </w:r>
          </w:p>
        </w:tc>
        <w:tc>
          <w:tcPr>
            <w:tcW w:w="2181" w:type="dxa"/>
          </w:tcPr>
          <w:p w14:paraId="6F7509CF" w14:textId="68C4D316" w:rsidR="00CB385E" w:rsidRPr="009D5F09" w:rsidRDefault="00DE609C" w:rsidP="006C57F9">
            <w:pPr>
              <w:pStyle w:val="Figurecaption"/>
              <w:jc w:val="center"/>
            </w:pPr>
            <w:r>
              <w:t>306.5</w:t>
            </w:r>
          </w:p>
        </w:tc>
        <w:tc>
          <w:tcPr>
            <w:tcW w:w="2181" w:type="dxa"/>
          </w:tcPr>
          <w:p w14:paraId="78062B74" w14:textId="49E56F89" w:rsidR="00CB385E" w:rsidRPr="009D5F09" w:rsidRDefault="00C854E9" w:rsidP="006C57F9">
            <w:pPr>
              <w:pStyle w:val="Figurecaption"/>
              <w:jc w:val="center"/>
            </w:pPr>
            <w:r>
              <w:t>245.4</w:t>
            </w:r>
          </w:p>
        </w:tc>
      </w:tr>
      <w:tr w:rsidR="003F6C0A" w14:paraId="1A777D4C" w14:textId="77777777" w:rsidTr="420663C3">
        <w:tc>
          <w:tcPr>
            <w:tcW w:w="2379" w:type="dxa"/>
            <w:gridSpan w:val="2"/>
          </w:tcPr>
          <w:p w14:paraId="1AEE2337" w14:textId="3092D99A" w:rsidR="003F6C0A" w:rsidRPr="003F6C0A" w:rsidRDefault="003F6C0A" w:rsidP="003F6C0A">
            <w:pPr>
              <w:pStyle w:val="Figurecaption"/>
              <w:ind w:left="720"/>
              <w:rPr>
                <w:b/>
                <w:bCs/>
              </w:rPr>
            </w:pPr>
            <w:r w:rsidRPr="003F6C0A">
              <w:rPr>
                <w:b/>
                <w:bCs/>
              </w:rPr>
              <w:t>Standard error</w:t>
            </w:r>
          </w:p>
        </w:tc>
        <w:tc>
          <w:tcPr>
            <w:tcW w:w="2181" w:type="dxa"/>
          </w:tcPr>
          <w:p w14:paraId="3CC9C00F" w14:textId="762F1B3A" w:rsidR="003F6C0A" w:rsidRDefault="00DE609C" w:rsidP="003F6C0A">
            <w:pPr>
              <w:pStyle w:val="Figurecaption"/>
              <w:jc w:val="center"/>
            </w:pPr>
            <w:r>
              <w:t>8.9</w:t>
            </w:r>
          </w:p>
        </w:tc>
        <w:tc>
          <w:tcPr>
            <w:tcW w:w="2181" w:type="dxa"/>
          </w:tcPr>
          <w:p w14:paraId="22D9D971" w14:textId="660DC626" w:rsidR="003F6C0A" w:rsidRPr="009D5F09" w:rsidRDefault="00C854E9" w:rsidP="003F6C0A">
            <w:pPr>
              <w:pStyle w:val="Figurecaption"/>
              <w:jc w:val="center"/>
            </w:pPr>
            <w:r>
              <w:t>7.4</w:t>
            </w:r>
          </w:p>
        </w:tc>
      </w:tr>
      <w:tr w:rsidR="00CB385E" w14:paraId="166888F2" w14:textId="77777777" w:rsidTr="420663C3">
        <w:tc>
          <w:tcPr>
            <w:tcW w:w="2379" w:type="dxa"/>
            <w:gridSpan w:val="2"/>
          </w:tcPr>
          <w:p w14:paraId="55F8EDB7" w14:textId="77777777" w:rsidR="00CB385E" w:rsidRPr="009D5F09" w:rsidRDefault="00CB385E" w:rsidP="006C57F9">
            <w:pPr>
              <w:pStyle w:val="Figurecaption"/>
              <w:ind w:left="720"/>
              <w:rPr>
                <w:b/>
                <w:bCs/>
              </w:rPr>
            </w:pPr>
            <w:r w:rsidRPr="009D5F09">
              <w:rPr>
                <w:b/>
                <w:bCs/>
              </w:rPr>
              <w:t>Median</w:t>
            </w:r>
          </w:p>
        </w:tc>
        <w:tc>
          <w:tcPr>
            <w:tcW w:w="2181" w:type="dxa"/>
          </w:tcPr>
          <w:p w14:paraId="49C47785" w14:textId="76658735" w:rsidR="00CB385E" w:rsidRPr="009D5F09" w:rsidRDefault="00DE609C" w:rsidP="006C57F9">
            <w:pPr>
              <w:pStyle w:val="Figurecaption"/>
              <w:jc w:val="center"/>
            </w:pPr>
            <w:r>
              <w:t>167</w:t>
            </w:r>
          </w:p>
        </w:tc>
        <w:tc>
          <w:tcPr>
            <w:tcW w:w="2181" w:type="dxa"/>
          </w:tcPr>
          <w:p w14:paraId="112A14B1" w14:textId="5B8169B5" w:rsidR="00CB385E" w:rsidRPr="009D5F09" w:rsidRDefault="00C854E9" w:rsidP="006C57F9">
            <w:pPr>
              <w:pStyle w:val="Figurecaption"/>
              <w:jc w:val="center"/>
            </w:pPr>
            <w:r>
              <w:t>127</w:t>
            </w:r>
          </w:p>
        </w:tc>
      </w:tr>
      <w:tr w:rsidR="00CB385E" w14:paraId="2B38BB78" w14:textId="77777777" w:rsidTr="420663C3">
        <w:tc>
          <w:tcPr>
            <w:tcW w:w="1215" w:type="dxa"/>
            <w:vMerge w:val="restart"/>
          </w:tcPr>
          <w:p w14:paraId="346DEEA7" w14:textId="77777777" w:rsidR="00CB385E" w:rsidRDefault="00CB385E" w:rsidP="006C57F9">
            <w:pPr>
              <w:pStyle w:val="Figurecaption"/>
              <w:rPr>
                <w:b/>
                <w:bCs/>
              </w:rPr>
            </w:pPr>
            <w:r>
              <w:rPr>
                <w:b/>
                <w:bCs/>
              </w:rPr>
              <w:t>95% Confidence</w:t>
            </w:r>
          </w:p>
          <w:p w14:paraId="78695169" w14:textId="77777777" w:rsidR="00CB385E" w:rsidRDefault="00CB385E" w:rsidP="006C57F9">
            <w:pPr>
              <w:pStyle w:val="Figurecaption"/>
              <w:rPr>
                <w:b/>
                <w:bCs/>
              </w:rPr>
            </w:pPr>
            <w:r>
              <w:rPr>
                <w:b/>
                <w:bCs/>
              </w:rPr>
              <w:t>interval</w:t>
            </w:r>
          </w:p>
        </w:tc>
        <w:tc>
          <w:tcPr>
            <w:tcW w:w="1164" w:type="dxa"/>
          </w:tcPr>
          <w:p w14:paraId="7B6513B0" w14:textId="77777777" w:rsidR="00CB385E" w:rsidRDefault="00CB385E" w:rsidP="006C57F9">
            <w:pPr>
              <w:pStyle w:val="Figurecaption"/>
              <w:rPr>
                <w:b/>
                <w:bCs/>
              </w:rPr>
            </w:pPr>
            <w:r>
              <w:rPr>
                <w:b/>
                <w:bCs/>
              </w:rPr>
              <w:t>Lower limit</w:t>
            </w:r>
          </w:p>
        </w:tc>
        <w:tc>
          <w:tcPr>
            <w:tcW w:w="2181" w:type="dxa"/>
          </w:tcPr>
          <w:p w14:paraId="6FB15287" w14:textId="26BAEC12" w:rsidR="00CB385E" w:rsidRDefault="00DE609C" w:rsidP="006C57F9">
            <w:pPr>
              <w:pStyle w:val="Figurecaption"/>
              <w:jc w:val="center"/>
            </w:pPr>
            <w:r>
              <w:t>149</w:t>
            </w:r>
          </w:p>
        </w:tc>
        <w:tc>
          <w:tcPr>
            <w:tcW w:w="2181" w:type="dxa"/>
          </w:tcPr>
          <w:p w14:paraId="00B7EE2C" w14:textId="18985B98" w:rsidR="00CB385E" w:rsidRDefault="00C854E9" w:rsidP="006C57F9">
            <w:pPr>
              <w:pStyle w:val="Figurecaption"/>
              <w:jc w:val="center"/>
            </w:pPr>
            <w:r>
              <w:t>120</w:t>
            </w:r>
          </w:p>
        </w:tc>
      </w:tr>
      <w:tr w:rsidR="00CB385E" w14:paraId="549E1AE0" w14:textId="77777777" w:rsidTr="420663C3">
        <w:tc>
          <w:tcPr>
            <w:tcW w:w="1215" w:type="dxa"/>
            <w:vMerge/>
          </w:tcPr>
          <w:p w14:paraId="3A7CA7E3" w14:textId="77777777" w:rsidR="00CB385E" w:rsidRDefault="00CB385E" w:rsidP="006C57F9">
            <w:pPr>
              <w:pStyle w:val="Figurecaption"/>
              <w:rPr>
                <w:b/>
                <w:bCs/>
              </w:rPr>
            </w:pPr>
          </w:p>
        </w:tc>
        <w:tc>
          <w:tcPr>
            <w:tcW w:w="1164" w:type="dxa"/>
          </w:tcPr>
          <w:p w14:paraId="5B4184C5" w14:textId="77777777" w:rsidR="00CB385E" w:rsidRDefault="00CB385E" w:rsidP="006C57F9">
            <w:pPr>
              <w:pStyle w:val="Figurecaption"/>
              <w:rPr>
                <w:b/>
                <w:bCs/>
              </w:rPr>
            </w:pPr>
            <w:r>
              <w:rPr>
                <w:b/>
                <w:bCs/>
              </w:rPr>
              <w:t>Upper limit</w:t>
            </w:r>
          </w:p>
        </w:tc>
        <w:tc>
          <w:tcPr>
            <w:tcW w:w="2181" w:type="dxa"/>
          </w:tcPr>
          <w:p w14:paraId="7B8F5EDE" w14:textId="6A27317B" w:rsidR="00CB385E" w:rsidRDefault="00DE609C" w:rsidP="006C57F9">
            <w:pPr>
              <w:pStyle w:val="Figurecaption"/>
              <w:jc w:val="center"/>
            </w:pPr>
            <w:r>
              <w:t>172</w:t>
            </w:r>
          </w:p>
        </w:tc>
        <w:tc>
          <w:tcPr>
            <w:tcW w:w="2181" w:type="dxa"/>
          </w:tcPr>
          <w:p w14:paraId="46375AAB" w14:textId="79BE7561" w:rsidR="00CB385E" w:rsidRDefault="00C854E9" w:rsidP="006C57F9">
            <w:pPr>
              <w:pStyle w:val="Figurecaption"/>
              <w:jc w:val="center"/>
            </w:pPr>
            <w:r>
              <w:t>147</w:t>
            </w:r>
          </w:p>
        </w:tc>
      </w:tr>
    </w:tbl>
    <w:p w14:paraId="3EA1E0C9" w14:textId="77777777" w:rsidR="00CB385E" w:rsidRDefault="00CB385E" w:rsidP="00A35800"/>
    <w:p w14:paraId="2EBFC50E" w14:textId="5F578899" w:rsidR="00C64F15" w:rsidRDefault="00C854E9" w:rsidP="00A35800">
      <w:r>
        <w:rPr>
          <w:noProof/>
        </w:rPr>
        <w:drawing>
          <wp:inline distT="0" distB="0" distL="0" distR="0" wp14:anchorId="3C205184" wp14:editId="5DEA56E1">
            <wp:extent cx="5687695" cy="4283075"/>
            <wp:effectExtent l="0" t="0" r="8255" b="3175"/>
            <wp:docPr id="607145999" name="Picture 1" descr="A graph of a produ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145999" name="Picture 1" descr="A graph of a product&#10;&#10;AI-generated content may be incorrect."/>
                    <pic:cNvPicPr/>
                  </pic:nvPicPr>
                  <pic:blipFill>
                    <a:blip r:embed="rId23"/>
                    <a:stretch>
                      <a:fillRect/>
                    </a:stretch>
                  </pic:blipFill>
                  <pic:spPr>
                    <a:xfrm>
                      <a:off x="0" y="0"/>
                      <a:ext cx="5687695" cy="4283075"/>
                    </a:xfrm>
                    <a:prstGeom prst="rect">
                      <a:avLst/>
                    </a:prstGeom>
                  </pic:spPr>
                </pic:pic>
              </a:graphicData>
            </a:graphic>
          </wp:inline>
        </w:drawing>
      </w:r>
    </w:p>
    <w:p w14:paraId="7237F20C" w14:textId="5BDBEFE6" w:rsidR="00F73698" w:rsidRDefault="00A9438D" w:rsidP="00A35800">
      <w:r w:rsidRPr="00A9438D">
        <w:rPr>
          <w:b/>
          <w:bCs/>
        </w:rPr>
        <w:t xml:space="preserve">Figure </w:t>
      </w:r>
      <w:r w:rsidR="00B379A4">
        <w:rPr>
          <w:b/>
          <w:bCs/>
        </w:rPr>
        <w:t>7</w:t>
      </w:r>
      <w:r w:rsidRPr="00A9438D">
        <w:rPr>
          <w:b/>
          <w:bCs/>
        </w:rPr>
        <w:t xml:space="preserve">: </w:t>
      </w:r>
      <w:r w:rsidRPr="00A9438D">
        <w:rPr>
          <w:b/>
          <w:bCs/>
          <w:noProof/>
        </w:rPr>
        <w:t>Estimated</w:t>
      </w:r>
      <w:r w:rsidRPr="00E63123">
        <w:rPr>
          <w:b/>
          <w:bCs/>
          <w:noProof/>
        </w:rPr>
        <w:t xml:space="preserve"> length of treatment from Kaplan Meier analysis with breaks</w:t>
      </w:r>
    </w:p>
    <w:p w14:paraId="10D56302" w14:textId="57323811" w:rsidR="00F73698" w:rsidRDefault="000F612A" w:rsidP="00A35800">
      <w:r>
        <w:rPr>
          <w:noProof/>
        </w:rPr>
        <w:lastRenderedPageBreak/>
        <w:drawing>
          <wp:inline distT="0" distB="0" distL="0" distR="0" wp14:anchorId="3C9DD6D1" wp14:editId="68DD8071">
            <wp:extent cx="5687695" cy="4265930"/>
            <wp:effectExtent l="0" t="0" r="8255" b="1270"/>
            <wp:docPr id="1457540399" name="Picture 1"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540399" name="Picture 1" descr="A graph of a graph&#10;&#10;AI-generated content may be incorrect."/>
                    <pic:cNvPicPr/>
                  </pic:nvPicPr>
                  <pic:blipFill>
                    <a:blip r:embed="rId24"/>
                    <a:stretch>
                      <a:fillRect/>
                    </a:stretch>
                  </pic:blipFill>
                  <pic:spPr>
                    <a:xfrm>
                      <a:off x="0" y="0"/>
                      <a:ext cx="5687695" cy="4265930"/>
                    </a:xfrm>
                    <a:prstGeom prst="rect">
                      <a:avLst/>
                    </a:prstGeom>
                  </pic:spPr>
                </pic:pic>
              </a:graphicData>
            </a:graphic>
          </wp:inline>
        </w:drawing>
      </w:r>
    </w:p>
    <w:p w14:paraId="3C97EE47" w14:textId="77FB83C9" w:rsidR="00563D5B" w:rsidRDefault="00A9438D" w:rsidP="00A35800">
      <w:pPr>
        <w:rPr>
          <w:b/>
          <w:bCs/>
          <w:noProof/>
        </w:rPr>
      </w:pPr>
      <w:r w:rsidRPr="00A9438D">
        <w:rPr>
          <w:b/>
          <w:bCs/>
        </w:rPr>
        <w:t xml:space="preserve">Figure </w:t>
      </w:r>
      <w:r w:rsidR="003208B6">
        <w:rPr>
          <w:b/>
          <w:bCs/>
        </w:rPr>
        <w:t>8</w:t>
      </w:r>
      <w:r w:rsidRPr="00A9438D">
        <w:rPr>
          <w:b/>
          <w:bCs/>
        </w:rPr>
        <w:t xml:space="preserve">: </w:t>
      </w:r>
      <w:r w:rsidRPr="00A9438D">
        <w:rPr>
          <w:b/>
          <w:bCs/>
          <w:noProof/>
        </w:rPr>
        <w:t>Estimated</w:t>
      </w:r>
      <w:r w:rsidRPr="00E63123">
        <w:rPr>
          <w:b/>
          <w:bCs/>
          <w:noProof/>
        </w:rPr>
        <w:t xml:space="preserve"> length of treatment from Kaplan Meier analysis without breaks</w:t>
      </w:r>
    </w:p>
    <w:p w14:paraId="0FE520B9" w14:textId="77777777" w:rsidR="00126AAC" w:rsidRDefault="00126AAC" w:rsidP="00A35800">
      <w:pPr>
        <w:rPr>
          <w:b/>
          <w:bCs/>
          <w:noProof/>
        </w:rPr>
      </w:pPr>
    </w:p>
    <w:p w14:paraId="7CDD21D0" w14:textId="77777777" w:rsidR="00126AAC" w:rsidRDefault="00126AAC" w:rsidP="00A35800">
      <w:pPr>
        <w:rPr>
          <w:b/>
          <w:bCs/>
          <w:noProof/>
        </w:rPr>
      </w:pPr>
    </w:p>
    <w:p w14:paraId="6F915B9B" w14:textId="77777777" w:rsidR="00126AAC" w:rsidRDefault="00126AAC" w:rsidP="00A35800">
      <w:pPr>
        <w:rPr>
          <w:b/>
          <w:bCs/>
          <w:noProof/>
        </w:rPr>
      </w:pPr>
    </w:p>
    <w:p w14:paraId="25F89B21" w14:textId="77777777" w:rsidR="00126AAC" w:rsidRDefault="00126AAC" w:rsidP="00A35800">
      <w:pPr>
        <w:rPr>
          <w:b/>
          <w:bCs/>
          <w:noProof/>
        </w:rPr>
      </w:pPr>
    </w:p>
    <w:p w14:paraId="122442AF" w14:textId="77777777" w:rsidR="00126AAC" w:rsidRDefault="00126AAC" w:rsidP="00A35800">
      <w:pPr>
        <w:rPr>
          <w:b/>
          <w:bCs/>
          <w:noProof/>
        </w:rPr>
      </w:pPr>
    </w:p>
    <w:p w14:paraId="03E868FD" w14:textId="77777777" w:rsidR="00126AAC" w:rsidRDefault="00126AAC" w:rsidP="00A35800">
      <w:pPr>
        <w:rPr>
          <w:b/>
          <w:bCs/>
          <w:noProof/>
        </w:rPr>
      </w:pPr>
    </w:p>
    <w:p w14:paraId="3E89F313" w14:textId="77777777" w:rsidR="00126AAC" w:rsidRDefault="00126AAC" w:rsidP="00A35800">
      <w:pPr>
        <w:rPr>
          <w:b/>
          <w:bCs/>
          <w:noProof/>
        </w:rPr>
      </w:pPr>
    </w:p>
    <w:p w14:paraId="061F0742" w14:textId="77777777" w:rsidR="00126AAC" w:rsidRDefault="00126AAC" w:rsidP="00A35800">
      <w:pPr>
        <w:rPr>
          <w:b/>
          <w:bCs/>
          <w:noProof/>
        </w:rPr>
      </w:pPr>
    </w:p>
    <w:p w14:paraId="3A75C2A2" w14:textId="77777777" w:rsidR="00126AAC" w:rsidRDefault="00126AAC" w:rsidP="00A35800">
      <w:pPr>
        <w:rPr>
          <w:b/>
          <w:bCs/>
          <w:noProof/>
        </w:rPr>
      </w:pPr>
    </w:p>
    <w:p w14:paraId="10B6F718" w14:textId="77777777" w:rsidR="00126AAC" w:rsidRDefault="00126AAC" w:rsidP="00A35800">
      <w:pPr>
        <w:rPr>
          <w:b/>
          <w:bCs/>
          <w:noProof/>
        </w:rPr>
      </w:pPr>
    </w:p>
    <w:p w14:paraId="5A0B46A9" w14:textId="77777777" w:rsidR="00126AAC" w:rsidRDefault="00126AAC" w:rsidP="00A35800">
      <w:pPr>
        <w:rPr>
          <w:b/>
          <w:bCs/>
          <w:noProof/>
        </w:rPr>
      </w:pPr>
    </w:p>
    <w:p w14:paraId="637D4F35" w14:textId="77777777" w:rsidR="00126AAC" w:rsidRPr="005E22C2" w:rsidRDefault="00126AAC" w:rsidP="00A35800"/>
    <w:p w14:paraId="0783A288" w14:textId="32E2A24D" w:rsidR="00DC49E9" w:rsidRPr="005E22C2" w:rsidRDefault="00DC49E9" w:rsidP="00CF5E22">
      <w:pPr>
        <w:pStyle w:val="Heading3"/>
      </w:pPr>
      <w:r w:rsidRPr="005E22C2">
        <w:lastRenderedPageBreak/>
        <w:t>Changes in the use of other drugs</w:t>
      </w:r>
    </w:p>
    <w:p w14:paraId="5FFEDD92" w14:textId="7D20DB97" w:rsidR="00DC49E9" w:rsidRDefault="00DC49E9" w:rsidP="00A35800">
      <w:r w:rsidRPr="005E22C2">
        <w:t xml:space="preserve"> </w:t>
      </w:r>
      <w:r w:rsidR="003753D8">
        <w:rPr>
          <w:noProof/>
        </w:rPr>
        <w:drawing>
          <wp:inline distT="0" distB="0" distL="0" distR="0" wp14:anchorId="70951B00" wp14:editId="2339C59D">
            <wp:extent cx="5424928" cy="3104349"/>
            <wp:effectExtent l="0" t="0" r="4445" b="1270"/>
            <wp:docPr id="408765275" name="Chart 1">
              <a:extLst xmlns:a="http://schemas.openxmlformats.org/drawingml/2006/main">
                <a:ext uri="{FF2B5EF4-FFF2-40B4-BE49-F238E27FC236}">
                  <a16:creationId xmlns:a16="http://schemas.microsoft.com/office/drawing/2014/main" id="{D97ABAA5-610E-35B6-221E-163C734A32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0E5E7A2" w14:textId="7F657314" w:rsidR="003753D8" w:rsidRPr="005B7789" w:rsidRDefault="003753D8" w:rsidP="003753D8">
      <w:pPr>
        <w:tabs>
          <w:tab w:val="left" w:pos="720"/>
        </w:tabs>
        <w:autoSpaceDE w:val="0"/>
        <w:autoSpaceDN w:val="0"/>
        <w:adjustRightInd w:val="0"/>
        <w:spacing w:before="240"/>
        <w:rPr>
          <w:rFonts w:ascii="Calibri" w:hAnsi="Calibri" w:cs="Calibri"/>
          <w:b/>
          <w:bCs/>
        </w:rPr>
      </w:pPr>
      <w:r w:rsidRPr="33B2DD86">
        <w:rPr>
          <w:rFonts w:ascii="Calibri" w:hAnsi="Calibri" w:cs="Calibri"/>
          <w:b/>
          <w:bCs/>
        </w:rPr>
        <w:t xml:space="preserve">Figure </w:t>
      </w:r>
      <w:r w:rsidR="003208B6">
        <w:rPr>
          <w:rFonts w:ascii="Calibri" w:hAnsi="Calibri" w:cs="Calibri"/>
          <w:b/>
          <w:bCs/>
        </w:rPr>
        <w:t>9</w:t>
      </w:r>
      <w:r w:rsidRPr="33B2DD86">
        <w:rPr>
          <w:rFonts w:ascii="Calibri" w:hAnsi="Calibri" w:cs="Calibri"/>
          <w:b/>
          <w:bCs/>
        </w:rPr>
        <w:t xml:space="preserve">: Proportion of incident patients by 10-year age group on </w:t>
      </w:r>
      <w:r w:rsidR="00771E47">
        <w:rPr>
          <w:rFonts w:ascii="Calibri" w:hAnsi="Calibri" w:cs="Calibri"/>
          <w:b/>
          <w:bCs/>
        </w:rPr>
        <w:t>l</w:t>
      </w:r>
      <w:r w:rsidR="00DF1B36">
        <w:rPr>
          <w:rFonts w:ascii="Calibri" w:hAnsi="Calibri" w:cs="Calibri"/>
          <w:b/>
          <w:bCs/>
        </w:rPr>
        <w:t>envatinib</w:t>
      </w:r>
      <w:r w:rsidRPr="33B2DD86">
        <w:rPr>
          <w:rFonts w:ascii="Calibri" w:hAnsi="Calibri" w:cs="Calibri"/>
          <w:b/>
          <w:bCs/>
        </w:rPr>
        <w:t xml:space="preserve"> or </w:t>
      </w:r>
      <w:r w:rsidR="00771E47">
        <w:rPr>
          <w:rFonts w:ascii="Calibri" w:hAnsi="Calibri" w:cs="Calibri"/>
          <w:b/>
          <w:bCs/>
        </w:rPr>
        <w:t>s</w:t>
      </w:r>
      <w:r w:rsidR="00DF1B36">
        <w:rPr>
          <w:rFonts w:ascii="Calibri" w:hAnsi="Calibri" w:cs="Calibri"/>
          <w:b/>
          <w:bCs/>
        </w:rPr>
        <w:t>orafenib</w:t>
      </w:r>
      <w:r w:rsidR="1D03D908" w:rsidRPr="33B2DD86">
        <w:rPr>
          <w:rFonts w:ascii="Calibri" w:hAnsi="Calibri" w:cs="Calibri"/>
          <w:b/>
          <w:bCs/>
        </w:rPr>
        <w:t xml:space="preserve"> (1 November 2020 to 28 February 2025)</w:t>
      </w:r>
    </w:p>
    <w:p w14:paraId="34EDF452" w14:textId="3E835541" w:rsidR="00E31E1C" w:rsidRPr="00E31E1C" w:rsidRDefault="00E31E1C" w:rsidP="003753D8">
      <w:pPr>
        <w:rPr>
          <w:b/>
          <w:bCs/>
        </w:rPr>
      </w:pPr>
      <w:r w:rsidRPr="00E31E1C">
        <w:rPr>
          <w:b/>
          <w:bCs/>
        </w:rPr>
        <w:t xml:space="preserve">Table </w:t>
      </w:r>
      <w:r w:rsidR="00C16B2D">
        <w:rPr>
          <w:b/>
          <w:bCs/>
        </w:rPr>
        <w:t>6</w:t>
      </w:r>
      <w:r w:rsidRPr="00E31E1C">
        <w:rPr>
          <w:b/>
          <w:bCs/>
        </w:rPr>
        <w:t xml:space="preserve">: Proportion of </w:t>
      </w:r>
      <w:r w:rsidR="00930601">
        <w:rPr>
          <w:b/>
          <w:bCs/>
        </w:rPr>
        <w:t>l</w:t>
      </w:r>
      <w:r w:rsidR="00DF1B36">
        <w:rPr>
          <w:b/>
          <w:bCs/>
        </w:rPr>
        <w:t>envatinib</w:t>
      </w:r>
      <w:r w:rsidR="001A7108" w:rsidRPr="001A7108">
        <w:rPr>
          <w:b/>
          <w:bCs/>
        </w:rPr>
        <w:t xml:space="preserve"> and </w:t>
      </w:r>
      <w:r w:rsidR="00930601">
        <w:rPr>
          <w:b/>
          <w:bCs/>
        </w:rPr>
        <w:t>s</w:t>
      </w:r>
      <w:r w:rsidR="00DF1B36">
        <w:rPr>
          <w:b/>
          <w:bCs/>
        </w:rPr>
        <w:t>orafenib</w:t>
      </w:r>
      <w:r w:rsidR="001A7108" w:rsidRPr="001A7108">
        <w:rPr>
          <w:b/>
          <w:bCs/>
        </w:rPr>
        <w:t xml:space="preserve"> </w:t>
      </w:r>
      <w:r w:rsidRPr="00E31E1C">
        <w:rPr>
          <w:b/>
          <w:bCs/>
        </w:rPr>
        <w:t>being dispensed to the 75 years and older population</w:t>
      </w:r>
    </w:p>
    <w:tbl>
      <w:tblPr>
        <w:tblStyle w:val="TableGrid"/>
        <w:tblW w:w="0" w:type="auto"/>
        <w:tblLook w:val="04A0" w:firstRow="1" w:lastRow="0" w:firstColumn="1" w:lastColumn="0" w:noHBand="0" w:noVBand="1"/>
      </w:tblPr>
      <w:tblGrid>
        <w:gridCol w:w="1940"/>
        <w:gridCol w:w="1741"/>
      </w:tblGrid>
      <w:tr w:rsidR="00E31E1C" w:rsidRPr="00E31E1C" w14:paraId="5FE91185" w14:textId="77777777" w:rsidTr="00E31E1C">
        <w:trPr>
          <w:trHeight w:val="285"/>
        </w:trPr>
        <w:tc>
          <w:tcPr>
            <w:tcW w:w="1940" w:type="dxa"/>
            <w:shd w:val="clear" w:color="auto" w:fill="BFBFBF" w:themeFill="background1" w:themeFillShade="BF"/>
            <w:noWrap/>
            <w:hideMark/>
          </w:tcPr>
          <w:p w14:paraId="4083600C" w14:textId="77777777" w:rsidR="00E31E1C" w:rsidRPr="001A7108" w:rsidRDefault="00E31E1C">
            <w:pPr>
              <w:rPr>
                <w:b/>
                <w:bCs/>
                <w:sz w:val="20"/>
                <w:szCs w:val="20"/>
              </w:rPr>
            </w:pPr>
            <w:r w:rsidRPr="001A7108">
              <w:rPr>
                <w:b/>
                <w:bCs/>
                <w:sz w:val="20"/>
                <w:szCs w:val="20"/>
              </w:rPr>
              <w:t>Year</w:t>
            </w:r>
          </w:p>
        </w:tc>
        <w:tc>
          <w:tcPr>
            <w:tcW w:w="1741" w:type="dxa"/>
            <w:shd w:val="clear" w:color="auto" w:fill="BFBFBF" w:themeFill="background1" w:themeFillShade="BF"/>
            <w:noWrap/>
            <w:hideMark/>
          </w:tcPr>
          <w:p w14:paraId="0B087E7C" w14:textId="77777777" w:rsidR="00E31E1C" w:rsidRPr="001A7108" w:rsidRDefault="00E31E1C" w:rsidP="001A7108">
            <w:pPr>
              <w:jc w:val="center"/>
              <w:rPr>
                <w:b/>
                <w:bCs/>
                <w:sz w:val="20"/>
                <w:szCs w:val="20"/>
              </w:rPr>
            </w:pPr>
            <w:r w:rsidRPr="001A7108">
              <w:rPr>
                <w:b/>
                <w:bCs/>
                <w:sz w:val="20"/>
                <w:szCs w:val="20"/>
              </w:rPr>
              <w:t>75 + yrs</w:t>
            </w:r>
          </w:p>
        </w:tc>
      </w:tr>
      <w:tr w:rsidR="00E31E1C" w:rsidRPr="00E31E1C" w14:paraId="0D71BC55" w14:textId="77777777" w:rsidTr="00E31E1C">
        <w:trPr>
          <w:trHeight w:val="285"/>
        </w:trPr>
        <w:tc>
          <w:tcPr>
            <w:tcW w:w="1940" w:type="dxa"/>
            <w:noWrap/>
            <w:hideMark/>
          </w:tcPr>
          <w:p w14:paraId="0B51F72F" w14:textId="77777777" w:rsidR="00E31E1C" w:rsidRPr="001A7108" w:rsidRDefault="00E31E1C">
            <w:pPr>
              <w:rPr>
                <w:sz w:val="20"/>
                <w:szCs w:val="20"/>
              </w:rPr>
            </w:pPr>
            <w:r w:rsidRPr="001A7108">
              <w:rPr>
                <w:sz w:val="20"/>
                <w:szCs w:val="20"/>
              </w:rPr>
              <w:t>2019</w:t>
            </w:r>
          </w:p>
        </w:tc>
        <w:tc>
          <w:tcPr>
            <w:tcW w:w="1741" w:type="dxa"/>
            <w:noWrap/>
            <w:hideMark/>
          </w:tcPr>
          <w:p w14:paraId="62846DB6" w14:textId="0D01F1F9" w:rsidR="00E31E1C" w:rsidRPr="001A7108" w:rsidRDefault="00E31E1C" w:rsidP="001A7108">
            <w:pPr>
              <w:jc w:val="center"/>
              <w:rPr>
                <w:sz w:val="20"/>
                <w:szCs w:val="20"/>
              </w:rPr>
            </w:pPr>
            <w:r w:rsidRPr="001A7108">
              <w:rPr>
                <w:sz w:val="20"/>
                <w:szCs w:val="20"/>
              </w:rPr>
              <w:t>24.1</w:t>
            </w:r>
            <w:r w:rsidR="001A7108">
              <w:rPr>
                <w:sz w:val="20"/>
                <w:szCs w:val="20"/>
              </w:rPr>
              <w:t>%</w:t>
            </w:r>
          </w:p>
        </w:tc>
      </w:tr>
      <w:tr w:rsidR="00E31E1C" w:rsidRPr="00E31E1C" w14:paraId="743E5982" w14:textId="77777777" w:rsidTr="00E31E1C">
        <w:trPr>
          <w:trHeight w:val="285"/>
        </w:trPr>
        <w:tc>
          <w:tcPr>
            <w:tcW w:w="1940" w:type="dxa"/>
            <w:noWrap/>
            <w:hideMark/>
          </w:tcPr>
          <w:p w14:paraId="5F52BADB" w14:textId="77777777" w:rsidR="00E31E1C" w:rsidRPr="001A7108" w:rsidRDefault="00E31E1C">
            <w:pPr>
              <w:rPr>
                <w:sz w:val="20"/>
                <w:szCs w:val="20"/>
              </w:rPr>
            </w:pPr>
            <w:r w:rsidRPr="001A7108">
              <w:rPr>
                <w:sz w:val="20"/>
                <w:szCs w:val="20"/>
              </w:rPr>
              <w:t>2020</w:t>
            </w:r>
          </w:p>
        </w:tc>
        <w:tc>
          <w:tcPr>
            <w:tcW w:w="1741" w:type="dxa"/>
            <w:noWrap/>
            <w:hideMark/>
          </w:tcPr>
          <w:p w14:paraId="03D74352" w14:textId="1EAC9668" w:rsidR="00E31E1C" w:rsidRPr="001A7108" w:rsidRDefault="00E31E1C" w:rsidP="001A7108">
            <w:pPr>
              <w:jc w:val="center"/>
              <w:rPr>
                <w:sz w:val="20"/>
                <w:szCs w:val="20"/>
              </w:rPr>
            </w:pPr>
            <w:r w:rsidRPr="001A7108">
              <w:rPr>
                <w:sz w:val="20"/>
                <w:szCs w:val="20"/>
              </w:rPr>
              <w:t>24.8</w:t>
            </w:r>
            <w:r w:rsidR="001A7108">
              <w:rPr>
                <w:sz w:val="20"/>
                <w:szCs w:val="20"/>
              </w:rPr>
              <w:t>%</w:t>
            </w:r>
          </w:p>
        </w:tc>
      </w:tr>
      <w:tr w:rsidR="00E31E1C" w:rsidRPr="00E31E1C" w14:paraId="5823EF1F" w14:textId="77777777" w:rsidTr="00E31E1C">
        <w:trPr>
          <w:trHeight w:val="285"/>
        </w:trPr>
        <w:tc>
          <w:tcPr>
            <w:tcW w:w="1940" w:type="dxa"/>
            <w:noWrap/>
            <w:hideMark/>
          </w:tcPr>
          <w:p w14:paraId="16FCBD53" w14:textId="77777777" w:rsidR="00E31E1C" w:rsidRPr="001A7108" w:rsidRDefault="00E31E1C">
            <w:pPr>
              <w:rPr>
                <w:sz w:val="20"/>
                <w:szCs w:val="20"/>
              </w:rPr>
            </w:pPr>
            <w:r w:rsidRPr="001A7108">
              <w:rPr>
                <w:sz w:val="20"/>
                <w:szCs w:val="20"/>
              </w:rPr>
              <w:t>2021</w:t>
            </w:r>
          </w:p>
        </w:tc>
        <w:tc>
          <w:tcPr>
            <w:tcW w:w="1741" w:type="dxa"/>
            <w:noWrap/>
            <w:hideMark/>
          </w:tcPr>
          <w:p w14:paraId="78F7DE9C" w14:textId="5E12C90E" w:rsidR="00E31E1C" w:rsidRPr="001A7108" w:rsidRDefault="00E31E1C" w:rsidP="001A7108">
            <w:pPr>
              <w:jc w:val="center"/>
              <w:rPr>
                <w:sz w:val="20"/>
                <w:szCs w:val="20"/>
              </w:rPr>
            </w:pPr>
            <w:r w:rsidRPr="001A7108">
              <w:rPr>
                <w:sz w:val="20"/>
                <w:szCs w:val="20"/>
              </w:rPr>
              <w:t>25.8</w:t>
            </w:r>
            <w:r w:rsidR="001A7108">
              <w:rPr>
                <w:sz w:val="20"/>
                <w:szCs w:val="20"/>
              </w:rPr>
              <w:t>%</w:t>
            </w:r>
          </w:p>
        </w:tc>
      </w:tr>
      <w:tr w:rsidR="00E31E1C" w:rsidRPr="00E31E1C" w14:paraId="25EDE1A2" w14:textId="77777777" w:rsidTr="00E31E1C">
        <w:trPr>
          <w:trHeight w:val="285"/>
        </w:trPr>
        <w:tc>
          <w:tcPr>
            <w:tcW w:w="1940" w:type="dxa"/>
            <w:noWrap/>
            <w:hideMark/>
          </w:tcPr>
          <w:p w14:paraId="75995A31" w14:textId="77777777" w:rsidR="00E31E1C" w:rsidRPr="001A7108" w:rsidRDefault="00E31E1C">
            <w:pPr>
              <w:rPr>
                <w:sz w:val="20"/>
                <w:szCs w:val="20"/>
              </w:rPr>
            </w:pPr>
            <w:r w:rsidRPr="001A7108">
              <w:rPr>
                <w:sz w:val="20"/>
                <w:szCs w:val="20"/>
              </w:rPr>
              <w:t>2022</w:t>
            </w:r>
          </w:p>
        </w:tc>
        <w:tc>
          <w:tcPr>
            <w:tcW w:w="1741" w:type="dxa"/>
            <w:noWrap/>
            <w:hideMark/>
          </w:tcPr>
          <w:p w14:paraId="1725F327" w14:textId="11B7FD8C" w:rsidR="00E31E1C" w:rsidRPr="001A7108" w:rsidRDefault="00E31E1C" w:rsidP="001A7108">
            <w:pPr>
              <w:jc w:val="center"/>
              <w:rPr>
                <w:sz w:val="20"/>
                <w:szCs w:val="20"/>
              </w:rPr>
            </w:pPr>
            <w:r w:rsidRPr="001A7108">
              <w:rPr>
                <w:sz w:val="20"/>
                <w:szCs w:val="20"/>
              </w:rPr>
              <w:t>27.9</w:t>
            </w:r>
            <w:r w:rsidR="001A7108">
              <w:rPr>
                <w:sz w:val="20"/>
                <w:szCs w:val="20"/>
              </w:rPr>
              <w:t>%</w:t>
            </w:r>
          </w:p>
        </w:tc>
      </w:tr>
      <w:tr w:rsidR="00E31E1C" w:rsidRPr="00E31E1C" w14:paraId="4E00E960" w14:textId="77777777" w:rsidTr="00E31E1C">
        <w:trPr>
          <w:trHeight w:val="285"/>
        </w:trPr>
        <w:tc>
          <w:tcPr>
            <w:tcW w:w="1940" w:type="dxa"/>
            <w:noWrap/>
            <w:hideMark/>
          </w:tcPr>
          <w:p w14:paraId="31F5BBC0" w14:textId="77777777" w:rsidR="00E31E1C" w:rsidRPr="001A7108" w:rsidRDefault="00E31E1C">
            <w:pPr>
              <w:rPr>
                <w:sz w:val="20"/>
                <w:szCs w:val="20"/>
              </w:rPr>
            </w:pPr>
            <w:r w:rsidRPr="001A7108">
              <w:rPr>
                <w:sz w:val="20"/>
                <w:szCs w:val="20"/>
              </w:rPr>
              <w:t>2023</w:t>
            </w:r>
          </w:p>
        </w:tc>
        <w:tc>
          <w:tcPr>
            <w:tcW w:w="1741" w:type="dxa"/>
            <w:noWrap/>
            <w:hideMark/>
          </w:tcPr>
          <w:p w14:paraId="3B307B8F" w14:textId="5A86A712" w:rsidR="00E31E1C" w:rsidRPr="001A7108" w:rsidRDefault="00E31E1C" w:rsidP="001A7108">
            <w:pPr>
              <w:jc w:val="center"/>
              <w:rPr>
                <w:sz w:val="20"/>
                <w:szCs w:val="20"/>
              </w:rPr>
            </w:pPr>
            <w:r w:rsidRPr="001A7108">
              <w:rPr>
                <w:sz w:val="20"/>
                <w:szCs w:val="20"/>
              </w:rPr>
              <w:t>34.4</w:t>
            </w:r>
            <w:r w:rsidR="001A7108">
              <w:rPr>
                <w:sz w:val="20"/>
                <w:szCs w:val="20"/>
              </w:rPr>
              <w:t>%</w:t>
            </w:r>
          </w:p>
        </w:tc>
      </w:tr>
      <w:tr w:rsidR="00E31E1C" w:rsidRPr="00E31E1C" w14:paraId="2F21C940" w14:textId="77777777" w:rsidTr="00E31E1C">
        <w:trPr>
          <w:trHeight w:val="285"/>
        </w:trPr>
        <w:tc>
          <w:tcPr>
            <w:tcW w:w="1940" w:type="dxa"/>
            <w:noWrap/>
            <w:hideMark/>
          </w:tcPr>
          <w:p w14:paraId="1405EC35" w14:textId="77777777" w:rsidR="00E31E1C" w:rsidRPr="001A7108" w:rsidRDefault="00E31E1C">
            <w:pPr>
              <w:rPr>
                <w:sz w:val="20"/>
                <w:szCs w:val="20"/>
              </w:rPr>
            </w:pPr>
            <w:r w:rsidRPr="001A7108">
              <w:rPr>
                <w:sz w:val="20"/>
                <w:szCs w:val="20"/>
              </w:rPr>
              <w:t>2024</w:t>
            </w:r>
          </w:p>
        </w:tc>
        <w:tc>
          <w:tcPr>
            <w:tcW w:w="1741" w:type="dxa"/>
            <w:noWrap/>
            <w:hideMark/>
          </w:tcPr>
          <w:p w14:paraId="4243690C" w14:textId="7AC434C1" w:rsidR="00E31E1C" w:rsidRPr="001A7108" w:rsidRDefault="00E31E1C" w:rsidP="001A7108">
            <w:pPr>
              <w:jc w:val="center"/>
              <w:rPr>
                <w:sz w:val="20"/>
                <w:szCs w:val="20"/>
              </w:rPr>
            </w:pPr>
            <w:r w:rsidRPr="001A7108">
              <w:rPr>
                <w:sz w:val="20"/>
                <w:szCs w:val="20"/>
              </w:rPr>
              <w:t>24.5</w:t>
            </w:r>
            <w:r w:rsidR="001A7108">
              <w:rPr>
                <w:sz w:val="20"/>
                <w:szCs w:val="20"/>
              </w:rPr>
              <w:t>%</w:t>
            </w:r>
          </w:p>
        </w:tc>
      </w:tr>
      <w:tr w:rsidR="00E31E1C" w:rsidRPr="00E31E1C" w14:paraId="31DEE653" w14:textId="77777777" w:rsidTr="00E31E1C">
        <w:trPr>
          <w:trHeight w:val="285"/>
        </w:trPr>
        <w:tc>
          <w:tcPr>
            <w:tcW w:w="1940" w:type="dxa"/>
            <w:noWrap/>
            <w:hideMark/>
          </w:tcPr>
          <w:p w14:paraId="3E327890" w14:textId="63DC2991" w:rsidR="00E31E1C" w:rsidRPr="001A7108" w:rsidRDefault="00E31E1C">
            <w:pPr>
              <w:rPr>
                <w:sz w:val="20"/>
                <w:szCs w:val="20"/>
              </w:rPr>
            </w:pPr>
            <w:r w:rsidRPr="001A7108">
              <w:rPr>
                <w:sz w:val="20"/>
                <w:szCs w:val="20"/>
              </w:rPr>
              <w:t>2025</w:t>
            </w:r>
            <w:r w:rsidR="00655D68" w:rsidRPr="00655D68">
              <w:rPr>
                <w:sz w:val="20"/>
                <w:szCs w:val="20"/>
                <w:vertAlign w:val="superscript"/>
              </w:rPr>
              <w:t>1</w:t>
            </w:r>
          </w:p>
        </w:tc>
        <w:tc>
          <w:tcPr>
            <w:tcW w:w="1741" w:type="dxa"/>
            <w:noWrap/>
            <w:hideMark/>
          </w:tcPr>
          <w:p w14:paraId="3147FDC3" w14:textId="5428BA70" w:rsidR="00E31E1C" w:rsidRPr="001A7108" w:rsidRDefault="00E31E1C" w:rsidP="001A7108">
            <w:pPr>
              <w:jc w:val="center"/>
              <w:rPr>
                <w:sz w:val="20"/>
                <w:szCs w:val="20"/>
              </w:rPr>
            </w:pPr>
            <w:r w:rsidRPr="001A7108">
              <w:rPr>
                <w:sz w:val="20"/>
                <w:szCs w:val="20"/>
              </w:rPr>
              <w:t>31.4</w:t>
            </w:r>
            <w:r w:rsidR="001A7108">
              <w:rPr>
                <w:sz w:val="20"/>
                <w:szCs w:val="20"/>
              </w:rPr>
              <w:t>%</w:t>
            </w:r>
          </w:p>
        </w:tc>
      </w:tr>
    </w:tbl>
    <w:p w14:paraId="75E7435D" w14:textId="04B0C255" w:rsidR="00E31E1C" w:rsidRDefault="00655D68" w:rsidP="00655D68">
      <w:pPr>
        <w:spacing w:after="0"/>
        <w:rPr>
          <w:sz w:val="20"/>
          <w:szCs w:val="20"/>
        </w:rPr>
      </w:pPr>
      <w:r>
        <w:rPr>
          <w:sz w:val="20"/>
          <w:szCs w:val="20"/>
        </w:rPr>
        <w:t xml:space="preserve">Note: </w:t>
      </w:r>
    </w:p>
    <w:p w14:paraId="231D77B6" w14:textId="5FE28124" w:rsidR="00655D68" w:rsidRPr="00655D68" w:rsidRDefault="00655D68" w:rsidP="003753D8">
      <w:pPr>
        <w:rPr>
          <w:sz w:val="20"/>
          <w:szCs w:val="20"/>
        </w:rPr>
      </w:pPr>
      <w:r w:rsidRPr="00655D68">
        <w:rPr>
          <w:sz w:val="20"/>
          <w:szCs w:val="20"/>
          <w:vertAlign w:val="superscript"/>
        </w:rPr>
        <w:t>1</w:t>
      </w:r>
      <w:r>
        <w:rPr>
          <w:sz w:val="20"/>
          <w:szCs w:val="20"/>
        </w:rPr>
        <w:t>Based on part year data f</w:t>
      </w:r>
      <w:r w:rsidRPr="00655D68">
        <w:rPr>
          <w:sz w:val="20"/>
          <w:szCs w:val="20"/>
        </w:rPr>
        <w:t>or the period 1 January 2025 to 28 February 2025.</w:t>
      </w:r>
    </w:p>
    <w:p w14:paraId="626A8BDB" w14:textId="7D3CEE5E" w:rsidR="00BB1F32" w:rsidRDefault="00BB1F32" w:rsidP="003753D8">
      <w:r>
        <w:rPr>
          <w:noProof/>
        </w:rPr>
        <w:lastRenderedPageBreak/>
        <w:drawing>
          <wp:inline distT="0" distB="0" distL="0" distR="0" wp14:anchorId="259181B6" wp14:editId="471EBE8D">
            <wp:extent cx="5687695" cy="2790825"/>
            <wp:effectExtent l="0" t="0" r="8255" b="9525"/>
            <wp:docPr id="154830885" name="Chart 1">
              <a:extLst xmlns:a="http://schemas.openxmlformats.org/drawingml/2006/main">
                <a:ext uri="{FF2B5EF4-FFF2-40B4-BE49-F238E27FC236}">
                  <a16:creationId xmlns:a16="http://schemas.microsoft.com/office/drawing/2014/main" id="{1D77C171-17CF-289E-CC76-76A3A69FD1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5834602" w14:textId="63CA1292" w:rsidR="00BB1F32" w:rsidRPr="00BB1F32" w:rsidRDefault="00BB1F32" w:rsidP="003753D8">
      <w:pPr>
        <w:rPr>
          <w:b/>
          <w:bCs/>
        </w:rPr>
      </w:pPr>
      <w:r w:rsidRPr="00BB1F32">
        <w:rPr>
          <w:b/>
          <w:bCs/>
        </w:rPr>
        <w:t xml:space="preserve">Figure </w:t>
      </w:r>
      <w:r w:rsidR="003208B6">
        <w:rPr>
          <w:b/>
          <w:bCs/>
        </w:rPr>
        <w:t>10</w:t>
      </w:r>
      <w:r w:rsidRPr="00BB1F32">
        <w:rPr>
          <w:b/>
          <w:bCs/>
        </w:rPr>
        <w:t xml:space="preserve">: Change in the proportion of </w:t>
      </w:r>
      <w:r w:rsidR="00930601">
        <w:rPr>
          <w:b/>
          <w:bCs/>
        </w:rPr>
        <w:t>l</w:t>
      </w:r>
      <w:r w:rsidR="00DF1B36">
        <w:rPr>
          <w:b/>
          <w:bCs/>
        </w:rPr>
        <w:t>envatinib</w:t>
      </w:r>
      <w:r w:rsidR="001A7108" w:rsidRPr="001A7108">
        <w:rPr>
          <w:b/>
          <w:bCs/>
        </w:rPr>
        <w:t xml:space="preserve"> and </w:t>
      </w:r>
      <w:r w:rsidR="00930601">
        <w:rPr>
          <w:b/>
          <w:bCs/>
        </w:rPr>
        <w:t>s</w:t>
      </w:r>
      <w:r w:rsidR="00DF1B36">
        <w:rPr>
          <w:b/>
          <w:bCs/>
        </w:rPr>
        <w:t>orafenib</w:t>
      </w:r>
      <w:r w:rsidRPr="00BB1F32">
        <w:rPr>
          <w:b/>
          <w:bCs/>
        </w:rPr>
        <w:t xml:space="preserve"> being dis</w:t>
      </w:r>
      <w:r>
        <w:rPr>
          <w:b/>
          <w:bCs/>
        </w:rPr>
        <w:t>pensed</w:t>
      </w:r>
      <w:r w:rsidRPr="00BB1F32">
        <w:rPr>
          <w:b/>
          <w:bCs/>
        </w:rPr>
        <w:t xml:space="preserve"> by aged group</w:t>
      </w:r>
      <w:r>
        <w:rPr>
          <w:b/>
          <w:bCs/>
        </w:rPr>
        <w:t xml:space="preserve"> pre to post 1 November 2020</w:t>
      </w:r>
    </w:p>
    <w:p w14:paraId="260E9B91" w14:textId="7CB5342D" w:rsidR="00BB1F32" w:rsidRDefault="00BB1F32" w:rsidP="00BB1F32">
      <w:r>
        <w:t xml:space="preserve">The restriction for </w:t>
      </w:r>
      <w:r w:rsidR="00930601">
        <w:t>l</w:t>
      </w:r>
      <w:r w:rsidR="00DF1B36">
        <w:t>envatinib</w:t>
      </w:r>
      <w:r>
        <w:t xml:space="preserve"> and </w:t>
      </w:r>
      <w:r w:rsidR="00930601">
        <w:t>s</w:t>
      </w:r>
      <w:r w:rsidR="00DF1B36">
        <w:t>orafenib</w:t>
      </w:r>
      <w:r>
        <w:t xml:space="preserve"> requires that patients must have a WHO performance status of 2 or less. For the </w:t>
      </w:r>
      <w:r w:rsidR="008254DE">
        <w:t>a</w:t>
      </w:r>
      <w:r w:rsidR="00B846E6">
        <w:t>tezolizumab</w:t>
      </w:r>
      <w:r>
        <w:t xml:space="preserve"> restriction patients must have a WHO performance status of 0 or 1. </w:t>
      </w:r>
      <w:r w:rsidR="00DF1B36">
        <w:t>Lenvatinib</w:t>
      </w:r>
      <w:r>
        <w:t xml:space="preserve"> and </w:t>
      </w:r>
      <w:r w:rsidR="008254DE">
        <w:t>s</w:t>
      </w:r>
      <w:r w:rsidR="00DF1B36">
        <w:t>orafenib</w:t>
      </w:r>
      <w:r>
        <w:t xml:space="preserve"> can be used in more unwell, possibly older patients. For incident patients during the period of 1 November 2020 to 28</w:t>
      </w:r>
      <w:r w:rsidR="00E91460">
        <w:t> </w:t>
      </w:r>
      <w:r w:rsidRPr="00E91460">
        <w:t>February</w:t>
      </w:r>
      <w:r w:rsidR="00E91460">
        <w:t> </w:t>
      </w:r>
      <w:r w:rsidRPr="00E91460">
        <w:t>2025</w:t>
      </w:r>
      <w:r>
        <w:t xml:space="preserve">) 27.4% of </w:t>
      </w:r>
      <w:r w:rsidR="008254DE">
        <w:t>l</w:t>
      </w:r>
      <w:r w:rsidR="00DF1B36">
        <w:t>envatinib</w:t>
      </w:r>
      <w:r>
        <w:t xml:space="preserve"> </w:t>
      </w:r>
      <w:r w:rsidR="007D185F">
        <w:t xml:space="preserve">incident </w:t>
      </w:r>
      <w:r>
        <w:t xml:space="preserve">patients were 75 years of age or older, while 33.3% of </w:t>
      </w:r>
      <w:r w:rsidR="00DF1B36">
        <w:t>Sorafenib</w:t>
      </w:r>
      <w:r>
        <w:t xml:space="preserve"> </w:t>
      </w:r>
      <w:r w:rsidR="007D185F">
        <w:t xml:space="preserve">incident </w:t>
      </w:r>
      <w:r>
        <w:t>patients were 75 years of age or older. Between 1 March 2019 and 1</w:t>
      </w:r>
      <w:r w:rsidR="00E91460">
        <w:t> </w:t>
      </w:r>
      <w:r>
        <w:t xml:space="preserve">November 2020 (prior to the listing of </w:t>
      </w:r>
      <w:r w:rsidR="008254DE">
        <w:t>a</w:t>
      </w:r>
      <w:r w:rsidR="00B846E6">
        <w:t>tezolizumab</w:t>
      </w:r>
      <w:r>
        <w:t xml:space="preserve">) </w:t>
      </w:r>
      <w:r w:rsidR="007D185F">
        <w:t xml:space="preserve">22.4% Lenvatinib and </w:t>
      </w:r>
      <w:r>
        <w:t xml:space="preserve">26.8% </w:t>
      </w:r>
      <w:r w:rsidR="00DF1B36">
        <w:t>Sorafenib</w:t>
      </w:r>
      <w:r w:rsidR="007D185F">
        <w:t xml:space="preserve"> </w:t>
      </w:r>
      <w:r>
        <w:t xml:space="preserve">incident patients were 75 years of age or older. This indicates that with the listing of </w:t>
      </w:r>
      <w:r w:rsidR="008254DE">
        <w:t>a</w:t>
      </w:r>
      <w:r w:rsidR="00B846E6">
        <w:t>tezolizumab</w:t>
      </w:r>
      <w:r>
        <w:t xml:space="preserve">, the treatment of HCC with </w:t>
      </w:r>
      <w:r w:rsidR="008254DE">
        <w:t>l</w:t>
      </w:r>
      <w:r w:rsidR="00DF1B36">
        <w:t>envatinib</w:t>
      </w:r>
      <w:r>
        <w:t xml:space="preserve"> </w:t>
      </w:r>
      <w:r w:rsidR="00126AAC">
        <w:t>and</w:t>
      </w:r>
      <w:r>
        <w:t xml:space="preserve"> </w:t>
      </w:r>
      <w:r w:rsidR="008254DE">
        <w:t>s</w:t>
      </w:r>
      <w:r w:rsidR="00DF1B36">
        <w:t>orafenib</w:t>
      </w:r>
      <w:r>
        <w:t xml:space="preserve"> has shifted to older possibly </w:t>
      </w:r>
      <w:r w:rsidR="00DF1B36">
        <w:t>more</w:t>
      </w:r>
      <w:r>
        <w:t xml:space="preserve"> </w:t>
      </w:r>
      <w:r w:rsidR="00DF1B36">
        <w:t>un</w:t>
      </w:r>
      <w:r>
        <w:t>well p</w:t>
      </w:r>
      <w:r w:rsidR="00DF1B36">
        <w:t>atients</w:t>
      </w:r>
      <w:r>
        <w:t>.</w:t>
      </w:r>
    </w:p>
    <w:p w14:paraId="2F388337" w14:textId="77777777" w:rsidR="00BB1F32" w:rsidRDefault="00BB1F32" w:rsidP="003753D8"/>
    <w:p w14:paraId="6E99FCB9" w14:textId="77777777" w:rsidR="00E31E1C" w:rsidRDefault="00E31E1C" w:rsidP="003753D8"/>
    <w:p w14:paraId="1AF6F14E" w14:textId="77777777" w:rsidR="00126AAC" w:rsidRDefault="00126AAC" w:rsidP="003753D8"/>
    <w:p w14:paraId="3B5C997C" w14:textId="60A9F15B" w:rsidR="00654763" w:rsidRDefault="00122EF5" w:rsidP="00A35800">
      <w:r>
        <w:rPr>
          <w:noProof/>
        </w:rPr>
        <w:lastRenderedPageBreak/>
        <w:drawing>
          <wp:inline distT="0" distB="0" distL="0" distR="0" wp14:anchorId="62DC2C1E" wp14:editId="26D1FB7F">
            <wp:extent cx="5517515" cy="3237230"/>
            <wp:effectExtent l="0" t="0" r="6985" b="1270"/>
            <wp:docPr id="17764720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17515" cy="3237230"/>
                    </a:xfrm>
                    <a:prstGeom prst="rect">
                      <a:avLst/>
                    </a:prstGeom>
                    <a:noFill/>
                  </pic:spPr>
                </pic:pic>
              </a:graphicData>
            </a:graphic>
          </wp:inline>
        </w:drawing>
      </w:r>
    </w:p>
    <w:p w14:paraId="54A33163" w14:textId="1676D09C" w:rsidR="00B379A4" w:rsidRDefault="00B379A4" w:rsidP="007D4151">
      <w:pPr>
        <w:spacing w:after="0"/>
        <w:rPr>
          <w:b/>
          <w:bCs/>
        </w:rPr>
      </w:pPr>
      <w:r w:rsidRPr="008C7382">
        <w:rPr>
          <w:b/>
          <w:bCs/>
        </w:rPr>
        <w:t xml:space="preserve">Figure </w:t>
      </w:r>
      <w:r w:rsidR="00C16B2D">
        <w:rPr>
          <w:b/>
          <w:bCs/>
        </w:rPr>
        <w:t>1</w:t>
      </w:r>
      <w:r w:rsidR="003208B6">
        <w:rPr>
          <w:b/>
          <w:bCs/>
        </w:rPr>
        <w:t>1</w:t>
      </w:r>
      <w:r w:rsidRPr="008C7382">
        <w:rPr>
          <w:b/>
          <w:bCs/>
        </w:rPr>
        <w:t xml:space="preserve">: Script numbers </w:t>
      </w:r>
      <w:r w:rsidR="00C75A23">
        <w:rPr>
          <w:b/>
          <w:bCs/>
        </w:rPr>
        <w:t xml:space="preserve">and prevalent patients </w:t>
      </w:r>
      <w:r>
        <w:rPr>
          <w:b/>
          <w:bCs/>
        </w:rPr>
        <w:t xml:space="preserve">of </w:t>
      </w:r>
      <w:r w:rsidR="00686CD3">
        <w:rPr>
          <w:b/>
          <w:bCs/>
        </w:rPr>
        <w:t>l</w:t>
      </w:r>
      <w:r w:rsidR="00DF1B36">
        <w:rPr>
          <w:b/>
          <w:bCs/>
        </w:rPr>
        <w:t>envatinib</w:t>
      </w:r>
      <w:r>
        <w:rPr>
          <w:b/>
          <w:bCs/>
        </w:rPr>
        <w:t xml:space="preserve"> and </w:t>
      </w:r>
      <w:r w:rsidR="00686CD3">
        <w:rPr>
          <w:b/>
          <w:bCs/>
        </w:rPr>
        <w:t>s</w:t>
      </w:r>
      <w:r w:rsidR="00DF1B36">
        <w:rPr>
          <w:b/>
          <w:bCs/>
        </w:rPr>
        <w:t>orafenib</w:t>
      </w:r>
      <w:r>
        <w:rPr>
          <w:b/>
          <w:bCs/>
        </w:rPr>
        <w:t xml:space="preserve"> </w:t>
      </w:r>
      <w:r w:rsidRPr="008C7382">
        <w:rPr>
          <w:b/>
          <w:bCs/>
        </w:rPr>
        <w:t>for the treatment of HCC</w:t>
      </w:r>
    </w:p>
    <w:p w14:paraId="139200E9" w14:textId="34E6A16B" w:rsidR="00C75A23" w:rsidRPr="00A42C58" w:rsidRDefault="00C75A23" w:rsidP="00A42C58">
      <w:pPr>
        <w:spacing w:after="0"/>
        <w:rPr>
          <w:sz w:val="20"/>
          <w:szCs w:val="20"/>
        </w:rPr>
      </w:pPr>
      <w:r w:rsidRPr="00A42C58">
        <w:rPr>
          <w:sz w:val="20"/>
          <w:szCs w:val="20"/>
        </w:rPr>
        <w:t>Note:</w:t>
      </w:r>
    </w:p>
    <w:p w14:paraId="0CD39870" w14:textId="529AC568" w:rsidR="00A42C58" w:rsidRPr="00A42C58" w:rsidRDefault="00DF1B36" w:rsidP="00A42C58">
      <w:pPr>
        <w:pStyle w:val="Figurecaption"/>
        <w:spacing w:before="0" w:after="0"/>
      </w:pPr>
      <w:r>
        <w:t>Lenvatinib</w:t>
      </w:r>
      <w:r w:rsidR="00F67B27">
        <w:t xml:space="preserve"> and </w:t>
      </w:r>
      <w:r>
        <w:t>Sorafenib</w:t>
      </w:r>
      <w:r w:rsidR="00A42C58">
        <w:t xml:space="preserve"> prevalent patients</w:t>
      </w:r>
      <w:r w:rsidR="00A42C58" w:rsidRPr="00A42C58">
        <w:t xml:space="preserve"> (dotted line</w:t>
      </w:r>
      <w:r w:rsidR="00901AE5">
        <w:t>s</w:t>
      </w:r>
      <w:r w:rsidR="00A42C58" w:rsidRPr="00A42C58">
        <w:t>) are marked on the secondary axis.</w:t>
      </w:r>
    </w:p>
    <w:p w14:paraId="2C8BBA62" w14:textId="62D6E7C3" w:rsidR="00A42C58" w:rsidRDefault="00A42C58" w:rsidP="00A42C58">
      <w:pPr>
        <w:pStyle w:val="Figurecaption"/>
        <w:spacing w:before="0" w:after="0"/>
      </w:pPr>
      <w:r>
        <w:t xml:space="preserve">Q12025 have not been included as the data is only </w:t>
      </w:r>
      <w:r w:rsidR="00D947E4">
        <w:t>up to the end of February 2025</w:t>
      </w:r>
      <w:r>
        <w:t>.</w:t>
      </w:r>
    </w:p>
    <w:p w14:paraId="20CA52B4" w14:textId="0558CEC0" w:rsidR="00A42C58" w:rsidRDefault="003A10A8" w:rsidP="007D4151">
      <w:pPr>
        <w:spacing w:after="0"/>
        <w:rPr>
          <w:sz w:val="20"/>
          <w:szCs w:val="20"/>
        </w:rPr>
      </w:pPr>
      <w:r>
        <w:rPr>
          <w:sz w:val="20"/>
          <w:szCs w:val="20"/>
        </w:rPr>
        <w:t>Prevalent p</w:t>
      </w:r>
      <w:r w:rsidR="000530AA" w:rsidRPr="005B3B2E">
        <w:rPr>
          <w:sz w:val="20"/>
          <w:szCs w:val="20"/>
        </w:rPr>
        <w:t>atient numbers</w:t>
      </w:r>
      <w:r w:rsidR="000530AA">
        <w:rPr>
          <w:sz w:val="20"/>
          <w:szCs w:val="20"/>
        </w:rPr>
        <w:t xml:space="preserve"> </w:t>
      </w:r>
      <w:r w:rsidR="000530AA" w:rsidRPr="005B3B2E">
        <w:rPr>
          <w:sz w:val="20"/>
          <w:szCs w:val="20"/>
        </w:rPr>
        <w:t>have been redacted as numbers are small</w:t>
      </w:r>
      <w:r w:rsidR="000530AA">
        <w:rPr>
          <w:sz w:val="20"/>
          <w:szCs w:val="20"/>
        </w:rPr>
        <w:t>.</w:t>
      </w:r>
    </w:p>
    <w:p w14:paraId="16AFACF3" w14:textId="77777777" w:rsidR="007D4151" w:rsidRPr="007D4151" w:rsidRDefault="007D4151" w:rsidP="007D4151">
      <w:pPr>
        <w:spacing w:after="0"/>
        <w:rPr>
          <w:sz w:val="20"/>
          <w:szCs w:val="20"/>
        </w:rPr>
      </w:pPr>
    </w:p>
    <w:p w14:paraId="02E0AA8E" w14:textId="2230EA81" w:rsidR="00B379A4" w:rsidRPr="00651FDE" w:rsidRDefault="00B379A4" w:rsidP="00B379A4">
      <w:pPr>
        <w:rPr>
          <w:b/>
          <w:bCs/>
        </w:rPr>
      </w:pPr>
      <w:r w:rsidRPr="00651FDE">
        <w:rPr>
          <w:b/>
          <w:bCs/>
        </w:rPr>
        <w:t xml:space="preserve">Table </w:t>
      </w:r>
      <w:r w:rsidR="00C16B2D">
        <w:rPr>
          <w:b/>
          <w:bCs/>
        </w:rPr>
        <w:t>7</w:t>
      </w:r>
      <w:r w:rsidRPr="00651FDE">
        <w:rPr>
          <w:b/>
          <w:bCs/>
        </w:rPr>
        <w:t xml:space="preserve">: Script volumes for </w:t>
      </w:r>
      <w:r w:rsidR="00213D37">
        <w:rPr>
          <w:b/>
          <w:bCs/>
        </w:rPr>
        <w:t>l</w:t>
      </w:r>
      <w:r w:rsidR="00DF1B36">
        <w:rPr>
          <w:b/>
          <w:bCs/>
        </w:rPr>
        <w:t>envatinib</w:t>
      </w:r>
      <w:r w:rsidRPr="00651FDE">
        <w:rPr>
          <w:b/>
          <w:bCs/>
        </w:rPr>
        <w:t xml:space="preserve"> and </w:t>
      </w:r>
      <w:r w:rsidR="00213D37">
        <w:rPr>
          <w:b/>
          <w:bCs/>
        </w:rPr>
        <w:t>s</w:t>
      </w:r>
      <w:r w:rsidR="00DF1B36">
        <w:rPr>
          <w:b/>
          <w:bCs/>
        </w:rPr>
        <w:t>orafenib</w:t>
      </w:r>
      <w:r w:rsidRPr="00651FDE">
        <w:rPr>
          <w:b/>
          <w:bCs/>
        </w:rPr>
        <w:t xml:space="preserve"> year on year</w:t>
      </w:r>
    </w:p>
    <w:tbl>
      <w:tblPr>
        <w:tblStyle w:val="TableGrid"/>
        <w:tblW w:w="0" w:type="auto"/>
        <w:tblLook w:val="04A0" w:firstRow="1" w:lastRow="0" w:firstColumn="1" w:lastColumn="0" w:noHBand="0" w:noVBand="1"/>
      </w:tblPr>
      <w:tblGrid>
        <w:gridCol w:w="1866"/>
        <w:gridCol w:w="1424"/>
        <w:gridCol w:w="1441"/>
        <w:gridCol w:w="1442"/>
        <w:gridCol w:w="1442"/>
        <w:gridCol w:w="1332"/>
      </w:tblGrid>
      <w:tr w:rsidR="00B379A4" w14:paraId="25137151" w14:textId="77777777" w:rsidTr="005E3F07">
        <w:tc>
          <w:tcPr>
            <w:tcW w:w="1512" w:type="dxa"/>
            <w:shd w:val="clear" w:color="auto" w:fill="BFBFBF" w:themeFill="background1" w:themeFillShade="BF"/>
          </w:tcPr>
          <w:p w14:paraId="7FFBC30D" w14:textId="77777777" w:rsidR="00B379A4" w:rsidRPr="00A9438D" w:rsidRDefault="00B379A4" w:rsidP="005E3F07">
            <w:pPr>
              <w:rPr>
                <w:b/>
                <w:bCs/>
                <w:sz w:val="20"/>
                <w:szCs w:val="20"/>
              </w:rPr>
            </w:pPr>
            <w:r w:rsidRPr="00A9438D">
              <w:rPr>
                <w:b/>
                <w:bCs/>
                <w:sz w:val="20"/>
                <w:szCs w:val="20"/>
              </w:rPr>
              <w:t>Year</w:t>
            </w:r>
          </w:p>
        </w:tc>
        <w:tc>
          <w:tcPr>
            <w:tcW w:w="1511" w:type="dxa"/>
            <w:shd w:val="clear" w:color="auto" w:fill="BFBFBF" w:themeFill="background1" w:themeFillShade="BF"/>
          </w:tcPr>
          <w:p w14:paraId="7876D623" w14:textId="77777777" w:rsidR="00B379A4" w:rsidRPr="00A9438D" w:rsidRDefault="00B379A4" w:rsidP="005E3F07">
            <w:pPr>
              <w:jc w:val="center"/>
              <w:rPr>
                <w:b/>
                <w:bCs/>
                <w:sz w:val="20"/>
                <w:szCs w:val="20"/>
              </w:rPr>
            </w:pPr>
            <w:r w:rsidRPr="00A9438D">
              <w:rPr>
                <w:b/>
                <w:bCs/>
                <w:sz w:val="20"/>
                <w:szCs w:val="20"/>
              </w:rPr>
              <w:t>2020</w:t>
            </w:r>
          </w:p>
        </w:tc>
        <w:tc>
          <w:tcPr>
            <w:tcW w:w="1511" w:type="dxa"/>
            <w:shd w:val="clear" w:color="auto" w:fill="BFBFBF" w:themeFill="background1" w:themeFillShade="BF"/>
          </w:tcPr>
          <w:p w14:paraId="0201FCC5" w14:textId="77777777" w:rsidR="00B379A4" w:rsidRPr="00A9438D" w:rsidRDefault="00B379A4" w:rsidP="005E3F07">
            <w:pPr>
              <w:jc w:val="center"/>
              <w:rPr>
                <w:b/>
                <w:bCs/>
                <w:sz w:val="20"/>
                <w:szCs w:val="20"/>
              </w:rPr>
            </w:pPr>
            <w:r w:rsidRPr="00A9438D">
              <w:rPr>
                <w:b/>
                <w:bCs/>
                <w:sz w:val="20"/>
                <w:szCs w:val="20"/>
              </w:rPr>
              <w:t>2021</w:t>
            </w:r>
          </w:p>
        </w:tc>
        <w:tc>
          <w:tcPr>
            <w:tcW w:w="1512" w:type="dxa"/>
            <w:shd w:val="clear" w:color="auto" w:fill="BFBFBF" w:themeFill="background1" w:themeFillShade="BF"/>
          </w:tcPr>
          <w:p w14:paraId="214AD561" w14:textId="77777777" w:rsidR="00B379A4" w:rsidRPr="00A9438D" w:rsidRDefault="00B379A4" w:rsidP="005E3F07">
            <w:pPr>
              <w:jc w:val="center"/>
              <w:rPr>
                <w:b/>
                <w:bCs/>
                <w:sz w:val="20"/>
                <w:szCs w:val="20"/>
              </w:rPr>
            </w:pPr>
            <w:r w:rsidRPr="00A9438D">
              <w:rPr>
                <w:b/>
                <w:bCs/>
                <w:sz w:val="20"/>
                <w:szCs w:val="20"/>
              </w:rPr>
              <w:t>2022</w:t>
            </w:r>
          </w:p>
        </w:tc>
        <w:tc>
          <w:tcPr>
            <w:tcW w:w="1512" w:type="dxa"/>
            <w:shd w:val="clear" w:color="auto" w:fill="BFBFBF" w:themeFill="background1" w:themeFillShade="BF"/>
          </w:tcPr>
          <w:p w14:paraId="4EE8AC7A" w14:textId="77777777" w:rsidR="00B379A4" w:rsidRPr="00A9438D" w:rsidRDefault="00B379A4" w:rsidP="005E3F07">
            <w:pPr>
              <w:jc w:val="center"/>
              <w:rPr>
                <w:b/>
                <w:bCs/>
                <w:sz w:val="20"/>
                <w:szCs w:val="20"/>
              </w:rPr>
            </w:pPr>
            <w:r w:rsidRPr="00A9438D">
              <w:rPr>
                <w:b/>
                <w:bCs/>
                <w:sz w:val="20"/>
                <w:szCs w:val="20"/>
              </w:rPr>
              <w:t>2023</w:t>
            </w:r>
          </w:p>
        </w:tc>
        <w:tc>
          <w:tcPr>
            <w:tcW w:w="1389" w:type="dxa"/>
            <w:shd w:val="clear" w:color="auto" w:fill="BFBFBF" w:themeFill="background1" w:themeFillShade="BF"/>
          </w:tcPr>
          <w:p w14:paraId="4F2DA4AD" w14:textId="77777777" w:rsidR="00B379A4" w:rsidRPr="00A9438D" w:rsidRDefault="00B379A4" w:rsidP="005E3F07">
            <w:pPr>
              <w:jc w:val="center"/>
              <w:rPr>
                <w:b/>
                <w:bCs/>
                <w:sz w:val="20"/>
                <w:szCs w:val="20"/>
              </w:rPr>
            </w:pPr>
            <w:r w:rsidRPr="00A9438D">
              <w:rPr>
                <w:b/>
                <w:bCs/>
                <w:sz w:val="20"/>
                <w:szCs w:val="20"/>
              </w:rPr>
              <w:t>2024</w:t>
            </w:r>
          </w:p>
        </w:tc>
      </w:tr>
      <w:tr w:rsidR="00B379A4" w14:paraId="7BEE1430" w14:textId="77777777" w:rsidTr="005E3F07">
        <w:tc>
          <w:tcPr>
            <w:tcW w:w="1512" w:type="dxa"/>
          </w:tcPr>
          <w:p w14:paraId="75EEFC8D" w14:textId="6AD50E48" w:rsidR="00B379A4" w:rsidRPr="00A9438D" w:rsidRDefault="00DF1B36" w:rsidP="005E3F07">
            <w:pPr>
              <w:rPr>
                <w:sz w:val="20"/>
                <w:szCs w:val="20"/>
              </w:rPr>
            </w:pPr>
            <w:r>
              <w:rPr>
                <w:sz w:val="20"/>
                <w:szCs w:val="20"/>
              </w:rPr>
              <w:t>Lenvatinib</w:t>
            </w:r>
          </w:p>
        </w:tc>
        <w:tc>
          <w:tcPr>
            <w:tcW w:w="1511" w:type="dxa"/>
            <w:vAlign w:val="center"/>
          </w:tcPr>
          <w:p w14:paraId="6C5B9C0A" w14:textId="112CD546" w:rsidR="00B379A4" w:rsidRPr="00A9438D" w:rsidRDefault="00B379A4" w:rsidP="005E3F07">
            <w:pPr>
              <w:jc w:val="center"/>
              <w:rPr>
                <w:sz w:val="20"/>
                <w:szCs w:val="20"/>
              </w:rPr>
            </w:pPr>
            <w:r w:rsidRPr="00A9438D">
              <w:rPr>
                <w:sz w:val="20"/>
                <w:szCs w:val="20"/>
              </w:rPr>
              <w:t>1</w:t>
            </w:r>
            <w:r w:rsidR="007D5AF9">
              <w:rPr>
                <w:sz w:val="20"/>
                <w:szCs w:val="20"/>
              </w:rPr>
              <w:t>,</w:t>
            </w:r>
            <w:r w:rsidRPr="00A9438D">
              <w:rPr>
                <w:sz w:val="20"/>
                <w:szCs w:val="20"/>
              </w:rPr>
              <w:t>985</w:t>
            </w:r>
          </w:p>
        </w:tc>
        <w:tc>
          <w:tcPr>
            <w:tcW w:w="1511" w:type="dxa"/>
            <w:vAlign w:val="center"/>
          </w:tcPr>
          <w:p w14:paraId="117E1E5A" w14:textId="6455A145" w:rsidR="00B379A4" w:rsidRPr="00A9438D" w:rsidRDefault="00B379A4" w:rsidP="005E3F07">
            <w:pPr>
              <w:jc w:val="center"/>
              <w:rPr>
                <w:sz w:val="20"/>
                <w:szCs w:val="20"/>
              </w:rPr>
            </w:pPr>
            <w:r w:rsidRPr="00A9438D">
              <w:rPr>
                <w:sz w:val="20"/>
                <w:szCs w:val="20"/>
              </w:rPr>
              <w:t>1</w:t>
            </w:r>
            <w:r w:rsidR="007D5AF9">
              <w:rPr>
                <w:sz w:val="20"/>
                <w:szCs w:val="20"/>
              </w:rPr>
              <w:t>,</w:t>
            </w:r>
            <w:r w:rsidRPr="00A9438D">
              <w:rPr>
                <w:sz w:val="20"/>
                <w:szCs w:val="20"/>
              </w:rPr>
              <w:t>031</w:t>
            </w:r>
          </w:p>
        </w:tc>
        <w:tc>
          <w:tcPr>
            <w:tcW w:w="1512" w:type="dxa"/>
            <w:vAlign w:val="center"/>
          </w:tcPr>
          <w:p w14:paraId="2E5F19C5" w14:textId="1D0AC859" w:rsidR="00B379A4" w:rsidRPr="00A9438D" w:rsidRDefault="00B379A4" w:rsidP="005E3F07">
            <w:pPr>
              <w:jc w:val="center"/>
              <w:rPr>
                <w:sz w:val="20"/>
                <w:szCs w:val="20"/>
              </w:rPr>
            </w:pPr>
            <w:r w:rsidRPr="00A9438D">
              <w:rPr>
                <w:sz w:val="20"/>
                <w:szCs w:val="20"/>
              </w:rPr>
              <w:t>1</w:t>
            </w:r>
            <w:r w:rsidR="007D5AF9">
              <w:rPr>
                <w:sz w:val="20"/>
                <w:szCs w:val="20"/>
              </w:rPr>
              <w:t>,</w:t>
            </w:r>
            <w:r w:rsidRPr="00A9438D">
              <w:rPr>
                <w:sz w:val="20"/>
                <w:szCs w:val="20"/>
              </w:rPr>
              <w:t>034</w:t>
            </w:r>
          </w:p>
        </w:tc>
        <w:tc>
          <w:tcPr>
            <w:tcW w:w="1512" w:type="dxa"/>
            <w:vAlign w:val="center"/>
          </w:tcPr>
          <w:p w14:paraId="116C6174" w14:textId="6CD199A6" w:rsidR="00B379A4" w:rsidRPr="00A9438D" w:rsidRDefault="00B379A4" w:rsidP="005E3F07">
            <w:pPr>
              <w:jc w:val="center"/>
              <w:rPr>
                <w:sz w:val="20"/>
                <w:szCs w:val="20"/>
              </w:rPr>
            </w:pPr>
            <w:r w:rsidRPr="00A9438D">
              <w:rPr>
                <w:sz w:val="20"/>
                <w:szCs w:val="20"/>
              </w:rPr>
              <w:t>1</w:t>
            </w:r>
            <w:r w:rsidR="007D5AF9">
              <w:rPr>
                <w:sz w:val="20"/>
                <w:szCs w:val="20"/>
              </w:rPr>
              <w:t>,</w:t>
            </w:r>
            <w:r w:rsidRPr="00A9438D">
              <w:rPr>
                <w:sz w:val="20"/>
                <w:szCs w:val="20"/>
              </w:rPr>
              <w:t>131</w:t>
            </w:r>
          </w:p>
        </w:tc>
        <w:tc>
          <w:tcPr>
            <w:tcW w:w="1389" w:type="dxa"/>
            <w:vAlign w:val="center"/>
          </w:tcPr>
          <w:p w14:paraId="05E34C2D" w14:textId="77777777" w:rsidR="00B379A4" w:rsidRPr="00A9438D" w:rsidRDefault="00B379A4" w:rsidP="005E3F07">
            <w:pPr>
              <w:jc w:val="center"/>
              <w:rPr>
                <w:sz w:val="20"/>
                <w:szCs w:val="20"/>
              </w:rPr>
            </w:pPr>
            <w:r w:rsidRPr="00A9438D">
              <w:rPr>
                <w:sz w:val="20"/>
                <w:szCs w:val="20"/>
              </w:rPr>
              <w:t>979</w:t>
            </w:r>
          </w:p>
        </w:tc>
      </w:tr>
      <w:tr w:rsidR="00B379A4" w14:paraId="6DC341A7" w14:textId="77777777" w:rsidTr="005E3F07">
        <w:tc>
          <w:tcPr>
            <w:tcW w:w="1512" w:type="dxa"/>
          </w:tcPr>
          <w:p w14:paraId="77897E54" w14:textId="001A762E" w:rsidR="00B379A4" w:rsidRPr="00A9438D" w:rsidRDefault="00DF1B36" w:rsidP="005E3F07">
            <w:pPr>
              <w:rPr>
                <w:sz w:val="20"/>
                <w:szCs w:val="20"/>
              </w:rPr>
            </w:pPr>
            <w:r>
              <w:rPr>
                <w:sz w:val="20"/>
                <w:szCs w:val="20"/>
              </w:rPr>
              <w:t>Sorafenib</w:t>
            </w:r>
          </w:p>
        </w:tc>
        <w:tc>
          <w:tcPr>
            <w:tcW w:w="1511" w:type="dxa"/>
            <w:vAlign w:val="center"/>
          </w:tcPr>
          <w:p w14:paraId="70C05752" w14:textId="77777777" w:rsidR="00B379A4" w:rsidRPr="00A9438D" w:rsidRDefault="00B379A4" w:rsidP="005E3F07">
            <w:pPr>
              <w:jc w:val="center"/>
              <w:rPr>
                <w:sz w:val="20"/>
                <w:szCs w:val="20"/>
              </w:rPr>
            </w:pPr>
            <w:r w:rsidRPr="00A9438D">
              <w:rPr>
                <w:sz w:val="20"/>
                <w:szCs w:val="20"/>
              </w:rPr>
              <w:t>743</w:t>
            </w:r>
          </w:p>
        </w:tc>
        <w:tc>
          <w:tcPr>
            <w:tcW w:w="1511" w:type="dxa"/>
            <w:vAlign w:val="center"/>
          </w:tcPr>
          <w:p w14:paraId="1DE2D9E8" w14:textId="77777777" w:rsidR="00B379A4" w:rsidRPr="00A9438D" w:rsidRDefault="00B379A4" w:rsidP="005E3F07">
            <w:pPr>
              <w:jc w:val="center"/>
              <w:rPr>
                <w:sz w:val="20"/>
                <w:szCs w:val="20"/>
              </w:rPr>
            </w:pPr>
            <w:r w:rsidRPr="00A9438D">
              <w:rPr>
                <w:sz w:val="20"/>
                <w:szCs w:val="20"/>
              </w:rPr>
              <w:t>372</w:t>
            </w:r>
          </w:p>
        </w:tc>
        <w:tc>
          <w:tcPr>
            <w:tcW w:w="1512" w:type="dxa"/>
            <w:vAlign w:val="center"/>
          </w:tcPr>
          <w:p w14:paraId="22CE492A" w14:textId="77777777" w:rsidR="00B379A4" w:rsidRPr="00A9438D" w:rsidRDefault="00B379A4" w:rsidP="005E3F07">
            <w:pPr>
              <w:jc w:val="center"/>
              <w:rPr>
                <w:sz w:val="20"/>
                <w:szCs w:val="20"/>
              </w:rPr>
            </w:pPr>
            <w:r w:rsidRPr="00A9438D">
              <w:rPr>
                <w:sz w:val="20"/>
                <w:szCs w:val="20"/>
              </w:rPr>
              <w:t>221</w:t>
            </w:r>
          </w:p>
        </w:tc>
        <w:tc>
          <w:tcPr>
            <w:tcW w:w="1512" w:type="dxa"/>
            <w:vAlign w:val="center"/>
          </w:tcPr>
          <w:p w14:paraId="5ED9865B" w14:textId="77777777" w:rsidR="00B379A4" w:rsidRPr="00A9438D" w:rsidRDefault="00B379A4" w:rsidP="005E3F07">
            <w:pPr>
              <w:jc w:val="center"/>
              <w:rPr>
                <w:sz w:val="20"/>
                <w:szCs w:val="20"/>
              </w:rPr>
            </w:pPr>
            <w:r w:rsidRPr="00A9438D">
              <w:rPr>
                <w:sz w:val="20"/>
                <w:szCs w:val="20"/>
              </w:rPr>
              <w:t>155</w:t>
            </w:r>
          </w:p>
        </w:tc>
        <w:tc>
          <w:tcPr>
            <w:tcW w:w="1389" w:type="dxa"/>
            <w:vAlign w:val="center"/>
          </w:tcPr>
          <w:p w14:paraId="5A043071" w14:textId="77777777" w:rsidR="00B379A4" w:rsidRPr="00A9438D" w:rsidRDefault="00B379A4" w:rsidP="005E3F07">
            <w:pPr>
              <w:jc w:val="center"/>
              <w:rPr>
                <w:sz w:val="20"/>
                <w:szCs w:val="20"/>
              </w:rPr>
            </w:pPr>
            <w:r w:rsidRPr="00A9438D">
              <w:rPr>
                <w:sz w:val="20"/>
                <w:szCs w:val="20"/>
              </w:rPr>
              <w:t>103</w:t>
            </w:r>
          </w:p>
        </w:tc>
      </w:tr>
      <w:tr w:rsidR="00B379A4" w14:paraId="2FFFA6AB" w14:textId="77777777" w:rsidTr="005E3F07">
        <w:tc>
          <w:tcPr>
            <w:tcW w:w="1512" w:type="dxa"/>
          </w:tcPr>
          <w:p w14:paraId="76BAA55E" w14:textId="77777777" w:rsidR="00B379A4" w:rsidRPr="00A9438D" w:rsidRDefault="00B379A4" w:rsidP="005E3F07">
            <w:pPr>
              <w:rPr>
                <w:sz w:val="20"/>
                <w:szCs w:val="20"/>
              </w:rPr>
            </w:pPr>
            <w:r w:rsidRPr="00A9438D">
              <w:rPr>
                <w:sz w:val="20"/>
                <w:szCs w:val="20"/>
              </w:rPr>
              <w:t>Total</w:t>
            </w:r>
          </w:p>
        </w:tc>
        <w:tc>
          <w:tcPr>
            <w:tcW w:w="1511" w:type="dxa"/>
            <w:vAlign w:val="center"/>
          </w:tcPr>
          <w:p w14:paraId="7166F12B" w14:textId="7FFE92E0" w:rsidR="00B379A4" w:rsidRPr="00A9438D" w:rsidRDefault="00B379A4" w:rsidP="005E3F07">
            <w:pPr>
              <w:jc w:val="center"/>
              <w:rPr>
                <w:sz w:val="20"/>
                <w:szCs w:val="20"/>
              </w:rPr>
            </w:pPr>
            <w:r w:rsidRPr="00A9438D">
              <w:rPr>
                <w:sz w:val="20"/>
                <w:szCs w:val="20"/>
              </w:rPr>
              <w:t>2</w:t>
            </w:r>
            <w:r w:rsidR="007D5AF9">
              <w:rPr>
                <w:sz w:val="20"/>
                <w:szCs w:val="20"/>
              </w:rPr>
              <w:t>,</w:t>
            </w:r>
            <w:r w:rsidRPr="00A9438D">
              <w:rPr>
                <w:sz w:val="20"/>
                <w:szCs w:val="20"/>
              </w:rPr>
              <w:t>728</w:t>
            </w:r>
          </w:p>
        </w:tc>
        <w:tc>
          <w:tcPr>
            <w:tcW w:w="1511" w:type="dxa"/>
            <w:vAlign w:val="center"/>
          </w:tcPr>
          <w:p w14:paraId="153EFFBA" w14:textId="4418C4AF" w:rsidR="00B379A4" w:rsidRPr="00A9438D" w:rsidRDefault="00B379A4" w:rsidP="005E3F07">
            <w:pPr>
              <w:jc w:val="center"/>
              <w:rPr>
                <w:sz w:val="20"/>
                <w:szCs w:val="20"/>
              </w:rPr>
            </w:pPr>
            <w:r w:rsidRPr="00A9438D">
              <w:rPr>
                <w:sz w:val="20"/>
                <w:szCs w:val="20"/>
              </w:rPr>
              <w:t>1</w:t>
            </w:r>
            <w:r w:rsidR="007D5AF9">
              <w:rPr>
                <w:sz w:val="20"/>
                <w:szCs w:val="20"/>
              </w:rPr>
              <w:t>,</w:t>
            </w:r>
            <w:r w:rsidRPr="00A9438D">
              <w:rPr>
                <w:sz w:val="20"/>
                <w:szCs w:val="20"/>
              </w:rPr>
              <w:t>403</w:t>
            </w:r>
          </w:p>
        </w:tc>
        <w:tc>
          <w:tcPr>
            <w:tcW w:w="1512" w:type="dxa"/>
            <w:vAlign w:val="center"/>
          </w:tcPr>
          <w:p w14:paraId="2CE534D9" w14:textId="41B4B302" w:rsidR="00B379A4" w:rsidRPr="00A9438D" w:rsidRDefault="00B379A4" w:rsidP="005E3F07">
            <w:pPr>
              <w:jc w:val="center"/>
              <w:rPr>
                <w:sz w:val="20"/>
                <w:szCs w:val="20"/>
              </w:rPr>
            </w:pPr>
            <w:r w:rsidRPr="00A9438D">
              <w:rPr>
                <w:sz w:val="20"/>
                <w:szCs w:val="20"/>
              </w:rPr>
              <w:t>1</w:t>
            </w:r>
            <w:r w:rsidR="007D5AF9">
              <w:rPr>
                <w:sz w:val="20"/>
                <w:szCs w:val="20"/>
              </w:rPr>
              <w:t>,</w:t>
            </w:r>
            <w:r w:rsidRPr="00A9438D">
              <w:rPr>
                <w:sz w:val="20"/>
                <w:szCs w:val="20"/>
              </w:rPr>
              <w:t>255</w:t>
            </w:r>
          </w:p>
        </w:tc>
        <w:tc>
          <w:tcPr>
            <w:tcW w:w="1512" w:type="dxa"/>
            <w:vAlign w:val="center"/>
          </w:tcPr>
          <w:p w14:paraId="70293E19" w14:textId="40006FE3" w:rsidR="00B379A4" w:rsidRPr="00A9438D" w:rsidRDefault="00B379A4" w:rsidP="005E3F07">
            <w:pPr>
              <w:jc w:val="center"/>
              <w:rPr>
                <w:sz w:val="20"/>
                <w:szCs w:val="20"/>
              </w:rPr>
            </w:pPr>
            <w:r w:rsidRPr="00A9438D">
              <w:rPr>
                <w:sz w:val="20"/>
                <w:szCs w:val="20"/>
              </w:rPr>
              <w:t>1</w:t>
            </w:r>
            <w:r w:rsidR="007D5AF9">
              <w:rPr>
                <w:sz w:val="20"/>
                <w:szCs w:val="20"/>
              </w:rPr>
              <w:t>,</w:t>
            </w:r>
            <w:r w:rsidRPr="00A9438D">
              <w:rPr>
                <w:sz w:val="20"/>
                <w:szCs w:val="20"/>
              </w:rPr>
              <w:t>286</w:t>
            </w:r>
          </w:p>
        </w:tc>
        <w:tc>
          <w:tcPr>
            <w:tcW w:w="1389" w:type="dxa"/>
            <w:vAlign w:val="center"/>
          </w:tcPr>
          <w:p w14:paraId="79403A0B" w14:textId="544EC425" w:rsidR="00B379A4" w:rsidRPr="00A9438D" w:rsidRDefault="00B379A4" w:rsidP="005E3F07">
            <w:pPr>
              <w:jc w:val="center"/>
              <w:rPr>
                <w:sz w:val="20"/>
                <w:szCs w:val="20"/>
              </w:rPr>
            </w:pPr>
            <w:r w:rsidRPr="00A9438D">
              <w:rPr>
                <w:sz w:val="20"/>
                <w:szCs w:val="20"/>
              </w:rPr>
              <w:t>1</w:t>
            </w:r>
            <w:r w:rsidR="007D5AF9">
              <w:rPr>
                <w:sz w:val="20"/>
                <w:szCs w:val="20"/>
              </w:rPr>
              <w:t>,</w:t>
            </w:r>
            <w:r w:rsidRPr="00A9438D">
              <w:rPr>
                <w:sz w:val="20"/>
                <w:szCs w:val="20"/>
              </w:rPr>
              <w:t>082</w:t>
            </w:r>
          </w:p>
        </w:tc>
      </w:tr>
      <w:tr w:rsidR="00B379A4" w14:paraId="5A4F06F0" w14:textId="77777777" w:rsidTr="005E3F07">
        <w:tc>
          <w:tcPr>
            <w:tcW w:w="1512" w:type="dxa"/>
          </w:tcPr>
          <w:p w14:paraId="7DA9AC88" w14:textId="77777777" w:rsidR="00B379A4" w:rsidRPr="00A9438D" w:rsidRDefault="00B379A4" w:rsidP="005E3F07">
            <w:pPr>
              <w:rPr>
                <w:sz w:val="20"/>
                <w:szCs w:val="20"/>
              </w:rPr>
            </w:pPr>
            <w:r w:rsidRPr="00A9438D">
              <w:rPr>
                <w:sz w:val="20"/>
                <w:szCs w:val="20"/>
              </w:rPr>
              <w:t>Year on year difference</w:t>
            </w:r>
          </w:p>
        </w:tc>
        <w:tc>
          <w:tcPr>
            <w:tcW w:w="1511" w:type="dxa"/>
            <w:vAlign w:val="center"/>
          </w:tcPr>
          <w:p w14:paraId="714CE95F" w14:textId="77777777" w:rsidR="00B379A4" w:rsidRPr="00A9438D" w:rsidRDefault="00B379A4" w:rsidP="005E3F07">
            <w:pPr>
              <w:jc w:val="center"/>
              <w:rPr>
                <w:sz w:val="20"/>
                <w:szCs w:val="20"/>
              </w:rPr>
            </w:pPr>
            <w:r w:rsidRPr="00A9438D">
              <w:rPr>
                <w:sz w:val="20"/>
                <w:szCs w:val="20"/>
              </w:rPr>
              <w:t>NA</w:t>
            </w:r>
          </w:p>
        </w:tc>
        <w:tc>
          <w:tcPr>
            <w:tcW w:w="1511" w:type="dxa"/>
            <w:vAlign w:val="center"/>
          </w:tcPr>
          <w:p w14:paraId="2EA1C70A" w14:textId="135D1EC7" w:rsidR="00B379A4" w:rsidRPr="00A9438D" w:rsidRDefault="00B379A4" w:rsidP="005E3F07">
            <w:pPr>
              <w:jc w:val="center"/>
              <w:rPr>
                <w:sz w:val="20"/>
                <w:szCs w:val="20"/>
              </w:rPr>
            </w:pPr>
            <w:r w:rsidRPr="00A9438D">
              <w:rPr>
                <w:sz w:val="20"/>
                <w:szCs w:val="20"/>
              </w:rPr>
              <w:t>-1</w:t>
            </w:r>
            <w:r w:rsidR="007D5AF9">
              <w:rPr>
                <w:sz w:val="20"/>
                <w:szCs w:val="20"/>
              </w:rPr>
              <w:t>,</w:t>
            </w:r>
            <w:r w:rsidRPr="00A9438D">
              <w:rPr>
                <w:sz w:val="20"/>
                <w:szCs w:val="20"/>
              </w:rPr>
              <w:t>325</w:t>
            </w:r>
          </w:p>
        </w:tc>
        <w:tc>
          <w:tcPr>
            <w:tcW w:w="1512" w:type="dxa"/>
            <w:vAlign w:val="center"/>
          </w:tcPr>
          <w:p w14:paraId="0F5DA945" w14:textId="77777777" w:rsidR="00B379A4" w:rsidRPr="00A9438D" w:rsidRDefault="00B379A4" w:rsidP="005E3F07">
            <w:pPr>
              <w:jc w:val="center"/>
              <w:rPr>
                <w:sz w:val="20"/>
                <w:szCs w:val="20"/>
              </w:rPr>
            </w:pPr>
            <w:r w:rsidRPr="00A9438D">
              <w:rPr>
                <w:sz w:val="20"/>
                <w:szCs w:val="20"/>
              </w:rPr>
              <w:t>-148</w:t>
            </w:r>
          </w:p>
        </w:tc>
        <w:tc>
          <w:tcPr>
            <w:tcW w:w="1512" w:type="dxa"/>
            <w:vAlign w:val="center"/>
          </w:tcPr>
          <w:p w14:paraId="17337F5B" w14:textId="77777777" w:rsidR="00B379A4" w:rsidRPr="00A9438D" w:rsidRDefault="00B379A4" w:rsidP="005E3F07">
            <w:pPr>
              <w:jc w:val="center"/>
              <w:rPr>
                <w:sz w:val="20"/>
                <w:szCs w:val="20"/>
              </w:rPr>
            </w:pPr>
            <w:r w:rsidRPr="00A9438D">
              <w:rPr>
                <w:sz w:val="20"/>
                <w:szCs w:val="20"/>
              </w:rPr>
              <w:t>+31</w:t>
            </w:r>
          </w:p>
        </w:tc>
        <w:tc>
          <w:tcPr>
            <w:tcW w:w="1389" w:type="dxa"/>
            <w:vAlign w:val="center"/>
          </w:tcPr>
          <w:p w14:paraId="2DA97DE2" w14:textId="77777777" w:rsidR="00B379A4" w:rsidRPr="00A9438D" w:rsidRDefault="00B379A4" w:rsidP="005E3F07">
            <w:pPr>
              <w:jc w:val="center"/>
              <w:rPr>
                <w:sz w:val="20"/>
                <w:szCs w:val="20"/>
              </w:rPr>
            </w:pPr>
            <w:r w:rsidRPr="00A9438D">
              <w:rPr>
                <w:sz w:val="20"/>
                <w:szCs w:val="20"/>
              </w:rPr>
              <w:t>-204</w:t>
            </w:r>
          </w:p>
        </w:tc>
      </w:tr>
      <w:tr w:rsidR="00B379A4" w14:paraId="04252C11" w14:textId="77777777" w:rsidTr="005E3F07">
        <w:tc>
          <w:tcPr>
            <w:tcW w:w="1512" w:type="dxa"/>
          </w:tcPr>
          <w:p w14:paraId="24CA1C1A" w14:textId="73F22FDB" w:rsidR="00B379A4" w:rsidRPr="00A9438D" w:rsidRDefault="00B379A4" w:rsidP="005E3F07">
            <w:pPr>
              <w:rPr>
                <w:sz w:val="20"/>
                <w:szCs w:val="20"/>
              </w:rPr>
            </w:pPr>
            <w:r w:rsidRPr="00A9438D">
              <w:rPr>
                <w:sz w:val="20"/>
                <w:szCs w:val="20"/>
              </w:rPr>
              <w:t xml:space="preserve">Estimated replaced script volume of </w:t>
            </w:r>
            <w:r w:rsidR="00EC7A97">
              <w:rPr>
                <w:sz w:val="20"/>
                <w:szCs w:val="20"/>
              </w:rPr>
              <w:t>s</w:t>
            </w:r>
            <w:r w:rsidR="00DF1B36">
              <w:rPr>
                <w:sz w:val="20"/>
                <w:szCs w:val="20"/>
              </w:rPr>
              <w:t>orafenib</w:t>
            </w:r>
            <w:r w:rsidRPr="00A9438D">
              <w:rPr>
                <w:sz w:val="20"/>
                <w:szCs w:val="20"/>
              </w:rPr>
              <w:t>/</w:t>
            </w:r>
            <w:r w:rsidR="00EC7A97">
              <w:rPr>
                <w:sz w:val="20"/>
                <w:szCs w:val="20"/>
              </w:rPr>
              <w:t>l</w:t>
            </w:r>
            <w:r w:rsidR="00DF1B36">
              <w:rPr>
                <w:sz w:val="20"/>
                <w:szCs w:val="20"/>
              </w:rPr>
              <w:t>envatinib</w:t>
            </w:r>
            <w:r w:rsidRPr="00A9438D">
              <w:rPr>
                <w:sz w:val="20"/>
                <w:szCs w:val="20"/>
              </w:rPr>
              <w:t xml:space="preserve"> for </w:t>
            </w:r>
            <w:r w:rsidR="00EC7A97">
              <w:rPr>
                <w:sz w:val="20"/>
                <w:szCs w:val="20"/>
              </w:rPr>
              <w:t>a</w:t>
            </w:r>
            <w:r w:rsidR="00B846E6">
              <w:rPr>
                <w:sz w:val="20"/>
                <w:szCs w:val="20"/>
              </w:rPr>
              <w:t>tezolizumab</w:t>
            </w:r>
            <w:r w:rsidRPr="00A9438D">
              <w:rPr>
                <w:sz w:val="20"/>
                <w:szCs w:val="20"/>
                <w:vertAlign w:val="superscript"/>
              </w:rPr>
              <w:t xml:space="preserve"> 4</w:t>
            </w:r>
          </w:p>
        </w:tc>
        <w:tc>
          <w:tcPr>
            <w:tcW w:w="1511" w:type="dxa"/>
          </w:tcPr>
          <w:p w14:paraId="78A4CF09" w14:textId="0E5F8FA8" w:rsidR="00B379A4" w:rsidRPr="00FC0FDE" w:rsidRDefault="00492E2A" w:rsidP="005E3F07">
            <w:pPr>
              <w:jc w:val="center"/>
              <w:rPr>
                <w:sz w:val="20"/>
                <w:szCs w:val="20"/>
                <w:highlight w:val="black"/>
              </w:rPr>
            </w:pPr>
            <w:r w:rsidRPr="00FC0FDE">
              <w:rPr>
                <w:sz w:val="20"/>
                <w:szCs w:val="20"/>
                <w:highlight w:val="black"/>
              </w:rPr>
              <w:t>XX</w:t>
            </w:r>
          </w:p>
        </w:tc>
        <w:tc>
          <w:tcPr>
            <w:tcW w:w="1511" w:type="dxa"/>
          </w:tcPr>
          <w:p w14:paraId="65A771F2" w14:textId="0FEC42A4" w:rsidR="00B379A4" w:rsidRPr="00FC0FDE" w:rsidRDefault="00492E2A" w:rsidP="005E3F07">
            <w:pPr>
              <w:jc w:val="center"/>
              <w:rPr>
                <w:sz w:val="20"/>
                <w:szCs w:val="20"/>
                <w:highlight w:val="black"/>
              </w:rPr>
            </w:pPr>
            <w:r w:rsidRPr="00FC0FDE">
              <w:rPr>
                <w:sz w:val="20"/>
                <w:szCs w:val="20"/>
                <w:highlight w:val="black"/>
              </w:rPr>
              <w:t>XXXXXX</w:t>
            </w:r>
          </w:p>
        </w:tc>
        <w:tc>
          <w:tcPr>
            <w:tcW w:w="1512" w:type="dxa"/>
          </w:tcPr>
          <w:p w14:paraId="63CB3D7C" w14:textId="1D37406A" w:rsidR="00B379A4" w:rsidRPr="00FC0FDE" w:rsidRDefault="00492E2A" w:rsidP="005E3F07">
            <w:pPr>
              <w:jc w:val="center"/>
              <w:rPr>
                <w:sz w:val="20"/>
                <w:szCs w:val="20"/>
                <w:highlight w:val="black"/>
              </w:rPr>
            </w:pPr>
            <w:r w:rsidRPr="00FC0FDE">
              <w:rPr>
                <w:sz w:val="20"/>
                <w:szCs w:val="20"/>
                <w:highlight w:val="black"/>
              </w:rPr>
              <w:t>XXXXXX</w:t>
            </w:r>
          </w:p>
        </w:tc>
        <w:tc>
          <w:tcPr>
            <w:tcW w:w="1512" w:type="dxa"/>
          </w:tcPr>
          <w:p w14:paraId="07029F75" w14:textId="2459BD39" w:rsidR="00B379A4" w:rsidRPr="00FC0FDE" w:rsidRDefault="00492E2A" w:rsidP="005E3F07">
            <w:pPr>
              <w:jc w:val="center"/>
              <w:rPr>
                <w:sz w:val="20"/>
                <w:szCs w:val="20"/>
                <w:highlight w:val="black"/>
              </w:rPr>
            </w:pPr>
            <w:r w:rsidRPr="00FC0FDE">
              <w:rPr>
                <w:sz w:val="20"/>
                <w:szCs w:val="20"/>
                <w:highlight w:val="black"/>
              </w:rPr>
              <w:t>XXXXXX</w:t>
            </w:r>
          </w:p>
        </w:tc>
        <w:tc>
          <w:tcPr>
            <w:tcW w:w="1389" w:type="dxa"/>
          </w:tcPr>
          <w:p w14:paraId="0AAC0414" w14:textId="40155BCB" w:rsidR="00B379A4" w:rsidRPr="00FC0FDE" w:rsidRDefault="00492E2A" w:rsidP="005E3F07">
            <w:pPr>
              <w:jc w:val="center"/>
              <w:rPr>
                <w:sz w:val="20"/>
                <w:szCs w:val="20"/>
                <w:highlight w:val="black"/>
              </w:rPr>
            </w:pPr>
            <w:r w:rsidRPr="00FC0FDE">
              <w:rPr>
                <w:sz w:val="20"/>
                <w:szCs w:val="20"/>
                <w:highlight w:val="black"/>
              </w:rPr>
              <w:t>XXXXXX</w:t>
            </w:r>
          </w:p>
        </w:tc>
      </w:tr>
    </w:tbl>
    <w:p w14:paraId="21182F84" w14:textId="77777777" w:rsidR="00B379A4" w:rsidRPr="00657CB6" w:rsidRDefault="00B379A4" w:rsidP="00B379A4">
      <w:pPr>
        <w:rPr>
          <w:sz w:val="20"/>
          <w:szCs w:val="20"/>
        </w:rPr>
      </w:pPr>
      <w:r w:rsidRPr="00657CB6">
        <w:rPr>
          <w:sz w:val="20"/>
          <w:szCs w:val="20"/>
        </w:rPr>
        <w:t>Note: scripts for the current year were subtracted from scripts from the previous year.</w:t>
      </w:r>
    </w:p>
    <w:p w14:paraId="2F7C750D" w14:textId="77777777" w:rsidR="00B379A4" w:rsidRDefault="00B379A4" w:rsidP="00A35800"/>
    <w:p w14:paraId="3F940D44" w14:textId="5982D31E" w:rsidR="00654763" w:rsidRDefault="007E31E3" w:rsidP="00AA3CE1">
      <w:pPr>
        <w:spacing w:after="0"/>
      </w:pPr>
      <w:r>
        <w:rPr>
          <w:noProof/>
        </w:rPr>
        <w:lastRenderedPageBreak/>
        <w:drawing>
          <wp:inline distT="0" distB="0" distL="0" distR="0" wp14:anchorId="17CA0BA5" wp14:editId="5FD71664">
            <wp:extent cx="5596890" cy="3121660"/>
            <wp:effectExtent l="0" t="0" r="3810" b="2540"/>
            <wp:docPr id="304446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96890" cy="3121660"/>
                    </a:xfrm>
                    <a:prstGeom prst="rect">
                      <a:avLst/>
                    </a:prstGeom>
                    <a:noFill/>
                  </pic:spPr>
                </pic:pic>
              </a:graphicData>
            </a:graphic>
          </wp:inline>
        </w:drawing>
      </w:r>
    </w:p>
    <w:p w14:paraId="630A3705" w14:textId="5F076011" w:rsidR="00F652BE" w:rsidRPr="00F652BE" w:rsidRDefault="00F652BE" w:rsidP="00AA3CE1">
      <w:pPr>
        <w:spacing w:after="0"/>
        <w:rPr>
          <w:b/>
          <w:bCs/>
        </w:rPr>
      </w:pPr>
      <w:r w:rsidRPr="00F652BE">
        <w:rPr>
          <w:b/>
          <w:bCs/>
        </w:rPr>
        <w:t>Figure 1</w:t>
      </w:r>
      <w:r w:rsidR="003208B6">
        <w:rPr>
          <w:b/>
          <w:bCs/>
        </w:rPr>
        <w:t>2</w:t>
      </w:r>
      <w:r w:rsidRPr="00F652BE">
        <w:rPr>
          <w:b/>
          <w:bCs/>
        </w:rPr>
        <w:t xml:space="preserve">: Incident patients for </w:t>
      </w:r>
      <w:r w:rsidR="002037CF">
        <w:rPr>
          <w:b/>
          <w:bCs/>
        </w:rPr>
        <w:t>l</w:t>
      </w:r>
      <w:r w:rsidR="00DF1B36">
        <w:rPr>
          <w:b/>
          <w:bCs/>
        </w:rPr>
        <w:t>envatinib</w:t>
      </w:r>
      <w:r w:rsidRPr="00F652BE">
        <w:rPr>
          <w:b/>
          <w:bCs/>
        </w:rPr>
        <w:t xml:space="preserve"> and </w:t>
      </w:r>
      <w:r w:rsidR="002037CF">
        <w:rPr>
          <w:b/>
          <w:bCs/>
        </w:rPr>
        <w:t>s</w:t>
      </w:r>
      <w:r w:rsidR="00DF1B36">
        <w:rPr>
          <w:b/>
          <w:bCs/>
        </w:rPr>
        <w:t>orafenib</w:t>
      </w:r>
      <w:r w:rsidRPr="00F652BE">
        <w:rPr>
          <w:b/>
          <w:bCs/>
        </w:rPr>
        <w:t xml:space="preserve"> for the treatment of HCC</w:t>
      </w:r>
    </w:p>
    <w:p w14:paraId="0823DE1F" w14:textId="018193A8" w:rsidR="0079741E" w:rsidRPr="007D4151" w:rsidRDefault="0079741E" w:rsidP="00AA3CE1">
      <w:pPr>
        <w:spacing w:after="0"/>
        <w:rPr>
          <w:sz w:val="20"/>
          <w:szCs w:val="20"/>
        </w:rPr>
      </w:pPr>
      <w:r w:rsidRPr="007D4151">
        <w:rPr>
          <w:sz w:val="20"/>
          <w:szCs w:val="20"/>
        </w:rPr>
        <w:t>Note:</w:t>
      </w:r>
    </w:p>
    <w:p w14:paraId="45C062A3" w14:textId="77777777" w:rsidR="00B32B65" w:rsidRPr="007D4151" w:rsidRDefault="00B32B65" w:rsidP="00B32B65">
      <w:pPr>
        <w:pStyle w:val="Figurecaption"/>
        <w:spacing w:before="0" w:after="0"/>
      </w:pPr>
      <w:r w:rsidRPr="007D4151">
        <w:t>Q12025 have not been included as the data is only up to the end of February 2025.</w:t>
      </w:r>
    </w:p>
    <w:p w14:paraId="1A1C3D1E" w14:textId="74621299" w:rsidR="00094945" w:rsidRPr="007D4151" w:rsidRDefault="00DF1B36" w:rsidP="00B32B65">
      <w:pPr>
        <w:pStyle w:val="Figurecaption"/>
        <w:spacing w:before="0" w:after="0"/>
      </w:pPr>
      <w:r>
        <w:t>Sorafenib</w:t>
      </w:r>
      <w:r w:rsidR="00094945" w:rsidRPr="007D4151">
        <w:t xml:space="preserve"> incident patients (dotted lines) are marked on the secondary axis.</w:t>
      </w:r>
    </w:p>
    <w:p w14:paraId="27DD66A7" w14:textId="0328E657" w:rsidR="003A10A8" w:rsidRPr="007D4151" w:rsidRDefault="00DF1B36" w:rsidP="003A10A8">
      <w:pPr>
        <w:spacing w:after="0"/>
        <w:rPr>
          <w:sz w:val="20"/>
          <w:szCs w:val="20"/>
        </w:rPr>
      </w:pPr>
      <w:r>
        <w:rPr>
          <w:sz w:val="20"/>
          <w:szCs w:val="20"/>
        </w:rPr>
        <w:t>Sorafenib</w:t>
      </w:r>
      <w:r w:rsidR="003A10A8" w:rsidRPr="007D4151">
        <w:rPr>
          <w:sz w:val="20"/>
          <w:szCs w:val="20"/>
        </w:rPr>
        <w:t xml:space="preserve"> inc</w:t>
      </w:r>
      <w:r w:rsidR="00C025E7" w:rsidRPr="007D4151">
        <w:rPr>
          <w:sz w:val="20"/>
          <w:szCs w:val="20"/>
        </w:rPr>
        <w:t>ident</w:t>
      </w:r>
      <w:r w:rsidR="003A10A8" w:rsidRPr="007D4151">
        <w:rPr>
          <w:sz w:val="20"/>
          <w:szCs w:val="20"/>
        </w:rPr>
        <w:t xml:space="preserve"> patient numbers have been redacted as numbers are small.</w:t>
      </w:r>
    </w:p>
    <w:p w14:paraId="0F6B7112" w14:textId="77777777" w:rsidR="003A10A8" w:rsidRDefault="003A10A8" w:rsidP="00B32B65">
      <w:pPr>
        <w:pStyle w:val="Figurecaption"/>
        <w:spacing w:before="0" w:after="0"/>
      </w:pPr>
    </w:p>
    <w:p w14:paraId="74019EE7" w14:textId="77777777" w:rsidR="00E31E1C" w:rsidRDefault="00E31E1C" w:rsidP="00AA3CE1">
      <w:pPr>
        <w:spacing w:after="0"/>
      </w:pPr>
    </w:p>
    <w:p w14:paraId="73C1D331" w14:textId="4E6309F7" w:rsidR="00F55737" w:rsidRDefault="00F652BE" w:rsidP="00AA3CE1">
      <w:pPr>
        <w:spacing w:after="0"/>
      </w:pPr>
      <w:r w:rsidRPr="003C64B4">
        <w:rPr>
          <w:b/>
          <w:bCs/>
        </w:rPr>
        <w:t xml:space="preserve">Table </w:t>
      </w:r>
      <w:r w:rsidR="00C16B2D">
        <w:rPr>
          <w:b/>
          <w:bCs/>
        </w:rPr>
        <w:t>8</w:t>
      </w:r>
      <w:r w:rsidRPr="003C64B4">
        <w:rPr>
          <w:b/>
          <w:bCs/>
        </w:rPr>
        <w:t xml:space="preserve">: </w:t>
      </w:r>
      <w:r>
        <w:rPr>
          <w:b/>
          <w:bCs/>
        </w:rPr>
        <w:t xml:space="preserve">Treatment sequence </w:t>
      </w:r>
    </w:p>
    <w:tbl>
      <w:tblPr>
        <w:tblStyle w:val="TableGrid"/>
        <w:tblW w:w="0" w:type="auto"/>
        <w:tblLook w:val="04A0" w:firstRow="1" w:lastRow="0" w:firstColumn="1" w:lastColumn="0" w:noHBand="0" w:noVBand="1"/>
      </w:tblPr>
      <w:tblGrid>
        <w:gridCol w:w="5440"/>
        <w:gridCol w:w="2777"/>
      </w:tblGrid>
      <w:tr w:rsidR="00F652BE" w:rsidRPr="00F55737" w14:paraId="58D4A669" w14:textId="77777777" w:rsidTr="00F652BE">
        <w:trPr>
          <w:trHeight w:val="290"/>
        </w:trPr>
        <w:tc>
          <w:tcPr>
            <w:tcW w:w="5440" w:type="dxa"/>
            <w:shd w:val="clear" w:color="auto" w:fill="BFBFBF" w:themeFill="background1" w:themeFillShade="BF"/>
            <w:noWrap/>
          </w:tcPr>
          <w:p w14:paraId="66D4219D" w14:textId="34D80E8F" w:rsidR="00F652BE" w:rsidRPr="00F652BE" w:rsidRDefault="00F652BE" w:rsidP="00F652BE">
            <w:pPr>
              <w:rPr>
                <w:rFonts w:cstheme="minorHAnsi"/>
                <w:b/>
                <w:bCs/>
                <w:sz w:val="20"/>
                <w:szCs w:val="20"/>
              </w:rPr>
            </w:pPr>
            <w:r w:rsidRPr="00F652BE">
              <w:rPr>
                <w:rFonts w:cstheme="minorHAnsi"/>
                <w:b/>
                <w:bCs/>
                <w:sz w:val="20"/>
                <w:szCs w:val="20"/>
              </w:rPr>
              <w:t>Treatment sequence</w:t>
            </w:r>
          </w:p>
        </w:tc>
        <w:tc>
          <w:tcPr>
            <w:tcW w:w="2777" w:type="dxa"/>
            <w:shd w:val="clear" w:color="auto" w:fill="BFBFBF" w:themeFill="background1" w:themeFillShade="BF"/>
            <w:noWrap/>
          </w:tcPr>
          <w:p w14:paraId="731A73AD" w14:textId="48020CCD" w:rsidR="00F652BE" w:rsidRPr="00F652BE" w:rsidRDefault="00F652BE" w:rsidP="00F652BE">
            <w:pPr>
              <w:rPr>
                <w:rFonts w:cstheme="minorHAnsi"/>
                <w:b/>
                <w:bCs/>
                <w:color w:val="000000"/>
                <w:sz w:val="20"/>
                <w:szCs w:val="20"/>
              </w:rPr>
            </w:pPr>
            <w:r w:rsidRPr="00F652BE">
              <w:rPr>
                <w:rFonts w:cstheme="minorHAnsi"/>
                <w:b/>
                <w:bCs/>
                <w:color w:val="000000"/>
                <w:sz w:val="20"/>
                <w:szCs w:val="20"/>
              </w:rPr>
              <w:t>Proportion of patients</w:t>
            </w:r>
          </w:p>
        </w:tc>
      </w:tr>
      <w:tr w:rsidR="00F00A1E" w:rsidRPr="00F55737" w14:paraId="692AE1D3" w14:textId="77777777" w:rsidTr="00F652BE">
        <w:trPr>
          <w:trHeight w:val="290"/>
        </w:trPr>
        <w:tc>
          <w:tcPr>
            <w:tcW w:w="5440" w:type="dxa"/>
            <w:noWrap/>
            <w:hideMark/>
          </w:tcPr>
          <w:p w14:paraId="163A764C" w14:textId="3EE42B72" w:rsidR="00F00A1E" w:rsidRPr="00F652BE" w:rsidRDefault="00B846E6" w:rsidP="00F00A1E">
            <w:pPr>
              <w:rPr>
                <w:rFonts w:cstheme="minorHAnsi"/>
                <w:sz w:val="20"/>
                <w:szCs w:val="20"/>
              </w:rPr>
            </w:pPr>
            <w:r>
              <w:rPr>
                <w:rFonts w:cstheme="minorHAnsi"/>
                <w:sz w:val="20"/>
                <w:szCs w:val="20"/>
              </w:rPr>
              <w:t>ATEZOLIZUMAB</w:t>
            </w:r>
          </w:p>
        </w:tc>
        <w:tc>
          <w:tcPr>
            <w:tcW w:w="2777" w:type="dxa"/>
            <w:noWrap/>
            <w:vAlign w:val="center"/>
          </w:tcPr>
          <w:p w14:paraId="2F6FA572" w14:textId="10B7667C" w:rsidR="00F00A1E" w:rsidRPr="00F652BE" w:rsidRDefault="00F00A1E" w:rsidP="00F652BE">
            <w:pPr>
              <w:jc w:val="center"/>
              <w:rPr>
                <w:rFonts w:cstheme="minorHAnsi"/>
                <w:sz w:val="20"/>
                <w:szCs w:val="20"/>
              </w:rPr>
            </w:pPr>
            <w:r w:rsidRPr="00F652BE">
              <w:rPr>
                <w:rFonts w:cstheme="minorHAnsi"/>
                <w:color w:val="000000"/>
                <w:sz w:val="20"/>
                <w:szCs w:val="20"/>
              </w:rPr>
              <w:t>61.8</w:t>
            </w:r>
            <w:r w:rsidR="00F652BE">
              <w:rPr>
                <w:rFonts w:cstheme="minorHAnsi"/>
                <w:color w:val="000000"/>
                <w:sz w:val="20"/>
                <w:szCs w:val="20"/>
              </w:rPr>
              <w:t>%</w:t>
            </w:r>
          </w:p>
        </w:tc>
      </w:tr>
      <w:tr w:rsidR="00F00A1E" w:rsidRPr="00F55737" w14:paraId="08613584" w14:textId="77777777" w:rsidTr="00F652BE">
        <w:trPr>
          <w:trHeight w:val="290"/>
        </w:trPr>
        <w:tc>
          <w:tcPr>
            <w:tcW w:w="5440" w:type="dxa"/>
            <w:noWrap/>
            <w:hideMark/>
          </w:tcPr>
          <w:p w14:paraId="2D264C92" w14:textId="3AF21869" w:rsidR="00F00A1E" w:rsidRPr="00F652BE" w:rsidRDefault="00DF1B36" w:rsidP="00F00A1E">
            <w:pPr>
              <w:rPr>
                <w:rFonts w:cstheme="minorHAnsi"/>
                <w:sz w:val="20"/>
                <w:szCs w:val="20"/>
              </w:rPr>
            </w:pPr>
            <w:r>
              <w:rPr>
                <w:rFonts w:cstheme="minorHAnsi"/>
                <w:sz w:val="20"/>
                <w:szCs w:val="20"/>
              </w:rPr>
              <w:t>LENVATINIB</w:t>
            </w:r>
          </w:p>
        </w:tc>
        <w:tc>
          <w:tcPr>
            <w:tcW w:w="2777" w:type="dxa"/>
            <w:noWrap/>
            <w:vAlign w:val="center"/>
          </w:tcPr>
          <w:p w14:paraId="0A0BF922" w14:textId="66E36C79" w:rsidR="00F00A1E" w:rsidRPr="00F652BE" w:rsidRDefault="00F00A1E" w:rsidP="00F652BE">
            <w:pPr>
              <w:jc w:val="center"/>
              <w:rPr>
                <w:rFonts w:cstheme="minorHAnsi"/>
                <w:sz w:val="20"/>
                <w:szCs w:val="20"/>
              </w:rPr>
            </w:pPr>
            <w:r w:rsidRPr="00F652BE">
              <w:rPr>
                <w:rFonts w:cstheme="minorHAnsi"/>
                <w:color w:val="000000"/>
                <w:sz w:val="20"/>
                <w:szCs w:val="20"/>
              </w:rPr>
              <w:t>18.4</w:t>
            </w:r>
            <w:r w:rsidR="00F652BE">
              <w:rPr>
                <w:rFonts w:cstheme="minorHAnsi"/>
                <w:color w:val="000000"/>
                <w:sz w:val="20"/>
                <w:szCs w:val="20"/>
              </w:rPr>
              <w:t>%</w:t>
            </w:r>
          </w:p>
        </w:tc>
      </w:tr>
      <w:tr w:rsidR="00F00A1E" w:rsidRPr="00F55737" w14:paraId="14707F10" w14:textId="77777777" w:rsidTr="00F652BE">
        <w:trPr>
          <w:trHeight w:val="290"/>
        </w:trPr>
        <w:tc>
          <w:tcPr>
            <w:tcW w:w="5440" w:type="dxa"/>
            <w:noWrap/>
            <w:hideMark/>
          </w:tcPr>
          <w:p w14:paraId="144ECA38" w14:textId="1B189568" w:rsidR="00F00A1E" w:rsidRPr="00F652BE" w:rsidRDefault="00B846E6" w:rsidP="00F00A1E">
            <w:pPr>
              <w:rPr>
                <w:rFonts w:cstheme="minorHAnsi"/>
                <w:sz w:val="20"/>
                <w:szCs w:val="20"/>
              </w:rPr>
            </w:pPr>
            <w:r>
              <w:rPr>
                <w:rFonts w:cstheme="minorHAnsi"/>
                <w:sz w:val="20"/>
                <w:szCs w:val="20"/>
              </w:rPr>
              <w:t>ATEZOLIZUMAB</w:t>
            </w:r>
            <w:r w:rsidR="00F00A1E" w:rsidRPr="00F652BE">
              <w:rPr>
                <w:rFonts w:cstheme="minorHAnsi"/>
                <w:sz w:val="20"/>
                <w:szCs w:val="20"/>
              </w:rPr>
              <w:t xml:space="preserve"> -&gt; </w:t>
            </w:r>
            <w:r w:rsidR="00DF1B36">
              <w:rPr>
                <w:rFonts w:cstheme="minorHAnsi"/>
                <w:sz w:val="20"/>
                <w:szCs w:val="20"/>
              </w:rPr>
              <w:t>LENVATINIB</w:t>
            </w:r>
          </w:p>
        </w:tc>
        <w:tc>
          <w:tcPr>
            <w:tcW w:w="2777" w:type="dxa"/>
            <w:noWrap/>
            <w:vAlign w:val="center"/>
          </w:tcPr>
          <w:p w14:paraId="6771D11F" w14:textId="3DC55E76" w:rsidR="00F00A1E" w:rsidRPr="00F652BE" w:rsidRDefault="00F00A1E" w:rsidP="00F652BE">
            <w:pPr>
              <w:jc w:val="center"/>
              <w:rPr>
                <w:rFonts w:cstheme="minorHAnsi"/>
                <w:sz w:val="20"/>
                <w:szCs w:val="20"/>
              </w:rPr>
            </w:pPr>
            <w:r w:rsidRPr="00F652BE">
              <w:rPr>
                <w:rFonts w:cstheme="minorHAnsi"/>
                <w:color w:val="000000"/>
                <w:sz w:val="20"/>
                <w:szCs w:val="20"/>
              </w:rPr>
              <w:t>10.3</w:t>
            </w:r>
            <w:r w:rsidR="00F652BE">
              <w:rPr>
                <w:rFonts w:cstheme="minorHAnsi"/>
                <w:color w:val="000000"/>
                <w:sz w:val="20"/>
                <w:szCs w:val="20"/>
              </w:rPr>
              <w:t>%</w:t>
            </w:r>
          </w:p>
        </w:tc>
      </w:tr>
      <w:tr w:rsidR="00F00A1E" w:rsidRPr="00F55737" w14:paraId="18CFDE48" w14:textId="77777777" w:rsidTr="00F652BE">
        <w:trPr>
          <w:trHeight w:val="290"/>
        </w:trPr>
        <w:tc>
          <w:tcPr>
            <w:tcW w:w="5440" w:type="dxa"/>
            <w:noWrap/>
            <w:hideMark/>
          </w:tcPr>
          <w:p w14:paraId="3AC73266" w14:textId="0A6E0CCF" w:rsidR="00F00A1E" w:rsidRPr="00F652BE" w:rsidRDefault="00DF1B36" w:rsidP="00F00A1E">
            <w:pPr>
              <w:rPr>
                <w:rFonts w:cstheme="minorHAnsi"/>
                <w:sz w:val="20"/>
                <w:szCs w:val="20"/>
              </w:rPr>
            </w:pPr>
            <w:r>
              <w:rPr>
                <w:rFonts w:cstheme="minorHAnsi"/>
                <w:sz w:val="20"/>
                <w:szCs w:val="20"/>
              </w:rPr>
              <w:t>SORAFENIB</w:t>
            </w:r>
          </w:p>
        </w:tc>
        <w:tc>
          <w:tcPr>
            <w:tcW w:w="2777" w:type="dxa"/>
            <w:noWrap/>
            <w:vAlign w:val="center"/>
          </w:tcPr>
          <w:p w14:paraId="24ACEB69" w14:textId="34E8ACB8" w:rsidR="00F00A1E" w:rsidRPr="00752B4E" w:rsidRDefault="00752B4E" w:rsidP="00F652BE">
            <w:pPr>
              <w:jc w:val="center"/>
              <w:rPr>
                <w:rFonts w:cstheme="minorHAnsi"/>
                <w:sz w:val="20"/>
                <w:szCs w:val="20"/>
                <w:highlight w:val="black"/>
              </w:rPr>
            </w:pPr>
            <w:r w:rsidRPr="00752B4E">
              <w:rPr>
                <w:rFonts w:cstheme="minorHAnsi"/>
                <w:sz w:val="20"/>
                <w:szCs w:val="20"/>
                <w:highlight w:val="black"/>
              </w:rPr>
              <w:t>XXXX</w:t>
            </w:r>
          </w:p>
        </w:tc>
      </w:tr>
      <w:tr w:rsidR="00F00A1E" w:rsidRPr="00F55737" w14:paraId="72D38B5D" w14:textId="77777777" w:rsidTr="00F652BE">
        <w:trPr>
          <w:trHeight w:val="290"/>
        </w:trPr>
        <w:tc>
          <w:tcPr>
            <w:tcW w:w="5440" w:type="dxa"/>
            <w:noWrap/>
            <w:hideMark/>
          </w:tcPr>
          <w:p w14:paraId="798F4067" w14:textId="419A93F4" w:rsidR="00F00A1E" w:rsidRPr="00F652BE" w:rsidRDefault="00DF1B36" w:rsidP="00F00A1E">
            <w:pPr>
              <w:rPr>
                <w:rFonts w:cstheme="minorHAnsi"/>
                <w:sz w:val="20"/>
                <w:szCs w:val="20"/>
              </w:rPr>
            </w:pPr>
            <w:r>
              <w:rPr>
                <w:rFonts w:cstheme="minorHAnsi"/>
                <w:sz w:val="20"/>
                <w:szCs w:val="20"/>
              </w:rPr>
              <w:t>LENVATINIB</w:t>
            </w:r>
            <w:r w:rsidR="00F00A1E" w:rsidRPr="00F652BE">
              <w:rPr>
                <w:rFonts w:cstheme="minorHAnsi"/>
                <w:sz w:val="20"/>
                <w:szCs w:val="20"/>
              </w:rPr>
              <w:t xml:space="preserve"> -&gt; </w:t>
            </w:r>
            <w:r w:rsidR="00B846E6">
              <w:rPr>
                <w:rFonts w:cstheme="minorHAnsi"/>
                <w:sz w:val="20"/>
                <w:szCs w:val="20"/>
              </w:rPr>
              <w:t>ATEZOLIZUMAB</w:t>
            </w:r>
          </w:p>
        </w:tc>
        <w:tc>
          <w:tcPr>
            <w:tcW w:w="2777" w:type="dxa"/>
            <w:noWrap/>
            <w:vAlign w:val="center"/>
          </w:tcPr>
          <w:p w14:paraId="1E02F73C" w14:textId="374C269B" w:rsidR="00F00A1E" w:rsidRPr="00752B4E" w:rsidRDefault="00752B4E" w:rsidP="00F652BE">
            <w:pPr>
              <w:jc w:val="center"/>
              <w:rPr>
                <w:rFonts w:cstheme="minorHAnsi"/>
                <w:sz w:val="20"/>
                <w:szCs w:val="20"/>
                <w:highlight w:val="black"/>
              </w:rPr>
            </w:pPr>
            <w:r w:rsidRPr="00752B4E">
              <w:rPr>
                <w:rFonts w:cstheme="minorHAnsi"/>
                <w:sz w:val="20"/>
                <w:szCs w:val="20"/>
                <w:highlight w:val="black"/>
              </w:rPr>
              <w:t>XXXX</w:t>
            </w:r>
          </w:p>
        </w:tc>
      </w:tr>
      <w:tr w:rsidR="00F00A1E" w:rsidRPr="00F55737" w14:paraId="584369DE" w14:textId="77777777" w:rsidTr="00F652BE">
        <w:trPr>
          <w:trHeight w:val="290"/>
        </w:trPr>
        <w:tc>
          <w:tcPr>
            <w:tcW w:w="5440" w:type="dxa"/>
            <w:noWrap/>
            <w:hideMark/>
          </w:tcPr>
          <w:p w14:paraId="3896756F" w14:textId="5C371006" w:rsidR="00F00A1E" w:rsidRPr="00F652BE" w:rsidRDefault="00B846E6" w:rsidP="00F00A1E">
            <w:pPr>
              <w:rPr>
                <w:rFonts w:cstheme="minorHAnsi"/>
                <w:sz w:val="20"/>
                <w:szCs w:val="20"/>
              </w:rPr>
            </w:pPr>
            <w:r>
              <w:rPr>
                <w:rFonts w:cstheme="minorHAnsi"/>
                <w:sz w:val="20"/>
                <w:szCs w:val="20"/>
              </w:rPr>
              <w:t>ATEZOLIZUMAB</w:t>
            </w:r>
            <w:r w:rsidR="00F00A1E" w:rsidRPr="00F652BE">
              <w:rPr>
                <w:rFonts w:cstheme="minorHAnsi"/>
                <w:sz w:val="20"/>
                <w:szCs w:val="20"/>
              </w:rPr>
              <w:t xml:space="preserve"> -&gt; </w:t>
            </w:r>
            <w:r w:rsidR="00DF1B36">
              <w:rPr>
                <w:rFonts w:cstheme="minorHAnsi"/>
                <w:sz w:val="20"/>
                <w:szCs w:val="20"/>
              </w:rPr>
              <w:t>SORAFENIB</w:t>
            </w:r>
          </w:p>
        </w:tc>
        <w:tc>
          <w:tcPr>
            <w:tcW w:w="2777" w:type="dxa"/>
            <w:noWrap/>
            <w:vAlign w:val="center"/>
          </w:tcPr>
          <w:p w14:paraId="1F4FECFD" w14:textId="19ED8E08" w:rsidR="00F00A1E" w:rsidRPr="00752B4E" w:rsidRDefault="00752B4E" w:rsidP="00F652BE">
            <w:pPr>
              <w:jc w:val="center"/>
              <w:rPr>
                <w:rFonts w:cstheme="minorHAnsi"/>
                <w:sz w:val="20"/>
                <w:szCs w:val="20"/>
                <w:highlight w:val="black"/>
              </w:rPr>
            </w:pPr>
            <w:r w:rsidRPr="00752B4E">
              <w:rPr>
                <w:rFonts w:cstheme="minorHAnsi"/>
                <w:sz w:val="20"/>
                <w:szCs w:val="20"/>
                <w:highlight w:val="black"/>
              </w:rPr>
              <w:t>XXXX</w:t>
            </w:r>
          </w:p>
        </w:tc>
      </w:tr>
      <w:tr w:rsidR="00F00A1E" w:rsidRPr="00F55737" w14:paraId="206032B4" w14:textId="77777777" w:rsidTr="00F652BE">
        <w:trPr>
          <w:trHeight w:val="290"/>
        </w:trPr>
        <w:tc>
          <w:tcPr>
            <w:tcW w:w="5440" w:type="dxa"/>
            <w:noWrap/>
            <w:hideMark/>
          </w:tcPr>
          <w:p w14:paraId="2D416030" w14:textId="21A756DB" w:rsidR="00F00A1E" w:rsidRPr="00F652BE" w:rsidRDefault="00B846E6" w:rsidP="00F00A1E">
            <w:pPr>
              <w:rPr>
                <w:rFonts w:cstheme="minorHAnsi"/>
                <w:sz w:val="20"/>
                <w:szCs w:val="20"/>
              </w:rPr>
            </w:pPr>
            <w:r>
              <w:rPr>
                <w:rFonts w:cstheme="minorHAnsi"/>
                <w:sz w:val="20"/>
                <w:szCs w:val="20"/>
              </w:rPr>
              <w:t>ATEZOLIZUMAB</w:t>
            </w:r>
            <w:r w:rsidR="00F00A1E" w:rsidRPr="00F652BE">
              <w:rPr>
                <w:rFonts w:cstheme="minorHAnsi"/>
                <w:sz w:val="20"/>
                <w:szCs w:val="20"/>
              </w:rPr>
              <w:t xml:space="preserve"> -&gt; </w:t>
            </w:r>
            <w:r w:rsidR="00DF1B36">
              <w:rPr>
                <w:rFonts w:cstheme="minorHAnsi"/>
                <w:sz w:val="20"/>
                <w:szCs w:val="20"/>
              </w:rPr>
              <w:t>LENVATINIB</w:t>
            </w:r>
            <w:r w:rsidR="00F00A1E" w:rsidRPr="00F652BE">
              <w:rPr>
                <w:rFonts w:cstheme="minorHAnsi"/>
                <w:sz w:val="20"/>
                <w:szCs w:val="20"/>
              </w:rPr>
              <w:t xml:space="preserve"> -&gt; </w:t>
            </w:r>
            <w:r w:rsidR="00DF1B36">
              <w:rPr>
                <w:rFonts w:cstheme="minorHAnsi"/>
                <w:sz w:val="20"/>
                <w:szCs w:val="20"/>
              </w:rPr>
              <w:t>SORAFENIB</w:t>
            </w:r>
          </w:p>
        </w:tc>
        <w:tc>
          <w:tcPr>
            <w:tcW w:w="2777" w:type="dxa"/>
            <w:noWrap/>
            <w:vAlign w:val="center"/>
          </w:tcPr>
          <w:p w14:paraId="53813F24" w14:textId="07CD61C0" w:rsidR="00F00A1E" w:rsidRPr="00752B4E" w:rsidRDefault="00752B4E" w:rsidP="00F652BE">
            <w:pPr>
              <w:jc w:val="center"/>
              <w:rPr>
                <w:rFonts w:cstheme="minorHAnsi"/>
                <w:sz w:val="20"/>
                <w:szCs w:val="20"/>
                <w:highlight w:val="black"/>
              </w:rPr>
            </w:pPr>
            <w:r w:rsidRPr="00752B4E">
              <w:rPr>
                <w:rFonts w:cstheme="minorHAnsi"/>
                <w:sz w:val="20"/>
                <w:szCs w:val="20"/>
                <w:highlight w:val="black"/>
              </w:rPr>
              <w:t>XXXX</w:t>
            </w:r>
          </w:p>
        </w:tc>
      </w:tr>
      <w:tr w:rsidR="00F00A1E" w:rsidRPr="00F55737" w14:paraId="4411FF35" w14:textId="77777777" w:rsidTr="00F652BE">
        <w:trPr>
          <w:trHeight w:val="290"/>
        </w:trPr>
        <w:tc>
          <w:tcPr>
            <w:tcW w:w="5440" w:type="dxa"/>
            <w:noWrap/>
            <w:hideMark/>
          </w:tcPr>
          <w:p w14:paraId="2585E913" w14:textId="2EA984F0" w:rsidR="00F00A1E" w:rsidRPr="00F652BE" w:rsidRDefault="00DF1B36" w:rsidP="00F00A1E">
            <w:pPr>
              <w:rPr>
                <w:rFonts w:cstheme="minorHAnsi"/>
                <w:sz w:val="20"/>
                <w:szCs w:val="20"/>
              </w:rPr>
            </w:pPr>
            <w:r>
              <w:rPr>
                <w:rFonts w:cstheme="minorHAnsi"/>
                <w:sz w:val="20"/>
                <w:szCs w:val="20"/>
              </w:rPr>
              <w:t>SORAFENIB</w:t>
            </w:r>
            <w:r w:rsidR="00F00A1E" w:rsidRPr="00F652BE">
              <w:rPr>
                <w:rFonts w:cstheme="minorHAnsi"/>
                <w:sz w:val="20"/>
                <w:szCs w:val="20"/>
              </w:rPr>
              <w:t xml:space="preserve"> -&gt; </w:t>
            </w:r>
            <w:r w:rsidR="00B846E6">
              <w:rPr>
                <w:rFonts w:cstheme="minorHAnsi"/>
                <w:sz w:val="20"/>
                <w:szCs w:val="20"/>
              </w:rPr>
              <w:t>ATEZOLIZUMAB</w:t>
            </w:r>
          </w:p>
        </w:tc>
        <w:tc>
          <w:tcPr>
            <w:tcW w:w="2777" w:type="dxa"/>
            <w:noWrap/>
            <w:vAlign w:val="center"/>
          </w:tcPr>
          <w:p w14:paraId="6E04AA9B" w14:textId="775ED35E" w:rsidR="00F00A1E" w:rsidRPr="00752B4E" w:rsidRDefault="00752B4E" w:rsidP="00F652BE">
            <w:pPr>
              <w:jc w:val="center"/>
              <w:rPr>
                <w:rFonts w:cstheme="minorHAnsi"/>
                <w:sz w:val="20"/>
                <w:szCs w:val="20"/>
                <w:highlight w:val="black"/>
              </w:rPr>
            </w:pPr>
            <w:r w:rsidRPr="00752B4E">
              <w:rPr>
                <w:rFonts w:cstheme="minorHAnsi"/>
                <w:sz w:val="20"/>
                <w:szCs w:val="20"/>
                <w:highlight w:val="black"/>
              </w:rPr>
              <w:t>XXXX</w:t>
            </w:r>
          </w:p>
        </w:tc>
      </w:tr>
      <w:tr w:rsidR="00F55737" w:rsidRPr="00F55737" w14:paraId="3B5C919D" w14:textId="77777777" w:rsidTr="00F652BE">
        <w:trPr>
          <w:trHeight w:val="290"/>
        </w:trPr>
        <w:tc>
          <w:tcPr>
            <w:tcW w:w="5440" w:type="dxa"/>
            <w:noWrap/>
          </w:tcPr>
          <w:p w14:paraId="00E58680" w14:textId="07C5A64B" w:rsidR="00F55737" w:rsidRPr="00F652BE" w:rsidRDefault="00F55737" w:rsidP="00F55737">
            <w:pPr>
              <w:rPr>
                <w:rFonts w:cstheme="minorHAnsi"/>
                <w:sz w:val="20"/>
                <w:szCs w:val="20"/>
              </w:rPr>
            </w:pPr>
            <w:r w:rsidRPr="00F652BE">
              <w:rPr>
                <w:rFonts w:cstheme="minorHAnsi"/>
                <w:sz w:val="20"/>
                <w:szCs w:val="20"/>
              </w:rPr>
              <w:t>Other</w:t>
            </w:r>
          </w:p>
        </w:tc>
        <w:tc>
          <w:tcPr>
            <w:tcW w:w="2777" w:type="dxa"/>
            <w:noWrap/>
            <w:vAlign w:val="center"/>
          </w:tcPr>
          <w:p w14:paraId="524BA743" w14:textId="14A70941" w:rsidR="00F55737" w:rsidRPr="00752B4E" w:rsidRDefault="00752B4E" w:rsidP="00F652BE">
            <w:pPr>
              <w:jc w:val="center"/>
              <w:rPr>
                <w:rFonts w:cstheme="minorHAnsi"/>
                <w:sz w:val="20"/>
                <w:szCs w:val="20"/>
                <w:highlight w:val="black"/>
              </w:rPr>
            </w:pPr>
            <w:r w:rsidRPr="00752B4E">
              <w:rPr>
                <w:rFonts w:cstheme="minorHAnsi"/>
                <w:sz w:val="20"/>
                <w:szCs w:val="20"/>
                <w:highlight w:val="black"/>
              </w:rPr>
              <w:t>XXXX</w:t>
            </w:r>
          </w:p>
        </w:tc>
      </w:tr>
    </w:tbl>
    <w:p w14:paraId="5BB3A65C" w14:textId="3E96416F" w:rsidR="00F55737" w:rsidRDefault="00F55737" w:rsidP="00AA3CE1">
      <w:pPr>
        <w:spacing w:after="0"/>
      </w:pPr>
    </w:p>
    <w:p w14:paraId="5EF9F12B" w14:textId="77777777" w:rsidR="00126AAC" w:rsidRDefault="00126AAC" w:rsidP="00AA3CE1">
      <w:pPr>
        <w:spacing w:after="0"/>
      </w:pPr>
    </w:p>
    <w:p w14:paraId="3A536BAA" w14:textId="77777777" w:rsidR="00126AAC" w:rsidRDefault="00126AAC" w:rsidP="00AA3CE1">
      <w:pPr>
        <w:spacing w:after="0"/>
      </w:pPr>
    </w:p>
    <w:p w14:paraId="5D395C43" w14:textId="77777777" w:rsidR="00126AAC" w:rsidRDefault="00126AAC" w:rsidP="00AA3CE1">
      <w:pPr>
        <w:spacing w:after="0"/>
      </w:pPr>
    </w:p>
    <w:p w14:paraId="0BACB2C9" w14:textId="77777777" w:rsidR="00126AAC" w:rsidRDefault="00126AAC" w:rsidP="00AA3CE1">
      <w:pPr>
        <w:spacing w:after="0"/>
      </w:pPr>
    </w:p>
    <w:p w14:paraId="4D999D46" w14:textId="77777777" w:rsidR="00126AAC" w:rsidRDefault="00126AAC" w:rsidP="00AA3CE1">
      <w:pPr>
        <w:spacing w:after="0"/>
      </w:pPr>
    </w:p>
    <w:p w14:paraId="626B8F76" w14:textId="77777777" w:rsidR="00126AAC" w:rsidRDefault="00126AAC" w:rsidP="00AA3CE1">
      <w:pPr>
        <w:spacing w:after="0"/>
      </w:pPr>
    </w:p>
    <w:p w14:paraId="60C2BA67" w14:textId="77777777" w:rsidR="00126AAC" w:rsidRDefault="00126AAC" w:rsidP="00AA3CE1">
      <w:pPr>
        <w:spacing w:after="0"/>
      </w:pPr>
    </w:p>
    <w:p w14:paraId="2BBF29C0" w14:textId="77777777" w:rsidR="00126AAC" w:rsidRDefault="00126AAC" w:rsidP="00AA3CE1">
      <w:pPr>
        <w:spacing w:after="0"/>
      </w:pPr>
    </w:p>
    <w:p w14:paraId="362D3E11" w14:textId="77777777" w:rsidR="00126AAC" w:rsidRDefault="00126AAC" w:rsidP="00AA3CE1">
      <w:pPr>
        <w:spacing w:after="0"/>
      </w:pPr>
    </w:p>
    <w:p w14:paraId="686EC5A5" w14:textId="77777777" w:rsidR="00126AAC" w:rsidRDefault="00126AAC" w:rsidP="00AA3CE1">
      <w:pPr>
        <w:spacing w:after="0"/>
      </w:pPr>
    </w:p>
    <w:p w14:paraId="4F01134A" w14:textId="77777777" w:rsidR="00126AAC" w:rsidRDefault="00126AAC" w:rsidP="00AA3CE1">
      <w:pPr>
        <w:spacing w:after="0"/>
      </w:pPr>
    </w:p>
    <w:p w14:paraId="00DDDFEF" w14:textId="77777777" w:rsidR="00126AAC" w:rsidRDefault="00126AAC" w:rsidP="00AA3CE1">
      <w:pPr>
        <w:spacing w:after="0"/>
      </w:pPr>
    </w:p>
    <w:p w14:paraId="578ABA29" w14:textId="75C03BA8" w:rsidR="074496AA" w:rsidRDefault="00D151EB" w:rsidP="00616E23">
      <w:pPr>
        <w:pStyle w:val="Heading2"/>
      </w:pPr>
      <w:r>
        <w:t xml:space="preserve">Analysis </w:t>
      </w:r>
      <w:r w:rsidR="00C0076F">
        <w:t xml:space="preserve">of </w:t>
      </w:r>
      <w:r w:rsidR="0063631C">
        <w:t>a</w:t>
      </w:r>
      <w:r w:rsidR="00C0076F">
        <w:t xml:space="preserve">ctual versus </w:t>
      </w:r>
      <w:r w:rsidR="0063631C">
        <w:t>p</w:t>
      </w:r>
      <w:r w:rsidR="00C0076F">
        <w:t xml:space="preserve">redicted </w:t>
      </w:r>
      <w:r w:rsidR="0063631C">
        <w:t>u</w:t>
      </w:r>
      <w:r w:rsidR="00C0076F">
        <w:t>tilisation</w:t>
      </w:r>
    </w:p>
    <w:p w14:paraId="4B7E0465" w14:textId="143C8C67" w:rsidR="00CC3448" w:rsidRPr="00F652BE" w:rsidRDefault="00F652BE" w:rsidP="00F652BE">
      <w:pPr>
        <w:spacing w:before="200" w:after="20"/>
        <w:rPr>
          <w:b/>
          <w:bCs/>
        </w:rPr>
      </w:pPr>
      <w:r>
        <w:rPr>
          <w:b/>
          <w:bCs/>
        </w:rPr>
        <w:t xml:space="preserve">Table </w:t>
      </w:r>
      <w:r w:rsidR="00C16B2D">
        <w:rPr>
          <w:b/>
          <w:bCs/>
        </w:rPr>
        <w:t>9</w:t>
      </w:r>
      <w:r>
        <w:rPr>
          <w:b/>
          <w:bCs/>
        </w:rPr>
        <w:t xml:space="preserve">: Comparison of predicted versus actual utilisation of </w:t>
      </w:r>
      <w:r w:rsidR="002037CF">
        <w:rPr>
          <w:b/>
          <w:bCs/>
        </w:rPr>
        <w:t>a</w:t>
      </w:r>
      <w:r w:rsidR="00B846E6">
        <w:rPr>
          <w:b/>
          <w:bCs/>
        </w:rPr>
        <w:t>tezolizumab</w:t>
      </w:r>
      <w:r>
        <w:rPr>
          <w:b/>
          <w:bCs/>
        </w:rPr>
        <w:t xml:space="preserve"> for each year of listing</w:t>
      </w:r>
    </w:p>
    <w:tbl>
      <w:tblPr>
        <w:tblStyle w:val="TableGrid"/>
        <w:tblW w:w="0" w:type="auto"/>
        <w:tblLook w:val="04A0" w:firstRow="1" w:lastRow="0" w:firstColumn="1" w:lastColumn="0" w:noHBand="0" w:noVBand="1"/>
      </w:tblPr>
      <w:tblGrid>
        <w:gridCol w:w="1350"/>
        <w:gridCol w:w="1265"/>
        <w:gridCol w:w="1266"/>
        <w:gridCol w:w="1266"/>
        <w:gridCol w:w="1266"/>
        <w:gridCol w:w="1267"/>
        <w:gridCol w:w="1267"/>
      </w:tblGrid>
      <w:tr w:rsidR="00C66BCA" w14:paraId="410F8455" w14:textId="77777777" w:rsidTr="00F652BE">
        <w:tc>
          <w:tcPr>
            <w:tcW w:w="1350" w:type="dxa"/>
            <w:shd w:val="clear" w:color="auto" w:fill="BFBFBF" w:themeFill="background1" w:themeFillShade="BF"/>
          </w:tcPr>
          <w:p w14:paraId="027178F8" w14:textId="772B184E" w:rsidR="00C66BCA" w:rsidRPr="00F652BE" w:rsidRDefault="00C66BCA" w:rsidP="009C19EE">
            <w:pPr>
              <w:rPr>
                <w:rFonts w:cstheme="minorHAnsi"/>
                <w:b/>
                <w:bCs/>
                <w:sz w:val="20"/>
                <w:szCs w:val="20"/>
              </w:rPr>
            </w:pPr>
            <w:r w:rsidRPr="00F652BE">
              <w:rPr>
                <w:rFonts w:cstheme="minorHAnsi"/>
                <w:b/>
                <w:bCs/>
                <w:sz w:val="20"/>
                <w:szCs w:val="20"/>
              </w:rPr>
              <w:t>Year</w:t>
            </w:r>
          </w:p>
        </w:tc>
        <w:tc>
          <w:tcPr>
            <w:tcW w:w="3797" w:type="dxa"/>
            <w:gridSpan w:val="3"/>
            <w:shd w:val="clear" w:color="auto" w:fill="BFBFBF" w:themeFill="background1" w:themeFillShade="BF"/>
          </w:tcPr>
          <w:p w14:paraId="24921F35" w14:textId="10757B92" w:rsidR="00C66BCA" w:rsidRPr="00F652BE" w:rsidRDefault="00B4146D" w:rsidP="009C19EE">
            <w:pPr>
              <w:rPr>
                <w:rFonts w:cstheme="minorHAnsi"/>
                <w:b/>
                <w:bCs/>
                <w:sz w:val="20"/>
                <w:szCs w:val="20"/>
              </w:rPr>
            </w:pPr>
            <w:r w:rsidRPr="00F652BE">
              <w:rPr>
                <w:rFonts w:cstheme="minorHAnsi"/>
                <w:b/>
                <w:bCs/>
                <w:sz w:val="20"/>
                <w:szCs w:val="20"/>
              </w:rPr>
              <w:t>Number of patients</w:t>
            </w:r>
            <w:r w:rsidR="0076694D" w:rsidRPr="00F652BE">
              <w:rPr>
                <w:rFonts w:cstheme="minorHAnsi"/>
                <w:sz w:val="20"/>
                <w:szCs w:val="20"/>
                <w:vertAlign w:val="superscript"/>
              </w:rPr>
              <w:t>1</w:t>
            </w:r>
          </w:p>
        </w:tc>
        <w:tc>
          <w:tcPr>
            <w:tcW w:w="3800" w:type="dxa"/>
            <w:gridSpan w:val="3"/>
            <w:shd w:val="clear" w:color="auto" w:fill="BFBFBF" w:themeFill="background1" w:themeFillShade="BF"/>
          </w:tcPr>
          <w:p w14:paraId="3D38A49A" w14:textId="1C3A978D" w:rsidR="00C66BCA" w:rsidRPr="00F652BE" w:rsidRDefault="00B4146D" w:rsidP="009C19EE">
            <w:pPr>
              <w:rPr>
                <w:rFonts w:cstheme="minorHAnsi"/>
                <w:b/>
                <w:bCs/>
                <w:sz w:val="20"/>
                <w:szCs w:val="20"/>
              </w:rPr>
            </w:pPr>
            <w:r w:rsidRPr="00F652BE">
              <w:rPr>
                <w:rFonts w:cstheme="minorHAnsi"/>
                <w:b/>
                <w:bCs/>
                <w:sz w:val="20"/>
                <w:szCs w:val="20"/>
              </w:rPr>
              <w:t>Number of scripts</w:t>
            </w:r>
            <w:r w:rsidR="00F7012D" w:rsidRPr="00F652BE">
              <w:rPr>
                <w:rFonts w:cstheme="minorHAnsi"/>
                <w:sz w:val="20"/>
                <w:szCs w:val="20"/>
                <w:vertAlign w:val="superscript"/>
              </w:rPr>
              <w:t>5</w:t>
            </w:r>
          </w:p>
        </w:tc>
      </w:tr>
      <w:tr w:rsidR="00B4146D" w14:paraId="7CE5F214" w14:textId="77777777" w:rsidTr="00F652BE">
        <w:tc>
          <w:tcPr>
            <w:tcW w:w="1350" w:type="dxa"/>
            <w:shd w:val="clear" w:color="auto" w:fill="BFBFBF" w:themeFill="background1" w:themeFillShade="BF"/>
          </w:tcPr>
          <w:p w14:paraId="2DE17C68" w14:textId="77777777" w:rsidR="00B4146D" w:rsidRPr="00F652BE" w:rsidRDefault="00B4146D" w:rsidP="00B4146D">
            <w:pPr>
              <w:rPr>
                <w:rFonts w:cstheme="minorHAnsi"/>
                <w:b/>
                <w:bCs/>
                <w:sz w:val="20"/>
                <w:szCs w:val="20"/>
              </w:rPr>
            </w:pPr>
          </w:p>
        </w:tc>
        <w:tc>
          <w:tcPr>
            <w:tcW w:w="1265" w:type="dxa"/>
            <w:shd w:val="clear" w:color="auto" w:fill="BFBFBF" w:themeFill="background1" w:themeFillShade="BF"/>
          </w:tcPr>
          <w:p w14:paraId="3E6E5FBF" w14:textId="6DBAF040" w:rsidR="00B4146D" w:rsidRPr="00F652BE" w:rsidRDefault="00B4146D" w:rsidP="00B4146D">
            <w:pPr>
              <w:rPr>
                <w:rFonts w:cstheme="minorHAnsi"/>
                <w:b/>
                <w:bCs/>
                <w:sz w:val="20"/>
                <w:szCs w:val="20"/>
              </w:rPr>
            </w:pPr>
            <w:r w:rsidRPr="00F652BE">
              <w:rPr>
                <w:rFonts w:cstheme="minorHAnsi"/>
                <w:b/>
                <w:bCs/>
                <w:sz w:val="20"/>
                <w:szCs w:val="20"/>
              </w:rPr>
              <w:t>Predicted</w:t>
            </w:r>
          </w:p>
        </w:tc>
        <w:tc>
          <w:tcPr>
            <w:tcW w:w="1266" w:type="dxa"/>
            <w:shd w:val="clear" w:color="auto" w:fill="BFBFBF" w:themeFill="background1" w:themeFillShade="BF"/>
          </w:tcPr>
          <w:p w14:paraId="2B5C048B" w14:textId="6CDECDCE" w:rsidR="00B4146D" w:rsidRPr="00F652BE" w:rsidRDefault="00B4146D" w:rsidP="00B4146D">
            <w:pPr>
              <w:rPr>
                <w:rFonts w:cstheme="minorHAnsi"/>
                <w:b/>
                <w:bCs/>
                <w:sz w:val="20"/>
                <w:szCs w:val="20"/>
              </w:rPr>
            </w:pPr>
            <w:r w:rsidRPr="00F652BE">
              <w:rPr>
                <w:rFonts w:cstheme="minorHAnsi"/>
                <w:b/>
                <w:bCs/>
                <w:sz w:val="20"/>
                <w:szCs w:val="20"/>
              </w:rPr>
              <w:t>Actual</w:t>
            </w:r>
          </w:p>
        </w:tc>
        <w:tc>
          <w:tcPr>
            <w:tcW w:w="1266" w:type="dxa"/>
            <w:shd w:val="clear" w:color="auto" w:fill="BFBFBF" w:themeFill="background1" w:themeFillShade="BF"/>
          </w:tcPr>
          <w:p w14:paraId="04272064" w14:textId="2D835F37" w:rsidR="00B4146D" w:rsidRPr="00F652BE" w:rsidRDefault="00B4146D" w:rsidP="00B4146D">
            <w:pPr>
              <w:rPr>
                <w:rFonts w:cstheme="minorHAnsi"/>
                <w:b/>
                <w:bCs/>
                <w:sz w:val="20"/>
                <w:szCs w:val="20"/>
              </w:rPr>
            </w:pPr>
            <w:r w:rsidRPr="00F652BE">
              <w:rPr>
                <w:rFonts w:cstheme="minorHAnsi"/>
                <w:b/>
                <w:bCs/>
                <w:sz w:val="20"/>
                <w:szCs w:val="20"/>
              </w:rPr>
              <w:t>Difference</w:t>
            </w:r>
          </w:p>
        </w:tc>
        <w:tc>
          <w:tcPr>
            <w:tcW w:w="1266" w:type="dxa"/>
            <w:shd w:val="clear" w:color="auto" w:fill="BFBFBF" w:themeFill="background1" w:themeFillShade="BF"/>
          </w:tcPr>
          <w:p w14:paraId="6C125246" w14:textId="39BEC661" w:rsidR="00B4146D" w:rsidRPr="00F652BE" w:rsidRDefault="00B4146D" w:rsidP="00B4146D">
            <w:pPr>
              <w:rPr>
                <w:rFonts w:cstheme="minorHAnsi"/>
                <w:b/>
                <w:bCs/>
                <w:sz w:val="20"/>
                <w:szCs w:val="20"/>
              </w:rPr>
            </w:pPr>
            <w:r w:rsidRPr="00F652BE">
              <w:rPr>
                <w:rFonts w:cstheme="minorHAnsi"/>
                <w:b/>
                <w:bCs/>
                <w:sz w:val="20"/>
                <w:szCs w:val="20"/>
              </w:rPr>
              <w:t>Predicted</w:t>
            </w:r>
          </w:p>
        </w:tc>
        <w:tc>
          <w:tcPr>
            <w:tcW w:w="1267" w:type="dxa"/>
            <w:shd w:val="clear" w:color="auto" w:fill="BFBFBF" w:themeFill="background1" w:themeFillShade="BF"/>
          </w:tcPr>
          <w:p w14:paraId="170FAB0D" w14:textId="346B6E7A" w:rsidR="00B4146D" w:rsidRPr="00F652BE" w:rsidRDefault="00B4146D" w:rsidP="00B4146D">
            <w:pPr>
              <w:rPr>
                <w:rFonts w:cstheme="minorHAnsi"/>
                <w:b/>
                <w:bCs/>
                <w:sz w:val="20"/>
                <w:szCs w:val="20"/>
              </w:rPr>
            </w:pPr>
            <w:r w:rsidRPr="00F652BE">
              <w:rPr>
                <w:rFonts w:cstheme="minorHAnsi"/>
                <w:b/>
                <w:bCs/>
                <w:sz w:val="20"/>
                <w:szCs w:val="20"/>
              </w:rPr>
              <w:t>Actual</w:t>
            </w:r>
          </w:p>
        </w:tc>
        <w:tc>
          <w:tcPr>
            <w:tcW w:w="1267" w:type="dxa"/>
            <w:shd w:val="clear" w:color="auto" w:fill="BFBFBF" w:themeFill="background1" w:themeFillShade="BF"/>
          </w:tcPr>
          <w:p w14:paraId="15EB3F3E" w14:textId="187A0DAC" w:rsidR="00B4146D" w:rsidRPr="00F652BE" w:rsidRDefault="00B4146D" w:rsidP="00B4146D">
            <w:pPr>
              <w:rPr>
                <w:rFonts w:cstheme="minorHAnsi"/>
                <w:b/>
                <w:bCs/>
                <w:sz w:val="20"/>
                <w:szCs w:val="20"/>
              </w:rPr>
            </w:pPr>
            <w:r w:rsidRPr="00F652BE">
              <w:rPr>
                <w:rFonts w:cstheme="minorHAnsi"/>
                <w:b/>
                <w:bCs/>
                <w:sz w:val="20"/>
                <w:szCs w:val="20"/>
              </w:rPr>
              <w:t>Difference</w:t>
            </w:r>
          </w:p>
        </w:tc>
      </w:tr>
      <w:tr w:rsidR="00B1417E" w14:paraId="06D7D149" w14:textId="77777777" w:rsidTr="00F13D2F">
        <w:tc>
          <w:tcPr>
            <w:tcW w:w="1350" w:type="dxa"/>
          </w:tcPr>
          <w:p w14:paraId="0B54894C" w14:textId="747D00C4" w:rsidR="00B1417E" w:rsidRPr="00F652BE" w:rsidRDefault="00B1417E" w:rsidP="00B1417E">
            <w:pPr>
              <w:rPr>
                <w:rFonts w:cstheme="minorHAnsi"/>
                <w:sz w:val="20"/>
                <w:szCs w:val="20"/>
              </w:rPr>
            </w:pPr>
            <w:r w:rsidRPr="00F652BE">
              <w:rPr>
                <w:rFonts w:cstheme="minorHAnsi"/>
                <w:sz w:val="20"/>
                <w:szCs w:val="20"/>
              </w:rPr>
              <w:t>2020</w:t>
            </w:r>
          </w:p>
        </w:tc>
        <w:tc>
          <w:tcPr>
            <w:tcW w:w="1265" w:type="dxa"/>
          </w:tcPr>
          <w:p w14:paraId="4523E8F9" w14:textId="42291ABA" w:rsidR="00B1417E" w:rsidRPr="00F652BE" w:rsidRDefault="00492E2A" w:rsidP="00B1417E">
            <w:pPr>
              <w:rPr>
                <w:rFonts w:cstheme="minorHAnsi"/>
                <w:sz w:val="20"/>
                <w:szCs w:val="20"/>
              </w:rPr>
            </w:pPr>
            <w:r w:rsidRPr="00752B4E">
              <w:rPr>
                <w:rFonts w:cstheme="minorHAnsi"/>
                <w:sz w:val="20"/>
                <w:szCs w:val="20"/>
                <w:highlight w:val="black"/>
              </w:rPr>
              <w:t>XXX</w:t>
            </w:r>
            <w:r w:rsidR="00B1417E" w:rsidRPr="00F652BE">
              <w:rPr>
                <w:rFonts w:cstheme="minorHAnsi"/>
                <w:sz w:val="20"/>
                <w:szCs w:val="20"/>
                <w:vertAlign w:val="superscript"/>
              </w:rPr>
              <w:t>2</w:t>
            </w:r>
          </w:p>
        </w:tc>
        <w:tc>
          <w:tcPr>
            <w:tcW w:w="1266" w:type="dxa"/>
            <w:vAlign w:val="bottom"/>
          </w:tcPr>
          <w:p w14:paraId="0DAD736C" w14:textId="00083043" w:rsidR="00B1417E" w:rsidRPr="00F652BE" w:rsidRDefault="00B1417E" w:rsidP="00B1417E">
            <w:pPr>
              <w:rPr>
                <w:rFonts w:cstheme="minorHAnsi"/>
                <w:sz w:val="20"/>
                <w:szCs w:val="20"/>
              </w:rPr>
            </w:pPr>
            <w:r w:rsidRPr="00F652BE">
              <w:rPr>
                <w:rFonts w:cstheme="minorHAnsi"/>
                <w:color w:val="000000"/>
                <w:sz w:val="20"/>
                <w:szCs w:val="20"/>
              </w:rPr>
              <w:t>110</w:t>
            </w:r>
            <w:r w:rsidRPr="00F652BE">
              <w:rPr>
                <w:rFonts w:cstheme="minorHAnsi"/>
                <w:color w:val="000000"/>
                <w:sz w:val="20"/>
                <w:szCs w:val="20"/>
                <w:vertAlign w:val="superscript"/>
              </w:rPr>
              <w:t>3</w:t>
            </w:r>
          </w:p>
        </w:tc>
        <w:tc>
          <w:tcPr>
            <w:tcW w:w="1266" w:type="dxa"/>
          </w:tcPr>
          <w:p w14:paraId="5231BD57" w14:textId="493610A7" w:rsidR="00B1417E" w:rsidRPr="00752B4E" w:rsidRDefault="00E118C4" w:rsidP="00B1417E">
            <w:pPr>
              <w:rPr>
                <w:rFonts w:cstheme="minorHAnsi"/>
                <w:sz w:val="20"/>
                <w:szCs w:val="20"/>
                <w:highlight w:val="black"/>
              </w:rPr>
            </w:pPr>
            <w:r w:rsidRPr="00752B4E">
              <w:rPr>
                <w:rFonts w:cstheme="minorHAnsi"/>
                <w:sz w:val="20"/>
                <w:szCs w:val="20"/>
                <w:highlight w:val="black"/>
              </w:rPr>
              <w:t>XXXXXX</w:t>
            </w:r>
          </w:p>
        </w:tc>
        <w:tc>
          <w:tcPr>
            <w:tcW w:w="1266" w:type="dxa"/>
            <w:vAlign w:val="bottom"/>
          </w:tcPr>
          <w:p w14:paraId="59399AE8" w14:textId="6F555366" w:rsidR="00B1417E" w:rsidRPr="00752B4E" w:rsidRDefault="00E118C4" w:rsidP="00B1417E">
            <w:pPr>
              <w:rPr>
                <w:rFonts w:cstheme="minorHAnsi"/>
                <w:sz w:val="20"/>
                <w:szCs w:val="20"/>
                <w:highlight w:val="black"/>
              </w:rPr>
            </w:pPr>
            <w:r w:rsidRPr="00752B4E">
              <w:rPr>
                <w:rFonts w:cstheme="minorHAnsi"/>
                <w:sz w:val="20"/>
                <w:szCs w:val="20"/>
                <w:highlight w:val="black"/>
              </w:rPr>
              <w:t>XXXXX</w:t>
            </w:r>
          </w:p>
        </w:tc>
        <w:tc>
          <w:tcPr>
            <w:tcW w:w="1267" w:type="dxa"/>
            <w:vAlign w:val="bottom"/>
          </w:tcPr>
          <w:p w14:paraId="1F7AB35A" w14:textId="0ED4BBFD" w:rsidR="00B1417E" w:rsidRPr="00F652BE" w:rsidRDefault="00B1417E" w:rsidP="00B1417E">
            <w:pPr>
              <w:rPr>
                <w:rFonts w:cstheme="minorHAnsi"/>
                <w:sz w:val="20"/>
                <w:szCs w:val="20"/>
              </w:rPr>
            </w:pPr>
            <w:r w:rsidRPr="00F652BE">
              <w:rPr>
                <w:rFonts w:cstheme="minorHAnsi"/>
                <w:color w:val="000000"/>
                <w:sz w:val="20"/>
                <w:szCs w:val="20"/>
              </w:rPr>
              <w:t>206</w:t>
            </w:r>
            <w:r w:rsidRPr="00F652BE">
              <w:rPr>
                <w:rFonts w:cstheme="minorHAnsi"/>
                <w:color w:val="000000"/>
                <w:sz w:val="20"/>
                <w:szCs w:val="20"/>
                <w:vertAlign w:val="superscript"/>
              </w:rPr>
              <w:t>3</w:t>
            </w:r>
          </w:p>
        </w:tc>
        <w:tc>
          <w:tcPr>
            <w:tcW w:w="1267" w:type="dxa"/>
            <w:vAlign w:val="center"/>
          </w:tcPr>
          <w:p w14:paraId="11F88A21" w14:textId="4685E534" w:rsidR="00B1417E" w:rsidRPr="00752B4E" w:rsidRDefault="00E118C4" w:rsidP="00B1417E">
            <w:pPr>
              <w:rPr>
                <w:rFonts w:cstheme="minorHAnsi"/>
                <w:sz w:val="20"/>
                <w:szCs w:val="20"/>
                <w:highlight w:val="black"/>
              </w:rPr>
            </w:pPr>
            <w:r w:rsidRPr="00752B4E">
              <w:rPr>
                <w:rFonts w:cstheme="minorHAnsi"/>
                <w:sz w:val="20"/>
                <w:szCs w:val="20"/>
                <w:highlight w:val="black"/>
              </w:rPr>
              <w:t>XXXXXX</w:t>
            </w:r>
          </w:p>
        </w:tc>
      </w:tr>
      <w:tr w:rsidR="00B1417E" w14:paraId="33B6C018" w14:textId="77777777" w:rsidTr="00F13D2F">
        <w:tc>
          <w:tcPr>
            <w:tcW w:w="1350" w:type="dxa"/>
          </w:tcPr>
          <w:p w14:paraId="208480F6" w14:textId="50044ADF" w:rsidR="00B1417E" w:rsidRPr="00F652BE" w:rsidRDefault="00B1417E" w:rsidP="00B1417E">
            <w:pPr>
              <w:rPr>
                <w:rFonts w:cstheme="minorHAnsi"/>
                <w:sz w:val="20"/>
                <w:szCs w:val="20"/>
              </w:rPr>
            </w:pPr>
            <w:r w:rsidRPr="00F652BE">
              <w:rPr>
                <w:rFonts w:cstheme="minorHAnsi"/>
                <w:sz w:val="20"/>
                <w:szCs w:val="20"/>
              </w:rPr>
              <w:t>2021</w:t>
            </w:r>
          </w:p>
        </w:tc>
        <w:tc>
          <w:tcPr>
            <w:tcW w:w="1265" w:type="dxa"/>
          </w:tcPr>
          <w:p w14:paraId="165433FD" w14:textId="364C3600" w:rsidR="00B1417E" w:rsidRPr="00F652BE" w:rsidRDefault="00E118C4" w:rsidP="00B1417E">
            <w:pPr>
              <w:rPr>
                <w:rFonts w:cstheme="minorHAnsi"/>
                <w:sz w:val="20"/>
                <w:szCs w:val="20"/>
                <w:highlight w:val="darkGray"/>
              </w:rPr>
            </w:pPr>
            <w:r w:rsidRPr="00752B4E">
              <w:rPr>
                <w:rFonts w:cstheme="minorHAnsi"/>
                <w:sz w:val="20"/>
                <w:szCs w:val="20"/>
                <w:highlight w:val="black"/>
              </w:rPr>
              <w:t>XXX</w:t>
            </w:r>
          </w:p>
        </w:tc>
        <w:tc>
          <w:tcPr>
            <w:tcW w:w="1266" w:type="dxa"/>
            <w:vAlign w:val="bottom"/>
          </w:tcPr>
          <w:p w14:paraId="375B237D" w14:textId="51B82553" w:rsidR="00B1417E" w:rsidRPr="00F652BE" w:rsidRDefault="00B1417E" w:rsidP="00B1417E">
            <w:pPr>
              <w:rPr>
                <w:rFonts w:cstheme="minorHAnsi"/>
                <w:sz w:val="20"/>
                <w:szCs w:val="20"/>
              </w:rPr>
            </w:pPr>
            <w:r w:rsidRPr="00F652BE">
              <w:rPr>
                <w:rFonts w:cstheme="minorHAnsi"/>
                <w:color w:val="000000"/>
                <w:sz w:val="20"/>
                <w:szCs w:val="20"/>
              </w:rPr>
              <w:t>533</w:t>
            </w:r>
          </w:p>
        </w:tc>
        <w:tc>
          <w:tcPr>
            <w:tcW w:w="1266" w:type="dxa"/>
          </w:tcPr>
          <w:p w14:paraId="3E6D3D30" w14:textId="60A030CE" w:rsidR="00B1417E" w:rsidRPr="00752B4E" w:rsidRDefault="00E118C4" w:rsidP="00B1417E">
            <w:pPr>
              <w:rPr>
                <w:rFonts w:cstheme="minorHAnsi"/>
                <w:sz w:val="20"/>
                <w:szCs w:val="20"/>
                <w:highlight w:val="black"/>
              </w:rPr>
            </w:pPr>
            <w:r w:rsidRPr="00752B4E">
              <w:rPr>
                <w:rFonts w:cstheme="minorHAnsi"/>
                <w:sz w:val="20"/>
                <w:szCs w:val="20"/>
                <w:highlight w:val="black"/>
              </w:rPr>
              <w:t>XXXXX</w:t>
            </w:r>
          </w:p>
        </w:tc>
        <w:tc>
          <w:tcPr>
            <w:tcW w:w="1266" w:type="dxa"/>
            <w:vAlign w:val="bottom"/>
          </w:tcPr>
          <w:p w14:paraId="7FD13EEA" w14:textId="141BC962" w:rsidR="00B1417E" w:rsidRPr="00752B4E" w:rsidRDefault="00E118C4" w:rsidP="00B1417E">
            <w:pPr>
              <w:rPr>
                <w:rFonts w:cstheme="minorHAnsi"/>
                <w:sz w:val="20"/>
                <w:szCs w:val="20"/>
                <w:highlight w:val="black"/>
              </w:rPr>
            </w:pPr>
            <w:r w:rsidRPr="00752B4E">
              <w:rPr>
                <w:rFonts w:cstheme="minorHAnsi"/>
                <w:sz w:val="20"/>
                <w:szCs w:val="20"/>
                <w:highlight w:val="black"/>
              </w:rPr>
              <w:t>XXXXX</w:t>
            </w:r>
          </w:p>
        </w:tc>
        <w:tc>
          <w:tcPr>
            <w:tcW w:w="1267" w:type="dxa"/>
            <w:vAlign w:val="bottom"/>
          </w:tcPr>
          <w:p w14:paraId="65207523" w14:textId="5CB52A2F" w:rsidR="00B1417E" w:rsidRPr="00F652BE" w:rsidRDefault="00B1417E" w:rsidP="00B1417E">
            <w:pPr>
              <w:rPr>
                <w:rFonts w:cstheme="minorHAnsi"/>
                <w:sz w:val="20"/>
                <w:szCs w:val="20"/>
              </w:rPr>
            </w:pPr>
            <w:r w:rsidRPr="00F652BE">
              <w:rPr>
                <w:rFonts w:cstheme="minorHAnsi"/>
                <w:color w:val="000000"/>
                <w:sz w:val="20"/>
                <w:szCs w:val="20"/>
              </w:rPr>
              <w:t>3</w:t>
            </w:r>
            <w:r w:rsidR="007D5AF9">
              <w:rPr>
                <w:rFonts w:cstheme="minorHAnsi"/>
                <w:color w:val="000000"/>
                <w:sz w:val="20"/>
                <w:szCs w:val="20"/>
              </w:rPr>
              <w:t>,</w:t>
            </w:r>
            <w:r w:rsidRPr="00F652BE">
              <w:rPr>
                <w:rFonts w:cstheme="minorHAnsi"/>
                <w:color w:val="000000"/>
                <w:sz w:val="20"/>
                <w:szCs w:val="20"/>
              </w:rPr>
              <w:t>727</w:t>
            </w:r>
          </w:p>
        </w:tc>
        <w:tc>
          <w:tcPr>
            <w:tcW w:w="1267" w:type="dxa"/>
            <w:vAlign w:val="center"/>
          </w:tcPr>
          <w:p w14:paraId="1967871A" w14:textId="79DEE0C6" w:rsidR="00B1417E" w:rsidRPr="00752B4E" w:rsidRDefault="00E118C4" w:rsidP="00B1417E">
            <w:pPr>
              <w:rPr>
                <w:rFonts w:cstheme="minorHAnsi"/>
                <w:sz w:val="20"/>
                <w:szCs w:val="20"/>
                <w:highlight w:val="black"/>
              </w:rPr>
            </w:pPr>
            <w:r w:rsidRPr="00752B4E">
              <w:rPr>
                <w:rFonts w:cstheme="minorHAnsi"/>
                <w:sz w:val="20"/>
                <w:szCs w:val="20"/>
                <w:highlight w:val="black"/>
              </w:rPr>
              <w:t>XXXXXX</w:t>
            </w:r>
          </w:p>
        </w:tc>
      </w:tr>
      <w:tr w:rsidR="00B1417E" w14:paraId="75876ED9" w14:textId="77777777" w:rsidTr="00F13D2F">
        <w:tc>
          <w:tcPr>
            <w:tcW w:w="1350" w:type="dxa"/>
          </w:tcPr>
          <w:p w14:paraId="04F435C9" w14:textId="703E0CFC" w:rsidR="00B1417E" w:rsidRPr="00F652BE" w:rsidRDefault="00B1417E" w:rsidP="00B1417E">
            <w:pPr>
              <w:rPr>
                <w:rFonts w:cstheme="minorHAnsi"/>
                <w:sz w:val="20"/>
                <w:szCs w:val="20"/>
              </w:rPr>
            </w:pPr>
            <w:r w:rsidRPr="00F652BE">
              <w:rPr>
                <w:rFonts w:cstheme="minorHAnsi"/>
                <w:sz w:val="20"/>
                <w:szCs w:val="20"/>
              </w:rPr>
              <w:t>2022</w:t>
            </w:r>
          </w:p>
        </w:tc>
        <w:tc>
          <w:tcPr>
            <w:tcW w:w="1265" w:type="dxa"/>
          </w:tcPr>
          <w:p w14:paraId="27C00410" w14:textId="42DCBFEC" w:rsidR="00B1417E" w:rsidRPr="00752B4E" w:rsidRDefault="00E118C4" w:rsidP="00B1417E">
            <w:pPr>
              <w:rPr>
                <w:rFonts w:cstheme="minorHAnsi"/>
                <w:sz w:val="20"/>
                <w:szCs w:val="20"/>
                <w:highlight w:val="black"/>
              </w:rPr>
            </w:pPr>
            <w:r w:rsidRPr="00752B4E">
              <w:rPr>
                <w:rFonts w:cstheme="minorHAnsi"/>
                <w:sz w:val="20"/>
                <w:szCs w:val="20"/>
                <w:highlight w:val="black"/>
              </w:rPr>
              <w:t>XXX</w:t>
            </w:r>
          </w:p>
        </w:tc>
        <w:tc>
          <w:tcPr>
            <w:tcW w:w="1266" w:type="dxa"/>
            <w:vAlign w:val="bottom"/>
          </w:tcPr>
          <w:p w14:paraId="0C689B74" w14:textId="207CBFDD" w:rsidR="00B1417E" w:rsidRPr="00F652BE" w:rsidRDefault="00B1417E" w:rsidP="00B1417E">
            <w:pPr>
              <w:rPr>
                <w:rFonts w:cstheme="minorHAnsi"/>
                <w:sz w:val="20"/>
                <w:szCs w:val="20"/>
              </w:rPr>
            </w:pPr>
            <w:r w:rsidRPr="00F652BE">
              <w:rPr>
                <w:rFonts w:cstheme="minorHAnsi"/>
                <w:color w:val="000000"/>
                <w:sz w:val="20"/>
                <w:szCs w:val="20"/>
              </w:rPr>
              <w:t>505</w:t>
            </w:r>
          </w:p>
        </w:tc>
        <w:tc>
          <w:tcPr>
            <w:tcW w:w="1266" w:type="dxa"/>
          </w:tcPr>
          <w:p w14:paraId="2420691D" w14:textId="3391A351" w:rsidR="00B1417E" w:rsidRPr="00752B4E" w:rsidRDefault="00E118C4" w:rsidP="00B1417E">
            <w:pPr>
              <w:rPr>
                <w:rFonts w:cstheme="minorHAnsi"/>
                <w:sz w:val="20"/>
                <w:szCs w:val="20"/>
                <w:highlight w:val="black"/>
              </w:rPr>
            </w:pPr>
            <w:r w:rsidRPr="00752B4E">
              <w:rPr>
                <w:rFonts w:cstheme="minorHAnsi"/>
                <w:sz w:val="20"/>
                <w:szCs w:val="20"/>
                <w:highlight w:val="black"/>
              </w:rPr>
              <w:t>XXXX</w:t>
            </w:r>
          </w:p>
        </w:tc>
        <w:tc>
          <w:tcPr>
            <w:tcW w:w="1266" w:type="dxa"/>
            <w:vAlign w:val="bottom"/>
          </w:tcPr>
          <w:p w14:paraId="0A6D4B50" w14:textId="2D8CBD69" w:rsidR="00B1417E" w:rsidRPr="00752B4E" w:rsidRDefault="00E118C4" w:rsidP="00B1417E">
            <w:pPr>
              <w:rPr>
                <w:rFonts w:cstheme="minorHAnsi"/>
                <w:sz w:val="20"/>
                <w:szCs w:val="20"/>
                <w:highlight w:val="black"/>
              </w:rPr>
            </w:pPr>
            <w:r w:rsidRPr="00752B4E">
              <w:rPr>
                <w:rFonts w:cstheme="minorHAnsi"/>
                <w:sz w:val="20"/>
                <w:szCs w:val="20"/>
                <w:highlight w:val="black"/>
              </w:rPr>
              <w:t>XXXXX</w:t>
            </w:r>
          </w:p>
        </w:tc>
        <w:tc>
          <w:tcPr>
            <w:tcW w:w="1267" w:type="dxa"/>
            <w:vAlign w:val="bottom"/>
          </w:tcPr>
          <w:p w14:paraId="0DDD31DE" w14:textId="2D203C58" w:rsidR="00B1417E" w:rsidRPr="00F652BE" w:rsidRDefault="00B1417E" w:rsidP="00B1417E">
            <w:pPr>
              <w:rPr>
                <w:rFonts w:cstheme="minorHAnsi"/>
                <w:sz w:val="20"/>
                <w:szCs w:val="20"/>
              </w:rPr>
            </w:pPr>
            <w:r w:rsidRPr="00F652BE">
              <w:rPr>
                <w:rFonts w:cstheme="minorHAnsi"/>
                <w:color w:val="000000"/>
                <w:sz w:val="20"/>
                <w:szCs w:val="20"/>
              </w:rPr>
              <w:t>5</w:t>
            </w:r>
            <w:r w:rsidR="007D5AF9">
              <w:rPr>
                <w:rFonts w:cstheme="minorHAnsi"/>
                <w:color w:val="000000"/>
                <w:sz w:val="20"/>
                <w:szCs w:val="20"/>
              </w:rPr>
              <w:t>,</w:t>
            </w:r>
            <w:r w:rsidRPr="00F652BE">
              <w:rPr>
                <w:rFonts w:cstheme="minorHAnsi"/>
                <w:color w:val="000000"/>
                <w:sz w:val="20"/>
                <w:szCs w:val="20"/>
              </w:rPr>
              <w:t>653</w:t>
            </w:r>
          </w:p>
        </w:tc>
        <w:tc>
          <w:tcPr>
            <w:tcW w:w="1267" w:type="dxa"/>
            <w:vAlign w:val="center"/>
          </w:tcPr>
          <w:p w14:paraId="1DEF045F" w14:textId="04B2F997" w:rsidR="00B1417E" w:rsidRPr="00752B4E" w:rsidRDefault="00E118C4" w:rsidP="00B1417E">
            <w:pPr>
              <w:rPr>
                <w:rFonts w:cstheme="minorHAnsi"/>
                <w:sz w:val="20"/>
                <w:szCs w:val="20"/>
                <w:highlight w:val="black"/>
              </w:rPr>
            </w:pPr>
            <w:r w:rsidRPr="00752B4E">
              <w:rPr>
                <w:rFonts w:cstheme="minorHAnsi"/>
                <w:sz w:val="20"/>
                <w:szCs w:val="20"/>
                <w:highlight w:val="black"/>
              </w:rPr>
              <w:t>XXXXXX</w:t>
            </w:r>
          </w:p>
        </w:tc>
      </w:tr>
      <w:tr w:rsidR="00B1417E" w14:paraId="15ADA8EB" w14:textId="77777777" w:rsidTr="00F13D2F">
        <w:tc>
          <w:tcPr>
            <w:tcW w:w="1350" w:type="dxa"/>
          </w:tcPr>
          <w:p w14:paraId="67B47FD4" w14:textId="622EBC21" w:rsidR="00B1417E" w:rsidRPr="00F652BE" w:rsidRDefault="00B1417E" w:rsidP="00B1417E">
            <w:pPr>
              <w:rPr>
                <w:rFonts w:cstheme="minorHAnsi"/>
                <w:sz w:val="20"/>
                <w:szCs w:val="20"/>
              </w:rPr>
            </w:pPr>
            <w:r w:rsidRPr="00F652BE">
              <w:rPr>
                <w:rFonts w:cstheme="minorHAnsi"/>
                <w:sz w:val="20"/>
                <w:szCs w:val="20"/>
              </w:rPr>
              <w:t>2023</w:t>
            </w:r>
          </w:p>
        </w:tc>
        <w:tc>
          <w:tcPr>
            <w:tcW w:w="1265" w:type="dxa"/>
          </w:tcPr>
          <w:p w14:paraId="1298D1BE" w14:textId="71526643" w:rsidR="00B1417E" w:rsidRPr="00752B4E" w:rsidRDefault="00E118C4" w:rsidP="00B1417E">
            <w:pPr>
              <w:rPr>
                <w:rFonts w:cstheme="minorHAnsi"/>
                <w:sz w:val="20"/>
                <w:szCs w:val="20"/>
                <w:highlight w:val="black"/>
              </w:rPr>
            </w:pPr>
            <w:r w:rsidRPr="00752B4E">
              <w:rPr>
                <w:rFonts w:cstheme="minorHAnsi"/>
                <w:sz w:val="20"/>
                <w:szCs w:val="20"/>
                <w:highlight w:val="black"/>
              </w:rPr>
              <w:t>XXX</w:t>
            </w:r>
          </w:p>
        </w:tc>
        <w:tc>
          <w:tcPr>
            <w:tcW w:w="1266" w:type="dxa"/>
            <w:vAlign w:val="bottom"/>
          </w:tcPr>
          <w:p w14:paraId="0BB324D1" w14:textId="6CD94B89" w:rsidR="00B1417E" w:rsidRPr="00F652BE" w:rsidRDefault="00B1417E" w:rsidP="00B1417E">
            <w:pPr>
              <w:rPr>
                <w:rFonts w:cstheme="minorHAnsi"/>
                <w:sz w:val="20"/>
                <w:szCs w:val="20"/>
              </w:rPr>
            </w:pPr>
            <w:r w:rsidRPr="00F652BE">
              <w:rPr>
                <w:rFonts w:cstheme="minorHAnsi"/>
                <w:color w:val="000000"/>
                <w:sz w:val="20"/>
                <w:szCs w:val="20"/>
              </w:rPr>
              <w:t>522</w:t>
            </w:r>
          </w:p>
        </w:tc>
        <w:tc>
          <w:tcPr>
            <w:tcW w:w="1266" w:type="dxa"/>
          </w:tcPr>
          <w:p w14:paraId="729821A4" w14:textId="6C470523" w:rsidR="00B1417E" w:rsidRPr="00752B4E" w:rsidRDefault="00E118C4" w:rsidP="00B1417E">
            <w:pPr>
              <w:rPr>
                <w:rFonts w:cstheme="minorHAnsi"/>
                <w:sz w:val="20"/>
                <w:szCs w:val="20"/>
                <w:highlight w:val="black"/>
              </w:rPr>
            </w:pPr>
            <w:r w:rsidRPr="00752B4E">
              <w:rPr>
                <w:rFonts w:cstheme="minorHAnsi"/>
                <w:sz w:val="20"/>
                <w:szCs w:val="20"/>
                <w:highlight w:val="black"/>
              </w:rPr>
              <w:t>XXXX</w:t>
            </w:r>
          </w:p>
        </w:tc>
        <w:tc>
          <w:tcPr>
            <w:tcW w:w="1266" w:type="dxa"/>
            <w:vAlign w:val="bottom"/>
          </w:tcPr>
          <w:p w14:paraId="514F87DD" w14:textId="15FA73E1" w:rsidR="00B1417E" w:rsidRPr="00752B4E" w:rsidRDefault="00E118C4" w:rsidP="00B1417E">
            <w:pPr>
              <w:rPr>
                <w:rFonts w:cstheme="minorHAnsi"/>
                <w:sz w:val="20"/>
                <w:szCs w:val="20"/>
                <w:highlight w:val="black"/>
              </w:rPr>
            </w:pPr>
            <w:r w:rsidRPr="00752B4E">
              <w:rPr>
                <w:rFonts w:cstheme="minorHAnsi"/>
                <w:sz w:val="20"/>
                <w:szCs w:val="20"/>
                <w:highlight w:val="black"/>
              </w:rPr>
              <w:t>XXXXX</w:t>
            </w:r>
          </w:p>
        </w:tc>
        <w:tc>
          <w:tcPr>
            <w:tcW w:w="1267" w:type="dxa"/>
            <w:vAlign w:val="bottom"/>
          </w:tcPr>
          <w:p w14:paraId="381CF556" w14:textId="48B7CBB1" w:rsidR="00B1417E" w:rsidRPr="00F652BE" w:rsidRDefault="00B1417E" w:rsidP="00B1417E">
            <w:pPr>
              <w:rPr>
                <w:rFonts w:cstheme="minorHAnsi"/>
                <w:sz w:val="20"/>
                <w:szCs w:val="20"/>
              </w:rPr>
            </w:pPr>
            <w:r w:rsidRPr="00F652BE">
              <w:rPr>
                <w:rFonts w:cstheme="minorHAnsi"/>
                <w:color w:val="000000"/>
                <w:sz w:val="20"/>
                <w:szCs w:val="20"/>
              </w:rPr>
              <w:t>6</w:t>
            </w:r>
            <w:r w:rsidR="007D5AF9">
              <w:rPr>
                <w:rFonts w:cstheme="minorHAnsi"/>
                <w:color w:val="000000"/>
                <w:sz w:val="20"/>
                <w:szCs w:val="20"/>
              </w:rPr>
              <w:t>,</w:t>
            </w:r>
            <w:r w:rsidRPr="00F652BE">
              <w:rPr>
                <w:rFonts w:cstheme="minorHAnsi"/>
                <w:color w:val="000000"/>
                <w:sz w:val="20"/>
                <w:szCs w:val="20"/>
              </w:rPr>
              <w:t>135</w:t>
            </w:r>
          </w:p>
        </w:tc>
        <w:tc>
          <w:tcPr>
            <w:tcW w:w="1267" w:type="dxa"/>
            <w:vAlign w:val="center"/>
          </w:tcPr>
          <w:p w14:paraId="731C09B7" w14:textId="26C36A96" w:rsidR="00B1417E" w:rsidRPr="00752B4E" w:rsidRDefault="00E118C4" w:rsidP="00B1417E">
            <w:pPr>
              <w:rPr>
                <w:rFonts w:cstheme="minorHAnsi"/>
                <w:sz w:val="20"/>
                <w:szCs w:val="20"/>
                <w:highlight w:val="black"/>
              </w:rPr>
            </w:pPr>
            <w:r w:rsidRPr="00752B4E">
              <w:rPr>
                <w:rFonts w:cstheme="minorHAnsi"/>
                <w:sz w:val="20"/>
                <w:szCs w:val="20"/>
                <w:highlight w:val="black"/>
              </w:rPr>
              <w:t>XXXXXX</w:t>
            </w:r>
          </w:p>
        </w:tc>
      </w:tr>
      <w:tr w:rsidR="00B1417E" w14:paraId="41843A11" w14:textId="77777777" w:rsidTr="00F13D2F">
        <w:tc>
          <w:tcPr>
            <w:tcW w:w="1350" w:type="dxa"/>
          </w:tcPr>
          <w:p w14:paraId="42360787" w14:textId="3D49C389" w:rsidR="00B1417E" w:rsidRPr="00F652BE" w:rsidRDefault="00B1417E" w:rsidP="00B1417E">
            <w:pPr>
              <w:rPr>
                <w:rFonts w:cstheme="minorHAnsi"/>
                <w:sz w:val="20"/>
                <w:szCs w:val="20"/>
              </w:rPr>
            </w:pPr>
            <w:r w:rsidRPr="00F652BE">
              <w:rPr>
                <w:rFonts w:cstheme="minorHAnsi"/>
                <w:sz w:val="20"/>
                <w:szCs w:val="20"/>
              </w:rPr>
              <w:t>2024</w:t>
            </w:r>
          </w:p>
        </w:tc>
        <w:tc>
          <w:tcPr>
            <w:tcW w:w="1265" w:type="dxa"/>
          </w:tcPr>
          <w:p w14:paraId="2DCB9CD0" w14:textId="28826339" w:rsidR="00B1417E" w:rsidRPr="00752B4E" w:rsidRDefault="00E118C4" w:rsidP="00B1417E">
            <w:pPr>
              <w:rPr>
                <w:rFonts w:cstheme="minorHAnsi"/>
                <w:sz w:val="20"/>
                <w:szCs w:val="20"/>
                <w:highlight w:val="black"/>
              </w:rPr>
            </w:pPr>
            <w:r w:rsidRPr="00752B4E">
              <w:rPr>
                <w:rFonts w:cstheme="minorHAnsi"/>
                <w:sz w:val="20"/>
                <w:szCs w:val="20"/>
                <w:highlight w:val="black"/>
              </w:rPr>
              <w:t>XXX</w:t>
            </w:r>
          </w:p>
        </w:tc>
        <w:tc>
          <w:tcPr>
            <w:tcW w:w="1266" w:type="dxa"/>
            <w:vAlign w:val="bottom"/>
          </w:tcPr>
          <w:p w14:paraId="774B9813" w14:textId="6733C732" w:rsidR="00B1417E" w:rsidRPr="00F652BE" w:rsidRDefault="00B1417E" w:rsidP="00B1417E">
            <w:pPr>
              <w:rPr>
                <w:rFonts w:cstheme="minorHAnsi"/>
                <w:sz w:val="20"/>
                <w:szCs w:val="20"/>
              </w:rPr>
            </w:pPr>
            <w:r w:rsidRPr="00F652BE">
              <w:rPr>
                <w:rFonts w:cstheme="minorHAnsi"/>
                <w:color w:val="000000"/>
                <w:sz w:val="20"/>
                <w:szCs w:val="20"/>
              </w:rPr>
              <w:t>526</w:t>
            </w:r>
          </w:p>
        </w:tc>
        <w:tc>
          <w:tcPr>
            <w:tcW w:w="1266" w:type="dxa"/>
          </w:tcPr>
          <w:p w14:paraId="2A15F9CE" w14:textId="3AF14626" w:rsidR="00B1417E" w:rsidRPr="00752B4E" w:rsidRDefault="00E118C4" w:rsidP="00B1417E">
            <w:pPr>
              <w:rPr>
                <w:rFonts w:cstheme="minorHAnsi"/>
                <w:sz w:val="20"/>
                <w:szCs w:val="20"/>
                <w:highlight w:val="black"/>
              </w:rPr>
            </w:pPr>
            <w:r w:rsidRPr="00752B4E">
              <w:rPr>
                <w:rFonts w:cstheme="minorHAnsi"/>
                <w:sz w:val="20"/>
                <w:szCs w:val="20"/>
                <w:highlight w:val="black"/>
              </w:rPr>
              <w:t>XXXX</w:t>
            </w:r>
          </w:p>
        </w:tc>
        <w:tc>
          <w:tcPr>
            <w:tcW w:w="1266" w:type="dxa"/>
            <w:vAlign w:val="bottom"/>
          </w:tcPr>
          <w:p w14:paraId="281D12B4" w14:textId="0BD19C17" w:rsidR="00B1417E" w:rsidRPr="00752B4E" w:rsidRDefault="00E118C4" w:rsidP="00B1417E">
            <w:pPr>
              <w:rPr>
                <w:rFonts w:cstheme="minorHAnsi"/>
                <w:sz w:val="20"/>
                <w:szCs w:val="20"/>
                <w:highlight w:val="black"/>
              </w:rPr>
            </w:pPr>
            <w:r w:rsidRPr="00752B4E">
              <w:rPr>
                <w:rFonts w:cstheme="minorHAnsi"/>
                <w:sz w:val="20"/>
                <w:szCs w:val="20"/>
                <w:highlight w:val="black"/>
              </w:rPr>
              <w:t>XXXXX</w:t>
            </w:r>
          </w:p>
        </w:tc>
        <w:tc>
          <w:tcPr>
            <w:tcW w:w="1267" w:type="dxa"/>
            <w:vAlign w:val="bottom"/>
          </w:tcPr>
          <w:p w14:paraId="29FA5EEB" w14:textId="4E0E2954" w:rsidR="00B1417E" w:rsidRPr="00F652BE" w:rsidRDefault="00B1417E" w:rsidP="00B1417E">
            <w:pPr>
              <w:rPr>
                <w:rFonts w:cstheme="minorHAnsi"/>
                <w:sz w:val="20"/>
                <w:szCs w:val="20"/>
              </w:rPr>
            </w:pPr>
            <w:r w:rsidRPr="00F652BE">
              <w:rPr>
                <w:rFonts w:cstheme="minorHAnsi"/>
                <w:color w:val="000000"/>
                <w:sz w:val="20"/>
                <w:szCs w:val="20"/>
              </w:rPr>
              <w:t>7</w:t>
            </w:r>
            <w:r w:rsidR="007D5AF9">
              <w:rPr>
                <w:rFonts w:cstheme="minorHAnsi"/>
                <w:color w:val="000000"/>
                <w:sz w:val="20"/>
                <w:szCs w:val="20"/>
              </w:rPr>
              <w:t>,</w:t>
            </w:r>
            <w:r w:rsidRPr="00F652BE">
              <w:rPr>
                <w:rFonts w:cstheme="minorHAnsi"/>
                <w:color w:val="000000"/>
                <w:sz w:val="20"/>
                <w:szCs w:val="20"/>
              </w:rPr>
              <w:t>033</w:t>
            </w:r>
          </w:p>
        </w:tc>
        <w:tc>
          <w:tcPr>
            <w:tcW w:w="1267" w:type="dxa"/>
            <w:vAlign w:val="center"/>
          </w:tcPr>
          <w:p w14:paraId="7E634613" w14:textId="4BC5DADC" w:rsidR="00B1417E" w:rsidRPr="00752B4E" w:rsidRDefault="00E118C4" w:rsidP="00B1417E">
            <w:pPr>
              <w:rPr>
                <w:rFonts w:cstheme="minorHAnsi"/>
                <w:sz w:val="20"/>
                <w:szCs w:val="20"/>
                <w:highlight w:val="black"/>
              </w:rPr>
            </w:pPr>
            <w:r w:rsidRPr="00752B4E">
              <w:rPr>
                <w:rFonts w:cstheme="minorHAnsi"/>
                <w:sz w:val="20"/>
                <w:szCs w:val="20"/>
                <w:highlight w:val="black"/>
              </w:rPr>
              <w:t>XXXXXX</w:t>
            </w:r>
          </w:p>
        </w:tc>
      </w:tr>
      <w:tr w:rsidR="00B1417E" w14:paraId="6AFCB4DD" w14:textId="77777777" w:rsidTr="00F13D2F">
        <w:tc>
          <w:tcPr>
            <w:tcW w:w="1350" w:type="dxa"/>
          </w:tcPr>
          <w:p w14:paraId="1FA9A0A1" w14:textId="19AD8263" w:rsidR="00B1417E" w:rsidRPr="00F652BE" w:rsidRDefault="00B1417E" w:rsidP="00B1417E">
            <w:pPr>
              <w:rPr>
                <w:rFonts w:cstheme="minorHAnsi"/>
                <w:sz w:val="20"/>
                <w:szCs w:val="20"/>
              </w:rPr>
            </w:pPr>
            <w:r w:rsidRPr="00F652BE">
              <w:rPr>
                <w:rFonts w:cstheme="minorHAnsi"/>
                <w:sz w:val="20"/>
                <w:szCs w:val="20"/>
              </w:rPr>
              <w:t>2025</w:t>
            </w:r>
          </w:p>
        </w:tc>
        <w:tc>
          <w:tcPr>
            <w:tcW w:w="1265" w:type="dxa"/>
          </w:tcPr>
          <w:p w14:paraId="4983F0AB" w14:textId="5B20DDDB" w:rsidR="00B1417E" w:rsidRPr="00752B4E" w:rsidRDefault="00E118C4" w:rsidP="00B1417E">
            <w:pPr>
              <w:rPr>
                <w:rFonts w:cstheme="minorHAnsi"/>
                <w:sz w:val="20"/>
                <w:szCs w:val="20"/>
                <w:highlight w:val="black"/>
              </w:rPr>
            </w:pPr>
            <w:r w:rsidRPr="00752B4E">
              <w:rPr>
                <w:rFonts w:cstheme="minorHAnsi"/>
                <w:sz w:val="20"/>
                <w:szCs w:val="20"/>
                <w:highlight w:val="black"/>
              </w:rPr>
              <w:t>XXX</w:t>
            </w:r>
          </w:p>
        </w:tc>
        <w:tc>
          <w:tcPr>
            <w:tcW w:w="1266" w:type="dxa"/>
            <w:vAlign w:val="bottom"/>
          </w:tcPr>
          <w:p w14:paraId="65B4A217" w14:textId="55303143" w:rsidR="00B1417E" w:rsidRPr="00F652BE" w:rsidRDefault="00B1417E" w:rsidP="00B1417E">
            <w:pPr>
              <w:rPr>
                <w:rFonts w:cstheme="minorHAnsi"/>
                <w:sz w:val="20"/>
                <w:szCs w:val="20"/>
              </w:rPr>
            </w:pPr>
            <w:r w:rsidRPr="00F652BE">
              <w:rPr>
                <w:rFonts w:cstheme="minorHAnsi"/>
                <w:color w:val="000000"/>
                <w:sz w:val="20"/>
                <w:szCs w:val="20"/>
              </w:rPr>
              <w:t>94</w:t>
            </w:r>
            <w:r w:rsidRPr="00F652BE">
              <w:rPr>
                <w:rFonts w:cstheme="minorHAnsi"/>
                <w:color w:val="000000"/>
                <w:sz w:val="20"/>
                <w:szCs w:val="20"/>
                <w:vertAlign w:val="superscript"/>
              </w:rPr>
              <w:t>4</w:t>
            </w:r>
          </w:p>
        </w:tc>
        <w:tc>
          <w:tcPr>
            <w:tcW w:w="1266" w:type="dxa"/>
          </w:tcPr>
          <w:p w14:paraId="5DBB419E" w14:textId="649072E6" w:rsidR="00B1417E" w:rsidRPr="00752B4E" w:rsidRDefault="00E118C4" w:rsidP="00B1417E">
            <w:pPr>
              <w:rPr>
                <w:rFonts w:cstheme="minorHAnsi"/>
                <w:sz w:val="20"/>
                <w:szCs w:val="20"/>
                <w:highlight w:val="black"/>
              </w:rPr>
            </w:pPr>
            <w:r w:rsidRPr="00752B4E">
              <w:rPr>
                <w:rFonts w:cstheme="minorHAnsi"/>
                <w:sz w:val="20"/>
                <w:szCs w:val="20"/>
                <w:highlight w:val="black"/>
              </w:rPr>
              <w:t>XXXXXX</w:t>
            </w:r>
          </w:p>
        </w:tc>
        <w:tc>
          <w:tcPr>
            <w:tcW w:w="1266" w:type="dxa"/>
            <w:vAlign w:val="bottom"/>
          </w:tcPr>
          <w:p w14:paraId="73D12E80" w14:textId="18D29A89" w:rsidR="00B1417E" w:rsidRPr="00752B4E" w:rsidRDefault="00E118C4" w:rsidP="00B1417E">
            <w:pPr>
              <w:rPr>
                <w:rFonts w:cstheme="minorHAnsi"/>
                <w:sz w:val="20"/>
                <w:szCs w:val="20"/>
                <w:highlight w:val="black"/>
              </w:rPr>
            </w:pPr>
            <w:r w:rsidRPr="00752B4E">
              <w:rPr>
                <w:rFonts w:cstheme="minorHAnsi"/>
                <w:sz w:val="20"/>
                <w:szCs w:val="20"/>
                <w:highlight w:val="black"/>
              </w:rPr>
              <w:t>XXXXX</w:t>
            </w:r>
          </w:p>
        </w:tc>
        <w:tc>
          <w:tcPr>
            <w:tcW w:w="1267" w:type="dxa"/>
            <w:vAlign w:val="bottom"/>
          </w:tcPr>
          <w:p w14:paraId="0E4093CE" w14:textId="1054682A" w:rsidR="00B1417E" w:rsidRPr="00F652BE" w:rsidRDefault="00B1417E" w:rsidP="00B1417E">
            <w:pPr>
              <w:rPr>
                <w:rFonts w:cstheme="minorHAnsi"/>
                <w:sz w:val="20"/>
                <w:szCs w:val="20"/>
              </w:rPr>
            </w:pPr>
            <w:r w:rsidRPr="00F652BE">
              <w:rPr>
                <w:rFonts w:cstheme="minorHAnsi"/>
                <w:color w:val="000000"/>
                <w:sz w:val="20"/>
                <w:szCs w:val="20"/>
              </w:rPr>
              <w:t>1</w:t>
            </w:r>
            <w:r w:rsidR="007D5AF9">
              <w:rPr>
                <w:rFonts w:cstheme="minorHAnsi"/>
                <w:color w:val="000000"/>
                <w:sz w:val="20"/>
                <w:szCs w:val="20"/>
              </w:rPr>
              <w:t>,</w:t>
            </w:r>
            <w:r w:rsidRPr="00F652BE">
              <w:rPr>
                <w:rFonts w:cstheme="minorHAnsi"/>
                <w:color w:val="000000"/>
                <w:sz w:val="20"/>
                <w:szCs w:val="20"/>
              </w:rPr>
              <w:t>182</w:t>
            </w:r>
            <w:r w:rsidRPr="00F652BE">
              <w:rPr>
                <w:rFonts w:cstheme="minorHAnsi"/>
                <w:color w:val="000000"/>
                <w:sz w:val="20"/>
                <w:szCs w:val="20"/>
                <w:vertAlign w:val="superscript"/>
              </w:rPr>
              <w:t>4</w:t>
            </w:r>
          </w:p>
        </w:tc>
        <w:tc>
          <w:tcPr>
            <w:tcW w:w="1267" w:type="dxa"/>
            <w:vAlign w:val="center"/>
          </w:tcPr>
          <w:p w14:paraId="3AF1D81D" w14:textId="5AAD3F37" w:rsidR="00B1417E" w:rsidRPr="00752B4E" w:rsidRDefault="00E118C4" w:rsidP="00B1417E">
            <w:pPr>
              <w:rPr>
                <w:rFonts w:cstheme="minorHAnsi"/>
                <w:sz w:val="20"/>
                <w:szCs w:val="20"/>
                <w:highlight w:val="black"/>
              </w:rPr>
            </w:pPr>
            <w:r w:rsidRPr="00752B4E">
              <w:rPr>
                <w:rFonts w:cstheme="minorHAnsi"/>
                <w:sz w:val="20"/>
                <w:szCs w:val="20"/>
                <w:highlight w:val="black"/>
              </w:rPr>
              <w:t>XXXXXX</w:t>
            </w:r>
          </w:p>
        </w:tc>
      </w:tr>
    </w:tbl>
    <w:p w14:paraId="0675B16E" w14:textId="0CE03596" w:rsidR="009E54F4" w:rsidRPr="007D4151" w:rsidRDefault="00063F59" w:rsidP="00CE0548">
      <w:pPr>
        <w:spacing w:after="0"/>
        <w:rPr>
          <w:sz w:val="20"/>
          <w:szCs w:val="20"/>
        </w:rPr>
      </w:pPr>
      <w:r w:rsidRPr="007D4151">
        <w:rPr>
          <w:sz w:val="20"/>
          <w:szCs w:val="20"/>
        </w:rPr>
        <w:t>Source: The predicted figures were sourced from th</w:t>
      </w:r>
      <w:r w:rsidR="004939AD" w:rsidRPr="007D4151">
        <w:rPr>
          <w:sz w:val="20"/>
          <w:szCs w:val="20"/>
        </w:rPr>
        <w:t>e</w:t>
      </w:r>
      <w:r w:rsidRPr="007D4151">
        <w:rPr>
          <w:sz w:val="20"/>
          <w:szCs w:val="20"/>
        </w:rPr>
        <w:t xml:space="preserve"> final version of the financial estimates model.</w:t>
      </w:r>
    </w:p>
    <w:p w14:paraId="6487FADF" w14:textId="00826DB7" w:rsidR="00CC3448" w:rsidRPr="007D4151" w:rsidRDefault="00CE0548" w:rsidP="00CE0548">
      <w:pPr>
        <w:spacing w:after="0"/>
        <w:rPr>
          <w:sz w:val="20"/>
          <w:szCs w:val="20"/>
        </w:rPr>
      </w:pPr>
      <w:r w:rsidRPr="007D4151">
        <w:rPr>
          <w:sz w:val="20"/>
          <w:szCs w:val="20"/>
        </w:rPr>
        <w:t>Note:</w:t>
      </w:r>
    </w:p>
    <w:p w14:paraId="0EE6A34F" w14:textId="52DCFAFF" w:rsidR="00CE0548" w:rsidRPr="007D4151" w:rsidRDefault="006C0CA2" w:rsidP="00CE0548">
      <w:pPr>
        <w:spacing w:after="0"/>
        <w:rPr>
          <w:sz w:val="20"/>
          <w:szCs w:val="20"/>
        </w:rPr>
      </w:pPr>
      <w:r w:rsidRPr="007D4151">
        <w:rPr>
          <w:sz w:val="20"/>
          <w:szCs w:val="20"/>
          <w:vertAlign w:val="superscript"/>
        </w:rPr>
        <w:t>1</w:t>
      </w:r>
      <w:r w:rsidR="00A41255" w:rsidRPr="007D4151">
        <w:rPr>
          <w:sz w:val="20"/>
          <w:szCs w:val="20"/>
        </w:rPr>
        <w:t>N</w:t>
      </w:r>
      <w:r w:rsidR="00CE0548" w:rsidRPr="007D4151">
        <w:rPr>
          <w:sz w:val="20"/>
          <w:szCs w:val="20"/>
        </w:rPr>
        <w:t>umber of ini</w:t>
      </w:r>
      <w:r w:rsidR="00A41255" w:rsidRPr="007D4151">
        <w:rPr>
          <w:sz w:val="20"/>
          <w:szCs w:val="20"/>
        </w:rPr>
        <w:t>tiating or incident patients.</w:t>
      </w:r>
    </w:p>
    <w:p w14:paraId="6330895F" w14:textId="1A367A97" w:rsidR="00A41255" w:rsidRPr="007D4151" w:rsidRDefault="006C0CA2" w:rsidP="00CE0548">
      <w:pPr>
        <w:spacing w:after="0"/>
        <w:rPr>
          <w:sz w:val="20"/>
          <w:szCs w:val="20"/>
        </w:rPr>
      </w:pPr>
      <w:r w:rsidRPr="007D4151">
        <w:rPr>
          <w:sz w:val="20"/>
          <w:szCs w:val="20"/>
          <w:vertAlign w:val="superscript"/>
        </w:rPr>
        <w:t>2</w:t>
      </w:r>
      <w:r w:rsidR="00A41255" w:rsidRPr="007D4151">
        <w:rPr>
          <w:sz w:val="20"/>
          <w:szCs w:val="20"/>
        </w:rPr>
        <w:t xml:space="preserve">Includes </w:t>
      </w:r>
      <w:r w:rsidR="00E118C4" w:rsidRPr="00752B4E">
        <w:rPr>
          <w:sz w:val="20"/>
          <w:szCs w:val="20"/>
          <w:highlight w:val="black"/>
        </w:rPr>
        <w:t>XXX</w:t>
      </w:r>
      <w:r w:rsidR="00A41255" w:rsidRPr="007D4151">
        <w:rPr>
          <w:sz w:val="20"/>
          <w:szCs w:val="20"/>
        </w:rPr>
        <w:t xml:space="preserve"> Grandfathered patients</w:t>
      </w:r>
      <w:r w:rsidR="00D47A9B" w:rsidRPr="007D4151">
        <w:rPr>
          <w:sz w:val="20"/>
          <w:szCs w:val="20"/>
        </w:rPr>
        <w:t>.</w:t>
      </w:r>
    </w:p>
    <w:p w14:paraId="4E94A297" w14:textId="68E4967F" w:rsidR="00627356" w:rsidRPr="007D4151" w:rsidRDefault="00627356" w:rsidP="00CE0548">
      <w:pPr>
        <w:spacing w:after="0"/>
        <w:rPr>
          <w:sz w:val="20"/>
          <w:szCs w:val="20"/>
        </w:rPr>
      </w:pPr>
      <w:r w:rsidRPr="007D4151">
        <w:rPr>
          <w:sz w:val="20"/>
          <w:szCs w:val="20"/>
          <w:vertAlign w:val="superscript"/>
        </w:rPr>
        <w:t>3</w:t>
      </w:r>
      <w:r w:rsidRPr="007D4151">
        <w:rPr>
          <w:sz w:val="20"/>
          <w:szCs w:val="20"/>
        </w:rPr>
        <w:t>For the period 1 November to 31 December 2020.</w:t>
      </w:r>
    </w:p>
    <w:p w14:paraId="4757F4DC" w14:textId="0596E1A2" w:rsidR="00627356" w:rsidRPr="007D4151" w:rsidRDefault="00627356" w:rsidP="00CE0548">
      <w:pPr>
        <w:spacing w:after="0"/>
        <w:rPr>
          <w:sz w:val="20"/>
          <w:szCs w:val="20"/>
        </w:rPr>
      </w:pPr>
      <w:r w:rsidRPr="007D4151">
        <w:rPr>
          <w:sz w:val="20"/>
          <w:szCs w:val="20"/>
          <w:vertAlign w:val="superscript"/>
        </w:rPr>
        <w:t>4</w:t>
      </w:r>
      <w:r w:rsidRPr="007D4151">
        <w:rPr>
          <w:sz w:val="20"/>
          <w:szCs w:val="20"/>
        </w:rPr>
        <w:t xml:space="preserve">For the period 1 </w:t>
      </w:r>
      <w:r w:rsidR="00F7012D" w:rsidRPr="007D4151">
        <w:rPr>
          <w:sz w:val="20"/>
          <w:szCs w:val="20"/>
        </w:rPr>
        <w:t>January 2025 to 28 February 2025.</w:t>
      </w:r>
    </w:p>
    <w:p w14:paraId="34215B94" w14:textId="734C5DCD" w:rsidR="00A36068" w:rsidRPr="007D4151" w:rsidRDefault="00F7012D" w:rsidP="00CE0548">
      <w:pPr>
        <w:spacing w:after="0"/>
        <w:rPr>
          <w:sz w:val="20"/>
          <w:szCs w:val="20"/>
        </w:rPr>
      </w:pPr>
      <w:r w:rsidRPr="007D4151">
        <w:rPr>
          <w:sz w:val="20"/>
          <w:szCs w:val="20"/>
          <w:vertAlign w:val="superscript"/>
        </w:rPr>
        <w:t>5</w:t>
      </w:r>
      <w:r w:rsidR="00A36068" w:rsidRPr="007D4151">
        <w:rPr>
          <w:sz w:val="20"/>
          <w:szCs w:val="20"/>
        </w:rPr>
        <w:t xml:space="preserve">As </w:t>
      </w:r>
      <w:r w:rsidR="00D00965">
        <w:rPr>
          <w:sz w:val="20"/>
          <w:szCs w:val="20"/>
        </w:rPr>
        <w:t>Bevacizumab</w:t>
      </w:r>
      <w:r w:rsidR="00A36068" w:rsidRPr="007D4151">
        <w:rPr>
          <w:sz w:val="20"/>
          <w:szCs w:val="20"/>
        </w:rPr>
        <w:t xml:space="preserve"> became a</w:t>
      </w:r>
      <w:r w:rsidR="00684B43" w:rsidRPr="007D4151">
        <w:rPr>
          <w:sz w:val="20"/>
          <w:szCs w:val="20"/>
        </w:rPr>
        <w:t>n</w:t>
      </w:r>
      <w:r w:rsidR="00A36068" w:rsidRPr="007D4151">
        <w:rPr>
          <w:sz w:val="20"/>
          <w:szCs w:val="20"/>
        </w:rPr>
        <w:t xml:space="preserve"> unrestricted listing on 31 May 2021 its script numbers have been removed from the </w:t>
      </w:r>
      <w:r w:rsidR="00684B43" w:rsidRPr="007D4151">
        <w:rPr>
          <w:sz w:val="20"/>
          <w:szCs w:val="20"/>
        </w:rPr>
        <w:t>predicted</w:t>
      </w:r>
      <w:r w:rsidR="00A36068" w:rsidRPr="007D4151">
        <w:rPr>
          <w:sz w:val="20"/>
          <w:szCs w:val="20"/>
        </w:rPr>
        <w:t xml:space="preserve"> numbers</w:t>
      </w:r>
      <w:r w:rsidR="00684B43" w:rsidRPr="007D4151">
        <w:rPr>
          <w:sz w:val="20"/>
          <w:szCs w:val="20"/>
        </w:rPr>
        <w:t>.</w:t>
      </w:r>
    </w:p>
    <w:p w14:paraId="5F0583ED" w14:textId="1CB5A5C9" w:rsidR="009E54F4" w:rsidRPr="007D4151" w:rsidRDefault="009E54F4" w:rsidP="00CE0548">
      <w:pPr>
        <w:spacing w:after="0"/>
        <w:rPr>
          <w:sz w:val="20"/>
          <w:szCs w:val="20"/>
        </w:rPr>
      </w:pPr>
      <w:r w:rsidRPr="007D4151">
        <w:rPr>
          <w:sz w:val="20"/>
          <w:szCs w:val="20"/>
          <w:vertAlign w:val="superscript"/>
        </w:rPr>
        <w:t>6</w:t>
      </w:r>
      <w:r w:rsidRPr="007D4151">
        <w:rPr>
          <w:sz w:val="20"/>
          <w:szCs w:val="20"/>
        </w:rPr>
        <w:t>Difference is calculated as: ((Actual – Predicted)/Predicted) x 100.</w:t>
      </w:r>
    </w:p>
    <w:p w14:paraId="5F826DAA" w14:textId="77777777" w:rsidR="002469C6" w:rsidRDefault="002469C6" w:rsidP="00FC2D57">
      <w:pPr>
        <w:spacing w:after="0"/>
      </w:pPr>
    </w:p>
    <w:p w14:paraId="03548931" w14:textId="70999F21" w:rsidR="000729B7" w:rsidRPr="003C1B20" w:rsidRDefault="003C1B20" w:rsidP="003C1B20">
      <w:pPr>
        <w:spacing w:before="200" w:after="20"/>
        <w:rPr>
          <w:b/>
          <w:bCs/>
        </w:rPr>
      </w:pPr>
      <w:r>
        <w:rPr>
          <w:b/>
          <w:bCs/>
        </w:rPr>
        <w:t xml:space="preserve">Table </w:t>
      </w:r>
      <w:r w:rsidR="00C16B2D">
        <w:rPr>
          <w:b/>
          <w:bCs/>
        </w:rPr>
        <w:t>10</w:t>
      </w:r>
      <w:r>
        <w:rPr>
          <w:b/>
          <w:bCs/>
        </w:rPr>
        <w:t>: Actual prevalent patients for each year of listing</w:t>
      </w:r>
    </w:p>
    <w:tbl>
      <w:tblPr>
        <w:tblStyle w:val="TableGrid"/>
        <w:tblW w:w="0" w:type="auto"/>
        <w:tblLook w:val="04A0" w:firstRow="1" w:lastRow="0" w:firstColumn="1" w:lastColumn="0" w:noHBand="0" w:noVBand="1"/>
      </w:tblPr>
      <w:tblGrid>
        <w:gridCol w:w="1340"/>
        <w:gridCol w:w="3900"/>
      </w:tblGrid>
      <w:tr w:rsidR="004F082A" w:rsidRPr="004F082A" w14:paraId="3EB9C593" w14:textId="77777777" w:rsidTr="33B2DD86">
        <w:trPr>
          <w:trHeight w:val="288"/>
        </w:trPr>
        <w:tc>
          <w:tcPr>
            <w:tcW w:w="1340" w:type="dxa"/>
            <w:shd w:val="clear" w:color="auto" w:fill="BFBFBF" w:themeFill="background1" w:themeFillShade="BF"/>
            <w:noWrap/>
          </w:tcPr>
          <w:p w14:paraId="4591F937" w14:textId="1CE53B89" w:rsidR="004F082A" w:rsidRPr="003C1B20" w:rsidRDefault="006C0205" w:rsidP="004F082A">
            <w:pPr>
              <w:rPr>
                <w:rFonts w:cstheme="minorHAnsi"/>
                <w:b/>
                <w:bCs/>
                <w:sz w:val="20"/>
                <w:szCs w:val="20"/>
              </w:rPr>
            </w:pPr>
            <w:r w:rsidRPr="003C1B20">
              <w:rPr>
                <w:rFonts w:cstheme="minorHAnsi"/>
                <w:b/>
                <w:bCs/>
                <w:sz w:val="20"/>
                <w:szCs w:val="20"/>
              </w:rPr>
              <w:t>Y</w:t>
            </w:r>
            <w:r w:rsidR="004F082A" w:rsidRPr="003C1B20">
              <w:rPr>
                <w:rFonts w:cstheme="minorHAnsi"/>
                <w:b/>
                <w:bCs/>
                <w:sz w:val="20"/>
                <w:szCs w:val="20"/>
              </w:rPr>
              <w:t>ear</w:t>
            </w:r>
          </w:p>
        </w:tc>
        <w:tc>
          <w:tcPr>
            <w:tcW w:w="3900" w:type="dxa"/>
            <w:shd w:val="clear" w:color="auto" w:fill="BFBFBF" w:themeFill="background1" w:themeFillShade="BF"/>
            <w:noWrap/>
          </w:tcPr>
          <w:p w14:paraId="0C128D0C" w14:textId="43E74320" w:rsidR="004F082A" w:rsidRPr="003C1B20" w:rsidRDefault="002469C6" w:rsidP="004F082A">
            <w:pPr>
              <w:rPr>
                <w:rFonts w:cstheme="minorHAnsi"/>
                <w:b/>
                <w:bCs/>
                <w:sz w:val="20"/>
                <w:szCs w:val="20"/>
              </w:rPr>
            </w:pPr>
            <w:r w:rsidRPr="003C1B20">
              <w:rPr>
                <w:rFonts w:cstheme="minorHAnsi"/>
                <w:b/>
                <w:bCs/>
                <w:sz w:val="20"/>
                <w:szCs w:val="20"/>
              </w:rPr>
              <w:t>Prevalent patients</w:t>
            </w:r>
          </w:p>
        </w:tc>
      </w:tr>
      <w:tr w:rsidR="00C7389E" w:rsidRPr="004F082A" w14:paraId="4B062EFB" w14:textId="77777777" w:rsidTr="33B2DD86">
        <w:trPr>
          <w:trHeight w:val="288"/>
        </w:trPr>
        <w:tc>
          <w:tcPr>
            <w:tcW w:w="1340" w:type="dxa"/>
            <w:noWrap/>
            <w:hideMark/>
          </w:tcPr>
          <w:p w14:paraId="52A3B576" w14:textId="034C8F12" w:rsidR="00C7389E" w:rsidRPr="003C1B20" w:rsidRDefault="00C7389E" w:rsidP="00C7389E">
            <w:pPr>
              <w:rPr>
                <w:rFonts w:cstheme="minorHAnsi"/>
                <w:sz w:val="20"/>
                <w:szCs w:val="20"/>
              </w:rPr>
            </w:pPr>
            <w:r w:rsidRPr="003C1B20">
              <w:rPr>
                <w:rFonts w:cstheme="minorHAnsi"/>
                <w:sz w:val="20"/>
                <w:szCs w:val="20"/>
              </w:rPr>
              <w:t>2020</w:t>
            </w:r>
          </w:p>
        </w:tc>
        <w:tc>
          <w:tcPr>
            <w:tcW w:w="3900" w:type="dxa"/>
            <w:noWrap/>
            <w:vAlign w:val="bottom"/>
          </w:tcPr>
          <w:p w14:paraId="6D75608F" w14:textId="0D11EF0A" w:rsidR="00C7389E" w:rsidRPr="003C1B20" w:rsidRDefault="00C7389E" w:rsidP="003C1B20">
            <w:pPr>
              <w:jc w:val="center"/>
              <w:rPr>
                <w:rFonts w:cstheme="minorHAnsi"/>
                <w:sz w:val="20"/>
                <w:szCs w:val="20"/>
              </w:rPr>
            </w:pPr>
            <w:r w:rsidRPr="003C1B20">
              <w:rPr>
                <w:rFonts w:cstheme="minorHAnsi"/>
                <w:color w:val="000000"/>
                <w:sz w:val="20"/>
                <w:szCs w:val="20"/>
              </w:rPr>
              <w:t>112</w:t>
            </w:r>
          </w:p>
        </w:tc>
      </w:tr>
      <w:tr w:rsidR="00C7389E" w:rsidRPr="004F082A" w14:paraId="0AC44FE8" w14:textId="77777777" w:rsidTr="33B2DD86">
        <w:trPr>
          <w:trHeight w:val="288"/>
        </w:trPr>
        <w:tc>
          <w:tcPr>
            <w:tcW w:w="1340" w:type="dxa"/>
            <w:noWrap/>
            <w:hideMark/>
          </w:tcPr>
          <w:p w14:paraId="474535B7" w14:textId="2874F190" w:rsidR="00C7389E" w:rsidRPr="003C1B20" w:rsidRDefault="00C7389E" w:rsidP="00C7389E">
            <w:pPr>
              <w:rPr>
                <w:rFonts w:cstheme="minorHAnsi"/>
                <w:sz w:val="20"/>
                <w:szCs w:val="20"/>
              </w:rPr>
            </w:pPr>
            <w:r w:rsidRPr="003C1B20">
              <w:rPr>
                <w:rFonts w:cstheme="minorHAnsi"/>
                <w:sz w:val="20"/>
                <w:szCs w:val="20"/>
              </w:rPr>
              <w:t>2021</w:t>
            </w:r>
          </w:p>
        </w:tc>
        <w:tc>
          <w:tcPr>
            <w:tcW w:w="3900" w:type="dxa"/>
            <w:noWrap/>
            <w:vAlign w:val="bottom"/>
          </w:tcPr>
          <w:p w14:paraId="452A81DA" w14:textId="040BFCF9" w:rsidR="00C7389E" w:rsidRPr="003C1B20" w:rsidRDefault="00C7389E" w:rsidP="003C1B20">
            <w:pPr>
              <w:jc w:val="center"/>
              <w:rPr>
                <w:rFonts w:cstheme="minorHAnsi"/>
                <w:sz w:val="20"/>
                <w:szCs w:val="20"/>
              </w:rPr>
            </w:pPr>
            <w:r w:rsidRPr="003C1B20">
              <w:rPr>
                <w:rFonts w:cstheme="minorHAnsi"/>
                <w:color w:val="000000"/>
                <w:sz w:val="20"/>
                <w:szCs w:val="20"/>
              </w:rPr>
              <w:t>657</w:t>
            </w:r>
          </w:p>
        </w:tc>
      </w:tr>
      <w:tr w:rsidR="00C7389E" w:rsidRPr="004F082A" w14:paraId="13E15CB6" w14:textId="77777777" w:rsidTr="33B2DD86">
        <w:trPr>
          <w:trHeight w:val="288"/>
        </w:trPr>
        <w:tc>
          <w:tcPr>
            <w:tcW w:w="1340" w:type="dxa"/>
            <w:noWrap/>
            <w:hideMark/>
          </w:tcPr>
          <w:p w14:paraId="283A243D" w14:textId="56DE7369" w:rsidR="00C7389E" w:rsidRPr="003C1B20" w:rsidRDefault="00C7389E" w:rsidP="00C7389E">
            <w:pPr>
              <w:rPr>
                <w:rFonts w:cstheme="minorHAnsi"/>
                <w:sz w:val="20"/>
                <w:szCs w:val="20"/>
              </w:rPr>
            </w:pPr>
            <w:r w:rsidRPr="003C1B20">
              <w:rPr>
                <w:rFonts w:cstheme="minorHAnsi"/>
                <w:sz w:val="20"/>
                <w:szCs w:val="20"/>
              </w:rPr>
              <w:t>2022</w:t>
            </w:r>
          </w:p>
        </w:tc>
        <w:tc>
          <w:tcPr>
            <w:tcW w:w="3900" w:type="dxa"/>
            <w:noWrap/>
            <w:vAlign w:val="bottom"/>
          </w:tcPr>
          <w:p w14:paraId="598D1166" w14:textId="5AF4819F" w:rsidR="00C7389E" w:rsidRPr="003C1B20" w:rsidRDefault="00C7389E" w:rsidP="003C1B20">
            <w:pPr>
              <w:jc w:val="center"/>
              <w:rPr>
                <w:rFonts w:cstheme="minorHAnsi"/>
                <w:sz w:val="20"/>
                <w:szCs w:val="20"/>
              </w:rPr>
            </w:pPr>
            <w:r w:rsidRPr="003C1B20">
              <w:rPr>
                <w:rFonts w:cstheme="minorHAnsi"/>
                <w:color w:val="000000"/>
                <w:sz w:val="20"/>
                <w:szCs w:val="20"/>
              </w:rPr>
              <w:t>869</w:t>
            </w:r>
          </w:p>
        </w:tc>
      </w:tr>
      <w:tr w:rsidR="00C7389E" w:rsidRPr="004F082A" w14:paraId="09B745C0" w14:textId="77777777" w:rsidTr="33B2DD86">
        <w:trPr>
          <w:trHeight w:val="288"/>
        </w:trPr>
        <w:tc>
          <w:tcPr>
            <w:tcW w:w="1340" w:type="dxa"/>
            <w:noWrap/>
            <w:hideMark/>
          </w:tcPr>
          <w:p w14:paraId="47AE5FC0" w14:textId="63539F4E" w:rsidR="00C7389E" w:rsidRPr="003C1B20" w:rsidRDefault="00C7389E" w:rsidP="00C7389E">
            <w:pPr>
              <w:rPr>
                <w:rFonts w:cstheme="minorHAnsi"/>
                <w:sz w:val="20"/>
                <w:szCs w:val="20"/>
              </w:rPr>
            </w:pPr>
            <w:r w:rsidRPr="003C1B20">
              <w:rPr>
                <w:rFonts w:cstheme="minorHAnsi"/>
                <w:sz w:val="20"/>
                <w:szCs w:val="20"/>
              </w:rPr>
              <w:t>2023</w:t>
            </w:r>
          </w:p>
        </w:tc>
        <w:tc>
          <w:tcPr>
            <w:tcW w:w="3900" w:type="dxa"/>
            <w:noWrap/>
            <w:vAlign w:val="bottom"/>
          </w:tcPr>
          <w:p w14:paraId="079C13FB" w14:textId="711D8E32" w:rsidR="00C7389E" w:rsidRPr="003C1B20" w:rsidRDefault="00C7389E" w:rsidP="003C1B20">
            <w:pPr>
              <w:jc w:val="center"/>
              <w:rPr>
                <w:rFonts w:cstheme="minorHAnsi"/>
                <w:sz w:val="20"/>
                <w:szCs w:val="20"/>
              </w:rPr>
            </w:pPr>
            <w:r w:rsidRPr="003C1B20">
              <w:rPr>
                <w:rFonts w:cstheme="minorHAnsi"/>
                <w:color w:val="000000"/>
                <w:sz w:val="20"/>
                <w:szCs w:val="20"/>
              </w:rPr>
              <w:t>955</w:t>
            </w:r>
          </w:p>
        </w:tc>
      </w:tr>
      <w:tr w:rsidR="00C7389E" w:rsidRPr="004F082A" w14:paraId="62934005" w14:textId="77777777" w:rsidTr="33B2DD86">
        <w:trPr>
          <w:trHeight w:val="288"/>
        </w:trPr>
        <w:tc>
          <w:tcPr>
            <w:tcW w:w="1340" w:type="dxa"/>
            <w:noWrap/>
            <w:hideMark/>
          </w:tcPr>
          <w:p w14:paraId="56FB87C1" w14:textId="6A1C31E0" w:rsidR="00C7389E" w:rsidRPr="003C1B20" w:rsidRDefault="00C7389E" w:rsidP="00C7389E">
            <w:pPr>
              <w:rPr>
                <w:rFonts w:cstheme="minorHAnsi"/>
                <w:sz w:val="20"/>
                <w:szCs w:val="20"/>
              </w:rPr>
            </w:pPr>
            <w:r w:rsidRPr="003C1B20">
              <w:rPr>
                <w:rFonts w:cstheme="minorHAnsi"/>
                <w:sz w:val="20"/>
                <w:szCs w:val="20"/>
              </w:rPr>
              <w:t>2024</w:t>
            </w:r>
          </w:p>
        </w:tc>
        <w:tc>
          <w:tcPr>
            <w:tcW w:w="3900" w:type="dxa"/>
            <w:noWrap/>
            <w:vAlign w:val="bottom"/>
          </w:tcPr>
          <w:p w14:paraId="0A93C903" w14:textId="35774389" w:rsidR="00C7389E" w:rsidRPr="003C1B20" w:rsidRDefault="00C7389E" w:rsidP="003C1B20">
            <w:pPr>
              <w:jc w:val="center"/>
              <w:rPr>
                <w:rFonts w:cstheme="minorHAnsi"/>
                <w:sz w:val="20"/>
                <w:szCs w:val="20"/>
              </w:rPr>
            </w:pPr>
            <w:r w:rsidRPr="003C1B20">
              <w:rPr>
                <w:rFonts w:cstheme="minorHAnsi"/>
                <w:color w:val="000000"/>
                <w:sz w:val="20"/>
                <w:szCs w:val="20"/>
              </w:rPr>
              <w:t>1</w:t>
            </w:r>
            <w:r w:rsidR="007D5AF9">
              <w:rPr>
                <w:rFonts w:cstheme="minorHAnsi"/>
                <w:color w:val="000000"/>
                <w:sz w:val="20"/>
                <w:szCs w:val="20"/>
              </w:rPr>
              <w:t>,</w:t>
            </w:r>
            <w:r w:rsidRPr="003C1B20">
              <w:rPr>
                <w:rFonts w:cstheme="minorHAnsi"/>
                <w:color w:val="000000"/>
                <w:sz w:val="20"/>
                <w:szCs w:val="20"/>
              </w:rPr>
              <w:t>010</w:t>
            </w:r>
          </w:p>
        </w:tc>
      </w:tr>
      <w:tr w:rsidR="00C7389E" w:rsidRPr="004F082A" w14:paraId="5D87CC7A" w14:textId="77777777" w:rsidTr="33B2DD86">
        <w:trPr>
          <w:trHeight w:val="288"/>
        </w:trPr>
        <w:tc>
          <w:tcPr>
            <w:tcW w:w="1340" w:type="dxa"/>
            <w:noWrap/>
          </w:tcPr>
          <w:p w14:paraId="7E536233" w14:textId="04604DE4" w:rsidR="00C7389E" w:rsidRPr="003C1B20" w:rsidRDefault="00C7389E" w:rsidP="00C7389E">
            <w:pPr>
              <w:rPr>
                <w:rFonts w:cstheme="minorHAnsi"/>
                <w:sz w:val="20"/>
                <w:szCs w:val="20"/>
              </w:rPr>
            </w:pPr>
            <w:r w:rsidRPr="003C1B20">
              <w:rPr>
                <w:rFonts w:cstheme="minorHAnsi"/>
                <w:sz w:val="20"/>
                <w:szCs w:val="20"/>
              </w:rPr>
              <w:t>2025</w:t>
            </w:r>
          </w:p>
        </w:tc>
        <w:tc>
          <w:tcPr>
            <w:tcW w:w="3900" w:type="dxa"/>
            <w:noWrap/>
            <w:vAlign w:val="bottom"/>
          </w:tcPr>
          <w:p w14:paraId="5FEB361C" w14:textId="0D73ECB1" w:rsidR="00C7389E" w:rsidRPr="003C1B20" w:rsidRDefault="00C7389E" w:rsidP="003C1B20">
            <w:pPr>
              <w:jc w:val="center"/>
              <w:rPr>
                <w:rFonts w:cstheme="minorHAnsi"/>
                <w:sz w:val="20"/>
                <w:szCs w:val="20"/>
              </w:rPr>
            </w:pPr>
            <w:r w:rsidRPr="003C1B20">
              <w:rPr>
                <w:rFonts w:cstheme="minorHAnsi"/>
                <w:color w:val="000000"/>
                <w:sz w:val="20"/>
                <w:szCs w:val="20"/>
              </w:rPr>
              <w:t>544</w:t>
            </w:r>
          </w:p>
        </w:tc>
      </w:tr>
    </w:tbl>
    <w:p w14:paraId="26E2585A" w14:textId="77777777" w:rsidR="000729B7" w:rsidRDefault="000729B7" w:rsidP="00FC2D57">
      <w:pPr>
        <w:spacing w:after="0"/>
      </w:pPr>
    </w:p>
    <w:p w14:paraId="58DBE205" w14:textId="0F3B027A" w:rsidR="007802A6" w:rsidRPr="003C1B20" w:rsidRDefault="003C1B20" w:rsidP="003C1B20">
      <w:pPr>
        <w:spacing w:before="200" w:after="20"/>
        <w:rPr>
          <w:b/>
          <w:bCs/>
        </w:rPr>
      </w:pPr>
      <w:r>
        <w:rPr>
          <w:b/>
          <w:bCs/>
        </w:rPr>
        <w:t>Table 1</w:t>
      </w:r>
      <w:r w:rsidR="00C16B2D">
        <w:rPr>
          <w:b/>
          <w:bCs/>
        </w:rPr>
        <w:t>1</w:t>
      </w:r>
      <w:r>
        <w:rPr>
          <w:b/>
          <w:bCs/>
        </w:rPr>
        <w:t>: Actual Grandfathered patients for each year of listing</w:t>
      </w:r>
    </w:p>
    <w:tbl>
      <w:tblPr>
        <w:tblStyle w:val="TableGrid"/>
        <w:tblW w:w="0" w:type="auto"/>
        <w:tblLook w:val="04A0" w:firstRow="1" w:lastRow="0" w:firstColumn="1" w:lastColumn="0" w:noHBand="0" w:noVBand="1"/>
      </w:tblPr>
      <w:tblGrid>
        <w:gridCol w:w="1340"/>
        <w:gridCol w:w="3900"/>
      </w:tblGrid>
      <w:tr w:rsidR="00614E5D" w:rsidRPr="001A08CF" w14:paraId="0481DF0E" w14:textId="1DABF891" w:rsidTr="003C1B20">
        <w:trPr>
          <w:trHeight w:val="288"/>
        </w:trPr>
        <w:tc>
          <w:tcPr>
            <w:tcW w:w="1340" w:type="dxa"/>
            <w:shd w:val="clear" w:color="auto" w:fill="BFBFBF" w:themeFill="background1" w:themeFillShade="BF"/>
            <w:noWrap/>
          </w:tcPr>
          <w:p w14:paraId="2B14B892" w14:textId="7324FE38" w:rsidR="00614E5D" w:rsidRPr="003C1B20" w:rsidRDefault="003C1B20" w:rsidP="001A08CF">
            <w:pPr>
              <w:rPr>
                <w:b/>
                <w:bCs/>
                <w:sz w:val="20"/>
                <w:szCs w:val="20"/>
              </w:rPr>
            </w:pPr>
            <w:r w:rsidRPr="003C1B20">
              <w:rPr>
                <w:b/>
                <w:bCs/>
                <w:sz w:val="20"/>
                <w:szCs w:val="20"/>
              </w:rPr>
              <w:t>Year</w:t>
            </w:r>
          </w:p>
        </w:tc>
        <w:tc>
          <w:tcPr>
            <w:tcW w:w="3900" w:type="dxa"/>
            <w:shd w:val="clear" w:color="auto" w:fill="BFBFBF" w:themeFill="background1" w:themeFillShade="BF"/>
            <w:noWrap/>
          </w:tcPr>
          <w:p w14:paraId="54F98C22" w14:textId="6DBCB473" w:rsidR="00614E5D" w:rsidRPr="003C1B20" w:rsidRDefault="00614E5D" w:rsidP="001A08CF">
            <w:pPr>
              <w:rPr>
                <w:b/>
                <w:bCs/>
                <w:sz w:val="20"/>
                <w:szCs w:val="20"/>
              </w:rPr>
            </w:pPr>
            <w:r w:rsidRPr="003C1B20">
              <w:rPr>
                <w:b/>
                <w:bCs/>
                <w:sz w:val="20"/>
                <w:szCs w:val="20"/>
              </w:rPr>
              <w:t>Incident Grandfathered patients</w:t>
            </w:r>
          </w:p>
        </w:tc>
      </w:tr>
      <w:tr w:rsidR="00C529A4" w:rsidRPr="001A08CF" w14:paraId="2D0B059A" w14:textId="0A18D5A6" w:rsidTr="00614E5D">
        <w:trPr>
          <w:trHeight w:val="288"/>
        </w:trPr>
        <w:tc>
          <w:tcPr>
            <w:tcW w:w="1340" w:type="dxa"/>
            <w:noWrap/>
            <w:hideMark/>
          </w:tcPr>
          <w:p w14:paraId="1119901C" w14:textId="610F4D98" w:rsidR="00C529A4" w:rsidRPr="003C1B20" w:rsidRDefault="00C529A4" w:rsidP="00C529A4">
            <w:pPr>
              <w:rPr>
                <w:sz w:val="20"/>
                <w:szCs w:val="20"/>
              </w:rPr>
            </w:pPr>
            <w:r w:rsidRPr="003C1B20">
              <w:rPr>
                <w:sz w:val="20"/>
                <w:szCs w:val="20"/>
              </w:rPr>
              <w:t>2020</w:t>
            </w:r>
          </w:p>
        </w:tc>
        <w:tc>
          <w:tcPr>
            <w:tcW w:w="3900" w:type="dxa"/>
            <w:noWrap/>
            <w:hideMark/>
          </w:tcPr>
          <w:p w14:paraId="1CBA2ADC" w14:textId="4CA03F83" w:rsidR="00C529A4" w:rsidRPr="003C1B20" w:rsidRDefault="00C529A4" w:rsidP="003C1B20">
            <w:pPr>
              <w:jc w:val="center"/>
              <w:rPr>
                <w:sz w:val="20"/>
                <w:szCs w:val="20"/>
              </w:rPr>
            </w:pPr>
            <w:r w:rsidRPr="003C1B20">
              <w:rPr>
                <w:sz w:val="20"/>
                <w:szCs w:val="20"/>
              </w:rPr>
              <w:t>35</w:t>
            </w:r>
          </w:p>
        </w:tc>
      </w:tr>
      <w:tr w:rsidR="00C529A4" w:rsidRPr="001A08CF" w14:paraId="5D36C016" w14:textId="054FC03B" w:rsidTr="00614E5D">
        <w:trPr>
          <w:trHeight w:val="288"/>
        </w:trPr>
        <w:tc>
          <w:tcPr>
            <w:tcW w:w="1340" w:type="dxa"/>
            <w:noWrap/>
            <w:hideMark/>
          </w:tcPr>
          <w:p w14:paraId="1AE2A9F5" w14:textId="1671F62E" w:rsidR="00C529A4" w:rsidRPr="003C1B20" w:rsidRDefault="00C529A4" w:rsidP="00C529A4">
            <w:pPr>
              <w:rPr>
                <w:sz w:val="20"/>
                <w:szCs w:val="20"/>
              </w:rPr>
            </w:pPr>
            <w:r w:rsidRPr="003C1B20">
              <w:rPr>
                <w:sz w:val="20"/>
                <w:szCs w:val="20"/>
              </w:rPr>
              <w:t>2021</w:t>
            </w:r>
          </w:p>
        </w:tc>
        <w:tc>
          <w:tcPr>
            <w:tcW w:w="3900" w:type="dxa"/>
            <w:noWrap/>
            <w:hideMark/>
          </w:tcPr>
          <w:p w14:paraId="049EDAA6" w14:textId="3AB16AB8" w:rsidR="00C529A4" w:rsidRPr="003C1B20" w:rsidRDefault="00C529A4" w:rsidP="003C1B20">
            <w:pPr>
              <w:jc w:val="center"/>
              <w:rPr>
                <w:sz w:val="20"/>
                <w:szCs w:val="20"/>
              </w:rPr>
            </w:pPr>
            <w:r w:rsidRPr="003C1B20">
              <w:rPr>
                <w:sz w:val="20"/>
                <w:szCs w:val="20"/>
              </w:rPr>
              <w:t>24</w:t>
            </w:r>
          </w:p>
        </w:tc>
      </w:tr>
      <w:tr w:rsidR="00C529A4" w:rsidRPr="001A08CF" w14:paraId="41542CEE" w14:textId="77777777" w:rsidTr="00614E5D">
        <w:trPr>
          <w:trHeight w:val="288"/>
        </w:trPr>
        <w:tc>
          <w:tcPr>
            <w:tcW w:w="1340" w:type="dxa"/>
            <w:noWrap/>
          </w:tcPr>
          <w:p w14:paraId="2059CB4F" w14:textId="10ACC4BD" w:rsidR="00C529A4" w:rsidRPr="003C1B20" w:rsidRDefault="00C529A4" w:rsidP="00C529A4">
            <w:pPr>
              <w:rPr>
                <w:sz w:val="20"/>
                <w:szCs w:val="20"/>
              </w:rPr>
            </w:pPr>
            <w:r w:rsidRPr="003C1B20">
              <w:rPr>
                <w:sz w:val="20"/>
                <w:szCs w:val="20"/>
              </w:rPr>
              <w:t>2022</w:t>
            </w:r>
          </w:p>
        </w:tc>
        <w:tc>
          <w:tcPr>
            <w:tcW w:w="3900" w:type="dxa"/>
            <w:noWrap/>
          </w:tcPr>
          <w:p w14:paraId="2FD96067" w14:textId="4357DE6C" w:rsidR="00C529A4" w:rsidRPr="003C1B20" w:rsidRDefault="00C529A4" w:rsidP="003C1B20">
            <w:pPr>
              <w:jc w:val="center"/>
              <w:rPr>
                <w:sz w:val="20"/>
                <w:szCs w:val="20"/>
              </w:rPr>
            </w:pPr>
            <w:r w:rsidRPr="003C1B20">
              <w:rPr>
                <w:sz w:val="20"/>
                <w:szCs w:val="20"/>
              </w:rPr>
              <w:t>12</w:t>
            </w:r>
          </w:p>
        </w:tc>
      </w:tr>
      <w:tr w:rsidR="00C529A4" w:rsidRPr="001A08CF" w14:paraId="7A1DF89E" w14:textId="77777777" w:rsidTr="00614E5D">
        <w:trPr>
          <w:trHeight w:val="288"/>
        </w:trPr>
        <w:tc>
          <w:tcPr>
            <w:tcW w:w="1340" w:type="dxa"/>
            <w:noWrap/>
          </w:tcPr>
          <w:p w14:paraId="1D42D007" w14:textId="1EA5B395" w:rsidR="00C529A4" w:rsidRPr="003C1B20" w:rsidRDefault="00C529A4" w:rsidP="00C529A4">
            <w:pPr>
              <w:rPr>
                <w:sz w:val="20"/>
                <w:szCs w:val="20"/>
              </w:rPr>
            </w:pPr>
            <w:r w:rsidRPr="003C1B20">
              <w:rPr>
                <w:sz w:val="20"/>
                <w:szCs w:val="20"/>
              </w:rPr>
              <w:t>Total</w:t>
            </w:r>
          </w:p>
        </w:tc>
        <w:tc>
          <w:tcPr>
            <w:tcW w:w="3900" w:type="dxa"/>
            <w:noWrap/>
          </w:tcPr>
          <w:p w14:paraId="273367B3" w14:textId="1CFCBD50" w:rsidR="00C529A4" w:rsidRPr="003C1B20" w:rsidRDefault="00C529A4" w:rsidP="003C1B20">
            <w:pPr>
              <w:jc w:val="center"/>
              <w:rPr>
                <w:sz w:val="20"/>
                <w:szCs w:val="20"/>
              </w:rPr>
            </w:pPr>
            <w:r w:rsidRPr="003C1B20">
              <w:rPr>
                <w:sz w:val="20"/>
                <w:szCs w:val="20"/>
              </w:rPr>
              <w:t>71</w:t>
            </w:r>
          </w:p>
        </w:tc>
      </w:tr>
    </w:tbl>
    <w:p w14:paraId="51DF684E" w14:textId="1C33CCA5" w:rsidR="001A08CF" w:rsidRPr="007D4151" w:rsidRDefault="00F768D6" w:rsidP="00CE0548">
      <w:pPr>
        <w:spacing w:after="0"/>
        <w:rPr>
          <w:sz w:val="20"/>
          <w:szCs w:val="20"/>
        </w:rPr>
      </w:pPr>
      <w:r w:rsidRPr="007D4151">
        <w:rPr>
          <w:sz w:val="20"/>
          <w:szCs w:val="20"/>
        </w:rPr>
        <w:t>Note:</w:t>
      </w:r>
    </w:p>
    <w:p w14:paraId="1E892442" w14:textId="70864B8E" w:rsidR="00F768D6" w:rsidRPr="007D4151" w:rsidRDefault="00F768D6" w:rsidP="003929A3">
      <w:pPr>
        <w:spacing w:after="0"/>
        <w:rPr>
          <w:sz w:val="20"/>
          <w:szCs w:val="20"/>
        </w:rPr>
      </w:pPr>
      <w:r w:rsidRPr="007D4151">
        <w:rPr>
          <w:sz w:val="20"/>
          <w:szCs w:val="20"/>
        </w:rPr>
        <w:t xml:space="preserve">Item codes: </w:t>
      </w:r>
      <w:r w:rsidR="003929A3" w:rsidRPr="007D4151">
        <w:rPr>
          <w:sz w:val="20"/>
          <w:szCs w:val="20"/>
        </w:rPr>
        <w:t xml:space="preserve">12163E, 12164F – for </w:t>
      </w:r>
      <w:r w:rsidR="002921AB" w:rsidRPr="007D4151">
        <w:rPr>
          <w:sz w:val="20"/>
          <w:szCs w:val="20"/>
        </w:rPr>
        <w:t>Transitioning from non-PBS-subsidised to PBS-subsidised supply - Grandfather treatment commenced on 1 November 2020 and ceased on 31 October 2022.</w:t>
      </w:r>
    </w:p>
    <w:p w14:paraId="61DEAB4D" w14:textId="77777777" w:rsidR="003C1B20" w:rsidRPr="003C1B20" w:rsidRDefault="003C1B20" w:rsidP="003929A3">
      <w:pPr>
        <w:spacing w:after="0"/>
        <w:rPr>
          <w:sz w:val="18"/>
          <w:szCs w:val="18"/>
        </w:rPr>
      </w:pPr>
    </w:p>
    <w:p w14:paraId="11BAB5EA" w14:textId="5C8BADEC" w:rsidR="003C1B20" w:rsidRPr="00733D89" w:rsidRDefault="003C1B20" w:rsidP="003C1B20">
      <w:pPr>
        <w:spacing w:after="0"/>
        <w:rPr>
          <w:vanish/>
          <w:specVanish/>
        </w:rPr>
      </w:pPr>
      <w:r>
        <w:t xml:space="preserve">The submission assumed that there would be </w:t>
      </w:r>
      <w:r w:rsidR="00A8535D" w:rsidRPr="00752B4E">
        <w:rPr>
          <w:highlight w:val="black"/>
        </w:rPr>
        <w:t>XXX</w:t>
      </w:r>
      <w:r>
        <w:t xml:space="preserve"> Grandfathered patients in year 1.</w:t>
      </w:r>
    </w:p>
    <w:p w14:paraId="1A4B1A77" w14:textId="750F8BF4" w:rsidR="009219EB" w:rsidRDefault="00733D89" w:rsidP="00CE0548">
      <w:pPr>
        <w:spacing w:after="0"/>
      </w:pPr>
      <w:r>
        <w:t xml:space="preserve"> </w:t>
      </w:r>
    </w:p>
    <w:p w14:paraId="0C6C638C" w14:textId="77777777" w:rsidR="00126AAC" w:rsidRDefault="00126AAC" w:rsidP="00CE0548">
      <w:pPr>
        <w:spacing w:after="0"/>
      </w:pPr>
    </w:p>
    <w:p w14:paraId="17AE5930" w14:textId="77777777" w:rsidR="00126AAC" w:rsidRDefault="00126AAC" w:rsidP="00CE0548">
      <w:pPr>
        <w:spacing w:after="0"/>
      </w:pPr>
    </w:p>
    <w:p w14:paraId="1BD1F812" w14:textId="77777777" w:rsidR="00126AAC" w:rsidRDefault="00126AAC" w:rsidP="00CE0548">
      <w:pPr>
        <w:spacing w:after="0"/>
      </w:pPr>
    </w:p>
    <w:p w14:paraId="1E863C91" w14:textId="77777777" w:rsidR="00126AAC" w:rsidRDefault="00126AAC" w:rsidP="00CE0548">
      <w:pPr>
        <w:spacing w:after="0"/>
      </w:pPr>
    </w:p>
    <w:p w14:paraId="7C9E2C25" w14:textId="15D89E1E" w:rsidR="009219EB" w:rsidRPr="003C1B20" w:rsidRDefault="003C1B20" w:rsidP="003C1B20">
      <w:pPr>
        <w:spacing w:before="200" w:after="20"/>
        <w:rPr>
          <w:b/>
          <w:bCs/>
        </w:rPr>
      </w:pPr>
      <w:r>
        <w:rPr>
          <w:b/>
          <w:bCs/>
        </w:rPr>
        <w:lastRenderedPageBreak/>
        <w:t>Table 1</w:t>
      </w:r>
      <w:r w:rsidR="00C16B2D">
        <w:rPr>
          <w:b/>
          <w:bCs/>
        </w:rPr>
        <w:t>2</w:t>
      </w:r>
      <w:r>
        <w:rPr>
          <w:b/>
          <w:bCs/>
        </w:rPr>
        <w:t>: Actual patients being dispensed subcutaneous dosing for each year of listing</w:t>
      </w:r>
    </w:p>
    <w:tbl>
      <w:tblPr>
        <w:tblStyle w:val="TableGrid"/>
        <w:tblW w:w="5523" w:type="dxa"/>
        <w:tblLook w:val="04A0" w:firstRow="1" w:lastRow="0" w:firstColumn="1" w:lastColumn="0" w:noHBand="0" w:noVBand="1"/>
      </w:tblPr>
      <w:tblGrid>
        <w:gridCol w:w="885"/>
        <w:gridCol w:w="1546"/>
        <w:gridCol w:w="1546"/>
        <w:gridCol w:w="1546"/>
      </w:tblGrid>
      <w:tr w:rsidR="009219EB" w:rsidRPr="009219EB" w14:paraId="15728CBE" w14:textId="77777777" w:rsidTr="33B2DD86">
        <w:trPr>
          <w:trHeight w:val="290"/>
        </w:trPr>
        <w:tc>
          <w:tcPr>
            <w:tcW w:w="885" w:type="dxa"/>
            <w:shd w:val="clear" w:color="auto" w:fill="BFBFBF" w:themeFill="background1" w:themeFillShade="BF"/>
            <w:noWrap/>
            <w:hideMark/>
          </w:tcPr>
          <w:p w14:paraId="245991A1" w14:textId="68C08490" w:rsidR="009219EB" w:rsidRPr="003C1B20" w:rsidRDefault="003C1B20" w:rsidP="009219EB">
            <w:pPr>
              <w:rPr>
                <w:b/>
                <w:bCs/>
                <w:sz w:val="20"/>
                <w:szCs w:val="20"/>
              </w:rPr>
            </w:pPr>
            <w:r w:rsidRPr="003C1B20">
              <w:rPr>
                <w:b/>
                <w:bCs/>
                <w:sz w:val="20"/>
                <w:szCs w:val="20"/>
              </w:rPr>
              <w:t>Y</w:t>
            </w:r>
            <w:r w:rsidR="009219EB" w:rsidRPr="003C1B20">
              <w:rPr>
                <w:b/>
                <w:bCs/>
                <w:sz w:val="20"/>
                <w:szCs w:val="20"/>
              </w:rPr>
              <w:t>ear</w:t>
            </w:r>
          </w:p>
        </w:tc>
        <w:tc>
          <w:tcPr>
            <w:tcW w:w="1546" w:type="dxa"/>
            <w:shd w:val="clear" w:color="auto" w:fill="BFBFBF" w:themeFill="background1" w:themeFillShade="BF"/>
            <w:noWrap/>
            <w:hideMark/>
          </w:tcPr>
          <w:p w14:paraId="1B34944C" w14:textId="48F5DBF5" w:rsidR="009219EB" w:rsidRPr="003C1B20" w:rsidRDefault="009219EB" w:rsidP="009219EB">
            <w:pPr>
              <w:rPr>
                <w:b/>
                <w:bCs/>
                <w:sz w:val="20"/>
                <w:szCs w:val="20"/>
              </w:rPr>
            </w:pPr>
            <w:r w:rsidRPr="003C1B20">
              <w:rPr>
                <w:b/>
                <w:bCs/>
                <w:sz w:val="20"/>
                <w:szCs w:val="20"/>
              </w:rPr>
              <w:t>Incident patients</w:t>
            </w:r>
          </w:p>
        </w:tc>
        <w:tc>
          <w:tcPr>
            <w:tcW w:w="1546" w:type="dxa"/>
            <w:shd w:val="clear" w:color="auto" w:fill="BFBFBF" w:themeFill="background1" w:themeFillShade="BF"/>
            <w:noWrap/>
            <w:hideMark/>
          </w:tcPr>
          <w:p w14:paraId="4B29F409" w14:textId="59A1D70A" w:rsidR="009219EB" w:rsidRPr="003C1B20" w:rsidRDefault="009219EB" w:rsidP="009219EB">
            <w:pPr>
              <w:rPr>
                <w:b/>
                <w:bCs/>
                <w:sz w:val="20"/>
                <w:szCs w:val="20"/>
              </w:rPr>
            </w:pPr>
            <w:r w:rsidRPr="003C1B20">
              <w:rPr>
                <w:b/>
                <w:bCs/>
                <w:sz w:val="20"/>
                <w:szCs w:val="20"/>
              </w:rPr>
              <w:t>Prevalent patients</w:t>
            </w:r>
          </w:p>
        </w:tc>
        <w:tc>
          <w:tcPr>
            <w:tcW w:w="1546" w:type="dxa"/>
            <w:shd w:val="clear" w:color="auto" w:fill="BFBFBF" w:themeFill="background1" w:themeFillShade="BF"/>
            <w:noWrap/>
            <w:hideMark/>
          </w:tcPr>
          <w:p w14:paraId="2383E19A" w14:textId="483790B4" w:rsidR="009219EB" w:rsidRPr="003C1B20" w:rsidRDefault="009219EB" w:rsidP="009219EB">
            <w:pPr>
              <w:rPr>
                <w:b/>
                <w:bCs/>
                <w:sz w:val="20"/>
                <w:szCs w:val="20"/>
              </w:rPr>
            </w:pPr>
            <w:r w:rsidRPr="003C1B20">
              <w:rPr>
                <w:b/>
                <w:bCs/>
                <w:sz w:val="20"/>
                <w:szCs w:val="20"/>
              </w:rPr>
              <w:t>Scripts</w:t>
            </w:r>
          </w:p>
        </w:tc>
      </w:tr>
      <w:tr w:rsidR="009219EB" w:rsidRPr="009219EB" w14:paraId="2361BF7A" w14:textId="77777777" w:rsidTr="33B2DD86">
        <w:trPr>
          <w:trHeight w:val="290"/>
        </w:trPr>
        <w:tc>
          <w:tcPr>
            <w:tcW w:w="885" w:type="dxa"/>
            <w:noWrap/>
            <w:hideMark/>
          </w:tcPr>
          <w:p w14:paraId="668E068D" w14:textId="77777777" w:rsidR="009219EB" w:rsidRPr="003C1B20" w:rsidRDefault="009219EB" w:rsidP="009219EB">
            <w:pPr>
              <w:rPr>
                <w:sz w:val="20"/>
                <w:szCs w:val="20"/>
              </w:rPr>
            </w:pPr>
            <w:r w:rsidRPr="003C1B20">
              <w:rPr>
                <w:sz w:val="20"/>
                <w:szCs w:val="20"/>
              </w:rPr>
              <w:t>2024</w:t>
            </w:r>
          </w:p>
        </w:tc>
        <w:tc>
          <w:tcPr>
            <w:tcW w:w="1546" w:type="dxa"/>
            <w:noWrap/>
            <w:hideMark/>
          </w:tcPr>
          <w:p w14:paraId="719E2B88" w14:textId="386AC9FB" w:rsidR="009219EB" w:rsidRPr="00752B4E" w:rsidRDefault="002A6290" w:rsidP="003C1B20">
            <w:pPr>
              <w:jc w:val="center"/>
              <w:rPr>
                <w:sz w:val="20"/>
                <w:szCs w:val="20"/>
                <w:highlight w:val="black"/>
              </w:rPr>
            </w:pPr>
            <w:r w:rsidRPr="00752B4E">
              <w:rPr>
                <w:sz w:val="20"/>
                <w:szCs w:val="20"/>
                <w:highlight w:val="black"/>
              </w:rPr>
              <w:t>XXX</w:t>
            </w:r>
          </w:p>
        </w:tc>
        <w:tc>
          <w:tcPr>
            <w:tcW w:w="1546" w:type="dxa"/>
            <w:noWrap/>
            <w:hideMark/>
          </w:tcPr>
          <w:p w14:paraId="5BF8F837" w14:textId="4F9A3DCC" w:rsidR="009219EB" w:rsidRPr="00752B4E" w:rsidRDefault="002A6290" w:rsidP="003C1B20">
            <w:pPr>
              <w:jc w:val="center"/>
              <w:rPr>
                <w:sz w:val="20"/>
                <w:szCs w:val="20"/>
                <w:highlight w:val="black"/>
              </w:rPr>
            </w:pPr>
            <w:r w:rsidRPr="00752B4E">
              <w:rPr>
                <w:sz w:val="20"/>
                <w:szCs w:val="20"/>
                <w:highlight w:val="black"/>
              </w:rPr>
              <w:t>XXX</w:t>
            </w:r>
          </w:p>
        </w:tc>
        <w:tc>
          <w:tcPr>
            <w:tcW w:w="1546" w:type="dxa"/>
            <w:noWrap/>
            <w:hideMark/>
          </w:tcPr>
          <w:p w14:paraId="795740E6" w14:textId="0BDEFD33" w:rsidR="009219EB" w:rsidRPr="00752B4E" w:rsidRDefault="00B428CF" w:rsidP="003C1B20">
            <w:pPr>
              <w:jc w:val="center"/>
              <w:rPr>
                <w:sz w:val="20"/>
                <w:szCs w:val="20"/>
                <w:highlight w:val="black"/>
              </w:rPr>
            </w:pPr>
            <w:r w:rsidRPr="00752B4E">
              <w:rPr>
                <w:sz w:val="20"/>
                <w:szCs w:val="20"/>
                <w:highlight w:val="black"/>
              </w:rPr>
              <w:t>XXX</w:t>
            </w:r>
          </w:p>
        </w:tc>
      </w:tr>
      <w:tr w:rsidR="009219EB" w:rsidRPr="009219EB" w14:paraId="1494F97E" w14:textId="77777777" w:rsidTr="33B2DD86">
        <w:trPr>
          <w:trHeight w:val="290"/>
        </w:trPr>
        <w:tc>
          <w:tcPr>
            <w:tcW w:w="885" w:type="dxa"/>
            <w:noWrap/>
            <w:hideMark/>
          </w:tcPr>
          <w:p w14:paraId="77FB71F9" w14:textId="77777777" w:rsidR="009219EB" w:rsidRPr="003C1B20" w:rsidRDefault="009219EB" w:rsidP="009219EB">
            <w:pPr>
              <w:rPr>
                <w:sz w:val="20"/>
                <w:szCs w:val="20"/>
              </w:rPr>
            </w:pPr>
            <w:r w:rsidRPr="003C1B20">
              <w:rPr>
                <w:sz w:val="20"/>
                <w:szCs w:val="20"/>
              </w:rPr>
              <w:t>2024</w:t>
            </w:r>
          </w:p>
        </w:tc>
        <w:tc>
          <w:tcPr>
            <w:tcW w:w="1546" w:type="dxa"/>
            <w:noWrap/>
            <w:hideMark/>
          </w:tcPr>
          <w:p w14:paraId="045068AE" w14:textId="73084310" w:rsidR="009219EB" w:rsidRPr="00752B4E" w:rsidRDefault="002A6290" w:rsidP="003C1B20">
            <w:pPr>
              <w:jc w:val="center"/>
              <w:rPr>
                <w:sz w:val="20"/>
                <w:szCs w:val="20"/>
                <w:highlight w:val="black"/>
              </w:rPr>
            </w:pPr>
            <w:r w:rsidRPr="00752B4E">
              <w:rPr>
                <w:sz w:val="20"/>
                <w:szCs w:val="20"/>
                <w:highlight w:val="black"/>
              </w:rPr>
              <w:t>XXX</w:t>
            </w:r>
          </w:p>
        </w:tc>
        <w:tc>
          <w:tcPr>
            <w:tcW w:w="1546" w:type="dxa"/>
            <w:noWrap/>
            <w:hideMark/>
          </w:tcPr>
          <w:p w14:paraId="1BCC7B35" w14:textId="6A58CFC1" w:rsidR="009219EB" w:rsidRPr="00752B4E" w:rsidRDefault="002A6290" w:rsidP="003C1B20">
            <w:pPr>
              <w:jc w:val="center"/>
              <w:rPr>
                <w:sz w:val="20"/>
                <w:szCs w:val="20"/>
                <w:highlight w:val="black"/>
              </w:rPr>
            </w:pPr>
            <w:r w:rsidRPr="00752B4E">
              <w:rPr>
                <w:sz w:val="20"/>
                <w:szCs w:val="20"/>
                <w:highlight w:val="black"/>
              </w:rPr>
              <w:t>XXX</w:t>
            </w:r>
          </w:p>
        </w:tc>
        <w:tc>
          <w:tcPr>
            <w:tcW w:w="1546" w:type="dxa"/>
            <w:noWrap/>
            <w:hideMark/>
          </w:tcPr>
          <w:p w14:paraId="0E9F693D" w14:textId="667C64F9" w:rsidR="009219EB" w:rsidRPr="00752B4E" w:rsidRDefault="00B428CF" w:rsidP="003C1B20">
            <w:pPr>
              <w:jc w:val="center"/>
              <w:rPr>
                <w:sz w:val="20"/>
                <w:szCs w:val="20"/>
                <w:highlight w:val="black"/>
              </w:rPr>
            </w:pPr>
            <w:r w:rsidRPr="00752B4E">
              <w:rPr>
                <w:sz w:val="20"/>
                <w:szCs w:val="20"/>
                <w:highlight w:val="black"/>
              </w:rPr>
              <w:t>XXX</w:t>
            </w:r>
          </w:p>
        </w:tc>
      </w:tr>
      <w:tr w:rsidR="009219EB" w:rsidRPr="009219EB" w14:paraId="0DD491EA" w14:textId="77777777" w:rsidTr="33B2DD86">
        <w:trPr>
          <w:trHeight w:val="290"/>
        </w:trPr>
        <w:tc>
          <w:tcPr>
            <w:tcW w:w="885" w:type="dxa"/>
            <w:noWrap/>
            <w:hideMark/>
          </w:tcPr>
          <w:p w14:paraId="32341052" w14:textId="77777777" w:rsidR="009219EB" w:rsidRPr="003C1B20" w:rsidRDefault="009219EB" w:rsidP="009219EB">
            <w:pPr>
              <w:rPr>
                <w:sz w:val="20"/>
                <w:szCs w:val="20"/>
              </w:rPr>
            </w:pPr>
            <w:r w:rsidRPr="003C1B20">
              <w:rPr>
                <w:sz w:val="20"/>
                <w:szCs w:val="20"/>
              </w:rPr>
              <w:t>2025</w:t>
            </w:r>
          </w:p>
        </w:tc>
        <w:tc>
          <w:tcPr>
            <w:tcW w:w="1546" w:type="dxa"/>
            <w:noWrap/>
            <w:hideMark/>
          </w:tcPr>
          <w:p w14:paraId="1262E073" w14:textId="0940D3F0" w:rsidR="009219EB" w:rsidRPr="00752B4E" w:rsidRDefault="002A6290" w:rsidP="003C1B20">
            <w:pPr>
              <w:jc w:val="center"/>
              <w:rPr>
                <w:sz w:val="20"/>
                <w:szCs w:val="20"/>
                <w:highlight w:val="black"/>
              </w:rPr>
            </w:pPr>
            <w:r w:rsidRPr="00752B4E">
              <w:rPr>
                <w:sz w:val="20"/>
                <w:szCs w:val="20"/>
                <w:highlight w:val="black"/>
              </w:rPr>
              <w:t>XXX</w:t>
            </w:r>
          </w:p>
        </w:tc>
        <w:tc>
          <w:tcPr>
            <w:tcW w:w="1546" w:type="dxa"/>
            <w:noWrap/>
            <w:hideMark/>
          </w:tcPr>
          <w:p w14:paraId="76495A44" w14:textId="051D2F68" w:rsidR="009219EB" w:rsidRPr="00752B4E" w:rsidRDefault="002A6290" w:rsidP="003C1B20">
            <w:pPr>
              <w:jc w:val="center"/>
              <w:rPr>
                <w:sz w:val="20"/>
                <w:szCs w:val="20"/>
                <w:highlight w:val="black"/>
              </w:rPr>
            </w:pPr>
            <w:r w:rsidRPr="00752B4E">
              <w:rPr>
                <w:sz w:val="20"/>
                <w:szCs w:val="20"/>
                <w:highlight w:val="black"/>
              </w:rPr>
              <w:t>XXX</w:t>
            </w:r>
          </w:p>
        </w:tc>
        <w:tc>
          <w:tcPr>
            <w:tcW w:w="1546" w:type="dxa"/>
            <w:noWrap/>
            <w:hideMark/>
          </w:tcPr>
          <w:p w14:paraId="7718CF45" w14:textId="7E3E6A35" w:rsidR="009219EB" w:rsidRPr="00752B4E" w:rsidRDefault="00B428CF" w:rsidP="003C1B20">
            <w:pPr>
              <w:jc w:val="center"/>
              <w:rPr>
                <w:sz w:val="20"/>
                <w:szCs w:val="20"/>
                <w:highlight w:val="black"/>
              </w:rPr>
            </w:pPr>
            <w:r w:rsidRPr="00752B4E">
              <w:rPr>
                <w:sz w:val="20"/>
                <w:szCs w:val="20"/>
                <w:highlight w:val="black"/>
              </w:rPr>
              <w:t>XXX</w:t>
            </w:r>
          </w:p>
        </w:tc>
      </w:tr>
      <w:tr w:rsidR="009219EB" w:rsidRPr="009219EB" w14:paraId="1FF022B6" w14:textId="77777777" w:rsidTr="33B2DD86">
        <w:trPr>
          <w:trHeight w:val="290"/>
        </w:trPr>
        <w:tc>
          <w:tcPr>
            <w:tcW w:w="885" w:type="dxa"/>
            <w:noWrap/>
            <w:hideMark/>
          </w:tcPr>
          <w:p w14:paraId="2EEE7DA0" w14:textId="77777777" w:rsidR="009219EB" w:rsidRPr="003C1B20" w:rsidRDefault="009219EB" w:rsidP="009219EB">
            <w:pPr>
              <w:rPr>
                <w:sz w:val="20"/>
                <w:szCs w:val="20"/>
              </w:rPr>
            </w:pPr>
            <w:r w:rsidRPr="003C1B20">
              <w:rPr>
                <w:sz w:val="20"/>
                <w:szCs w:val="20"/>
              </w:rPr>
              <w:t>2025</w:t>
            </w:r>
          </w:p>
        </w:tc>
        <w:tc>
          <w:tcPr>
            <w:tcW w:w="1546" w:type="dxa"/>
            <w:noWrap/>
            <w:hideMark/>
          </w:tcPr>
          <w:p w14:paraId="0E561EC5" w14:textId="74DE019A" w:rsidR="009219EB" w:rsidRPr="00752B4E" w:rsidRDefault="002A6290" w:rsidP="003C1B20">
            <w:pPr>
              <w:jc w:val="center"/>
              <w:rPr>
                <w:sz w:val="20"/>
                <w:szCs w:val="20"/>
                <w:highlight w:val="black"/>
              </w:rPr>
            </w:pPr>
            <w:r w:rsidRPr="00752B4E">
              <w:rPr>
                <w:sz w:val="20"/>
                <w:szCs w:val="20"/>
                <w:highlight w:val="black"/>
              </w:rPr>
              <w:t>XXX</w:t>
            </w:r>
          </w:p>
        </w:tc>
        <w:tc>
          <w:tcPr>
            <w:tcW w:w="1546" w:type="dxa"/>
            <w:noWrap/>
            <w:hideMark/>
          </w:tcPr>
          <w:p w14:paraId="18E73586" w14:textId="4588E233" w:rsidR="009219EB" w:rsidRPr="00752B4E" w:rsidRDefault="002A6290" w:rsidP="003C1B20">
            <w:pPr>
              <w:jc w:val="center"/>
              <w:rPr>
                <w:sz w:val="20"/>
                <w:szCs w:val="20"/>
                <w:highlight w:val="black"/>
              </w:rPr>
            </w:pPr>
            <w:r w:rsidRPr="00752B4E">
              <w:rPr>
                <w:sz w:val="20"/>
                <w:szCs w:val="20"/>
                <w:highlight w:val="black"/>
              </w:rPr>
              <w:t>XXX</w:t>
            </w:r>
          </w:p>
        </w:tc>
        <w:tc>
          <w:tcPr>
            <w:tcW w:w="1546" w:type="dxa"/>
            <w:noWrap/>
            <w:hideMark/>
          </w:tcPr>
          <w:p w14:paraId="78FD13DE" w14:textId="4C1BC77A" w:rsidR="009219EB" w:rsidRPr="00752B4E" w:rsidRDefault="00B428CF" w:rsidP="003C1B20">
            <w:pPr>
              <w:jc w:val="center"/>
              <w:rPr>
                <w:sz w:val="20"/>
                <w:szCs w:val="20"/>
                <w:highlight w:val="black"/>
              </w:rPr>
            </w:pPr>
            <w:r w:rsidRPr="00752B4E">
              <w:rPr>
                <w:sz w:val="20"/>
                <w:szCs w:val="20"/>
                <w:highlight w:val="black"/>
              </w:rPr>
              <w:t>XXX</w:t>
            </w:r>
          </w:p>
        </w:tc>
      </w:tr>
    </w:tbl>
    <w:p w14:paraId="3C57E554" w14:textId="77777777" w:rsidR="00550C92" w:rsidRPr="00CE0548" w:rsidRDefault="00550C92" w:rsidP="00CE0548">
      <w:pPr>
        <w:spacing w:after="0"/>
      </w:pPr>
    </w:p>
    <w:p w14:paraId="3555DFBA" w14:textId="60E8E761" w:rsidR="00591512" w:rsidRDefault="00AB3733" w:rsidP="00F73113">
      <w:pPr>
        <w:pStyle w:val="Heading1"/>
      </w:pPr>
      <w:r>
        <w:t>D</w:t>
      </w:r>
      <w:r w:rsidR="007346C7" w:rsidRPr="005E22C2">
        <w:t>iscussion</w:t>
      </w:r>
    </w:p>
    <w:p w14:paraId="24298D0C" w14:textId="55A3DB36" w:rsidR="007C36FB" w:rsidRDefault="000E4EE5">
      <w:r>
        <w:t>T</w:t>
      </w:r>
      <w:r w:rsidR="007C36FB">
        <w:t xml:space="preserve">he modelled mean treatment duration </w:t>
      </w:r>
      <w:r w:rsidR="00E86DE4">
        <w:t xml:space="preserve">for atezolizumab </w:t>
      </w:r>
      <w:r w:rsidR="007C36FB">
        <w:t>from</w:t>
      </w:r>
      <w:r w:rsidR="00E86DE4">
        <w:t xml:space="preserve"> the</w:t>
      </w:r>
      <w:r w:rsidR="007C36FB">
        <w:t xml:space="preserve"> IMbrave150 </w:t>
      </w:r>
      <w:r w:rsidR="006B5D06">
        <w:t xml:space="preserve">trial </w:t>
      </w:r>
      <w:r w:rsidR="007C36FB">
        <w:t xml:space="preserve">was estimated to be </w:t>
      </w:r>
      <w:r w:rsidR="00BF55D3" w:rsidRPr="009C57B5">
        <w:rPr>
          <w:highlight w:val="black"/>
        </w:rPr>
        <w:t>XXXXXX</w:t>
      </w:r>
      <w:r w:rsidR="007C36FB" w:rsidRPr="009C57B5">
        <w:t xml:space="preserve"> </w:t>
      </w:r>
      <w:r w:rsidR="00BF55D3" w:rsidRPr="009C57B5">
        <w:rPr>
          <w:highlight w:val="black"/>
        </w:rPr>
        <w:t>XXXX</w:t>
      </w:r>
      <w:r w:rsidR="003F6AD9">
        <w:t xml:space="preserve"> which </w:t>
      </w:r>
      <w:r w:rsidR="00A147F7">
        <w:t>was</w:t>
      </w:r>
      <w:r w:rsidR="003F6AD9">
        <w:t xml:space="preserve"> </w:t>
      </w:r>
      <w:r w:rsidR="00BF55D3" w:rsidRPr="00A147F7">
        <w:rPr>
          <w:highlight w:val="black"/>
          <w:shd w:val="clear" w:color="auto" w:fill="BFBFBF" w:themeFill="background1" w:themeFillShade="BF"/>
        </w:rPr>
        <w:t>XXXXXX</w:t>
      </w:r>
      <w:r w:rsidR="003F6AD9">
        <w:t xml:space="preserve"> than that seen in </w:t>
      </w:r>
      <w:r w:rsidR="00E86DE4">
        <w:t>the actual time of supply</w:t>
      </w:r>
      <w:r w:rsidR="003F6AD9">
        <w:t xml:space="preserve"> with a mean of </w:t>
      </w:r>
      <w:r w:rsidR="00911C3F">
        <w:t xml:space="preserve">306.5 days with breaks and 245.4 days </w:t>
      </w:r>
      <w:r w:rsidR="0030490F">
        <w:t>without breaks.</w:t>
      </w:r>
    </w:p>
    <w:p w14:paraId="682FE7EB" w14:textId="58D19419" w:rsidR="00A77A19" w:rsidRDefault="0B399CBD">
      <w:r>
        <w:t>T</w:t>
      </w:r>
      <w:r w:rsidR="00AF6488">
        <w:t xml:space="preserve">he </w:t>
      </w:r>
      <w:r w:rsidR="00E42448">
        <w:t xml:space="preserve">overall use of </w:t>
      </w:r>
      <w:r w:rsidR="00945EC3">
        <w:t>l</w:t>
      </w:r>
      <w:r w:rsidR="00DF1B36">
        <w:t>envatinib</w:t>
      </w:r>
      <w:r w:rsidR="00E42448" w:rsidRPr="00E42448">
        <w:t xml:space="preserve"> or </w:t>
      </w:r>
      <w:r w:rsidR="00945EC3">
        <w:t>s</w:t>
      </w:r>
      <w:r w:rsidR="00DF1B36">
        <w:t>orafenib</w:t>
      </w:r>
      <w:r w:rsidR="00E42448" w:rsidRPr="00E42448">
        <w:t xml:space="preserve"> for HCC</w:t>
      </w:r>
      <w:r w:rsidR="00E42448">
        <w:t xml:space="preserve"> has declined since the introduction of </w:t>
      </w:r>
      <w:r w:rsidR="00945EC3">
        <w:t>a</w:t>
      </w:r>
      <w:r w:rsidR="00B846E6">
        <w:t>tezolizumab</w:t>
      </w:r>
      <w:r w:rsidR="003751BC">
        <w:t xml:space="preserve"> with </w:t>
      </w:r>
      <w:r w:rsidR="006D7FAF">
        <w:t xml:space="preserve">scripts and incident patients for </w:t>
      </w:r>
      <w:r w:rsidR="00945EC3">
        <w:t>s</w:t>
      </w:r>
      <w:r w:rsidR="00DF1B36">
        <w:t>orafenib</w:t>
      </w:r>
      <w:r w:rsidR="00175E4F">
        <w:t xml:space="preserve"> deceasing by 76% and 86% res</w:t>
      </w:r>
      <w:r w:rsidR="00B50F18">
        <w:t xml:space="preserve">pectively and with </w:t>
      </w:r>
      <w:r w:rsidR="00B50F18" w:rsidRPr="00B50F18">
        <w:t>scripts and incident patients for</w:t>
      </w:r>
      <w:r w:rsidR="00B50F18">
        <w:t xml:space="preserve"> </w:t>
      </w:r>
      <w:r w:rsidR="00E86DE4">
        <w:t>l</w:t>
      </w:r>
      <w:r w:rsidR="00DF1B36">
        <w:t>envatinib</w:t>
      </w:r>
      <w:r w:rsidR="00B50F18">
        <w:t xml:space="preserve"> </w:t>
      </w:r>
      <w:r w:rsidR="00D510D7">
        <w:t>decreasing</w:t>
      </w:r>
      <w:r w:rsidR="00B50F18">
        <w:t xml:space="preserve"> by </w:t>
      </w:r>
      <w:r w:rsidR="00D510D7">
        <w:t xml:space="preserve">35% and 52% respectively. </w:t>
      </w:r>
      <w:r w:rsidR="06468E75">
        <w:t>However, t</w:t>
      </w:r>
      <w:r w:rsidR="00EF32A4">
        <w:t xml:space="preserve">he replacement of </w:t>
      </w:r>
      <w:r w:rsidR="00E86DE4">
        <w:t>l</w:t>
      </w:r>
      <w:r w:rsidR="00DF1B36">
        <w:t>envatinib</w:t>
      </w:r>
      <w:r w:rsidR="00EF32A4" w:rsidRPr="00EF32A4">
        <w:t xml:space="preserve"> or </w:t>
      </w:r>
      <w:r w:rsidR="00E86DE4">
        <w:t>s</w:t>
      </w:r>
      <w:r w:rsidR="00DF1B36">
        <w:t>orafenib</w:t>
      </w:r>
      <w:r w:rsidR="00EF32A4">
        <w:t xml:space="preserve"> by </w:t>
      </w:r>
      <w:r w:rsidR="00E86DE4">
        <w:t>a</w:t>
      </w:r>
      <w:r w:rsidR="00B846E6">
        <w:t>tezolizumab</w:t>
      </w:r>
      <w:r w:rsidR="00423AF1">
        <w:t xml:space="preserve"> for the treatment of HCC was </w:t>
      </w:r>
      <w:r w:rsidR="00BF55D3" w:rsidRPr="00A147F7">
        <w:rPr>
          <w:highlight w:val="black"/>
          <w:shd w:val="clear" w:color="auto" w:fill="BFBFBF" w:themeFill="background1" w:themeFillShade="BF"/>
        </w:rPr>
        <w:t>XXXX</w:t>
      </w:r>
      <w:r w:rsidR="00423AF1">
        <w:t xml:space="preserve"> than </w:t>
      </w:r>
      <w:r w:rsidR="004F0480">
        <w:t>predicted</w:t>
      </w:r>
      <w:r w:rsidR="00423AF1">
        <w:t>.</w:t>
      </w:r>
    </w:p>
    <w:p w14:paraId="66D9B623" w14:textId="5D18F96A" w:rsidR="643E4A53" w:rsidRDefault="7E0FEC20">
      <w:r>
        <w:t xml:space="preserve">There has been a shift in the use of </w:t>
      </w:r>
      <w:r w:rsidR="00B52674">
        <w:t>l</w:t>
      </w:r>
      <w:r w:rsidR="00DF1B36">
        <w:t>envatinib</w:t>
      </w:r>
      <w:r>
        <w:t xml:space="preserve"> a</w:t>
      </w:r>
      <w:r w:rsidR="524FE00E">
        <w:t xml:space="preserve">nd </w:t>
      </w:r>
      <w:r w:rsidR="00B52674">
        <w:t>s</w:t>
      </w:r>
      <w:r w:rsidR="00DF1B36">
        <w:t>orafenib</w:t>
      </w:r>
      <w:r w:rsidR="1628724C">
        <w:t xml:space="preserve"> to older populations</w:t>
      </w:r>
      <w:r w:rsidR="0B3C42FA">
        <w:t xml:space="preserve"> after the listing of </w:t>
      </w:r>
      <w:r w:rsidR="00B52674">
        <w:t>a</w:t>
      </w:r>
      <w:r w:rsidR="00B846E6">
        <w:t>tezolizumab</w:t>
      </w:r>
      <w:r w:rsidR="0B3C42FA">
        <w:t xml:space="preserve"> on the PBS for HCC</w:t>
      </w:r>
      <w:r>
        <w:t xml:space="preserve">. </w:t>
      </w:r>
      <w:r w:rsidR="40D7534C">
        <w:t xml:space="preserve">Between 1 March 2019 and 1 November 2020 (prior to the listing of </w:t>
      </w:r>
      <w:r w:rsidR="00B52674">
        <w:t>a</w:t>
      </w:r>
      <w:r w:rsidR="00B846E6">
        <w:t>tezolizumab</w:t>
      </w:r>
      <w:r w:rsidR="40D7534C">
        <w:t xml:space="preserve">) 26.8% </w:t>
      </w:r>
      <w:r w:rsidR="00B52674">
        <w:t>s</w:t>
      </w:r>
      <w:r w:rsidR="00DF1B36">
        <w:t>orafenib</w:t>
      </w:r>
      <w:r w:rsidR="40D7534C">
        <w:t xml:space="preserve"> and 22.4% </w:t>
      </w:r>
      <w:r w:rsidR="00B52674">
        <w:t>l</w:t>
      </w:r>
      <w:r w:rsidR="00DF1B36">
        <w:t>envatinib</w:t>
      </w:r>
      <w:r w:rsidR="40D7534C">
        <w:t xml:space="preserve"> incident patients were 75 years of age or older. </w:t>
      </w:r>
      <w:r w:rsidR="1F7FF590">
        <w:t xml:space="preserve">From 1 November 2020 to 28 February 2025, </w:t>
      </w:r>
      <w:r w:rsidR="643E4A53">
        <w:t xml:space="preserve">27.4% of </w:t>
      </w:r>
      <w:r w:rsidR="009000A5">
        <w:t>l</w:t>
      </w:r>
      <w:r w:rsidR="00DF1B36">
        <w:t>envatinib</w:t>
      </w:r>
      <w:r w:rsidR="643E4A53">
        <w:t xml:space="preserve"> incident patients </w:t>
      </w:r>
      <w:r w:rsidR="00C82B73">
        <w:t>were</w:t>
      </w:r>
      <w:r w:rsidR="643E4A53">
        <w:t xml:space="preserve"> 75 years of age or older, </w:t>
      </w:r>
      <w:r w:rsidR="2430340A">
        <w:t>and</w:t>
      </w:r>
      <w:r w:rsidR="643E4A53">
        <w:t xml:space="preserve"> 33.3% of </w:t>
      </w:r>
      <w:r w:rsidR="009000A5">
        <w:t>s</w:t>
      </w:r>
      <w:r w:rsidR="00DF1B36">
        <w:t>orafenib</w:t>
      </w:r>
      <w:r w:rsidR="12B0DFC6">
        <w:t xml:space="preserve"> incident patients </w:t>
      </w:r>
      <w:r w:rsidR="619B89DA">
        <w:t>were</w:t>
      </w:r>
      <w:r w:rsidR="643E4A53">
        <w:t xml:space="preserve"> 75 years of age or older</w:t>
      </w:r>
      <w:r w:rsidR="0480C3E5">
        <w:t xml:space="preserve">. </w:t>
      </w:r>
      <w:r w:rsidR="643E4A53">
        <w:t xml:space="preserve">This compares with </w:t>
      </w:r>
      <w:r w:rsidR="08564E35">
        <w:t xml:space="preserve">25.5% of incident patients on treatment with </w:t>
      </w:r>
      <w:r w:rsidR="009000A5">
        <w:t>a</w:t>
      </w:r>
      <w:r w:rsidR="00B846E6">
        <w:t>tezolizumab</w:t>
      </w:r>
      <w:r w:rsidR="08564E35">
        <w:t xml:space="preserve"> </w:t>
      </w:r>
      <w:r w:rsidR="1707EA35">
        <w:t>being</w:t>
      </w:r>
      <w:r w:rsidR="08564E35">
        <w:t xml:space="preserve"> 75 years of age or older, while 26.4% of incident cases of HCC</w:t>
      </w:r>
      <w:r w:rsidR="3EC478A1" w:rsidRPr="33B2DD86">
        <w:rPr>
          <w:vertAlign w:val="superscript"/>
        </w:rPr>
        <w:t>8</w:t>
      </w:r>
      <w:r w:rsidR="08564E35">
        <w:t xml:space="preserve"> are in people 75 years of age or older.  </w:t>
      </w:r>
      <w:r w:rsidR="56CA8B69">
        <w:t xml:space="preserve">If older age is taken as a proxy for disease severity, then </w:t>
      </w:r>
      <w:r w:rsidR="0049628D">
        <w:t>a</w:t>
      </w:r>
      <w:r w:rsidR="00B846E6">
        <w:t>tezolizumab</w:t>
      </w:r>
      <w:r w:rsidR="2925A406">
        <w:t xml:space="preserve"> </w:t>
      </w:r>
      <w:r w:rsidR="00A147F7">
        <w:t>was</w:t>
      </w:r>
      <w:r w:rsidR="2925A406">
        <w:t xml:space="preserve"> being used in less severe cases as expected.</w:t>
      </w:r>
    </w:p>
    <w:p w14:paraId="67F14E64" w14:textId="222147D6" w:rsidR="00657CB6" w:rsidRDefault="00E25C80">
      <w:r>
        <w:t xml:space="preserve">There </w:t>
      </w:r>
      <w:r w:rsidR="00423AF1">
        <w:t>were</w:t>
      </w:r>
      <w:r>
        <w:t xml:space="preserve"> </w:t>
      </w:r>
      <w:r w:rsidR="00BF55D3" w:rsidRPr="00A147F7">
        <w:rPr>
          <w:highlight w:val="black"/>
          <w:shd w:val="clear" w:color="auto" w:fill="BFBFBF" w:themeFill="background1" w:themeFillShade="BF"/>
        </w:rPr>
        <w:t>XXXXX</w:t>
      </w:r>
      <w:r>
        <w:t xml:space="preserve"> scripts being dispensed then predicted, and while the s</w:t>
      </w:r>
      <w:r w:rsidRPr="00E25C80">
        <w:t>ubmission assumed</w:t>
      </w:r>
      <w:r>
        <w:t xml:space="preserve"> that there would be </w:t>
      </w:r>
      <w:r w:rsidR="00BF55D3" w:rsidRPr="00A147F7">
        <w:rPr>
          <w:highlight w:val="black"/>
        </w:rPr>
        <w:t>XX</w:t>
      </w:r>
      <w:r w:rsidRPr="00E25C80">
        <w:t xml:space="preserve"> prevalent population as</w:t>
      </w:r>
      <w:r w:rsidR="00C8087F">
        <w:t xml:space="preserve">, </w:t>
      </w:r>
      <w:r w:rsidRPr="00E25C80">
        <w:t xml:space="preserve">in addition to the low survival in advanced HCC, </w:t>
      </w:r>
      <w:r w:rsidR="00C8087F" w:rsidRPr="00C8087F">
        <w:t xml:space="preserve">the average duration of treatment </w:t>
      </w:r>
      <w:r w:rsidR="00C8087F">
        <w:t xml:space="preserve">was expected to be </w:t>
      </w:r>
      <w:r w:rsidR="00BF55D3" w:rsidRPr="00A147F7">
        <w:rPr>
          <w:highlight w:val="black"/>
        </w:rPr>
        <w:t>XXXX</w:t>
      </w:r>
      <w:r w:rsidR="00C8087F" w:rsidRPr="00C8087F">
        <w:t xml:space="preserve"> than one year</w:t>
      </w:r>
      <w:r w:rsidR="00C8087F">
        <w:t>, and</w:t>
      </w:r>
      <w:r w:rsidR="00C8087F" w:rsidRPr="00C8087F">
        <w:t xml:space="preserve"> </w:t>
      </w:r>
      <w:r w:rsidRPr="00E25C80">
        <w:t xml:space="preserve">any patients diagnosed in previous years would have already initiated a systemic therapy thus making them ineligible </w:t>
      </w:r>
      <w:r>
        <w:t xml:space="preserve">for </w:t>
      </w:r>
      <w:r w:rsidR="00FB4B6F">
        <w:t>a</w:t>
      </w:r>
      <w:r w:rsidR="00B846E6">
        <w:t>tezolizumab</w:t>
      </w:r>
      <w:r w:rsidRPr="00E25C80">
        <w:t xml:space="preserve"> according to the proposed PBS restriction</w:t>
      </w:r>
      <w:r>
        <w:t xml:space="preserve">. The </w:t>
      </w:r>
      <w:r w:rsidR="00BF55D3" w:rsidRPr="00A147F7">
        <w:rPr>
          <w:highlight w:val="black"/>
        </w:rPr>
        <w:t>XXXXX</w:t>
      </w:r>
      <w:r>
        <w:t xml:space="preserve"> number of scripts </w:t>
      </w:r>
      <w:r w:rsidR="0095131F">
        <w:t>dispensed,</w:t>
      </w:r>
      <w:r>
        <w:t xml:space="preserve"> and the development of a prevalent population could have been due to patients commencing</w:t>
      </w:r>
      <w:r w:rsidR="00657CB6">
        <w:t xml:space="preserve"> </w:t>
      </w:r>
      <w:r>
        <w:t xml:space="preserve">during the year and surviving into the </w:t>
      </w:r>
      <w:r w:rsidR="004F0480">
        <w:t>subsequent</w:t>
      </w:r>
      <w:r>
        <w:t xml:space="preserve"> year</w:t>
      </w:r>
      <w:r w:rsidR="00657CB6">
        <w:t>.</w:t>
      </w:r>
      <w:r w:rsidR="00C8087F">
        <w:t xml:space="preserve"> </w:t>
      </w:r>
      <w:r w:rsidR="00E95E28">
        <w:t>Additionally,</w:t>
      </w:r>
      <w:r w:rsidR="00C8087F">
        <w:t xml:space="preserve"> the restriction does allow for </w:t>
      </w:r>
      <w:r w:rsidR="00FB4B6F">
        <w:t>a</w:t>
      </w:r>
      <w:r w:rsidR="00C8087F">
        <w:t>tezolizumab treatment of a p</w:t>
      </w:r>
      <w:r w:rsidR="00C8087F" w:rsidRPr="00C8087F">
        <w:t xml:space="preserve">atient </w:t>
      </w:r>
      <w:r w:rsidR="00C8087F">
        <w:t>who has</w:t>
      </w:r>
      <w:r w:rsidR="00C8087F" w:rsidRPr="00C8087F">
        <w:t xml:space="preserve"> developed intolerance to a VEGF</w:t>
      </w:r>
      <w:r w:rsidR="00C8087F">
        <w:t>-</w:t>
      </w:r>
      <w:r w:rsidR="00C8087F" w:rsidRPr="00C8087F">
        <w:t>TKI of a severity necessitating permanent treatment withdrawal.</w:t>
      </w:r>
    </w:p>
    <w:p w14:paraId="40D07787" w14:textId="7F592EBB" w:rsidR="00E25C80" w:rsidRDefault="00E25C80">
      <w:r>
        <w:t xml:space="preserve">Most patients </w:t>
      </w:r>
      <w:r w:rsidR="00FC7EAF">
        <w:t xml:space="preserve">had </w:t>
      </w:r>
      <w:r>
        <w:t>continu</w:t>
      </w:r>
      <w:r w:rsidR="306FD960">
        <w:t>ing</w:t>
      </w:r>
      <w:r w:rsidR="00FC7EAF">
        <w:t xml:space="preserve"> treatment with</w:t>
      </w:r>
      <w:r>
        <w:t xml:space="preserve"> the 3-weekly treatment regime with only a few patients continuing to the 4 (or 2) weekly treatment regime with </w:t>
      </w:r>
      <w:r w:rsidR="00FB4B6F">
        <w:t>b</w:t>
      </w:r>
      <w:r w:rsidR="00D00965">
        <w:t>evacizumab</w:t>
      </w:r>
      <w:r>
        <w:t xml:space="preserve"> being discontinued, indicating that treatment is being well tolerated. </w:t>
      </w:r>
    </w:p>
    <w:p w14:paraId="01D2721B" w14:textId="19226EDA" w:rsidR="00B846E6" w:rsidRDefault="007A4366" w:rsidP="00B846E6">
      <w:r>
        <w:lastRenderedPageBreak/>
        <w:t>There were around 1,800 incident cases of HCC (L1.01.01) in 2020</w:t>
      </w:r>
      <w:r w:rsidR="00FC7EAF">
        <w:t>.</w:t>
      </w:r>
      <w:r w:rsidR="00472F31" w:rsidRPr="00472F31">
        <w:rPr>
          <w:rStyle w:val="FootnoteReference"/>
        </w:rPr>
        <w:t xml:space="preserve"> </w:t>
      </w:r>
      <w:r w:rsidR="00472F31">
        <w:rPr>
          <w:rStyle w:val="FootnoteReference"/>
        </w:rPr>
        <w:footnoteReference w:id="7"/>
      </w:r>
      <w:r w:rsidR="00FC7EAF">
        <w:t xml:space="preserve"> A</w:t>
      </w:r>
      <w:r>
        <w:t xml:space="preserve">ssuming the number of incident cases remained </w:t>
      </w:r>
      <w:r w:rsidR="5525E157">
        <w:t>relatively constant</w:t>
      </w:r>
      <w:r>
        <w:t xml:space="preserve"> over the period 2021 to 2024 there would have been approx. 7,200 incident cases over this four-year period. </w:t>
      </w:r>
      <w:r w:rsidR="00175098">
        <w:t xml:space="preserve">Assuming </w:t>
      </w:r>
      <w:r w:rsidR="00270E0C" w:rsidRPr="00A147F7">
        <w:rPr>
          <w:highlight w:val="black"/>
          <w:shd w:val="clear" w:color="auto" w:fill="FFFFFF" w:themeFill="background1"/>
        </w:rPr>
        <w:t>XXXXX</w:t>
      </w:r>
      <w:r w:rsidR="00175098">
        <w:t xml:space="preserve"> HCC patients had </w:t>
      </w:r>
      <w:r w:rsidR="00175098" w:rsidRPr="00175098">
        <w:t>Stage B/C who are ECOG PS 0 or 1</w:t>
      </w:r>
      <w:r w:rsidR="00653019">
        <w:t>,</w:t>
      </w:r>
      <w:r w:rsidR="00CA4D5A">
        <w:t xml:space="preserve"> </w:t>
      </w:r>
      <w:r w:rsidR="00653019">
        <w:t>t</w:t>
      </w:r>
      <w:r w:rsidR="00175098">
        <w:t xml:space="preserve">his would indicate that approx.  </w:t>
      </w:r>
      <w:r w:rsidR="00A147F7" w:rsidRPr="00A147F7">
        <w:rPr>
          <w:highlight w:val="black"/>
          <w:shd w:val="clear" w:color="auto" w:fill="BFBFBF" w:themeFill="background1" w:themeFillShade="BF"/>
        </w:rPr>
        <w:t>XXXXX</w:t>
      </w:r>
      <w:r w:rsidR="00175098">
        <w:t xml:space="preserve"> </w:t>
      </w:r>
      <w:r w:rsidR="00653019">
        <w:t xml:space="preserve">patients </w:t>
      </w:r>
      <w:r w:rsidR="00175098">
        <w:t>would be eligible for treatment</w:t>
      </w:r>
      <w:r w:rsidR="00653019">
        <w:t>.</w:t>
      </w:r>
      <w:r w:rsidR="00175098">
        <w:t xml:space="preserve"> </w:t>
      </w:r>
      <w:r w:rsidR="00653019">
        <w:t>W</w:t>
      </w:r>
      <w:r w:rsidR="00A31E08">
        <w:t xml:space="preserve">ith an uptake rate of </w:t>
      </w:r>
      <w:r w:rsidR="00270E0C" w:rsidRPr="00A147F7">
        <w:rPr>
          <w:highlight w:val="black"/>
          <w:shd w:val="clear" w:color="auto" w:fill="FFFFFF" w:themeFill="background1"/>
        </w:rPr>
        <w:t>XXX</w:t>
      </w:r>
      <w:r w:rsidR="00A31E08">
        <w:t xml:space="preserve"> around </w:t>
      </w:r>
      <w:r w:rsidR="00270E0C" w:rsidRPr="00A147F7">
        <w:rPr>
          <w:highlight w:val="black"/>
          <w:shd w:val="clear" w:color="auto" w:fill="BFBFBF" w:themeFill="background1" w:themeFillShade="BF"/>
        </w:rPr>
        <w:t>XXXXX</w:t>
      </w:r>
      <w:r w:rsidR="00A31E08">
        <w:t xml:space="preserve"> patients would be treated. </w:t>
      </w:r>
      <w:r>
        <w:t xml:space="preserve">From 2021 to 2024 there were 2,086 incident patients on treatment indicating that around </w:t>
      </w:r>
      <w:r w:rsidR="00270E0C" w:rsidRPr="00A147F7">
        <w:rPr>
          <w:highlight w:val="black"/>
          <w:shd w:val="clear" w:color="auto" w:fill="FFFFFF" w:themeFill="background1"/>
        </w:rPr>
        <w:t>XXX</w:t>
      </w:r>
      <w:r>
        <w:t xml:space="preserve"> of</w:t>
      </w:r>
      <w:r w:rsidR="00A31E08">
        <w:t xml:space="preserve"> the assumed</w:t>
      </w:r>
      <w:r>
        <w:t xml:space="preserve"> </w:t>
      </w:r>
      <w:r w:rsidR="007D4151">
        <w:t xml:space="preserve">incident </w:t>
      </w:r>
      <w:r>
        <w:t xml:space="preserve">HCC cases were undergoing treatment with </w:t>
      </w:r>
      <w:r w:rsidR="00653019">
        <w:t>a</w:t>
      </w:r>
      <w:r w:rsidR="00B846E6">
        <w:t>tezolizumab</w:t>
      </w:r>
      <w:r w:rsidR="00653019">
        <w:t xml:space="preserve"> through the PBS</w:t>
      </w:r>
      <w:r>
        <w:t>.</w:t>
      </w:r>
      <w:r w:rsidR="00A31E08">
        <w:t xml:space="preserve"> This suggest that the assumed percentages of </w:t>
      </w:r>
      <w:r w:rsidR="00A31E08" w:rsidRPr="00A31E08">
        <w:t>HCC patients ha</w:t>
      </w:r>
      <w:r w:rsidR="00A31E08">
        <w:t>ving</w:t>
      </w:r>
      <w:r w:rsidR="00A31E08" w:rsidRPr="00A31E08">
        <w:t xml:space="preserve"> Stage B/C who are ECOG PS 0 or 1</w:t>
      </w:r>
      <w:r w:rsidR="00A31E08">
        <w:t xml:space="preserve"> and/or the uptake rate were </w:t>
      </w:r>
      <w:r w:rsidR="00270E0C" w:rsidRPr="00A147F7">
        <w:rPr>
          <w:highlight w:val="black"/>
          <w:shd w:val="clear" w:color="auto" w:fill="BFBFBF" w:themeFill="background1" w:themeFillShade="BF"/>
        </w:rPr>
        <w:t>XXXXXXXXXXXXX</w:t>
      </w:r>
      <w:r w:rsidR="00A31E08">
        <w:t>.</w:t>
      </w:r>
    </w:p>
    <w:p w14:paraId="49E7EE8E" w14:textId="77777777" w:rsidR="00CA4D5A" w:rsidRDefault="00CA4D5A" w:rsidP="00CA4D5A">
      <w:pPr>
        <w:pStyle w:val="Heading1"/>
      </w:pPr>
      <w:r>
        <w:t>DUSC consideration</w:t>
      </w:r>
    </w:p>
    <w:p w14:paraId="4562F049" w14:textId="1A041880" w:rsidR="007059FD" w:rsidRPr="007059FD" w:rsidRDefault="007059FD" w:rsidP="007059FD">
      <w:r w:rsidRPr="007059FD">
        <w:t xml:space="preserve">DUSC noted that for most patients atezolizumab in combination with </w:t>
      </w:r>
      <w:bookmarkStart w:id="1" w:name="_Hlk200101010"/>
      <w:r w:rsidRPr="007059FD">
        <w:t>bevacizumab</w:t>
      </w:r>
      <w:bookmarkEnd w:id="1"/>
      <w:r w:rsidRPr="007059FD">
        <w:t xml:space="preserve"> (henceforth atezolizumab) for advanced BCLC Stage B or Stage C HCC was generally well tolerated and most patients remain on treatment. </w:t>
      </w:r>
    </w:p>
    <w:p w14:paraId="133A0ED6" w14:textId="413F68B7" w:rsidR="007059FD" w:rsidRPr="007059FD" w:rsidRDefault="007059FD" w:rsidP="007059FD">
      <w:r w:rsidRPr="007059FD">
        <w:t xml:space="preserve">DUSC noted that the use of the oral therapies </w:t>
      </w:r>
      <w:bookmarkStart w:id="2" w:name="_Hlk200111081"/>
      <w:r w:rsidRPr="007059FD">
        <w:t xml:space="preserve">lenvatinib or sorafenib </w:t>
      </w:r>
      <w:bookmarkEnd w:id="2"/>
      <w:r w:rsidRPr="007059FD">
        <w:t>for the treatment of HCC ha</w:t>
      </w:r>
      <w:r w:rsidR="00B23FAB">
        <w:t>d</w:t>
      </w:r>
      <w:r w:rsidRPr="007059FD">
        <w:t xml:space="preserve"> not been replaced by atezolizumab but displaced to older cohorts. DUSC considered that this was more a result of bevacizumab being less well tolerated in older populations then these populations being more unwell in addition to switching from atezolizumab to lenvatinib or sorafenib due to cardio-vascular or immune related risks in older populations and the ease of taking an oral preparation as opposed to an intravenous infusion. In addition, the oral therapies have side effects which may reduce their use in populations which can tolerate atezolizumab.</w:t>
      </w:r>
    </w:p>
    <w:p w14:paraId="3557D586" w14:textId="77777777" w:rsidR="007059FD" w:rsidRPr="00747A19" w:rsidRDefault="007059FD" w:rsidP="007059FD">
      <w:pPr>
        <w:rPr>
          <w:i/>
          <w:iCs/>
        </w:rPr>
      </w:pPr>
      <w:r w:rsidRPr="007059FD">
        <w:t>DUSC noted that the restriction did not reflect real-world use. DUSC noted that the restriction does allow switching, and in effect cycling between atezolizumab and a vascular endothelial growth factor tyrosine kinase inhibitors such as lenvatinib and sorafenib, which, in effect, may have resulted in a very small number of patients using lenvatinib or sorafenib as second line therapy. DUSC noted that while the majority of patients remained on atezolizumab there was some switching and cycling with lenvatinib or sorafenib. DUSC noted that there was some anecdotal evidence which suggested that younger people with HCC due to Hepatitis B or C did not respond as well to treatment with atezolizumab. DUSC considered the proposition that lenvatinib or sorafenib should be available on disease progression (as second-line therapy), rather than only being available due to issues with intolerance or contraindication related to the use of bevacizumab. DUSC considered that there was too little evidence to recommend the use of lenvatinib or sorafenib in persistent disease as second-line therapy.</w:t>
      </w:r>
    </w:p>
    <w:p w14:paraId="05A74ED9" w14:textId="77777777" w:rsidR="007059FD" w:rsidRPr="00747A19" w:rsidRDefault="007059FD" w:rsidP="007059FD">
      <w:pPr>
        <w:rPr>
          <w:i/>
          <w:iCs/>
        </w:rPr>
      </w:pPr>
    </w:p>
    <w:p w14:paraId="58A87448" w14:textId="5AF4CD83" w:rsidR="007059FD" w:rsidRPr="007059FD" w:rsidRDefault="007059FD" w:rsidP="007059FD">
      <w:r w:rsidRPr="007059FD">
        <w:lastRenderedPageBreak/>
        <w:t xml:space="preserve">DUSC noted that the time on treatment was </w:t>
      </w:r>
      <w:r w:rsidR="00270E0C" w:rsidRPr="00B23FAB">
        <w:rPr>
          <w:highlight w:val="black"/>
        </w:rPr>
        <w:t>XXXX</w:t>
      </w:r>
      <w:r w:rsidRPr="007059FD">
        <w:t xml:space="preserve"> than that estimated from the clinical trial data contained in the submission. DUSC considered that this variance was most likely due to the real-world population being more unwell than that likely to have been seen in the clinical trial population and that in real world clinical practice a small number of patients cease treatment </w:t>
      </w:r>
      <w:r w:rsidR="00270E0C" w:rsidRPr="00B23FAB">
        <w:rPr>
          <w:highlight w:val="black"/>
        </w:rPr>
        <w:t>XXXX</w:t>
      </w:r>
      <w:r w:rsidRPr="007059FD">
        <w:t xml:space="preserve"> after commencing due to their underlying disease being worse than first anticipated. In addition, targeted or local therapies are being used in patients who are not well enough to commence or continue therapy. DUSC considered that the increased use of targeted or local therapies also leads to patients coming off treatment </w:t>
      </w:r>
      <w:r w:rsidR="00270E0C" w:rsidRPr="00B23FAB">
        <w:rPr>
          <w:highlight w:val="black"/>
        </w:rPr>
        <w:t>XXXXXXX</w:t>
      </w:r>
      <w:r w:rsidRPr="007059FD">
        <w:t xml:space="preserve"> than those seen in the clinical trial which also </w:t>
      </w:r>
      <w:r w:rsidR="00270E0C" w:rsidRPr="00B23FAB">
        <w:rPr>
          <w:highlight w:val="black"/>
        </w:rPr>
        <w:t>XXXXXXX</w:t>
      </w:r>
      <w:r w:rsidRPr="007059FD">
        <w:t xml:space="preserve"> the estimates of time on treatment.</w:t>
      </w:r>
    </w:p>
    <w:p w14:paraId="7E632AF5" w14:textId="4EB3FBE4" w:rsidR="007059FD" w:rsidRPr="007059FD" w:rsidRDefault="007059FD" w:rsidP="007059FD">
      <w:r w:rsidRPr="007059FD">
        <w:t xml:space="preserve">DUSC noted that while the predicted vs actual number of patients was </w:t>
      </w:r>
      <w:r w:rsidR="00270E0C" w:rsidRPr="00B23FAB">
        <w:rPr>
          <w:highlight w:val="black"/>
        </w:rPr>
        <w:t>XXXXXXX</w:t>
      </w:r>
      <w:r w:rsidRPr="00B23FAB">
        <w:t xml:space="preserve"> t</w:t>
      </w:r>
      <w:r w:rsidRPr="007059FD">
        <w:t xml:space="preserve">here was some variance between the predicted versus actual number of scripts with </w:t>
      </w:r>
      <w:r w:rsidR="00270E0C" w:rsidRPr="00B23FAB">
        <w:rPr>
          <w:highlight w:val="black"/>
          <w:shd w:val="clear" w:color="auto" w:fill="BFBFBF" w:themeFill="background1" w:themeFillShade="BF"/>
        </w:rPr>
        <w:t>XXXX</w:t>
      </w:r>
      <w:r w:rsidRPr="007059FD">
        <w:t xml:space="preserve"> scripts per year than initially anticipated. DUSC considered that this was due to some patients ceasing treatment </w:t>
      </w:r>
      <w:r w:rsidR="00270E0C" w:rsidRPr="00B23FAB">
        <w:rPr>
          <w:highlight w:val="black"/>
        </w:rPr>
        <w:t>XXXXXXX</w:t>
      </w:r>
      <w:r w:rsidRPr="007059FD">
        <w:t xml:space="preserve"> than anticipated. </w:t>
      </w:r>
    </w:p>
    <w:p w14:paraId="77BF466D" w14:textId="5621A8C5" w:rsidR="007059FD" w:rsidRPr="007059FD" w:rsidRDefault="007059FD" w:rsidP="007059FD">
      <w:r w:rsidRPr="007059FD">
        <w:t xml:space="preserve">DUSC noted the very low uptake of the subcutaneous form of atezolizumab. DUSC was informed that this was due to the relative recency of this form being available and relevant protocols </w:t>
      </w:r>
      <w:r w:rsidR="001C4B90" w:rsidRPr="007059FD">
        <w:t>were</w:t>
      </w:r>
      <w:r w:rsidR="00B23FAB">
        <w:t xml:space="preserve"> just</w:t>
      </w:r>
      <w:r w:rsidRPr="007059FD">
        <w:t xml:space="preserve"> being developed.</w:t>
      </w:r>
    </w:p>
    <w:p w14:paraId="54A507D7" w14:textId="77777777" w:rsidR="00CA4D5A" w:rsidRDefault="00CA4D5A" w:rsidP="00CA4D5A">
      <w:pPr>
        <w:pStyle w:val="Heading1"/>
      </w:pPr>
      <w:r>
        <w:t>DUSC actions</w:t>
      </w:r>
    </w:p>
    <w:p w14:paraId="699B7834" w14:textId="77777777" w:rsidR="00CA4D5A" w:rsidRPr="001E5165" w:rsidRDefault="00CA4D5A" w:rsidP="00CA4D5A">
      <w:r w:rsidRPr="001E5165">
        <w:t>DUSC requested that the report be provided to the PBAC for consideration.</w:t>
      </w:r>
    </w:p>
    <w:p w14:paraId="4155761A" w14:textId="77777777" w:rsidR="00CA4D5A" w:rsidRDefault="00CA4D5A" w:rsidP="00CA4D5A">
      <w:pPr>
        <w:pStyle w:val="Heading1"/>
      </w:pPr>
      <w:r w:rsidRPr="0092516A">
        <w:t>Context for analysis</w:t>
      </w:r>
    </w:p>
    <w:p w14:paraId="06A08BD4" w14:textId="77777777" w:rsidR="00CA4D5A" w:rsidRDefault="00CA4D5A" w:rsidP="00CA4D5A">
      <w:r>
        <w:t>The DUSC is a Sub Committee of the Pharmaceutical Benefits Advisory Committee (PBAC). The DUSC assesses estimates on projected usage and financial cost of medicines.</w:t>
      </w:r>
    </w:p>
    <w:p w14:paraId="58210953" w14:textId="77777777" w:rsidR="00CA4D5A" w:rsidRDefault="00CA4D5A" w:rsidP="00CA4D5A">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066F8FAB" w14:textId="77777777" w:rsidR="00CA4D5A" w:rsidRDefault="00CA4D5A" w:rsidP="00CA4D5A">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00E756C9" w14:textId="77777777" w:rsidR="00CA4D5A" w:rsidRDefault="00CA4D5A" w:rsidP="00CA4D5A">
      <w:r>
        <w:t>The utilisation analysis report was provided to the pharmaceutical sponsors of each drug and comments on the report were provided to DUSC prior to its consideration of the analysis.</w:t>
      </w:r>
    </w:p>
    <w:p w14:paraId="45F91152" w14:textId="77777777" w:rsidR="00CA4D5A" w:rsidRDefault="00CA4D5A" w:rsidP="00CA4D5A">
      <w:pPr>
        <w:pStyle w:val="Heading1"/>
      </w:pPr>
      <w:r>
        <w:t>Sponsor</w:t>
      </w:r>
      <w:r w:rsidRPr="0092516A">
        <w:t>s</w:t>
      </w:r>
      <w:r>
        <w:t>’</w:t>
      </w:r>
      <w:r w:rsidRPr="0092516A">
        <w:t xml:space="preserve"> comments</w:t>
      </w:r>
    </w:p>
    <w:p w14:paraId="654131AA" w14:textId="2462F7FC" w:rsidR="001C4B90" w:rsidRPr="001C4B90" w:rsidRDefault="001C4B90" w:rsidP="001C4B90">
      <w:r w:rsidRPr="001C4B90">
        <w:t>Roche Products Pty Ltd. The sponsor had no comment.</w:t>
      </w:r>
    </w:p>
    <w:p w14:paraId="2E57DBDA" w14:textId="77777777" w:rsidR="00CA4D5A" w:rsidRDefault="00CA4D5A" w:rsidP="00CA4D5A">
      <w:pPr>
        <w:pStyle w:val="Heading1"/>
      </w:pPr>
      <w:r w:rsidRPr="00A4020E">
        <w:lastRenderedPageBreak/>
        <w:t>Disclaimer</w:t>
      </w:r>
    </w:p>
    <w:p w14:paraId="7B9A0499" w14:textId="77777777" w:rsidR="00CA4D5A" w:rsidRDefault="00CA4D5A" w:rsidP="00CA4D5A">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5EAF4995" w14:textId="77777777" w:rsidR="00CA4D5A" w:rsidRDefault="00CA4D5A" w:rsidP="00CA4D5A">
      <w:r>
        <w:t>The Department of Health, Disability and Ageing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05A6B778" w14:textId="77777777" w:rsidR="00CA4D5A" w:rsidRDefault="00CA4D5A" w:rsidP="00CA4D5A">
      <w:r>
        <w:t xml:space="preserve">To the extent provided by law, the Department of Health, Disability and Ageing makes no warranties or representations as to accuracy or completeness of information contained in this report. </w:t>
      </w:r>
    </w:p>
    <w:p w14:paraId="67D91E01" w14:textId="77777777" w:rsidR="00CA4D5A" w:rsidRPr="00974DEB" w:rsidRDefault="00CA4D5A" w:rsidP="00CA4D5A">
      <w:r>
        <w:t>To the fullest extent permitted by law, neither the Department of Health, Disability and Ageing nor any Department of Health, Disability and Ageing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6361F6F3" w14:textId="77777777" w:rsidR="00CA4D5A" w:rsidRPr="00B846E6" w:rsidRDefault="00CA4D5A" w:rsidP="00B846E6"/>
    <w:sectPr w:rsidR="00CA4D5A" w:rsidRPr="00B846E6" w:rsidSect="00DD188C">
      <w:headerReference w:type="even" r:id="rId29"/>
      <w:headerReference w:type="default" r:id="rId30"/>
      <w:footerReference w:type="even" r:id="rId31"/>
      <w:footerReference w:type="default" r:id="rId32"/>
      <w:headerReference w:type="first" r:id="rId33"/>
      <w:footerReference w:type="first" r:id="rId34"/>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544FF" w14:textId="77777777" w:rsidR="00CE42C2" w:rsidRDefault="00CE42C2" w:rsidP="00A35800">
      <w:r>
        <w:separator/>
      </w:r>
    </w:p>
  </w:endnote>
  <w:endnote w:type="continuationSeparator" w:id="0">
    <w:p w14:paraId="12D0E783" w14:textId="77777777" w:rsidR="00CE42C2" w:rsidRDefault="00CE42C2"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D5E5" w14:textId="5A9EB966" w:rsidR="00214013" w:rsidRDefault="00596919" w:rsidP="00A35800">
    <w:pPr>
      <w:pStyle w:val="Footer"/>
      <w:rPr>
        <w:rStyle w:val="PageNumber"/>
      </w:rPr>
    </w:pPr>
    <w:r>
      <w:rPr>
        <w:noProof/>
      </w:rPr>
      <mc:AlternateContent>
        <mc:Choice Requires="wps">
          <w:drawing>
            <wp:anchor distT="0" distB="0" distL="0" distR="0" simplePos="0" relativeHeight="251686912" behindDoc="0" locked="0" layoutInCell="1" allowOverlap="1" wp14:anchorId="163B67C8" wp14:editId="3064A311">
              <wp:simplePos x="635" y="635"/>
              <wp:positionH relativeFrom="page">
                <wp:align>center</wp:align>
              </wp:positionH>
              <wp:positionV relativeFrom="page">
                <wp:align>bottom</wp:align>
              </wp:positionV>
              <wp:extent cx="622300" cy="376555"/>
              <wp:effectExtent l="0" t="0" r="6350" b="0"/>
              <wp:wrapNone/>
              <wp:docPr id="13385592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97B517E" w14:textId="0AF24610" w:rsidR="00596919" w:rsidRPr="00596919" w:rsidRDefault="00596919" w:rsidP="00596919">
                          <w:pPr>
                            <w:spacing w:after="0"/>
                            <w:rPr>
                              <w:rFonts w:ascii="Aptos" w:eastAsia="Aptos" w:hAnsi="Aptos" w:cs="Aptos"/>
                              <w:noProof/>
                              <w:color w:val="FF0000"/>
                            </w:rPr>
                          </w:pPr>
                          <w:r w:rsidRPr="0059691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3B67C8"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797B517E" w14:textId="0AF24610" w:rsidR="00596919" w:rsidRPr="00596919" w:rsidRDefault="00596919" w:rsidP="00596919">
                    <w:pPr>
                      <w:spacing w:after="0"/>
                      <w:rPr>
                        <w:rFonts w:ascii="Aptos" w:eastAsia="Aptos" w:hAnsi="Aptos" w:cs="Aptos"/>
                        <w:noProof/>
                        <w:color w:val="FF0000"/>
                      </w:rPr>
                    </w:pPr>
                    <w:r w:rsidRPr="00596919">
                      <w:rPr>
                        <w:rFonts w:ascii="Aptos" w:eastAsia="Aptos" w:hAnsi="Aptos" w:cs="Aptos"/>
                        <w:noProof/>
                        <w:color w:val="FF0000"/>
                      </w:rPr>
                      <w:t>OFFICIAL</w:t>
                    </w:r>
                  </w:p>
                </w:txbxContent>
              </v:textbox>
              <w10:wrap anchorx="page" anchory="page"/>
            </v:shape>
          </w:pict>
        </mc:Fallback>
      </mc:AlternateContent>
    </w:r>
    <w:r w:rsidR="00214013">
      <w:rPr>
        <w:rStyle w:val="PageNumber"/>
      </w:rPr>
      <w:fldChar w:fldCharType="begin"/>
    </w:r>
    <w:r w:rsidR="00214013">
      <w:rPr>
        <w:rStyle w:val="PageNumber"/>
      </w:rPr>
      <w:instrText xml:space="preserve">PAGE  </w:instrText>
    </w:r>
    <w:r w:rsidR="00214013">
      <w:rPr>
        <w:rStyle w:val="PageNumber"/>
      </w:rPr>
      <w:fldChar w:fldCharType="end"/>
    </w:r>
  </w:p>
  <w:p w14:paraId="2D9F9A1E" w14:textId="77777777" w:rsidR="00214013" w:rsidRDefault="00214013"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ECAB" w14:textId="1E10D790" w:rsidR="004066A1" w:rsidRDefault="00596919" w:rsidP="004066A1">
    <w:pPr>
      <w:pStyle w:val="Footer"/>
      <w:tabs>
        <w:tab w:val="left" w:pos="2130"/>
        <w:tab w:val="center" w:pos="4478"/>
      </w:tabs>
    </w:pPr>
    <w:r>
      <w:rPr>
        <w:noProof/>
      </w:rPr>
      <mc:AlternateContent>
        <mc:Choice Requires="wps">
          <w:drawing>
            <wp:anchor distT="0" distB="0" distL="0" distR="0" simplePos="0" relativeHeight="251687936" behindDoc="0" locked="0" layoutInCell="1" allowOverlap="1" wp14:anchorId="072A72FA" wp14:editId="0523872F">
              <wp:simplePos x="635" y="635"/>
              <wp:positionH relativeFrom="page">
                <wp:align>center</wp:align>
              </wp:positionH>
              <wp:positionV relativeFrom="page">
                <wp:align>bottom</wp:align>
              </wp:positionV>
              <wp:extent cx="622300" cy="376555"/>
              <wp:effectExtent l="0" t="0" r="6350" b="0"/>
              <wp:wrapNone/>
              <wp:docPr id="184060487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32A97DB" w14:textId="4410A558" w:rsidR="00596919" w:rsidRPr="00596919" w:rsidRDefault="00596919" w:rsidP="00596919">
                          <w:pPr>
                            <w:spacing w:after="0"/>
                            <w:rPr>
                              <w:rFonts w:ascii="Aptos" w:eastAsia="Aptos" w:hAnsi="Aptos" w:cs="Aptos"/>
                              <w:noProof/>
                              <w:color w:val="FF0000"/>
                            </w:rPr>
                          </w:pPr>
                          <w:r w:rsidRPr="0059691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2A72FA"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732A97DB" w14:textId="4410A558" w:rsidR="00596919" w:rsidRPr="00596919" w:rsidRDefault="00596919" w:rsidP="00596919">
                    <w:pPr>
                      <w:spacing w:after="0"/>
                      <w:rPr>
                        <w:rFonts w:ascii="Aptos" w:eastAsia="Aptos" w:hAnsi="Aptos" w:cs="Aptos"/>
                        <w:noProof/>
                        <w:color w:val="FF0000"/>
                      </w:rPr>
                    </w:pPr>
                    <w:r w:rsidRPr="00596919">
                      <w:rPr>
                        <w:rFonts w:ascii="Aptos" w:eastAsia="Aptos" w:hAnsi="Aptos" w:cs="Aptos"/>
                        <w:noProof/>
                        <w:color w:val="FF0000"/>
                      </w:rPr>
                      <w:t>OFFICIAL</w:t>
                    </w:r>
                  </w:p>
                </w:txbxContent>
              </v:textbox>
              <w10:wrap anchorx="page" anchory="page"/>
            </v:shape>
          </w:pict>
        </mc:Fallback>
      </mc:AlternateContent>
    </w:r>
    <w:r w:rsidR="004066A1">
      <w:tab/>
    </w:r>
    <w:r w:rsidR="004066A1">
      <w:tab/>
    </w:r>
    <w:r w:rsidR="004066A1">
      <w:tab/>
    </w:r>
  </w:p>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30682B98" w14:textId="1920740E" w:rsidR="000E72C6" w:rsidRPr="000E72C6" w:rsidRDefault="00DF0887" w:rsidP="000E72C6">
            <w:pPr>
              <w:pStyle w:val="Footer"/>
              <w:jc w:val="center"/>
              <w:rPr>
                <w:i/>
                <w:sz w:val="20"/>
              </w:rPr>
            </w:pPr>
            <w:r>
              <w:rPr>
                <w:i/>
                <w:sz w:val="20"/>
              </w:rPr>
              <w:t>Public Release Document, June 2025 DUSC Meeting</w:t>
            </w:r>
          </w:p>
          <w:p w14:paraId="10292A9A" w14:textId="7D864046" w:rsidR="00214013" w:rsidRDefault="00DD188C"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FA1BA3">
              <w:rPr>
                <w:bCs/>
                <w:i/>
                <w:noProof/>
                <w:sz w:val="20"/>
              </w:rPr>
              <w:t>4</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FA1BA3">
              <w:rPr>
                <w:bCs/>
                <w:i/>
                <w:noProof/>
                <w:sz w:val="20"/>
              </w:rPr>
              <w:t>13</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2E1F" w14:textId="6F489538" w:rsidR="007A5733" w:rsidRDefault="00596919" w:rsidP="007A5733">
    <w:pPr>
      <w:pStyle w:val="Footer"/>
      <w:jc w:val="center"/>
      <w:rPr>
        <w:rStyle w:val="PageNumber"/>
      </w:rPr>
    </w:pPr>
    <w:r>
      <w:rPr>
        <w:noProof/>
      </w:rPr>
      <mc:AlternateContent>
        <mc:Choice Requires="wps">
          <w:drawing>
            <wp:anchor distT="0" distB="0" distL="0" distR="0" simplePos="0" relativeHeight="251685888" behindDoc="0" locked="0" layoutInCell="1" allowOverlap="1" wp14:anchorId="4E917CC7" wp14:editId="1A2744EB">
              <wp:simplePos x="635" y="635"/>
              <wp:positionH relativeFrom="page">
                <wp:align>center</wp:align>
              </wp:positionH>
              <wp:positionV relativeFrom="page">
                <wp:align>bottom</wp:align>
              </wp:positionV>
              <wp:extent cx="622300" cy="376555"/>
              <wp:effectExtent l="0" t="0" r="6350" b="0"/>
              <wp:wrapNone/>
              <wp:docPr id="102502944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EFA1E54" w14:textId="0C6A6365" w:rsidR="00596919" w:rsidRPr="00596919" w:rsidRDefault="00596919" w:rsidP="00596919">
                          <w:pPr>
                            <w:spacing w:after="0"/>
                            <w:rPr>
                              <w:rFonts w:ascii="Aptos" w:eastAsia="Aptos" w:hAnsi="Aptos" w:cs="Aptos"/>
                              <w:noProof/>
                              <w:color w:val="FF0000"/>
                            </w:rPr>
                          </w:pPr>
                          <w:r w:rsidRPr="0059691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917CC7"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EFA1E54" w14:textId="0C6A6365" w:rsidR="00596919" w:rsidRPr="00596919" w:rsidRDefault="00596919" w:rsidP="00596919">
                    <w:pPr>
                      <w:spacing w:after="0"/>
                      <w:rPr>
                        <w:rFonts w:ascii="Aptos" w:eastAsia="Aptos" w:hAnsi="Aptos" w:cs="Aptos"/>
                        <w:noProof/>
                        <w:color w:val="FF0000"/>
                      </w:rPr>
                    </w:pPr>
                    <w:r w:rsidRPr="00596919">
                      <w:rPr>
                        <w:rFonts w:ascii="Aptos" w:eastAsia="Aptos" w:hAnsi="Aptos" w:cs="Aptos"/>
                        <w:noProof/>
                        <w:color w:val="FF0000"/>
                      </w:rPr>
                      <w:t>OFFICIAL</w:t>
                    </w:r>
                  </w:p>
                </w:txbxContent>
              </v:textbox>
              <w10:wrap anchorx="page" anchory="page"/>
            </v:shape>
          </w:pict>
        </mc:Fallback>
      </mc:AlternateContent>
    </w:r>
    <w:r w:rsidR="007A5733">
      <w:rPr>
        <w:rStyle w:val="PageNumber"/>
      </w:rPr>
      <w:t>Committee-in-Confidence</w:t>
    </w:r>
  </w:p>
  <w:p w14:paraId="3CE6880B" w14:textId="77777777" w:rsidR="00DD188C" w:rsidRDefault="00DD188C"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4CA6C" w14:textId="77777777" w:rsidR="00CE42C2" w:rsidRDefault="00CE42C2" w:rsidP="00A35800">
      <w:r>
        <w:separator/>
      </w:r>
    </w:p>
  </w:footnote>
  <w:footnote w:type="continuationSeparator" w:id="0">
    <w:p w14:paraId="6B467905" w14:textId="77777777" w:rsidR="00CE42C2" w:rsidRDefault="00CE42C2" w:rsidP="00A35800">
      <w:r>
        <w:continuationSeparator/>
      </w:r>
    </w:p>
  </w:footnote>
  <w:footnote w:id="1">
    <w:p w14:paraId="1F729FC2" w14:textId="77777777" w:rsidR="007B4655" w:rsidRDefault="00810B79" w:rsidP="007B4655">
      <w:pPr>
        <w:pStyle w:val="FootnoteText"/>
      </w:pPr>
      <w:r>
        <w:rPr>
          <w:rStyle w:val="FootnoteReference"/>
        </w:rPr>
        <w:footnoteRef/>
      </w:r>
      <w:r>
        <w:t xml:space="preserve"> </w:t>
      </w:r>
      <w:r w:rsidR="007B4655">
        <w:t xml:space="preserve">Hepatocellular Carcinoma Consensus Statement Working Group. Australian recommendations for the management </w:t>
      </w:r>
    </w:p>
    <w:p w14:paraId="473C685A" w14:textId="3E958FAF" w:rsidR="00810B79" w:rsidRDefault="007B4655" w:rsidP="007B4655">
      <w:pPr>
        <w:pStyle w:val="FootnoteText"/>
      </w:pPr>
      <w:r>
        <w:t xml:space="preserve">of hepatocellular carcinoma: a consensus statement. Melbourne: Gastroenterological Society of Australia, 2020. </w:t>
      </w:r>
      <w:hyperlink r:id="rId1" w:history="1">
        <w:r w:rsidR="00810B79" w:rsidRPr="00810B79">
          <w:rPr>
            <w:rStyle w:val="Hyperlink"/>
          </w:rPr>
          <w:t>HCC Consensus Statement - Dec 2020.pdf</w:t>
        </w:r>
      </w:hyperlink>
    </w:p>
  </w:footnote>
  <w:footnote w:id="2">
    <w:p w14:paraId="555475F9" w14:textId="06F047FA" w:rsidR="000F4429" w:rsidRDefault="000F4429">
      <w:pPr>
        <w:pStyle w:val="FootnoteText"/>
      </w:pPr>
      <w:r>
        <w:rPr>
          <w:rStyle w:val="FootnoteReference"/>
        </w:rPr>
        <w:footnoteRef/>
      </w:r>
      <w:r>
        <w:t xml:space="preserve"> </w:t>
      </w:r>
      <w:hyperlink r:id="rId2" w:history="1">
        <w:r w:rsidR="0035719F" w:rsidRPr="0035719F">
          <w:t xml:space="preserve"> Tecentriq® (atezolizumab)</w:t>
        </w:r>
        <w:r w:rsidR="004F768A">
          <w:t xml:space="preserve"> IV formulation</w:t>
        </w:r>
        <w:r w:rsidR="00E07FA8">
          <w:rPr>
            <w:rStyle w:val="Hyperlink"/>
            <w:color w:val="auto"/>
            <w:u w:val="none"/>
          </w:rPr>
          <w:t>. Australian Approved Product Information</w:t>
        </w:r>
        <w:r w:rsidR="000C0055">
          <w:rPr>
            <w:rStyle w:val="Hyperlink"/>
            <w:color w:val="auto"/>
            <w:u w:val="none"/>
          </w:rPr>
          <w:t xml:space="preserve">. </w:t>
        </w:r>
        <w:r w:rsidR="000C0055" w:rsidRPr="000C0055">
          <w:rPr>
            <w:rStyle w:val="Hyperlink"/>
            <w:color w:val="auto"/>
            <w:u w:val="none"/>
          </w:rPr>
          <w:t>Roche Products Pty Limited</w:t>
        </w:r>
        <w:r w:rsidR="00E563C5">
          <w:rPr>
            <w:rStyle w:val="Hyperlink"/>
            <w:color w:val="auto"/>
            <w:u w:val="none"/>
          </w:rPr>
          <w:t xml:space="preserve">. Approved </w:t>
        </w:r>
        <w:r w:rsidR="00B5233E">
          <w:rPr>
            <w:rStyle w:val="Hyperlink"/>
            <w:color w:val="auto"/>
            <w:u w:val="none"/>
          </w:rPr>
          <w:t>27 July 2017</w:t>
        </w:r>
        <w:r w:rsidR="00E563C5">
          <w:rPr>
            <w:rStyle w:val="Hyperlink"/>
            <w:color w:val="auto"/>
            <w:u w:val="none"/>
          </w:rPr>
          <w:t>, updated</w:t>
        </w:r>
        <w:r w:rsidR="00B5233E">
          <w:rPr>
            <w:rStyle w:val="Hyperlink"/>
            <w:color w:val="auto"/>
            <w:u w:val="none"/>
          </w:rPr>
          <w:t xml:space="preserve"> 25 September 2024</w:t>
        </w:r>
        <w:r w:rsidR="00E563C5">
          <w:rPr>
            <w:rStyle w:val="Hyperlink"/>
            <w:color w:val="auto"/>
            <w:u w:val="none"/>
          </w:rPr>
          <w:t>. Accessed 3 March 2025. Available from:</w:t>
        </w:r>
        <w:r w:rsidR="00E07FA8">
          <w:rPr>
            <w:rStyle w:val="Hyperlink"/>
            <w:color w:val="auto"/>
            <w:u w:val="none"/>
          </w:rPr>
          <w:t xml:space="preserve"> </w:t>
        </w:r>
        <w:r w:rsidRPr="000F4429">
          <w:rPr>
            <w:rStyle w:val="Hyperlink"/>
          </w:rPr>
          <w:t>TGA eBS - Product and Consumer Medicine Information</w:t>
        </w:r>
      </w:hyperlink>
    </w:p>
  </w:footnote>
  <w:footnote w:id="3">
    <w:p w14:paraId="344DE3D3" w14:textId="1A926514" w:rsidR="003C0ABB" w:rsidRDefault="003C0ABB">
      <w:pPr>
        <w:pStyle w:val="FootnoteText"/>
      </w:pPr>
      <w:r>
        <w:rPr>
          <w:rStyle w:val="FootnoteReference"/>
        </w:rPr>
        <w:footnoteRef/>
      </w:r>
      <w:r>
        <w:t xml:space="preserve"> From final version of financial workbook.</w:t>
      </w:r>
    </w:p>
  </w:footnote>
  <w:footnote w:id="4">
    <w:p w14:paraId="123B3125" w14:textId="19836F27" w:rsidR="003C0ABB" w:rsidRDefault="003C0ABB">
      <w:pPr>
        <w:pStyle w:val="FootnoteText"/>
      </w:pPr>
      <w:r>
        <w:rPr>
          <w:rStyle w:val="FootnoteReference"/>
        </w:rPr>
        <w:footnoteRef/>
      </w:r>
      <w:r>
        <w:t xml:space="preserve"> </w:t>
      </w:r>
      <w:hyperlink r:id="rId3" w:history="1">
        <w:r w:rsidRPr="00A216D3">
          <w:rPr>
            <w:rStyle w:val="Hyperlink"/>
          </w:rPr>
          <w:t>Public Summary Document – July 2020 PBAC Meeting</w:t>
        </w:r>
      </w:hyperlink>
    </w:p>
  </w:footnote>
  <w:footnote w:id="5">
    <w:p w14:paraId="3BE2A1EE" w14:textId="54971CD3" w:rsidR="00B83DF9" w:rsidRDefault="00B83DF9">
      <w:pPr>
        <w:pStyle w:val="FootnoteText"/>
      </w:pPr>
      <w:r>
        <w:rPr>
          <w:rStyle w:val="FootnoteReference"/>
        </w:rPr>
        <w:footnoteRef/>
      </w:r>
      <w:r>
        <w:t xml:space="preserve"> The submission.</w:t>
      </w:r>
    </w:p>
  </w:footnote>
  <w:footnote w:id="6">
    <w:p w14:paraId="41B2AB9A" w14:textId="77777777" w:rsidR="00472F31" w:rsidRDefault="00472F31" w:rsidP="00472F31">
      <w:pPr>
        <w:pStyle w:val="FootnoteText"/>
      </w:pPr>
      <w:r>
        <w:rPr>
          <w:rStyle w:val="FootnoteReference"/>
        </w:rPr>
        <w:footnoteRef/>
      </w:r>
      <w:r>
        <w:t xml:space="preserve"> </w:t>
      </w:r>
      <w:hyperlink r:id="rId4" w:history="1">
        <w:r w:rsidRPr="000E2EC9">
          <w:rPr>
            <w:rStyle w:val="Hyperlink"/>
          </w:rPr>
          <w:t>Cancer data in Australia, Cancer incidence and survival by histology (selected cancers) - Australian Institute of Health and Welfare</w:t>
        </w:r>
      </w:hyperlink>
    </w:p>
  </w:footnote>
  <w:footnote w:id="7">
    <w:p w14:paraId="5C6F70E3" w14:textId="77777777" w:rsidR="00472F31" w:rsidRDefault="00472F31" w:rsidP="00472F31">
      <w:pPr>
        <w:pStyle w:val="FootnoteText"/>
      </w:pPr>
      <w:r>
        <w:rPr>
          <w:rStyle w:val="FootnoteReference"/>
        </w:rPr>
        <w:footnoteRef/>
      </w:r>
      <w:r>
        <w:t xml:space="preserve"> </w:t>
      </w:r>
      <w:hyperlink r:id="rId5" w:history="1">
        <w:r w:rsidRPr="000E2EC9">
          <w:rPr>
            <w:rStyle w:val="Hyperlink"/>
          </w:rPr>
          <w:t>Cancer data in Australia, Cancer incidence and survival by histology (selected cancers) - Australian Institute of Health and Welfare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77F7D" w14:textId="1093013E" w:rsidR="00DF0887" w:rsidRDefault="00596919">
    <w:pPr>
      <w:pStyle w:val="Header"/>
    </w:pPr>
    <w:r>
      <w:rPr>
        <w:noProof/>
      </w:rPr>
      <mc:AlternateContent>
        <mc:Choice Requires="wps">
          <w:drawing>
            <wp:anchor distT="0" distB="0" distL="0" distR="0" simplePos="0" relativeHeight="251683840" behindDoc="0" locked="0" layoutInCell="1" allowOverlap="1" wp14:anchorId="72A36F87" wp14:editId="02CCDA38">
              <wp:simplePos x="635" y="635"/>
              <wp:positionH relativeFrom="page">
                <wp:align>center</wp:align>
              </wp:positionH>
              <wp:positionV relativeFrom="page">
                <wp:align>top</wp:align>
              </wp:positionV>
              <wp:extent cx="622300" cy="376555"/>
              <wp:effectExtent l="0" t="0" r="6350" b="4445"/>
              <wp:wrapNone/>
              <wp:docPr id="121317861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EA355EA" w14:textId="3B23DA29" w:rsidR="00596919" w:rsidRPr="00596919" w:rsidRDefault="00596919" w:rsidP="00596919">
                          <w:pPr>
                            <w:spacing w:after="0"/>
                            <w:rPr>
                              <w:rFonts w:ascii="Aptos" w:eastAsia="Aptos" w:hAnsi="Aptos" w:cs="Aptos"/>
                              <w:noProof/>
                              <w:color w:val="FF0000"/>
                            </w:rPr>
                          </w:pPr>
                          <w:r w:rsidRPr="0059691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A36F87"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5EA355EA" w14:textId="3B23DA29" w:rsidR="00596919" w:rsidRPr="00596919" w:rsidRDefault="00596919" w:rsidP="00596919">
                    <w:pPr>
                      <w:spacing w:after="0"/>
                      <w:rPr>
                        <w:rFonts w:ascii="Aptos" w:eastAsia="Aptos" w:hAnsi="Aptos" w:cs="Aptos"/>
                        <w:noProof/>
                        <w:color w:val="FF0000"/>
                      </w:rPr>
                    </w:pPr>
                    <w:r w:rsidRPr="00596919">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BF42" w14:textId="2A19E2AE" w:rsidR="00DF0887" w:rsidRDefault="00596919">
    <w:pPr>
      <w:pStyle w:val="Header"/>
    </w:pPr>
    <w:r>
      <w:rPr>
        <w:noProof/>
      </w:rPr>
      <mc:AlternateContent>
        <mc:Choice Requires="wps">
          <w:drawing>
            <wp:anchor distT="0" distB="0" distL="0" distR="0" simplePos="0" relativeHeight="251684864" behindDoc="0" locked="0" layoutInCell="1" allowOverlap="1" wp14:anchorId="3E19EF5D" wp14:editId="4F5BC028">
              <wp:simplePos x="635" y="635"/>
              <wp:positionH relativeFrom="page">
                <wp:align>center</wp:align>
              </wp:positionH>
              <wp:positionV relativeFrom="page">
                <wp:align>top</wp:align>
              </wp:positionV>
              <wp:extent cx="622300" cy="376555"/>
              <wp:effectExtent l="0" t="0" r="6350" b="4445"/>
              <wp:wrapNone/>
              <wp:docPr id="50364034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678886B" w14:textId="791639EC" w:rsidR="00596919" w:rsidRPr="00596919" w:rsidRDefault="00596919" w:rsidP="00596919">
                          <w:pPr>
                            <w:spacing w:after="0"/>
                            <w:rPr>
                              <w:rFonts w:ascii="Aptos" w:eastAsia="Aptos" w:hAnsi="Aptos" w:cs="Aptos"/>
                              <w:noProof/>
                              <w:color w:val="FF0000"/>
                            </w:rPr>
                          </w:pPr>
                          <w:r w:rsidRPr="0059691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19EF5D"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2678886B" w14:textId="791639EC" w:rsidR="00596919" w:rsidRPr="00596919" w:rsidRDefault="00596919" w:rsidP="00596919">
                    <w:pPr>
                      <w:spacing w:after="0"/>
                      <w:rPr>
                        <w:rFonts w:ascii="Aptos" w:eastAsia="Aptos" w:hAnsi="Aptos" w:cs="Aptos"/>
                        <w:noProof/>
                        <w:color w:val="FF0000"/>
                      </w:rPr>
                    </w:pPr>
                    <w:r w:rsidRPr="00596919">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D31F" w14:textId="75F25E69" w:rsidR="00DF0887" w:rsidRDefault="00596919">
    <w:pPr>
      <w:pStyle w:val="Header"/>
    </w:pPr>
    <w:r>
      <w:rPr>
        <w:noProof/>
      </w:rPr>
      <mc:AlternateContent>
        <mc:Choice Requires="wps">
          <w:drawing>
            <wp:anchor distT="0" distB="0" distL="0" distR="0" simplePos="0" relativeHeight="251682816" behindDoc="0" locked="0" layoutInCell="1" allowOverlap="1" wp14:anchorId="6E1CCBDE" wp14:editId="3A2D3DA2">
              <wp:simplePos x="635" y="635"/>
              <wp:positionH relativeFrom="page">
                <wp:align>center</wp:align>
              </wp:positionH>
              <wp:positionV relativeFrom="page">
                <wp:align>top</wp:align>
              </wp:positionV>
              <wp:extent cx="622300" cy="376555"/>
              <wp:effectExtent l="0" t="0" r="6350" b="4445"/>
              <wp:wrapNone/>
              <wp:docPr id="119511506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083C281" w14:textId="59C97C45" w:rsidR="00596919" w:rsidRPr="00596919" w:rsidRDefault="00596919" w:rsidP="00596919">
                          <w:pPr>
                            <w:spacing w:after="0"/>
                            <w:rPr>
                              <w:rFonts w:ascii="Aptos" w:eastAsia="Aptos" w:hAnsi="Aptos" w:cs="Aptos"/>
                              <w:noProof/>
                              <w:color w:val="FF0000"/>
                            </w:rPr>
                          </w:pPr>
                          <w:r w:rsidRPr="0059691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1CCBDE"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083C281" w14:textId="59C97C45" w:rsidR="00596919" w:rsidRPr="00596919" w:rsidRDefault="00596919" w:rsidP="00596919">
                    <w:pPr>
                      <w:spacing w:after="0"/>
                      <w:rPr>
                        <w:rFonts w:ascii="Aptos" w:eastAsia="Aptos" w:hAnsi="Aptos" w:cs="Aptos"/>
                        <w:noProof/>
                        <w:color w:val="FF0000"/>
                      </w:rPr>
                    </w:pPr>
                    <w:r w:rsidRPr="00596919">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6DCC"/>
    <w:multiLevelType w:val="multilevel"/>
    <w:tmpl w:val="F81A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B542F"/>
    <w:multiLevelType w:val="multilevel"/>
    <w:tmpl w:val="8E5A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710D9"/>
    <w:multiLevelType w:val="multilevel"/>
    <w:tmpl w:val="33A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932CD"/>
    <w:multiLevelType w:val="hybridMultilevel"/>
    <w:tmpl w:val="6D945E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1A44890"/>
    <w:multiLevelType w:val="multilevel"/>
    <w:tmpl w:val="1D6E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46DC3"/>
    <w:multiLevelType w:val="multilevel"/>
    <w:tmpl w:val="5B5A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9B6C91"/>
    <w:multiLevelType w:val="hybridMultilevel"/>
    <w:tmpl w:val="B0B20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3022E2"/>
    <w:multiLevelType w:val="hybridMultilevel"/>
    <w:tmpl w:val="F3861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D4434A"/>
    <w:multiLevelType w:val="hybridMultilevel"/>
    <w:tmpl w:val="6088D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C94410"/>
    <w:multiLevelType w:val="multilevel"/>
    <w:tmpl w:val="A548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B971A9"/>
    <w:multiLevelType w:val="multilevel"/>
    <w:tmpl w:val="757C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5C7A65"/>
    <w:multiLevelType w:val="multilevel"/>
    <w:tmpl w:val="92E2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01C3019"/>
    <w:multiLevelType w:val="multilevel"/>
    <w:tmpl w:val="BE50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4A33C7"/>
    <w:multiLevelType w:val="multilevel"/>
    <w:tmpl w:val="5200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9D1C82"/>
    <w:multiLevelType w:val="multilevel"/>
    <w:tmpl w:val="A876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C6562D"/>
    <w:multiLevelType w:val="multilevel"/>
    <w:tmpl w:val="A64C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9EE524"/>
    <w:multiLevelType w:val="multilevel"/>
    <w:tmpl w:val="7A14C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82343096">
    <w:abstractNumId w:val="19"/>
  </w:num>
  <w:num w:numId="2" w16cid:durableId="1992296206">
    <w:abstractNumId w:val="15"/>
  </w:num>
  <w:num w:numId="3" w16cid:durableId="1575973580">
    <w:abstractNumId w:val="13"/>
  </w:num>
  <w:num w:numId="4" w16cid:durableId="815222148">
    <w:abstractNumId w:val="6"/>
  </w:num>
  <w:num w:numId="5" w16cid:durableId="1727139991">
    <w:abstractNumId w:val="9"/>
  </w:num>
  <w:num w:numId="6" w16cid:durableId="1630817535">
    <w:abstractNumId w:val="7"/>
  </w:num>
  <w:num w:numId="7" w16cid:durableId="60177866">
    <w:abstractNumId w:val="2"/>
  </w:num>
  <w:num w:numId="8" w16cid:durableId="209466147">
    <w:abstractNumId w:val="4"/>
  </w:num>
  <w:num w:numId="9" w16cid:durableId="996497392">
    <w:abstractNumId w:val="18"/>
  </w:num>
  <w:num w:numId="10" w16cid:durableId="1607690707">
    <w:abstractNumId w:val="11"/>
  </w:num>
  <w:num w:numId="11" w16cid:durableId="455871969">
    <w:abstractNumId w:val="5"/>
  </w:num>
  <w:num w:numId="12" w16cid:durableId="322776258">
    <w:abstractNumId w:val="10"/>
  </w:num>
  <w:num w:numId="13" w16cid:durableId="2101826060">
    <w:abstractNumId w:val="12"/>
  </w:num>
  <w:num w:numId="14" w16cid:durableId="1417242103">
    <w:abstractNumId w:val="1"/>
  </w:num>
  <w:num w:numId="15" w16cid:durableId="245385600">
    <w:abstractNumId w:val="0"/>
  </w:num>
  <w:num w:numId="16" w16cid:durableId="156002051">
    <w:abstractNumId w:val="14"/>
  </w:num>
  <w:num w:numId="17" w16cid:durableId="833759937">
    <w:abstractNumId w:val="17"/>
  </w:num>
  <w:num w:numId="18" w16cid:durableId="581841941">
    <w:abstractNumId w:val="16"/>
  </w:num>
  <w:num w:numId="19" w16cid:durableId="131021648">
    <w:abstractNumId w:val="3"/>
  </w:num>
  <w:num w:numId="20" w16cid:durableId="502331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1"/>
    <w:rsid w:val="00007154"/>
    <w:rsid w:val="00007E85"/>
    <w:rsid w:val="0000E420"/>
    <w:rsid w:val="000102D2"/>
    <w:rsid w:val="00013465"/>
    <w:rsid w:val="00013CAC"/>
    <w:rsid w:val="000226B3"/>
    <w:rsid w:val="00024549"/>
    <w:rsid w:val="000270C9"/>
    <w:rsid w:val="00027B88"/>
    <w:rsid w:val="00031E1E"/>
    <w:rsid w:val="000357AC"/>
    <w:rsid w:val="00045F67"/>
    <w:rsid w:val="000530AA"/>
    <w:rsid w:val="000544B6"/>
    <w:rsid w:val="000604AF"/>
    <w:rsid w:val="00063F59"/>
    <w:rsid w:val="000729B7"/>
    <w:rsid w:val="0007568B"/>
    <w:rsid w:val="00076BEA"/>
    <w:rsid w:val="00077627"/>
    <w:rsid w:val="00077DC0"/>
    <w:rsid w:val="0008248C"/>
    <w:rsid w:val="00085186"/>
    <w:rsid w:val="00086C11"/>
    <w:rsid w:val="00092E5A"/>
    <w:rsid w:val="00093651"/>
    <w:rsid w:val="00094945"/>
    <w:rsid w:val="00094DCF"/>
    <w:rsid w:val="000A135D"/>
    <w:rsid w:val="000A1DE9"/>
    <w:rsid w:val="000A2699"/>
    <w:rsid w:val="000A3A3A"/>
    <w:rsid w:val="000A551F"/>
    <w:rsid w:val="000A6CFD"/>
    <w:rsid w:val="000B0982"/>
    <w:rsid w:val="000B1B6B"/>
    <w:rsid w:val="000B5B52"/>
    <w:rsid w:val="000B78CC"/>
    <w:rsid w:val="000B796C"/>
    <w:rsid w:val="000C0055"/>
    <w:rsid w:val="000C46BB"/>
    <w:rsid w:val="000C4D9D"/>
    <w:rsid w:val="000C529F"/>
    <w:rsid w:val="000C74BA"/>
    <w:rsid w:val="000C7C4B"/>
    <w:rsid w:val="000C7D8B"/>
    <w:rsid w:val="000E0A82"/>
    <w:rsid w:val="000E2EC9"/>
    <w:rsid w:val="000E485D"/>
    <w:rsid w:val="000E4EE5"/>
    <w:rsid w:val="000E6B50"/>
    <w:rsid w:val="000E72C6"/>
    <w:rsid w:val="000E78D9"/>
    <w:rsid w:val="000F1893"/>
    <w:rsid w:val="000F2F51"/>
    <w:rsid w:val="000F4429"/>
    <w:rsid w:val="000F612A"/>
    <w:rsid w:val="00106C73"/>
    <w:rsid w:val="00107708"/>
    <w:rsid w:val="00107800"/>
    <w:rsid w:val="00110F5E"/>
    <w:rsid w:val="0011320F"/>
    <w:rsid w:val="00113CF8"/>
    <w:rsid w:val="00113D74"/>
    <w:rsid w:val="00114A88"/>
    <w:rsid w:val="00117C5C"/>
    <w:rsid w:val="00122E8F"/>
    <w:rsid w:val="00122EF5"/>
    <w:rsid w:val="00126AAC"/>
    <w:rsid w:val="001302C4"/>
    <w:rsid w:val="001310AE"/>
    <w:rsid w:val="001349F4"/>
    <w:rsid w:val="00135B0B"/>
    <w:rsid w:val="0013705A"/>
    <w:rsid w:val="001420B3"/>
    <w:rsid w:val="00142707"/>
    <w:rsid w:val="00142C28"/>
    <w:rsid w:val="001460C4"/>
    <w:rsid w:val="00150079"/>
    <w:rsid w:val="00151B5D"/>
    <w:rsid w:val="0015691C"/>
    <w:rsid w:val="001621F7"/>
    <w:rsid w:val="00162347"/>
    <w:rsid w:val="001624D7"/>
    <w:rsid w:val="00171F88"/>
    <w:rsid w:val="00174062"/>
    <w:rsid w:val="00175098"/>
    <w:rsid w:val="00175E4F"/>
    <w:rsid w:val="00177B86"/>
    <w:rsid w:val="00182585"/>
    <w:rsid w:val="001837C8"/>
    <w:rsid w:val="001848C7"/>
    <w:rsid w:val="00185319"/>
    <w:rsid w:val="00186A6D"/>
    <w:rsid w:val="00187E4B"/>
    <w:rsid w:val="001909B8"/>
    <w:rsid w:val="00190CCA"/>
    <w:rsid w:val="00191182"/>
    <w:rsid w:val="001957BD"/>
    <w:rsid w:val="0019664D"/>
    <w:rsid w:val="00196991"/>
    <w:rsid w:val="001A041C"/>
    <w:rsid w:val="001A0815"/>
    <w:rsid w:val="001A08CF"/>
    <w:rsid w:val="001A1C93"/>
    <w:rsid w:val="001A28AB"/>
    <w:rsid w:val="001A6103"/>
    <w:rsid w:val="001A7108"/>
    <w:rsid w:val="001B0488"/>
    <w:rsid w:val="001B2218"/>
    <w:rsid w:val="001B5C6F"/>
    <w:rsid w:val="001B5D37"/>
    <w:rsid w:val="001B5F83"/>
    <w:rsid w:val="001C19EE"/>
    <w:rsid w:val="001C1F71"/>
    <w:rsid w:val="001C2940"/>
    <w:rsid w:val="001C4016"/>
    <w:rsid w:val="001C4B90"/>
    <w:rsid w:val="001C548D"/>
    <w:rsid w:val="001C6A5D"/>
    <w:rsid w:val="001D121A"/>
    <w:rsid w:val="001D68ED"/>
    <w:rsid w:val="001E31A6"/>
    <w:rsid w:val="001E42C7"/>
    <w:rsid w:val="001E4CAB"/>
    <w:rsid w:val="001E58F2"/>
    <w:rsid w:val="001E75BE"/>
    <w:rsid w:val="001F0A4E"/>
    <w:rsid w:val="001F1C86"/>
    <w:rsid w:val="001F2F3E"/>
    <w:rsid w:val="001F4906"/>
    <w:rsid w:val="001F7C4A"/>
    <w:rsid w:val="002037CF"/>
    <w:rsid w:val="0020578A"/>
    <w:rsid w:val="00207631"/>
    <w:rsid w:val="00213D37"/>
    <w:rsid w:val="00214013"/>
    <w:rsid w:val="0021670D"/>
    <w:rsid w:val="00220CF1"/>
    <w:rsid w:val="00220FC1"/>
    <w:rsid w:val="00221758"/>
    <w:rsid w:val="00222DAC"/>
    <w:rsid w:val="00222E9A"/>
    <w:rsid w:val="00223836"/>
    <w:rsid w:val="00223FC1"/>
    <w:rsid w:val="00225483"/>
    <w:rsid w:val="00227E9B"/>
    <w:rsid w:val="0023179D"/>
    <w:rsid w:val="00235C6A"/>
    <w:rsid w:val="00237A60"/>
    <w:rsid w:val="0024601E"/>
    <w:rsid w:val="002469C6"/>
    <w:rsid w:val="00250779"/>
    <w:rsid w:val="0025389D"/>
    <w:rsid w:val="00254E02"/>
    <w:rsid w:val="00255DCD"/>
    <w:rsid w:val="002574D6"/>
    <w:rsid w:val="00261ED6"/>
    <w:rsid w:val="0026265F"/>
    <w:rsid w:val="00264FCA"/>
    <w:rsid w:val="0026655D"/>
    <w:rsid w:val="00270E0C"/>
    <w:rsid w:val="00274753"/>
    <w:rsid w:val="00275826"/>
    <w:rsid w:val="002818C2"/>
    <w:rsid w:val="00286C3A"/>
    <w:rsid w:val="002921AB"/>
    <w:rsid w:val="002930F5"/>
    <w:rsid w:val="00297753"/>
    <w:rsid w:val="00297C50"/>
    <w:rsid w:val="002A06B7"/>
    <w:rsid w:val="002A445F"/>
    <w:rsid w:val="002A49C0"/>
    <w:rsid w:val="002A4E26"/>
    <w:rsid w:val="002A6290"/>
    <w:rsid w:val="002B0F48"/>
    <w:rsid w:val="002B1FEA"/>
    <w:rsid w:val="002C1061"/>
    <w:rsid w:val="002C2461"/>
    <w:rsid w:val="002C41FF"/>
    <w:rsid w:val="002C6E0C"/>
    <w:rsid w:val="002C6FF1"/>
    <w:rsid w:val="002D0086"/>
    <w:rsid w:val="002D144A"/>
    <w:rsid w:val="002D3EC2"/>
    <w:rsid w:val="002D6763"/>
    <w:rsid w:val="002E19A3"/>
    <w:rsid w:val="002E212B"/>
    <w:rsid w:val="002E3337"/>
    <w:rsid w:val="002E6D03"/>
    <w:rsid w:val="002E7281"/>
    <w:rsid w:val="002F2502"/>
    <w:rsid w:val="002F312B"/>
    <w:rsid w:val="002F49A8"/>
    <w:rsid w:val="002F50EA"/>
    <w:rsid w:val="002F5E66"/>
    <w:rsid w:val="002F61CA"/>
    <w:rsid w:val="0030010D"/>
    <w:rsid w:val="003044B8"/>
    <w:rsid w:val="0030490F"/>
    <w:rsid w:val="00306E4C"/>
    <w:rsid w:val="00313F93"/>
    <w:rsid w:val="00317F31"/>
    <w:rsid w:val="003208B6"/>
    <w:rsid w:val="00321185"/>
    <w:rsid w:val="00325501"/>
    <w:rsid w:val="003318A6"/>
    <w:rsid w:val="0033504C"/>
    <w:rsid w:val="00335BF3"/>
    <w:rsid w:val="00336816"/>
    <w:rsid w:val="003370D0"/>
    <w:rsid w:val="00337355"/>
    <w:rsid w:val="003402E4"/>
    <w:rsid w:val="00340F95"/>
    <w:rsid w:val="00351537"/>
    <w:rsid w:val="003531ED"/>
    <w:rsid w:val="00354FAF"/>
    <w:rsid w:val="00356B29"/>
    <w:rsid w:val="0035719F"/>
    <w:rsid w:val="0036098C"/>
    <w:rsid w:val="00360B9A"/>
    <w:rsid w:val="0036346F"/>
    <w:rsid w:val="00363648"/>
    <w:rsid w:val="00363778"/>
    <w:rsid w:val="00367367"/>
    <w:rsid w:val="003751BC"/>
    <w:rsid w:val="003753D8"/>
    <w:rsid w:val="0037771C"/>
    <w:rsid w:val="00382A16"/>
    <w:rsid w:val="00385925"/>
    <w:rsid w:val="0039017F"/>
    <w:rsid w:val="003915AA"/>
    <w:rsid w:val="003925DC"/>
    <w:rsid w:val="003929A3"/>
    <w:rsid w:val="00394AEE"/>
    <w:rsid w:val="00397DAD"/>
    <w:rsid w:val="003A10A8"/>
    <w:rsid w:val="003A111E"/>
    <w:rsid w:val="003A1A17"/>
    <w:rsid w:val="003B315A"/>
    <w:rsid w:val="003C0ABB"/>
    <w:rsid w:val="003C0D51"/>
    <w:rsid w:val="003C1B20"/>
    <w:rsid w:val="003C2D98"/>
    <w:rsid w:val="003C6F60"/>
    <w:rsid w:val="003D09BE"/>
    <w:rsid w:val="003D0B7B"/>
    <w:rsid w:val="003D0D4A"/>
    <w:rsid w:val="003D1212"/>
    <w:rsid w:val="003D2697"/>
    <w:rsid w:val="003D3A96"/>
    <w:rsid w:val="003D3B9C"/>
    <w:rsid w:val="003E5E38"/>
    <w:rsid w:val="003E7736"/>
    <w:rsid w:val="003F00E2"/>
    <w:rsid w:val="003F16D5"/>
    <w:rsid w:val="003F54D7"/>
    <w:rsid w:val="003F660D"/>
    <w:rsid w:val="003F6AD9"/>
    <w:rsid w:val="003F6C0A"/>
    <w:rsid w:val="00403644"/>
    <w:rsid w:val="00404F03"/>
    <w:rsid w:val="004066A1"/>
    <w:rsid w:val="00412051"/>
    <w:rsid w:val="00417E1B"/>
    <w:rsid w:val="00421316"/>
    <w:rsid w:val="00423AF1"/>
    <w:rsid w:val="00423B94"/>
    <w:rsid w:val="0042493A"/>
    <w:rsid w:val="004429C4"/>
    <w:rsid w:val="00446D72"/>
    <w:rsid w:val="00450369"/>
    <w:rsid w:val="00461D98"/>
    <w:rsid w:val="004633EB"/>
    <w:rsid w:val="00463731"/>
    <w:rsid w:val="0046400A"/>
    <w:rsid w:val="00464074"/>
    <w:rsid w:val="00467B25"/>
    <w:rsid w:val="00471F6A"/>
    <w:rsid w:val="00472DC5"/>
    <w:rsid w:val="00472F31"/>
    <w:rsid w:val="00472FA2"/>
    <w:rsid w:val="00481108"/>
    <w:rsid w:val="0048207C"/>
    <w:rsid w:val="00482691"/>
    <w:rsid w:val="004841C7"/>
    <w:rsid w:val="0049042B"/>
    <w:rsid w:val="00490C29"/>
    <w:rsid w:val="004914E1"/>
    <w:rsid w:val="00492E2A"/>
    <w:rsid w:val="004939AD"/>
    <w:rsid w:val="00495473"/>
    <w:rsid w:val="00495B68"/>
    <w:rsid w:val="0049628D"/>
    <w:rsid w:val="004A1016"/>
    <w:rsid w:val="004A458E"/>
    <w:rsid w:val="004B23E7"/>
    <w:rsid w:val="004B306F"/>
    <w:rsid w:val="004B3D00"/>
    <w:rsid w:val="004C111A"/>
    <w:rsid w:val="004C1462"/>
    <w:rsid w:val="004C3186"/>
    <w:rsid w:val="004C5042"/>
    <w:rsid w:val="004C688E"/>
    <w:rsid w:val="004D3D5B"/>
    <w:rsid w:val="004D491A"/>
    <w:rsid w:val="004D7D1D"/>
    <w:rsid w:val="004E4422"/>
    <w:rsid w:val="004E555B"/>
    <w:rsid w:val="004F0480"/>
    <w:rsid w:val="004F082A"/>
    <w:rsid w:val="004F15BF"/>
    <w:rsid w:val="004F768A"/>
    <w:rsid w:val="0050156C"/>
    <w:rsid w:val="00503998"/>
    <w:rsid w:val="00504595"/>
    <w:rsid w:val="00505A53"/>
    <w:rsid w:val="0050623B"/>
    <w:rsid w:val="00512544"/>
    <w:rsid w:val="00512C89"/>
    <w:rsid w:val="00521A84"/>
    <w:rsid w:val="00522D5C"/>
    <w:rsid w:val="00523181"/>
    <w:rsid w:val="00524D13"/>
    <w:rsid w:val="005336A0"/>
    <w:rsid w:val="005339F6"/>
    <w:rsid w:val="0054024F"/>
    <w:rsid w:val="00543307"/>
    <w:rsid w:val="00543915"/>
    <w:rsid w:val="00546E39"/>
    <w:rsid w:val="00550C92"/>
    <w:rsid w:val="005542F4"/>
    <w:rsid w:val="00563D5B"/>
    <w:rsid w:val="00566291"/>
    <w:rsid w:val="00570003"/>
    <w:rsid w:val="00572A2F"/>
    <w:rsid w:val="00576B18"/>
    <w:rsid w:val="00582532"/>
    <w:rsid w:val="00583B5C"/>
    <w:rsid w:val="00584CA2"/>
    <w:rsid w:val="005859D4"/>
    <w:rsid w:val="00585E5F"/>
    <w:rsid w:val="00587724"/>
    <w:rsid w:val="00590BD3"/>
    <w:rsid w:val="00591512"/>
    <w:rsid w:val="005926FF"/>
    <w:rsid w:val="00596919"/>
    <w:rsid w:val="005A3AE3"/>
    <w:rsid w:val="005A64CD"/>
    <w:rsid w:val="005A75EA"/>
    <w:rsid w:val="005B07F3"/>
    <w:rsid w:val="005B2D91"/>
    <w:rsid w:val="005B4494"/>
    <w:rsid w:val="005B48B4"/>
    <w:rsid w:val="005B7550"/>
    <w:rsid w:val="005B7789"/>
    <w:rsid w:val="005C078A"/>
    <w:rsid w:val="005C4452"/>
    <w:rsid w:val="005C5D05"/>
    <w:rsid w:val="005C6661"/>
    <w:rsid w:val="005C6E3B"/>
    <w:rsid w:val="005D3A4C"/>
    <w:rsid w:val="005D474B"/>
    <w:rsid w:val="005D5208"/>
    <w:rsid w:val="005E085C"/>
    <w:rsid w:val="005E147D"/>
    <w:rsid w:val="005E22C2"/>
    <w:rsid w:val="005E4F65"/>
    <w:rsid w:val="005E57BB"/>
    <w:rsid w:val="005E663D"/>
    <w:rsid w:val="005F0017"/>
    <w:rsid w:val="005F2D30"/>
    <w:rsid w:val="005F403E"/>
    <w:rsid w:val="005F5EC9"/>
    <w:rsid w:val="00600BCB"/>
    <w:rsid w:val="006014F1"/>
    <w:rsid w:val="00603A14"/>
    <w:rsid w:val="0060792F"/>
    <w:rsid w:val="006114AB"/>
    <w:rsid w:val="0061357B"/>
    <w:rsid w:val="00614A7D"/>
    <w:rsid w:val="00614E5D"/>
    <w:rsid w:val="00614E71"/>
    <w:rsid w:val="0061633C"/>
    <w:rsid w:val="00616E23"/>
    <w:rsid w:val="00620FB7"/>
    <w:rsid w:val="0062646E"/>
    <w:rsid w:val="00627356"/>
    <w:rsid w:val="00631BAF"/>
    <w:rsid w:val="00633FBA"/>
    <w:rsid w:val="0063631C"/>
    <w:rsid w:val="00636E59"/>
    <w:rsid w:val="0063757B"/>
    <w:rsid w:val="006377CE"/>
    <w:rsid w:val="00644A6C"/>
    <w:rsid w:val="006460A1"/>
    <w:rsid w:val="00651FDE"/>
    <w:rsid w:val="00653019"/>
    <w:rsid w:val="006537D9"/>
    <w:rsid w:val="006540E9"/>
    <w:rsid w:val="00654763"/>
    <w:rsid w:val="00655D68"/>
    <w:rsid w:val="00656025"/>
    <w:rsid w:val="00656CF1"/>
    <w:rsid w:val="00657CB6"/>
    <w:rsid w:val="00664A48"/>
    <w:rsid w:val="00665DEF"/>
    <w:rsid w:val="00671888"/>
    <w:rsid w:val="00674975"/>
    <w:rsid w:val="00675BB1"/>
    <w:rsid w:val="006760A6"/>
    <w:rsid w:val="006775F1"/>
    <w:rsid w:val="0068040F"/>
    <w:rsid w:val="006808D9"/>
    <w:rsid w:val="0068180C"/>
    <w:rsid w:val="00681B32"/>
    <w:rsid w:val="00684406"/>
    <w:rsid w:val="00684B43"/>
    <w:rsid w:val="00684E86"/>
    <w:rsid w:val="00685A17"/>
    <w:rsid w:val="00686CD3"/>
    <w:rsid w:val="00692AA7"/>
    <w:rsid w:val="00695A49"/>
    <w:rsid w:val="00697FEC"/>
    <w:rsid w:val="006A175F"/>
    <w:rsid w:val="006A44F5"/>
    <w:rsid w:val="006A60BB"/>
    <w:rsid w:val="006A6371"/>
    <w:rsid w:val="006A71FB"/>
    <w:rsid w:val="006B18E0"/>
    <w:rsid w:val="006B3CC1"/>
    <w:rsid w:val="006B4537"/>
    <w:rsid w:val="006B5D06"/>
    <w:rsid w:val="006B5F85"/>
    <w:rsid w:val="006B6929"/>
    <w:rsid w:val="006B709B"/>
    <w:rsid w:val="006C0205"/>
    <w:rsid w:val="006C0CA2"/>
    <w:rsid w:val="006C54AF"/>
    <w:rsid w:val="006D06B8"/>
    <w:rsid w:val="006D7FAF"/>
    <w:rsid w:val="006E0181"/>
    <w:rsid w:val="006E0D5F"/>
    <w:rsid w:val="006E14A1"/>
    <w:rsid w:val="006E2A49"/>
    <w:rsid w:val="006E3607"/>
    <w:rsid w:val="006E4BCF"/>
    <w:rsid w:val="006F0BE3"/>
    <w:rsid w:val="006F66FC"/>
    <w:rsid w:val="006F7153"/>
    <w:rsid w:val="00700C0E"/>
    <w:rsid w:val="00700F69"/>
    <w:rsid w:val="00703C6E"/>
    <w:rsid w:val="007059FD"/>
    <w:rsid w:val="00705DAD"/>
    <w:rsid w:val="007100D2"/>
    <w:rsid w:val="00710412"/>
    <w:rsid w:val="00710D42"/>
    <w:rsid w:val="00712025"/>
    <w:rsid w:val="00715168"/>
    <w:rsid w:val="007201FB"/>
    <w:rsid w:val="007247B9"/>
    <w:rsid w:val="00727D85"/>
    <w:rsid w:val="00733D89"/>
    <w:rsid w:val="007346C7"/>
    <w:rsid w:val="00736041"/>
    <w:rsid w:val="007360C3"/>
    <w:rsid w:val="00736128"/>
    <w:rsid w:val="007408C7"/>
    <w:rsid w:val="00742AC9"/>
    <w:rsid w:val="007465DA"/>
    <w:rsid w:val="00751D50"/>
    <w:rsid w:val="00752B4E"/>
    <w:rsid w:val="00752C7F"/>
    <w:rsid w:val="00760506"/>
    <w:rsid w:val="00760DBD"/>
    <w:rsid w:val="00761C46"/>
    <w:rsid w:val="00761C60"/>
    <w:rsid w:val="0076236F"/>
    <w:rsid w:val="0076397A"/>
    <w:rsid w:val="00763EFF"/>
    <w:rsid w:val="0076694D"/>
    <w:rsid w:val="00770D5B"/>
    <w:rsid w:val="00771E47"/>
    <w:rsid w:val="00774E94"/>
    <w:rsid w:val="00776598"/>
    <w:rsid w:val="007770E1"/>
    <w:rsid w:val="007802A6"/>
    <w:rsid w:val="00781935"/>
    <w:rsid w:val="00786B22"/>
    <w:rsid w:val="00786CA6"/>
    <w:rsid w:val="00791359"/>
    <w:rsid w:val="00791800"/>
    <w:rsid w:val="00792948"/>
    <w:rsid w:val="00792BE2"/>
    <w:rsid w:val="00795293"/>
    <w:rsid w:val="00796E84"/>
    <w:rsid w:val="0079741E"/>
    <w:rsid w:val="007A15FF"/>
    <w:rsid w:val="007A3ADE"/>
    <w:rsid w:val="007A416E"/>
    <w:rsid w:val="007A4366"/>
    <w:rsid w:val="007A5733"/>
    <w:rsid w:val="007A5774"/>
    <w:rsid w:val="007B13DC"/>
    <w:rsid w:val="007B39A9"/>
    <w:rsid w:val="007B4655"/>
    <w:rsid w:val="007B5593"/>
    <w:rsid w:val="007C0FD1"/>
    <w:rsid w:val="007C36FB"/>
    <w:rsid w:val="007D185F"/>
    <w:rsid w:val="007D2F58"/>
    <w:rsid w:val="007D4151"/>
    <w:rsid w:val="007D4BAE"/>
    <w:rsid w:val="007D5AF9"/>
    <w:rsid w:val="007E31E3"/>
    <w:rsid w:val="007E5EAA"/>
    <w:rsid w:val="007F1D11"/>
    <w:rsid w:val="00801E74"/>
    <w:rsid w:val="00802FCD"/>
    <w:rsid w:val="0080430D"/>
    <w:rsid w:val="0080485E"/>
    <w:rsid w:val="00804D2D"/>
    <w:rsid w:val="00807152"/>
    <w:rsid w:val="00810B79"/>
    <w:rsid w:val="0081124A"/>
    <w:rsid w:val="00811F4E"/>
    <w:rsid w:val="0081335D"/>
    <w:rsid w:val="008142B4"/>
    <w:rsid w:val="0081684E"/>
    <w:rsid w:val="008233E8"/>
    <w:rsid w:val="00823DB3"/>
    <w:rsid w:val="008254DE"/>
    <w:rsid w:val="008319A9"/>
    <w:rsid w:val="00832324"/>
    <w:rsid w:val="00835337"/>
    <w:rsid w:val="00836628"/>
    <w:rsid w:val="00842291"/>
    <w:rsid w:val="00845614"/>
    <w:rsid w:val="00846B08"/>
    <w:rsid w:val="00846DCD"/>
    <w:rsid w:val="0084793A"/>
    <w:rsid w:val="00851D85"/>
    <w:rsid w:val="00853853"/>
    <w:rsid w:val="008559F0"/>
    <w:rsid w:val="00860CCB"/>
    <w:rsid w:val="0086549B"/>
    <w:rsid w:val="00865D48"/>
    <w:rsid w:val="00871259"/>
    <w:rsid w:val="008712DB"/>
    <w:rsid w:val="008740A3"/>
    <w:rsid w:val="00875242"/>
    <w:rsid w:val="0089297B"/>
    <w:rsid w:val="00897254"/>
    <w:rsid w:val="00897FD1"/>
    <w:rsid w:val="008A2E49"/>
    <w:rsid w:val="008A7EC3"/>
    <w:rsid w:val="008B41AE"/>
    <w:rsid w:val="008B5662"/>
    <w:rsid w:val="008B7BF4"/>
    <w:rsid w:val="008C2AE7"/>
    <w:rsid w:val="008C36CA"/>
    <w:rsid w:val="008C45EF"/>
    <w:rsid w:val="008C6564"/>
    <w:rsid w:val="008C7382"/>
    <w:rsid w:val="008C76E3"/>
    <w:rsid w:val="008D2CAD"/>
    <w:rsid w:val="008D3ACF"/>
    <w:rsid w:val="008D52BC"/>
    <w:rsid w:val="008E3F8C"/>
    <w:rsid w:val="008F0260"/>
    <w:rsid w:val="009000A5"/>
    <w:rsid w:val="00900BC9"/>
    <w:rsid w:val="00901AE5"/>
    <w:rsid w:val="00901DEF"/>
    <w:rsid w:val="00902C5B"/>
    <w:rsid w:val="00902FD0"/>
    <w:rsid w:val="009053D3"/>
    <w:rsid w:val="0090684D"/>
    <w:rsid w:val="0090691F"/>
    <w:rsid w:val="0090769C"/>
    <w:rsid w:val="00911C3F"/>
    <w:rsid w:val="009129C4"/>
    <w:rsid w:val="0091792E"/>
    <w:rsid w:val="009219EB"/>
    <w:rsid w:val="0092315E"/>
    <w:rsid w:val="0092380D"/>
    <w:rsid w:val="00930601"/>
    <w:rsid w:val="0093111F"/>
    <w:rsid w:val="009346CB"/>
    <w:rsid w:val="00935689"/>
    <w:rsid w:val="009418F0"/>
    <w:rsid w:val="00942979"/>
    <w:rsid w:val="00942D98"/>
    <w:rsid w:val="0094470C"/>
    <w:rsid w:val="00945B16"/>
    <w:rsid w:val="00945EC3"/>
    <w:rsid w:val="00946C28"/>
    <w:rsid w:val="0095131F"/>
    <w:rsid w:val="009513F1"/>
    <w:rsid w:val="0095285D"/>
    <w:rsid w:val="0095303B"/>
    <w:rsid w:val="00953AE0"/>
    <w:rsid w:val="0096487B"/>
    <w:rsid w:val="0096551D"/>
    <w:rsid w:val="009663B6"/>
    <w:rsid w:val="00972FC9"/>
    <w:rsid w:val="00974211"/>
    <w:rsid w:val="00974A47"/>
    <w:rsid w:val="00975E76"/>
    <w:rsid w:val="009779BA"/>
    <w:rsid w:val="00980286"/>
    <w:rsid w:val="00990466"/>
    <w:rsid w:val="00990DCF"/>
    <w:rsid w:val="009957B8"/>
    <w:rsid w:val="009A12ED"/>
    <w:rsid w:val="009A1FE8"/>
    <w:rsid w:val="009A4CD6"/>
    <w:rsid w:val="009A537C"/>
    <w:rsid w:val="009A56A5"/>
    <w:rsid w:val="009B760D"/>
    <w:rsid w:val="009C0886"/>
    <w:rsid w:val="009C19EE"/>
    <w:rsid w:val="009C28D0"/>
    <w:rsid w:val="009C35F2"/>
    <w:rsid w:val="009C391D"/>
    <w:rsid w:val="009C57B5"/>
    <w:rsid w:val="009C7782"/>
    <w:rsid w:val="009C7E3F"/>
    <w:rsid w:val="009D1633"/>
    <w:rsid w:val="009D1ED5"/>
    <w:rsid w:val="009D2509"/>
    <w:rsid w:val="009D4C13"/>
    <w:rsid w:val="009D5034"/>
    <w:rsid w:val="009D5A6F"/>
    <w:rsid w:val="009E21A7"/>
    <w:rsid w:val="009E54F4"/>
    <w:rsid w:val="009E5A66"/>
    <w:rsid w:val="009F076D"/>
    <w:rsid w:val="009F62F2"/>
    <w:rsid w:val="009F789E"/>
    <w:rsid w:val="00A00B5B"/>
    <w:rsid w:val="00A031AE"/>
    <w:rsid w:val="00A05A9B"/>
    <w:rsid w:val="00A060BA"/>
    <w:rsid w:val="00A103ED"/>
    <w:rsid w:val="00A117D0"/>
    <w:rsid w:val="00A12330"/>
    <w:rsid w:val="00A13C60"/>
    <w:rsid w:val="00A147F7"/>
    <w:rsid w:val="00A14883"/>
    <w:rsid w:val="00A15134"/>
    <w:rsid w:val="00A215F8"/>
    <w:rsid w:val="00A216D3"/>
    <w:rsid w:val="00A2223F"/>
    <w:rsid w:val="00A26A9C"/>
    <w:rsid w:val="00A26E43"/>
    <w:rsid w:val="00A31713"/>
    <w:rsid w:val="00A31E08"/>
    <w:rsid w:val="00A331DD"/>
    <w:rsid w:val="00A341A3"/>
    <w:rsid w:val="00A35800"/>
    <w:rsid w:val="00A36068"/>
    <w:rsid w:val="00A41255"/>
    <w:rsid w:val="00A420F8"/>
    <w:rsid w:val="00A42C58"/>
    <w:rsid w:val="00A43311"/>
    <w:rsid w:val="00A52918"/>
    <w:rsid w:val="00A547B3"/>
    <w:rsid w:val="00A56C7E"/>
    <w:rsid w:val="00A649F0"/>
    <w:rsid w:val="00A67DEA"/>
    <w:rsid w:val="00A70E82"/>
    <w:rsid w:val="00A77A19"/>
    <w:rsid w:val="00A81DE8"/>
    <w:rsid w:val="00A84B1A"/>
    <w:rsid w:val="00A84CAD"/>
    <w:rsid w:val="00A8535D"/>
    <w:rsid w:val="00A871F5"/>
    <w:rsid w:val="00A90E50"/>
    <w:rsid w:val="00A920FC"/>
    <w:rsid w:val="00A9438D"/>
    <w:rsid w:val="00A95FA5"/>
    <w:rsid w:val="00A96AD5"/>
    <w:rsid w:val="00A96D92"/>
    <w:rsid w:val="00A97975"/>
    <w:rsid w:val="00AA23AD"/>
    <w:rsid w:val="00AA3865"/>
    <w:rsid w:val="00AA3CE1"/>
    <w:rsid w:val="00AB199C"/>
    <w:rsid w:val="00AB3733"/>
    <w:rsid w:val="00AB588C"/>
    <w:rsid w:val="00AB5EBA"/>
    <w:rsid w:val="00AB7897"/>
    <w:rsid w:val="00AC31ED"/>
    <w:rsid w:val="00AC3B74"/>
    <w:rsid w:val="00AC3F23"/>
    <w:rsid w:val="00AC47DB"/>
    <w:rsid w:val="00AC5054"/>
    <w:rsid w:val="00AC5BAF"/>
    <w:rsid w:val="00AD6235"/>
    <w:rsid w:val="00AE048B"/>
    <w:rsid w:val="00AE0871"/>
    <w:rsid w:val="00AE2303"/>
    <w:rsid w:val="00AE4569"/>
    <w:rsid w:val="00AE4BAC"/>
    <w:rsid w:val="00AF0E01"/>
    <w:rsid w:val="00AF6488"/>
    <w:rsid w:val="00AF7DE6"/>
    <w:rsid w:val="00B034FC"/>
    <w:rsid w:val="00B03CFA"/>
    <w:rsid w:val="00B05310"/>
    <w:rsid w:val="00B072A9"/>
    <w:rsid w:val="00B10A0B"/>
    <w:rsid w:val="00B11F87"/>
    <w:rsid w:val="00B1204F"/>
    <w:rsid w:val="00B1417E"/>
    <w:rsid w:val="00B17B70"/>
    <w:rsid w:val="00B23B6B"/>
    <w:rsid w:val="00B23FAB"/>
    <w:rsid w:val="00B30D85"/>
    <w:rsid w:val="00B32B65"/>
    <w:rsid w:val="00B33048"/>
    <w:rsid w:val="00B34AB1"/>
    <w:rsid w:val="00B35A4A"/>
    <w:rsid w:val="00B36884"/>
    <w:rsid w:val="00B37216"/>
    <w:rsid w:val="00B379A4"/>
    <w:rsid w:val="00B4146D"/>
    <w:rsid w:val="00B428CF"/>
    <w:rsid w:val="00B44B26"/>
    <w:rsid w:val="00B453CF"/>
    <w:rsid w:val="00B50CCA"/>
    <w:rsid w:val="00B50F18"/>
    <w:rsid w:val="00B5233E"/>
    <w:rsid w:val="00B5266A"/>
    <w:rsid w:val="00B52674"/>
    <w:rsid w:val="00B53542"/>
    <w:rsid w:val="00B56C30"/>
    <w:rsid w:val="00B6157C"/>
    <w:rsid w:val="00B63FD7"/>
    <w:rsid w:val="00B64BE4"/>
    <w:rsid w:val="00B654F4"/>
    <w:rsid w:val="00B70380"/>
    <w:rsid w:val="00B77001"/>
    <w:rsid w:val="00B816D9"/>
    <w:rsid w:val="00B81D77"/>
    <w:rsid w:val="00B83C18"/>
    <w:rsid w:val="00B83DF9"/>
    <w:rsid w:val="00B846E6"/>
    <w:rsid w:val="00B9120F"/>
    <w:rsid w:val="00B91EBA"/>
    <w:rsid w:val="00B9216C"/>
    <w:rsid w:val="00B924A4"/>
    <w:rsid w:val="00B943D6"/>
    <w:rsid w:val="00BA3DEF"/>
    <w:rsid w:val="00BA4ECA"/>
    <w:rsid w:val="00BB0D1A"/>
    <w:rsid w:val="00BB1D3B"/>
    <w:rsid w:val="00BB1F32"/>
    <w:rsid w:val="00BB2F52"/>
    <w:rsid w:val="00BB651F"/>
    <w:rsid w:val="00BB799F"/>
    <w:rsid w:val="00BC0953"/>
    <w:rsid w:val="00BC0F02"/>
    <w:rsid w:val="00BC1406"/>
    <w:rsid w:val="00BC35ED"/>
    <w:rsid w:val="00BC3F86"/>
    <w:rsid w:val="00BE065B"/>
    <w:rsid w:val="00BE205A"/>
    <w:rsid w:val="00BE3802"/>
    <w:rsid w:val="00BF12BE"/>
    <w:rsid w:val="00BF238E"/>
    <w:rsid w:val="00BF2F4A"/>
    <w:rsid w:val="00BF544D"/>
    <w:rsid w:val="00BF55D3"/>
    <w:rsid w:val="00BF5FFC"/>
    <w:rsid w:val="00BF71EE"/>
    <w:rsid w:val="00C0076F"/>
    <w:rsid w:val="00C025E7"/>
    <w:rsid w:val="00C0301C"/>
    <w:rsid w:val="00C0322B"/>
    <w:rsid w:val="00C050B6"/>
    <w:rsid w:val="00C10F12"/>
    <w:rsid w:val="00C113E1"/>
    <w:rsid w:val="00C124C1"/>
    <w:rsid w:val="00C12C7B"/>
    <w:rsid w:val="00C13500"/>
    <w:rsid w:val="00C16B2D"/>
    <w:rsid w:val="00C16FDF"/>
    <w:rsid w:val="00C2124F"/>
    <w:rsid w:val="00C245EA"/>
    <w:rsid w:val="00C256F6"/>
    <w:rsid w:val="00C27F2B"/>
    <w:rsid w:val="00C3097E"/>
    <w:rsid w:val="00C31648"/>
    <w:rsid w:val="00C34CD3"/>
    <w:rsid w:val="00C35ECC"/>
    <w:rsid w:val="00C3619B"/>
    <w:rsid w:val="00C361A8"/>
    <w:rsid w:val="00C37218"/>
    <w:rsid w:val="00C41246"/>
    <w:rsid w:val="00C42783"/>
    <w:rsid w:val="00C42C2E"/>
    <w:rsid w:val="00C45E5F"/>
    <w:rsid w:val="00C46291"/>
    <w:rsid w:val="00C46529"/>
    <w:rsid w:val="00C50D57"/>
    <w:rsid w:val="00C529A4"/>
    <w:rsid w:val="00C5314F"/>
    <w:rsid w:val="00C53F00"/>
    <w:rsid w:val="00C570D6"/>
    <w:rsid w:val="00C60232"/>
    <w:rsid w:val="00C61801"/>
    <w:rsid w:val="00C61B8E"/>
    <w:rsid w:val="00C62570"/>
    <w:rsid w:val="00C63412"/>
    <w:rsid w:val="00C64B3F"/>
    <w:rsid w:val="00C64F15"/>
    <w:rsid w:val="00C6587E"/>
    <w:rsid w:val="00C65E1A"/>
    <w:rsid w:val="00C6685E"/>
    <w:rsid w:val="00C66BCA"/>
    <w:rsid w:val="00C70A05"/>
    <w:rsid w:val="00C71425"/>
    <w:rsid w:val="00C714D0"/>
    <w:rsid w:val="00C721B6"/>
    <w:rsid w:val="00C72644"/>
    <w:rsid w:val="00C72ECE"/>
    <w:rsid w:val="00C7389E"/>
    <w:rsid w:val="00C75A23"/>
    <w:rsid w:val="00C8087F"/>
    <w:rsid w:val="00C81A54"/>
    <w:rsid w:val="00C82B73"/>
    <w:rsid w:val="00C843EB"/>
    <w:rsid w:val="00C854E9"/>
    <w:rsid w:val="00C87560"/>
    <w:rsid w:val="00C90ABA"/>
    <w:rsid w:val="00C90EF4"/>
    <w:rsid w:val="00C9293D"/>
    <w:rsid w:val="00C96DBD"/>
    <w:rsid w:val="00C97030"/>
    <w:rsid w:val="00CA015A"/>
    <w:rsid w:val="00CA4D5A"/>
    <w:rsid w:val="00CA6377"/>
    <w:rsid w:val="00CB0CD5"/>
    <w:rsid w:val="00CB385E"/>
    <w:rsid w:val="00CB4AD0"/>
    <w:rsid w:val="00CC159B"/>
    <w:rsid w:val="00CC1AA3"/>
    <w:rsid w:val="00CC3448"/>
    <w:rsid w:val="00CC4312"/>
    <w:rsid w:val="00CC4AD6"/>
    <w:rsid w:val="00CD00C4"/>
    <w:rsid w:val="00CD1966"/>
    <w:rsid w:val="00CD4486"/>
    <w:rsid w:val="00CD6044"/>
    <w:rsid w:val="00CD7EAB"/>
    <w:rsid w:val="00CE0548"/>
    <w:rsid w:val="00CE07F7"/>
    <w:rsid w:val="00CE42C2"/>
    <w:rsid w:val="00CE49C1"/>
    <w:rsid w:val="00CF0359"/>
    <w:rsid w:val="00CF1A79"/>
    <w:rsid w:val="00CF4D41"/>
    <w:rsid w:val="00CF5E22"/>
    <w:rsid w:val="00D00965"/>
    <w:rsid w:val="00D00AEB"/>
    <w:rsid w:val="00D03009"/>
    <w:rsid w:val="00D046E0"/>
    <w:rsid w:val="00D056AB"/>
    <w:rsid w:val="00D06A44"/>
    <w:rsid w:val="00D1067D"/>
    <w:rsid w:val="00D10A5E"/>
    <w:rsid w:val="00D151EB"/>
    <w:rsid w:val="00D15887"/>
    <w:rsid w:val="00D2702F"/>
    <w:rsid w:val="00D300E0"/>
    <w:rsid w:val="00D30761"/>
    <w:rsid w:val="00D3203C"/>
    <w:rsid w:val="00D374CD"/>
    <w:rsid w:val="00D403CE"/>
    <w:rsid w:val="00D42D2B"/>
    <w:rsid w:val="00D450CD"/>
    <w:rsid w:val="00D47A9B"/>
    <w:rsid w:val="00D510D7"/>
    <w:rsid w:val="00D548EE"/>
    <w:rsid w:val="00D56033"/>
    <w:rsid w:val="00D57C74"/>
    <w:rsid w:val="00D57CC8"/>
    <w:rsid w:val="00D607CA"/>
    <w:rsid w:val="00D650CE"/>
    <w:rsid w:val="00D65976"/>
    <w:rsid w:val="00D66B79"/>
    <w:rsid w:val="00D66E3F"/>
    <w:rsid w:val="00D67A33"/>
    <w:rsid w:val="00D716DD"/>
    <w:rsid w:val="00D71719"/>
    <w:rsid w:val="00D74422"/>
    <w:rsid w:val="00D7520F"/>
    <w:rsid w:val="00D776DA"/>
    <w:rsid w:val="00D81ACD"/>
    <w:rsid w:val="00D8495D"/>
    <w:rsid w:val="00D84969"/>
    <w:rsid w:val="00D8758B"/>
    <w:rsid w:val="00D910EA"/>
    <w:rsid w:val="00D93BF4"/>
    <w:rsid w:val="00D942B3"/>
    <w:rsid w:val="00D947E4"/>
    <w:rsid w:val="00D94863"/>
    <w:rsid w:val="00D97DE4"/>
    <w:rsid w:val="00DA0981"/>
    <w:rsid w:val="00DA7C8B"/>
    <w:rsid w:val="00DA7D09"/>
    <w:rsid w:val="00DB1008"/>
    <w:rsid w:val="00DB3CD5"/>
    <w:rsid w:val="00DB7EE4"/>
    <w:rsid w:val="00DC2630"/>
    <w:rsid w:val="00DC49E9"/>
    <w:rsid w:val="00DC55E4"/>
    <w:rsid w:val="00DC5B5E"/>
    <w:rsid w:val="00DC7D71"/>
    <w:rsid w:val="00DD188C"/>
    <w:rsid w:val="00DD29A3"/>
    <w:rsid w:val="00DD2D66"/>
    <w:rsid w:val="00DD2DBB"/>
    <w:rsid w:val="00DD2EF7"/>
    <w:rsid w:val="00DD48EE"/>
    <w:rsid w:val="00DE0B96"/>
    <w:rsid w:val="00DE10B9"/>
    <w:rsid w:val="00DE24BF"/>
    <w:rsid w:val="00DE609C"/>
    <w:rsid w:val="00DE6BC1"/>
    <w:rsid w:val="00DF0887"/>
    <w:rsid w:val="00DF0B13"/>
    <w:rsid w:val="00DF1B36"/>
    <w:rsid w:val="00DF2EB8"/>
    <w:rsid w:val="00DF4A94"/>
    <w:rsid w:val="00DF6003"/>
    <w:rsid w:val="00DF72FF"/>
    <w:rsid w:val="00E00095"/>
    <w:rsid w:val="00E036B0"/>
    <w:rsid w:val="00E036DD"/>
    <w:rsid w:val="00E04D07"/>
    <w:rsid w:val="00E066C3"/>
    <w:rsid w:val="00E07FA8"/>
    <w:rsid w:val="00E10D8C"/>
    <w:rsid w:val="00E118C4"/>
    <w:rsid w:val="00E1353A"/>
    <w:rsid w:val="00E1564B"/>
    <w:rsid w:val="00E15A9F"/>
    <w:rsid w:val="00E17EB2"/>
    <w:rsid w:val="00E208A0"/>
    <w:rsid w:val="00E22370"/>
    <w:rsid w:val="00E2436C"/>
    <w:rsid w:val="00E25B49"/>
    <w:rsid w:val="00E25C80"/>
    <w:rsid w:val="00E25F30"/>
    <w:rsid w:val="00E31884"/>
    <w:rsid w:val="00E31C28"/>
    <w:rsid w:val="00E31E1C"/>
    <w:rsid w:val="00E35311"/>
    <w:rsid w:val="00E35357"/>
    <w:rsid w:val="00E36C5F"/>
    <w:rsid w:val="00E371EA"/>
    <w:rsid w:val="00E37F5F"/>
    <w:rsid w:val="00E42448"/>
    <w:rsid w:val="00E42767"/>
    <w:rsid w:val="00E563C5"/>
    <w:rsid w:val="00E567A9"/>
    <w:rsid w:val="00E60220"/>
    <w:rsid w:val="00E64429"/>
    <w:rsid w:val="00E677DD"/>
    <w:rsid w:val="00E72F32"/>
    <w:rsid w:val="00E753B7"/>
    <w:rsid w:val="00E7594B"/>
    <w:rsid w:val="00E84ACD"/>
    <w:rsid w:val="00E86682"/>
    <w:rsid w:val="00E86DE4"/>
    <w:rsid w:val="00E91460"/>
    <w:rsid w:val="00E95E28"/>
    <w:rsid w:val="00E96893"/>
    <w:rsid w:val="00EA20C5"/>
    <w:rsid w:val="00EA467A"/>
    <w:rsid w:val="00EA491E"/>
    <w:rsid w:val="00EB38B5"/>
    <w:rsid w:val="00EB4688"/>
    <w:rsid w:val="00EB4CBE"/>
    <w:rsid w:val="00EB6C07"/>
    <w:rsid w:val="00EC028D"/>
    <w:rsid w:val="00EC233D"/>
    <w:rsid w:val="00EC2D94"/>
    <w:rsid w:val="00EC6137"/>
    <w:rsid w:val="00EC7A97"/>
    <w:rsid w:val="00ED2D10"/>
    <w:rsid w:val="00ED3CDE"/>
    <w:rsid w:val="00ED5159"/>
    <w:rsid w:val="00ED633B"/>
    <w:rsid w:val="00EE13BB"/>
    <w:rsid w:val="00EE2BBB"/>
    <w:rsid w:val="00EE478C"/>
    <w:rsid w:val="00EE7B36"/>
    <w:rsid w:val="00EF08E5"/>
    <w:rsid w:val="00EF32A4"/>
    <w:rsid w:val="00EF4C4D"/>
    <w:rsid w:val="00F000F6"/>
    <w:rsid w:val="00F00A1E"/>
    <w:rsid w:val="00F03F2F"/>
    <w:rsid w:val="00F07E77"/>
    <w:rsid w:val="00F11207"/>
    <w:rsid w:val="00F1132C"/>
    <w:rsid w:val="00F11BC2"/>
    <w:rsid w:val="00F14FCC"/>
    <w:rsid w:val="00F15DD5"/>
    <w:rsid w:val="00F1638E"/>
    <w:rsid w:val="00F17D4B"/>
    <w:rsid w:val="00F21A40"/>
    <w:rsid w:val="00F23139"/>
    <w:rsid w:val="00F23B75"/>
    <w:rsid w:val="00F24558"/>
    <w:rsid w:val="00F331CD"/>
    <w:rsid w:val="00F35B6C"/>
    <w:rsid w:val="00F419C5"/>
    <w:rsid w:val="00F55737"/>
    <w:rsid w:val="00F57929"/>
    <w:rsid w:val="00F64BDD"/>
    <w:rsid w:val="00F652BE"/>
    <w:rsid w:val="00F667DC"/>
    <w:rsid w:val="00F66CD5"/>
    <w:rsid w:val="00F67A9A"/>
    <w:rsid w:val="00F67B27"/>
    <w:rsid w:val="00F7012D"/>
    <w:rsid w:val="00F70F4E"/>
    <w:rsid w:val="00F718F7"/>
    <w:rsid w:val="00F71DA3"/>
    <w:rsid w:val="00F72040"/>
    <w:rsid w:val="00F72C36"/>
    <w:rsid w:val="00F73113"/>
    <w:rsid w:val="00F73698"/>
    <w:rsid w:val="00F7591C"/>
    <w:rsid w:val="00F75FC4"/>
    <w:rsid w:val="00F76308"/>
    <w:rsid w:val="00F768D6"/>
    <w:rsid w:val="00F80286"/>
    <w:rsid w:val="00F845BB"/>
    <w:rsid w:val="00F85981"/>
    <w:rsid w:val="00F85C25"/>
    <w:rsid w:val="00F87263"/>
    <w:rsid w:val="00F91115"/>
    <w:rsid w:val="00F93414"/>
    <w:rsid w:val="00F93725"/>
    <w:rsid w:val="00FA1308"/>
    <w:rsid w:val="00FA1BA3"/>
    <w:rsid w:val="00FA2564"/>
    <w:rsid w:val="00FA4288"/>
    <w:rsid w:val="00FA4890"/>
    <w:rsid w:val="00FA7AAA"/>
    <w:rsid w:val="00FA7F73"/>
    <w:rsid w:val="00FB008D"/>
    <w:rsid w:val="00FB4B6F"/>
    <w:rsid w:val="00FB7135"/>
    <w:rsid w:val="00FB77FA"/>
    <w:rsid w:val="00FC0FDE"/>
    <w:rsid w:val="00FC2D57"/>
    <w:rsid w:val="00FC2FF3"/>
    <w:rsid w:val="00FC3C70"/>
    <w:rsid w:val="00FC42A9"/>
    <w:rsid w:val="00FC4A73"/>
    <w:rsid w:val="00FC559C"/>
    <w:rsid w:val="00FC7EAF"/>
    <w:rsid w:val="00FC7F0D"/>
    <w:rsid w:val="00FD737F"/>
    <w:rsid w:val="00FD7B3B"/>
    <w:rsid w:val="00FE1EB7"/>
    <w:rsid w:val="00FE49B5"/>
    <w:rsid w:val="00FE645A"/>
    <w:rsid w:val="00FE68EB"/>
    <w:rsid w:val="00FE7226"/>
    <w:rsid w:val="00FF3C35"/>
    <w:rsid w:val="00FF4A27"/>
    <w:rsid w:val="00FF6102"/>
    <w:rsid w:val="00FF787C"/>
    <w:rsid w:val="02B11FC1"/>
    <w:rsid w:val="03222134"/>
    <w:rsid w:val="0480C3E5"/>
    <w:rsid w:val="050C6A2F"/>
    <w:rsid w:val="05B202EC"/>
    <w:rsid w:val="06468E75"/>
    <w:rsid w:val="064E67A5"/>
    <w:rsid w:val="070E8F4A"/>
    <w:rsid w:val="074496AA"/>
    <w:rsid w:val="08564E35"/>
    <w:rsid w:val="0AE19B26"/>
    <w:rsid w:val="0B399CBD"/>
    <w:rsid w:val="0B3C42FA"/>
    <w:rsid w:val="0F7EF228"/>
    <w:rsid w:val="1223782E"/>
    <w:rsid w:val="12641D73"/>
    <w:rsid w:val="12B0DFC6"/>
    <w:rsid w:val="134F1D7E"/>
    <w:rsid w:val="1628724C"/>
    <w:rsid w:val="1707EA35"/>
    <w:rsid w:val="1B661014"/>
    <w:rsid w:val="1D03D908"/>
    <w:rsid w:val="1D7DA3CE"/>
    <w:rsid w:val="1EA869F6"/>
    <w:rsid w:val="1EAD1EED"/>
    <w:rsid w:val="1F7FF590"/>
    <w:rsid w:val="203490A5"/>
    <w:rsid w:val="2224DE8E"/>
    <w:rsid w:val="2270022B"/>
    <w:rsid w:val="22793468"/>
    <w:rsid w:val="2300A5B8"/>
    <w:rsid w:val="2430340A"/>
    <w:rsid w:val="25FD80EC"/>
    <w:rsid w:val="26E11DBF"/>
    <w:rsid w:val="28064519"/>
    <w:rsid w:val="28548890"/>
    <w:rsid w:val="2925A406"/>
    <w:rsid w:val="2C62461B"/>
    <w:rsid w:val="2C685C94"/>
    <w:rsid w:val="2CB263A1"/>
    <w:rsid w:val="2CB8659E"/>
    <w:rsid w:val="2D6A7FB5"/>
    <w:rsid w:val="2F55477B"/>
    <w:rsid w:val="306FD960"/>
    <w:rsid w:val="32836826"/>
    <w:rsid w:val="33B2DD86"/>
    <w:rsid w:val="350AC3A5"/>
    <w:rsid w:val="367B3CBC"/>
    <w:rsid w:val="3720AF6F"/>
    <w:rsid w:val="372BA404"/>
    <w:rsid w:val="3738B111"/>
    <w:rsid w:val="37C01003"/>
    <w:rsid w:val="3960CEC7"/>
    <w:rsid w:val="39F8241F"/>
    <w:rsid w:val="3B3FFE39"/>
    <w:rsid w:val="3C4F99BD"/>
    <w:rsid w:val="3EC478A1"/>
    <w:rsid w:val="3F734D88"/>
    <w:rsid w:val="3F8CB118"/>
    <w:rsid w:val="40517CAC"/>
    <w:rsid w:val="40C03A4C"/>
    <w:rsid w:val="40C2EFB5"/>
    <w:rsid w:val="40D7534C"/>
    <w:rsid w:val="420663C3"/>
    <w:rsid w:val="4253F0C5"/>
    <w:rsid w:val="430BB587"/>
    <w:rsid w:val="44BBAC92"/>
    <w:rsid w:val="45DF4CDE"/>
    <w:rsid w:val="460CB580"/>
    <w:rsid w:val="468C3473"/>
    <w:rsid w:val="477C88FC"/>
    <w:rsid w:val="4AB876E9"/>
    <w:rsid w:val="4C6E5B6B"/>
    <w:rsid w:val="4F081FF0"/>
    <w:rsid w:val="4FDC3027"/>
    <w:rsid w:val="50A930E4"/>
    <w:rsid w:val="510EA8FD"/>
    <w:rsid w:val="5140559F"/>
    <w:rsid w:val="524FE00E"/>
    <w:rsid w:val="52A0A637"/>
    <w:rsid w:val="5525E157"/>
    <w:rsid w:val="55999F1F"/>
    <w:rsid w:val="55DE2629"/>
    <w:rsid w:val="5697B283"/>
    <w:rsid w:val="56CA8B69"/>
    <w:rsid w:val="57811994"/>
    <w:rsid w:val="59E0B744"/>
    <w:rsid w:val="5D1D4048"/>
    <w:rsid w:val="5DBA10C2"/>
    <w:rsid w:val="604EFF15"/>
    <w:rsid w:val="6081434E"/>
    <w:rsid w:val="619B89DA"/>
    <w:rsid w:val="619CE7D7"/>
    <w:rsid w:val="61ED56C1"/>
    <w:rsid w:val="643E4A53"/>
    <w:rsid w:val="6489244A"/>
    <w:rsid w:val="6539AC8A"/>
    <w:rsid w:val="66640C9A"/>
    <w:rsid w:val="67A55059"/>
    <w:rsid w:val="69967DC0"/>
    <w:rsid w:val="69CDB579"/>
    <w:rsid w:val="6D9866C2"/>
    <w:rsid w:val="6F01DD85"/>
    <w:rsid w:val="7023D7BF"/>
    <w:rsid w:val="7377EB3E"/>
    <w:rsid w:val="73AB729A"/>
    <w:rsid w:val="7440C284"/>
    <w:rsid w:val="75DA9880"/>
    <w:rsid w:val="78A54994"/>
    <w:rsid w:val="7A626221"/>
    <w:rsid w:val="7AE4C1E8"/>
    <w:rsid w:val="7BBFDCA9"/>
    <w:rsid w:val="7C0A7853"/>
    <w:rsid w:val="7E0FEC20"/>
    <w:rsid w:val="7FF155A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Revision">
    <w:name w:val="Revision"/>
    <w:hidden/>
    <w:uiPriority w:val="99"/>
    <w:semiHidden/>
    <w:rsid w:val="00ED5159"/>
    <w:pPr>
      <w:spacing w:after="0" w:line="240" w:lineRule="auto"/>
    </w:pPr>
    <w:rPr>
      <w:sz w:val="24"/>
      <w:szCs w:val="24"/>
    </w:rPr>
  </w:style>
  <w:style w:type="character" w:styleId="UnresolvedMention">
    <w:name w:val="Unresolved Mention"/>
    <w:basedOn w:val="DefaultParagraphFont"/>
    <w:uiPriority w:val="99"/>
    <w:semiHidden/>
    <w:unhideWhenUsed/>
    <w:rsid w:val="001B5F83"/>
    <w:rPr>
      <w:color w:val="605E5C"/>
      <w:shd w:val="clear" w:color="auto" w:fill="E1DFDD"/>
    </w:rPr>
  </w:style>
  <w:style w:type="character" w:styleId="FollowedHyperlink">
    <w:name w:val="FollowedHyperlink"/>
    <w:basedOn w:val="DefaultParagraphFont"/>
    <w:uiPriority w:val="99"/>
    <w:semiHidden/>
    <w:unhideWhenUsed/>
    <w:rsid w:val="00B523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1307">
      <w:bodyDiv w:val="1"/>
      <w:marLeft w:val="0"/>
      <w:marRight w:val="0"/>
      <w:marTop w:val="0"/>
      <w:marBottom w:val="0"/>
      <w:divBdr>
        <w:top w:val="none" w:sz="0" w:space="0" w:color="auto"/>
        <w:left w:val="none" w:sz="0" w:space="0" w:color="auto"/>
        <w:bottom w:val="none" w:sz="0" w:space="0" w:color="auto"/>
        <w:right w:val="none" w:sz="0" w:space="0" w:color="auto"/>
      </w:divBdr>
    </w:div>
    <w:div w:id="198787659">
      <w:bodyDiv w:val="1"/>
      <w:marLeft w:val="0"/>
      <w:marRight w:val="0"/>
      <w:marTop w:val="0"/>
      <w:marBottom w:val="0"/>
      <w:divBdr>
        <w:top w:val="none" w:sz="0" w:space="0" w:color="auto"/>
        <w:left w:val="none" w:sz="0" w:space="0" w:color="auto"/>
        <w:bottom w:val="none" w:sz="0" w:space="0" w:color="auto"/>
        <w:right w:val="none" w:sz="0" w:space="0" w:color="auto"/>
      </w:divBdr>
    </w:div>
    <w:div w:id="238174140">
      <w:bodyDiv w:val="1"/>
      <w:marLeft w:val="0"/>
      <w:marRight w:val="0"/>
      <w:marTop w:val="0"/>
      <w:marBottom w:val="0"/>
      <w:divBdr>
        <w:top w:val="none" w:sz="0" w:space="0" w:color="auto"/>
        <w:left w:val="none" w:sz="0" w:space="0" w:color="auto"/>
        <w:bottom w:val="none" w:sz="0" w:space="0" w:color="auto"/>
        <w:right w:val="none" w:sz="0" w:space="0" w:color="auto"/>
      </w:divBdr>
    </w:div>
    <w:div w:id="282199701">
      <w:bodyDiv w:val="1"/>
      <w:marLeft w:val="0"/>
      <w:marRight w:val="0"/>
      <w:marTop w:val="0"/>
      <w:marBottom w:val="0"/>
      <w:divBdr>
        <w:top w:val="none" w:sz="0" w:space="0" w:color="auto"/>
        <w:left w:val="none" w:sz="0" w:space="0" w:color="auto"/>
        <w:bottom w:val="none" w:sz="0" w:space="0" w:color="auto"/>
        <w:right w:val="none" w:sz="0" w:space="0" w:color="auto"/>
      </w:divBdr>
    </w:div>
    <w:div w:id="314187469">
      <w:bodyDiv w:val="1"/>
      <w:marLeft w:val="0"/>
      <w:marRight w:val="0"/>
      <w:marTop w:val="0"/>
      <w:marBottom w:val="0"/>
      <w:divBdr>
        <w:top w:val="none" w:sz="0" w:space="0" w:color="auto"/>
        <w:left w:val="none" w:sz="0" w:space="0" w:color="auto"/>
        <w:bottom w:val="none" w:sz="0" w:space="0" w:color="auto"/>
        <w:right w:val="none" w:sz="0" w:space="0" w:color="auto"/>
      </w:divBdr>
    </w:div>
    <w:div w:id="387152392">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67630583">
      <w:bodyDiv w:val="1"/>
      <w:marLeft w:val="0"/>
      <w:marRight w:val="0"/>
      <w:marTop w:val="0"/>
      <w:marBottom w:val="0"/>
      <w:divBdr>
        <w:top w:val="none" w:sz="0" w:space="0" w:color="auto"/>
        <w:left w:val="none" w:sz="0" w:space="0" w:color="auto"/>
        <w:bottom w:val="none" w:sz="0" w:space="0" w:color="auto"/>
        <w:right w:val="none" w:sz="0" w:space="0" w:color="auto"/>
      </w:divBdr>
    </w:div>
    <w:div w:id="514731993">
      <w:bodyDiv w:val="1"/>
      <w:marLeft w:val="0"/>
      <w:marRight w:val="0"/>
      <w:marTop w:val="0"/>
      <w:marBottom w:val="0"/>
      <w:divBdr>
        <w:top w:val="none" w:sz="0" w:space="0" w:color="auto"/>
        <w:left w:val="none" w:sz="0" w:space="0" w:color="auto"/>
        <w:bottom w:val="none" w:sz="0" w:space="0" w:color="auto"/>
        <w:right w:val="none" w:sz="0" w:space="0" w:color="auto"/>
      </w:divBdr>
      <w:divsChild>
        <w:div w:id="1906256628">
          <w:marLeft w:val="0"/>
          <w:marRight w:val="0"/>
          <w:marTop w:val="0"/>
          <w:marBottom w:val="0"/>
          <w:divBdr>
            <w:top w:val="none" w:sz="0" w:space="0" w:color="C4DEEE"/>
            <w:left w:val="none" w:sz="0" w:space="8" w:color="C4DEEE"/>
            <w:bottom w:val="none" w:sz="0" w:space="0" w:color="C4DEEE"/>
            <w:right w:val="none" w:sz="0" w:space="0" w:color="C4DEEE"/>
          </w:divBdr>
        </w:div>
        <w:div w:id="1701470788">
          <w:marLeft w:val="0"/>
          <w:marRight w:val="0"/>
          <w:marTop w:val="0"/>
          <w:marBottom w:val="0"/>
          <w:divBdr>
            <w:top w:val="none" w:sz="0" w:space="0" w:color="C4DEEE"/>
            <w:left w:val="none" w:sz="0" w:space="0" w:color="C4DEEE"/>
            <w:bottom w:val="none" w:sz="0" w:space="0" w:color="C4DEEE"/>
            <w:right w:val="none" w:sz="0" w:space="0" w:color="C4DEEE"/>
          </w:divBdr>
          <w:divsChild>
            <w:div w:id="1900506623">
              <w:marLeft w:val="0"/>
              <w:marRight w:val="0"/>
              <w:marTop w:val="0"/>
              <w:marBottom w:val="0"/>
              <w:divBdr>
                <w:top w:val="none" w:sz="0" w:space="0" w:color="C4DEEE"/>
                <w:left w:val="none" w:sz="0" w:space="8" w:color="C4DEEE"/>
                <w:bottom w:val="none" w:sz="0" w:space="0" w:color="C4DEEE"/>
                <w:right w:val="none" w:sz="0" w:space="0" w:color="C4DEEE"/>
              </w:divBdr>
            </w:div>
          </w:divsChild>
        </w:div>
        <w:div w:id="652369765">
          <w:marLeft w:val="0"/>
          <w:marRight w:val="0"/>
          <w:marTop w:val="0"/>
          <w:marBottom w:val="0"/>
          <w:divBdr>
            <w:top w:val="none" w:sz="0" w:space="0" w:color="C4DEEE"/>
            <w:left w:val="none" w:sz="0" w:space="8" w:color="C4DEEE"/>
            <w:bottom w:val="none" w:sz="0" w:space="0" w:color="C4DEEE"/>
            <w:right w:val="none" w:sz="0" w:space="0" w:color="C4DEEE"/>
          </w:divBdr>
        </w:div>
        <w:div w:id="1287856530">
          <w:marLeft w:val="0"/>
          <w:marRight w:val="0"/>
          <w:marTop w:val="0"/>
          <w:marBottom w:val="0"/>
          <w:divBdr>
            <w:top w:val="none" w:sz="0" w:space="0" w:color="C4DEEE"/>
            <w:left w:val="none" w:sz="0" w:space="0" w:color="C4DEEE"/>
            <w:bottom w:val="none" w:sz="0" w:space="0" w:color="C4DEEE"/>
            <w:right w:val="none" w:sz="0" w:space="0" w:color="C4DEEE"/>
          </w:divBdr>
        </w:div>
      </w:divsChild>
    </w:div>
    <w:div w:id="525101194">
      <w:bodyDiv w:val="1"/>
      <w:marLeft w:val="0"/>
      <w:marRight w:val="0"/>
      <w:marTop w:val="0"/>
      <w:marBottom w:val="0"/>
      <w:divBdr>
        <w:top w:val="none" w:sz="0" w:space="0" w:color="auto"/>
        <w:left w:val="none" w:sz="0" w:space="0" w:color="auto"/>
        <w:bottom w:val="none" w:sz="0" w:space="0" w:color="auto"/>
        <w:right w:val="none" w:sz="0" w:space="0" w:color="auto"/>
      </w:divBdr>
    </w:div>
    <w:div w:id="617759854">
      <w:bodyDiv w:val="1"/>
      <w:marLeft w:val="0"/>
      <w:marRight w:val="0"/>
      <w:marTop w:val="0"/>
      <w:marBottom w:val="0"/>
      <w:divBdr>
        <w:top w:val="none" w:sz="0" w:space="0" w:color="auto"/>
        <w:left w:val="none" w:sz="0" w:space="0" w:color="auto"/>
        <w:bottom w:val="none" w:sz="0" w:space="0" w:color="auto"/>
        <w:right w:val="none" w:sz="0" w:space="0" w:color="auto"/>
      </w:divBdr>
    </w:div>
    <w:div w:id="699739766">
      <w:bodyDiv w:val="1"/>
      <w:marLeft w:val="0"/>
      <w:marRight w:val="0"/>
      <w:marTop w:val="0"/>
      <w:marBottom w:val="0"/>
      <w:divBdr>
        <w:top w:val="none" w:sz="0" w:space="0" w:color="auto"/>
        <w:left w:val="none" w:sz="0" w:space="0" w:color="auto"/>
        <w:bottom w:val="none" w:sz="0" w:space="0" w:color="auto"/>
        <w:right w:val="none" w:sz="0" w:space="0" w:color="auto"/>
      </w:divBdr>
    </w:div>
    <w:div w:id="787696810">
      <w:bodyDiv w:val="1"/>
      <w:marLeft w:val="0"/>
      <w:marRight w:val="0"/>
      <w:marTop w:val="0"/>
      <w:marBottom w:val="0"/>
      <w:divBdr>
        <w:top w:val="none" w:sz="0" w:space="0" w:color="auto"/>
        <w:left w:val="none" w:sz="0" w:space="0" w:color="auto"/>
        <w:bottom w:val="none" w:sz="0" w:space="0" w:color="auto"/>
        <w:right w:val="none" w:sz="0" w:space="0" w:color="auto"/>
      </w:divBdr>
    </w:div>
    <w:div w:id="981734223">
      <w:bodyDiv w:val="1"/>
      <w:marLeft w:val="0"/>
      <w:marRight w:val="0"/>
      <w:marTop w:val="0"/>
      <w:marBottom w:val="0"/>
      <w:divBdr>
        <w:top w:val="none" w:sz="0" w:space="0" w:color="auto"/>
        <w:left w:val="none" w:sz="0" w:space="0" w:color="auto"/>
        <w:bottom w:val="none" w:sz="0" w:space="0" w:color="auto"/>
        <w:right w:val="none" w:sz="0" w:space="0" w:color="auto"/>
      </w:divBdr>
    </w:div>
    <w:div w:id="1075930958">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241480405">
      <w:bodyDiv w:val="1"/>
      <w:marLeft w:val="0"/>
      <w:marRight w:val="0"/>
      <w:marTop w:val="0"/>
      <w:marBottom w:val="0"/>
      <w:divBdr>
        <w:top w:val="none" w:sz="0" w:space="0" w:color="auto"/>
        <w:left w:val="none" w:sz="0" w:space="0" w:color="auto"/>
        <w:bottom w:val="none" w:sz="0" w:space="0" w:color="auto"/>
        <w:right w:val="none" w:sz="0" w:space="0" w:color="auto"/>
      </w:divBdr>
    </w:div>
    <w:div w:id="1249776340">
      <w:bodyDiv w:val="1"/>
      <w:marLeft w:val="0"/>
      <w:marRight w:val="0"/>
      <w:marTop w:val="0"/>
      <w:marBottom w:val="0"/>
      <w:divBdr>
        <w:top w:val="none" w:sz="0" w:space="0" w:color="auto"/>
        <w:left w:val="none" w:sz="0" w:space="0" w:color="auto"/>
        <w:bottom w:val="none" w:sz="0" w:space="0" w:color="auto"/>
        <w:right w:val="none" w:sz="0" w:space="0" w:color="auto"/>
      </w:divBdr>
    </w:div>
    <w:div w:id="1328242964">
      <w:bodyDiv w:val="1"/>
      <w:marLeft w:val="0"/>
      <w:marRight w:val="0"/>
      <w:marTop w:val="0"/>
      <w:marBottom w:val="0"/>
      <w:divBdr>
        <w:top w:val="none" w:sz="0" w:space="0" w:color="auto"/>
        <w:left w:val="none" w:sz="0" w:space="0" w:color="auto"/>
        <w:bottom w:val="none" w:sz="0" w:space="0" w:color="auto"/>
        <w:right w:val="none" w:sz="0" w:space="0" w:color="auto"/>
      </w:divBdr>
    </w:div>
    <w:div w:id="1347175612">
      <w:bodyDiv w:val="1"/>
      <w:marLeft w:val="0"/>
      <w:marRight w:val="0"/>
      <w:marTop w:val="0"/>
      <w:marBottom w:val="0"/>
      <w:divBdr>
        <w:top w:val="none" w:sz="0" w:space="0" w:color="auto"/>
        <w:left w:val="none" w:sz="0" w:space="0" w:color="auto"/>
        <w:bottom w:val="none" w:sz="0" w:space="0" w:color="auto"/>
        <w:right w:val="none" w:sz="0" w:space="0" w:color="auto"/>
      </w:divBdr>
      <w:divsChild>
        <w:div w:id="219757656">
          <w:marLeft w:val="0"/>
          <w:marRight w:val="0"/>
          <w:marTop w:val="0"/>
          <w:marBottom w:val="0"/>
          <w:divBdr>
            <w:top w:val="none" w:sz="0" w:space="0" w:color="C4DEEE"/>
            <w:left w:val="none" w:sz="0" w:space="8" w:color="C4DEEE"/>
            <w:bottom w:val="none" w:sz="0" w:space="0" w:color="C4DEEE"/>
            <w:right w:val="none" w:sz="0" w:space="0" w:color="C4DEEE"/>
          </w:divBdr>
        </w:div>
        <w:div w:id="601686468">
          <w:marLeft w:val="0"/>
          <w:marRight w:val="0"/>
          <w:marTop w:val="0"/>
          <w:marBottom w:val="0"/>
          <w:divBdr>
            <w:top w:val="none" w:sz="0" w:space="0" w:color="C4DEEE"/>
            <w:left w:val="none" w:sz="0" w:space="0" w:color="C4DEEE"/>
            <w:bottom w:val="none" w:sz="0" w:space="0" w:color="C4DEEE"/>
            <w:right w:val="none" w:sz="0" w:space="0" w:color="C4DEEE"/>
          </w:divBdr>
        </w:div>
      </w:divsChild>
    </w:div>
    <w:div w:id="1409305235">
      <w:bodyDiv w:val="1"/>
      <w:marLeft w:val="0"/>
      <w:marRight w:val="0"/>
      <w:marTop w:val="0"/>
      <w:marBottom w:val="0"/>
      <w:divBdr>
        <w:top w:val="none" w:sz="0" w:space="0" w:color="auto"/>
        <w:left w:val="none" w:sz="0" w:space="0" w:color="auto"/>
        <w:bottom w:val="none" w:sz="0" w:space="0" w:color="auto"/>
        <w:right w:val="none" w:sz="0" w:space="0" w:color="auto"/>
      </w:divBdr>
      <w:divsChild>
        <w:div w:id="654727319">
          <w:marLeft w:val="0"/>
          <w:marRight w:val="0"/>
          <w:marTop w:val="0"/>
          <w:marBottom w:val="0"/>
          <w:divBdr>
            <w:top w:val="none" w:sz="0" w:space="0" w:color="C4DEEE"/>
            <w:left w:val="none" w:sz="0" w:space="8" w:color="C4DEEE"/>
            <w:bottom w:val="none" w:sz="0" w:space="0" w:color="C4DEEE"/>
            <w:right w:val="none" w:sz="0" w:space="0" w:color="C4DEEE"/>
          </w:divBdr>
        </w:div>
        <w:div w:id="1102723015">
          <w:marLeft w:val="0"/>
          <w:marRight w:val="0"/>
          <w:marTop w:val="0"/>
          <w:marBottom w:val="0"/>
          <w:divBdr>
            <w:top w:val="none" w:sz="0" w:space="0" w:color="C4DEEE"/>
            <w:left w:val="none" w:sz="0" w:space="0" w:color="C4DEEE"/>
            <w:bottom w:val="none" w:sz="0" w:space="0" w:color="C4DEEE"/>
            <w:right w:val="none" w:sz="0" w:space="0" w:color="C4DEEE"/>
          </w:divBdr>
        </w:div>
      </w:divsChild>
    </w:div>
    <w:div w:id="1615863845">
      <w:bodyDiv w:val="1"/>
      <w:marLeft w:val="0"/>
      <w:marRight w:val="0"/>
      <w:marTop w:val="0"/>
      <w:marBottom w:val="0"/>
      <w:divBdr>
        <w:top w:val="none" w:sz="0" w:space="0" w:color="auto"/>
        <w:left w:val="none" w:sz="0" w:space="0" w:color="auto"/>
        <w:bottom w:val="none" w:sz="0" w:space="0" w:color="auto"/>
        <w:right w:val="none" w:sz="0" w:space="0" w:color="auto"/>
      </w:divBdr>
    </w:div>
    <w:div w:id="1726879125">
      <w:bodyDiv w:val="1"/>
      <w:marLeft w:val="0"/>
      <w:marRight w:val="0"/>
      <w:marTop w:val="0"/>
      <w:marBottom w:val="0"/>
      <w:divBdr>
        <w:top w:val="none" w:sz="0" w:space="0" w:color="auto"/>
        <w:left w:val="none" w:sz="0" w:space="0" w:color="auto"/>
        <w:bottom w:val="none" w:sz="0" w:space="0" w:color="auto"/>
        <w:right w:val="none" w:sz="0" w:space="0" w:color="auto"/>
      </w:divBdr>
    </w:div>
    <w:div w:id="1779137409">
      <w:bodyDiv w:val="1"/>
      <w:marLeft w:val="0"/>
      <w:marRight w:val="0"/>
      <w:marTop w:val="0"/>
      <w:marBottom w:val="0"/>
      <w:divBdr>
        <w:top w:val="none" w:sz="0" w:space="0" w:color="auto"/>
        <w:left w:val="none" w:sz="0" w:space="0" w:color="auto"/>
        <w:bottom w:val="none" w:sz="0" w:space="0" w:color="auto"/>
        <w:right w:val="none" w:sz="0" w:space="0" w:color="auto"/>
      </w:divBdr>
    </w:div>
    <w:div w:id="1948392029">
      <w:bodyDiv w:val="1"/>
      <w:marLeft w:val="0"/>
      <w:marRight w:val="0"/>
      <w:marTop w:val="0"/>
      <w:marBottom w:val="0"/>
      <w:divBdr>
        <w:top w:val="none" w:sz="0" w:space="0" w:color="auto"/>
        <w:left w:val="none" w:sz="0" w:space="0" w:color="auto"/>
        <w:bottom w:val="none" w:sz="0" w:space="0" w:color="auto"/>
        <w:right w:val="none" w:sz="0" w:space="0" w:color="auto"/>
      </w:divBdr>
    </w:div>
    <w:div w:id="1969160298">
      <w:bodyDiv w:val="1"/>
      <w:marLeft w:val="0"/>
      <w:marRight w:val="0"/>
      <w:marTop w:val="0"/>
      <w:marBottom w:val="0"/>
      <w:divBdr>
        <w:top w:val="none" w:sz="0" w:space="0" w:color="auto"/>
        <w:left w:val="none" w:sz="0" w:space="0" w:color="auto"/>
        <w:bottom w:val="none" w:sz="0" w:space="0" w:color="auto"/>
        <w:right w:val="none" w:sz="0" w:space="0" w:color="auto"/>
      </w:divBdr>
    </w:div>
    <w:div w:id="2026133171">
      <w:bodyDiv w:val="1"/>
      <w:marLeft w:val="0"/>
      <w:marRight w:val="0"/>
      <w:marTop w:val="0"/>
      <w:marBottom w:val="0"/>
      <w:divBdr>
        <w:top w:val="none" w:sz="0" w:space="0" w:color="auto"/>
        <w:left w:val="none" w:sz="0" w:space="0" w:color="auto"/>
        <w:bottom w:val="none" w:sz="0" w:space="0" w:color="auto"/>
        <w:right w:val="none" w:sz="0" w:space="0" w:color="auto"/>
      </w:divBdr>
    </w:div>
    <w:div w:id="2035112055">
      <w:bodyDiv w:val="1"/>
      <w:marLeft w:val="0"/>
      <w:marRight w:val="0"/>
      <w:marTop w:val="0"/>
      <w:marBottom w:val="0"/>
      <w:divBdr>
        <w:top w:val="none" w:sz="0" w:space="0" w:color="auto"/>
        <w:left w:val="none" w:sz="0" w:space="0" w:color="auto"/>
        <w:bottom w:val="none" w:sz="0" w:space="0" w:color="auto"/>
        <w:right w:val="none" w:sz="0" w:space="0" w:color="auto"/>
      </w:divBdr>
    </w:div>
    <w:div w:id="213255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bs.gov.au/" TargetMode="External"/><Relationship Id="rId18" Type="http://schemas.openxmlformats.org/officeDocument/2006/relationships/image" Target="media/image1.png"/><Relationship Id="rId26"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chart" Target="charts/chart3.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pbs.gov.au/" TargetMode="External"/><Relationship Id="rId17" Type="http://schemas.openxmlformats.org/officeDocument/2006/relationships/chart" Target="charts/chart1.xml"/><Relationship Id="rId25" Type="http://schemas.openxmlformats.org/officeDocument/2006/relationships/chart" Target="charts/chart4.xm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pbs.gov.au/info/industry/listing/participants/public-release-docs/2022-09/atezolizumab-24-month-review-DUSC-PRD-2022-09" TargetMode="External"/><Relationship Id="rId20" Type="http://schemas.openxmlformats.org/officeDocument/2006/relationships/image" Target="media/image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gov.au/medicine/item/11277M-11284X-11297N-11309F-11792P-11801D-11802E-11807K-11926Q-11927R-11928T-11929W-11930X-11931Y-11940K-11957H-12076N-12078Q-12097Q-12098R-12155R-12159Y-12167J-12168K-12171N-12174R-13170E-13172G-13173H-13174J-14225Q-14226R-14247W-14248X-14249Y-14250B-14255G-14266W-14267X-14268Y-14269B-14277K-14278L-14288B-14289C-14298M-14566P-14575D" TargetMode="External"/><Relationship Id="rId24" Type="http://schemas.openxmlformats.org/officeDocument/2006/relationships/image" Target="media/image5.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bs.gov.au/info/industry/listing/elements/pbac-meetings/psd/2024-03/atezolizumab-Tecentriq-PSD-March-2024" TargetMode="External"/><Relationship Id="rId23" Type="http://schemas.openxmlformats.org/officeDocument/2006/relationships/image" Target="media/image4.png"/><Relationship Id="rId28" Type="http://schemas.openxmlformats.org/officeDocument/2006/relationships/image" Target="media/image7.png"/><Relationship Id="rId36" Type="http://schemas.openxmlformats.org/officeDocument/2006/relationships/theme" Target="theme/theme1.xml"/><Relationship Id="rId10" Type="http://schemas.openxmlformats.org/officeDocument/2006/relationships/hyperlink" Target="http://www.pbs.gov.au/pbs/home" TargetMode="External"/><Relationship Id="rId19" Type="http://schemas.openxmlformats.org/officeDocument/2006/relationships/chart" Target="charts/chart2.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bs.tga.gov.au/ebs/picmi/picmirepository.nsf/PICMI?OpenForm&amp;t=&amp;q=atezolizumab" TargetMode="External"/><Relationship Id="rId14" Type="http://schemas.openxmlformats.org/officeDocument/2006/relationships/hyperlink" Target="https://www.pbs.gov.au/info/industry/listing/elements/pbac-meetings/psd/2020-07/atezolizumab-and-bevacizumab-atezolizumab-solution-concent" TargetMode="External"/><Relationship Id="rId22" Type="http://schemas.openxmlformats.org/officeDocument/2006/relationships/image" Target="media/image3.png"/><Relationship Id="rId27" Type="http://schemas.openxmlformats.org/officeDocument/2006/relationships/image" Target="media/image6.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www.ebs.tga.gov.au/ebs/picmi/picmirepository.nsf/PICMI?OpenForm&amp;t=&amp;q=atezolizuma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pbs.gov.au/info/industry/listing/elements/pbac-meetings/psd/2020-07/atezolizumab-and-bevacizumab-atezolizumab-solution-concent" TargetMode="External"/><Relationship Id="rId2" Type="http://schemas.openxmlformats.org/officeDocument/2006/relationships/hyperlink" Target="https://www.ebs.tga.gov.au/ebs/picmi/picmirepository.nsf/PICMI?OpenForm&amp;t=&amp;q=atezolizumab" TargetMode="External"/><Relationship Id="rId1" Type="http://schemas.openxmlformats.org/officeDocument/2006/relationships/hyperlink" Target="https://www.gesa.org.au/public/13/files/Education%20%26%20Resources/Clinical%20Practice%20Resources/HCC/HCC%20Consensus%20Statement%20-%20Dec%202020.pdf" TargetMode="External"/><Relationship Id="rId5" Type="http://schemas.openxmlformats.org/officeDocument/2006/relationships/hyperlink" Target="https://www.aihw.gov.au/reports/cancer/cancer-data-in-australia/contents/cancer-incidence-and-survival-by-histology-selecte" TargetMode="External"/><Relationship Id="rId4" Type="http://schemas.openxmlformats.org/officeDocument/2006/relationships/hyperlink" Target="https://www.aihw.gov.au/reports/cancer/cancer-data-in-australia/contents/cancer-incidence-and-survival-by-histology-select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healthgov-my.sharepoint.com/personal/michael_lidman_health_gov_au/Documents/Desktop/7.1%20Atezolizumab%20for%20hepatocellular%20carcinoma/al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5\D1673%20Atezolizumab%20for%20hepatocellular%20carcinoma\10%20year%20age%20group.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5\D1673%20Atezolizumab%20for%20hepatocellular%20carcinoma\initia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healthgov-my.sharepoint.com/personal/michael_lidman_health_gov_au/Documents/Desktop/sor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[all.xlsx]Sheet2!PivotTable1</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Sheet2!$B$3</c:f>
              <c:strCache>
                <c:ptCount val="1"/>
                <c:pt idx="0">
                  <c:v>Incident patients</c:v>
                </c:pt>
              </c:strCache>
            </c:strRef>
          </c:tx>
          <c:spPr>
            <a:ln w="28575" cap="rnd">
              <a:solidFill>
                <a:schemeClr val="accent1"/>
              </a:solidFill>
              <a:round/>
            </a:ln>
            <a:effectLst/>
          </c:spPr>
          <c:marker>
            <c:symbol val="none"/>
          </c:marker>
          <c:cat>
            <c:strRef>
              <c:f>Sheet2!$A$4:$A$20</c:f>
              <c:strCache>
                <c:ptCount val="16"/>
                <c:pt idx="0">
                  <c:v>2021Q1</c:v>
                </c:pt>
                <c:pt idx="1">
                  <c:v>2021Q2</c:v>
                </c:pt>
                <c:pt idx="2">
                  <c:v>2021Q3</c:v>
                </c:pt>
                <c:pt idx="3">
                  <c:v>2021Q4</c:v>
                </c:pt>
                <c:pt idx="4">
                  <c:v>2022Q1</c:v>
                </c:pt>
                <c:pt idx="5">
                  <c:v>2022Q2</c:v>
                </c:pt>
                <c:pt idx="6">
                  <c:v>2022Q3</c:v>
                </c:pt>
                <c:pt idx="7">
                  <c:v>2022Q4</c:v>
                </c:pt>
                <c:pt idx="8">
                  <c:v>2023Q1</c:v>
                </c:pt>
                <c:pt idx="9">
                  <c:v>2023Q2</c:v>
                </c:pt>
                <c:pt idx="10">
                  <c:v>2023Q3</c:v>
                </c:pt>
                <c:pt idx="11">
                  <c:v>2023Q4</c:v>
                </c:pt>
                <c:pt idx="12">
                  <c:v>2024Q1</c:v>
                </c:pt>
                <c:pt idx="13">
                  <c:v>2024Q2</c:v>
                </c:pt>
                <c:pt idx="14">
                  <c:v>2024Q3</c:v>
                </c:pt>
                <c:pt idx="15">
                  <c:v>2024Q4</c:v>
                </c:pt>
              </c:strCache>
            </c:strRef>
          </c:cat>
          <c:val>
            <c:numRef>
              <c:f>Sheet2!$B$4:$B$20</c:f>
              <c:numCache>
                <c:formatCode>General</c:formatCode>
                <c:ptCount val="16"/>
                <c:pt idx="0">
                  <c:v>125</c:v>
                </c:pt>
                <c:pt idx="1">
                  <c:v>128</c:v>
                </c:pt>
                <c:pt idx="2">
                  <c:v>146</c:v>
                </c:pt>
                <c:pt idx="3">
                  <c:v>134</c:v>
                </c:pt>
                <c:pt idx="4">
                  <c:v>124</c:v>
                </c:pt>
                <c:pt idx="5">
                  <c:v>139</c:v>
                </c:pt>
                <c:pt idx="6">
                  <c:v>122</c:v>
                </c:pt>
                <c:pt idx="7">
                  <c:v>120</c:v>
                </c:pt>
                <c:pt idx="8">
                  <c:v>114</c:v>
                </c:pt>
                <c:pt idx="9">
                  <c:v>126</c:v>
                </c:pt>
                <c:pt idx="10">
                  <c:v>145</c:v>
                </c:pt>
                <c:pt idx="11">
                  <c:v>137</c:v>
                </c:pt>
                <c:pt idx="12">
                  <c:v>123</c:v>
                </c:pt>
                <c:pt idx="13">
                  <c:v>141</c:v>
                </c:pt>
                <c:pt idx="14">
                  <c:v>127</c:v>
                </c:pt>
                <c:pt idx="15">
                  <c:v>135</c:v>
                </c:pt>
              </c:numCache>
            </c:numRef>
          </c:val>
          <c:smooth val="0"/>
          <c:extLst>
            <c:ext xmlns:c16="http://schemas.microsoft.com/office/drawing/2014/chart" uri="{C3380CC4-5D6E-409C-BE32-E72D297353CC}">
              <c16:uniqueId val="{00000000-52ED-4627-BC14-10A8CED7D209}"/>
            </c:ext>
          </c:extLst>
        </c:ser>
        <c:ser>
          <c:idx val="1"/>
          <c:order val="1"/>
          <c:tx>
            <c:strRef>
              <c:f>Sheet2!$C$3</c:f>
              <c:strCache>
                <c:ptCount val="1"/>
                <c:pt idx="0">
                  <c:v>Prevalant patients</c:v>
                </c:pt>
              </c:strCache>
            </c:strRef>
          </c:tx>
          <c:spPr>
            <a:ln w="28575" cap="rnd">
              <a:solidFill>
                <a:schemeClr val="accent2"/>
              </a:solidFill>
              <a:round/>
            </a:ln>
            <a:effectLst/>
          </c:spPr>
          <c:marker>
            <c:symbol val="none"/>
          </c:marker>
          <c:cat>
            <c:strRef>
              <c:f>Sheet2!$A$4:$A$20</c:f>
              <c:strCache>
                <c:ptCount val="16"/>
                <c:pt idx="0">
                  <c:v>2021Q1</c:v>
                </c:pt>
                <c:pt idx="1">
                  <c:v>2021Q2</c:v>
                </c:pt>
                <c:pt idx="2">
                  <c:v>2021Q3</c:v>
                </c:pt>
                <c:pt idx="3">
                  <c:v>2021Q4</c:v>
                </c:pt>
                <c:pt idx="4">
                  <c:v>2022Q1</c:v>
                </c:pt>
                <c:pt idx="5">
                  <c:v>2022Q2</c:v>
                </c:pt>
                <c:pt idx="6">
                  <c:v>2022Q3</c:v>
                </c:pt>
                <c:pt idx="7">
                  <c:v>2022Q4</c:v>
                </c:pt>
                <c:pt idx="8">
                  <c:v>2023Q1</c:v>
                </c:pt>
                <c:pt idx="9">
                  <c:v>2023Q2</c:v>
                </c:pt>
                <c:pt idx="10">
                  <c:v>2023Q3</c:v>
                </c:pt>
                <c:pt idx="11">
                  <c:v>2023Q4</c:v>
                </c:pt>
                <c:pt idx="12">
                  <c:v>2024Q1</c:v>
                </c:pt>
                <c:pt idx="13">
                  <c:v>2024Q2</c:v>
                </c:pt>
                <c:pt idx="14">
                  <c:v>2024Q3</c:v>
                </c:pt>
                <c:pt idx="15">
                  <c:v>2024Q4</c:v>
                </c:pt>
              </c:strCache>
            </c:strRef>
          </c:cat>
          <c:val>
            <c:numRef>
              <c:f>Sheet2!$C$4:$C$20</c:f>
              <c:numCache>
                <c:formatCode>General</c:formatCode>
                <c:ptCount val="16"/>
                <c:pt idx="0">
                  <c:v>222</c:v>
                </c:pt>
                <c:pt idx="1">
                  <c:v>282</c:v>
                </c:pt>
                <c:pt idx="2">
                  <c:v>363</c:v>
                </c:pt>
                <c:pt idx="3">
                  <c:v>415</c:v>
                </c:pt>
                <c:pt idx="4">
                  <c:v>430</c:v>
                </c:pt>
                <c:pt idx="5">
                  <c:v>459</c:v>
                </c:pt>
                <c:pt idx="6">
                  <c:v>477</c:v>
                </c:pt>
                <c:pt idx="7">
                  <c:v>479</c:v>
                </c:pt>
                <c:pt idx="8">
                  <c:v>477</c:v>
                </c:pt>
                <c:pt idx="9">
                  <c:v>482</c:v>
                </c:pt>
                <c:pt idx="10">
                  <c:v>530</c:v>
                </c:pt>
                <c:pt idx="11">
                  <c:v>512</c:v>
                </c:pt>
                <c:pt idx="12">
                  <c:v>527</c:v>
                </c:pt>
                <c:pt idx="13">
                  <c:v>568</c:v>
                </c:pt>
                <c:pt idx="14">
                  <c:v>557</c:v>
                </c:pt>
                <c:pt idx="15">
                  <c:v>579</c:v>
                </c:pt>
              </c:numCache>
            </c:numRef>
          </c:val>
          <c:smooth val="0"/>
          <c:extLst>
            <c:ext xmlns:c16="http://schemas.microsoft.com/office/drawing/2014/chart" uri="{C3380CC4-5D6E-409C-BE32-E72D297353CC}">
              <c16:uniqueId val="{00000001-52ED-4627-BC14-10A8CED7D209}"/>
            </c:ext>
          </c:extLst>
        </c:ser>
        <c:dLbls>
          <c:showLegendKey val="0"/>
          <c:showVal val="0"/>
          <c:showCatName val="0"/>
          <c:showSerName val="0"/>
          <c:showPercent val="0"/>
          <c:showBubbleSize val="0"/>
        </c:dLbls>
        <c:marker val="1"/>
        <c:smooth val="0"/>
        <c:axId val="604288192"/>
        <c:axId val="604294672"/>
      </c:lineChart>
      <c:lineChart>
        <c:grouping val="standard"/>
        <c:varyColors val="0"/>
        <c:ser>
          <c:idx val="2"/>
          <c:order val="2"/>
          <c:tx>
            <c:strRef>
              <c:f>Sheet2!$D$3</c:f>
              <c:strCache>
                <c:ptCount val="1"/>
                <c:pt idx="0">
                  <c:v>Scripts</c:v>
                </c:pt>
              </c:strCache>
            </c:strRef>
          </c:tx>
          <c:spPr>
            <a:ln w="28575" cap="rnd">
              <a:solidFill>
                <a:schemeClr val="accent3"/>
              </a:solidFill>
              <a:prstDash val="sysDot"/>
              <a:round/>
            </a:ln>
            <a:effectLst/>
          </c:spPr>
          <c:marker>
            <c:symbol val="none"/>
          </c:marker>
          <c:cat>
            <c:strRef>
              <c:f>Sheet2!$A$4:$A$20</c:f>
              <c:strCache>
                <c:ptCount val="16"/>
                <c:pt idx="0">
                  <c:v>2021Q1</c:v>
                </c:pt>
                <c:pt idx="1">
                  <c:v>2021Q2</c:v>
                </c:pt>
                <c:pt idx="2">
                  <c:v>2021Q3</c:v>
                </c:pt>
                <c:pt idx="3">
                  <c:v>2021Q4</c:v>
                </c:pt>
                <c:pt idx="4">
                  <c:v>2022Q1</c:v>
                </c:pt>
                <c:pt idx="5">
                  <c:v>2022Q2</c:v>
                </c:pt>
                <c:pt idx="6">
                  <c:v>2022Q3</c:v>
                </c:pt>
                <c:pt idx="7">
                  <c:v>2022Q4</c:v>
                </c:pt>
                <c:pt idx="8">
                  <c:v>2023Q1</c:v>
                </c:pt>
                <c:pt idx="9">
                  <c:v>2023Q2</c:v>
                </c:pt>
                <c:pt idx="10">
                  <c:v>2023Q3</c:v>
                </c:pt>
                <c:pt idx="11">
                  <c:v>2023Q4</c:v>
                </c:pt>
                <c:pt idx="12">
                  <c:v>2024Q1</c:v>
                </c:pt>
                <c:pt idx="13">
                  <c:v>2024Q2</c:v>
                </c:pt>
                <c:pt idx="14">
                  <c:v>2024Q3</c:v>
                </c:pt>
                <c:pt idx="15">
                  <c:v>2024Q4</c:v>
                </c:pt>
              </c:strCache>
            </c:strRef>
          </c:cat>
          <c:val>
            <c:numRef>
              <c:f>Sheet2!$D$4:$D$20</c:f>
              <c:numCache>
                <c:formatCode>General</c:formatCode>
                <c:ptCount val="16"/>
                <c:pt idx="0">
                  <c:v>596</c:v>
                </c:pt>
                <c:pt idx="1">
                  <c:v>771</c:v>
                </c:pt>
                <c:pt idx="2">
                  <c:v>1068</c:v>
                </c:pt>
                <c:pt idx="3">
                  <c:v>1292</c:v>
                </c:pt>
                <c:pt idx="4">
                  <c:v>1271</c:v>
                </c:pt>
                <c:pt idx="5">
                  <c:v>1394</c:v>
                </c:pt>
                <c:pt idx="6">
                  <c:v>1494</c:v>
                </c:pt>
                <c:pt idx="7">
                  <c:v>1494</c:v>
                </c:pt>
                <c:pt idx="8">
                  <c:v>1449</c:v>
                </c:pt>
                <c:pt idx="9">
                  <c:v>1516</c:v>
                </c:pt>
                <c:pt idx="10">
                  <c:v>1578</c:v>
                </c:pt>
                <c:pt idx="11">
                  <c:v>1592</c:v>
                </c:pt>
                <c:pt idx="12">
                  <c:v>1654</c:v>
                </c:pt>
                <c:pt idx="13">
                  <c:v>1737</c:v>
                </c:pt>
                <c:pt idx="14">
                  <c:v>1804</c:v>
                </c:pt>
                <c:pt idx="15">
                  <c:v>1838</c:v>
                </c:pt>
              </c:numCache>
            </c:numRef>
          </c:val>
          <c:smooth val="0"/>
          <c:extLst>
            <c:ext xmlns:c16="http://schemas.microsoft.com/office/drawing/2014/chart" uri="{C3380CC4-5D6E-409C-BE32-E72D297353CC}">
              <c16:uniqueId val="{00000002-52ED-4627-BC14-10A8CED7D209}"/>
            </c:ext>
          </c:extLst>
        </c:ser>
        <c:dLbls>
          <c:showLegendKey val="0"/>
          <c:showVal val="0"/>
          <c:showCatName val="0"/>
          <c:showSerName val="0"/>
          <c:showPercent val="0"/>
          <c:showBubbleSize val="0"/>
        </c:dLbls>
        <c:marker val="1"/>
        <c:smooth val="0"/>
        <c:axId val="532419368"/>
        <c:axId val="532418648"/>
      </c:lineChart>
      <c:catAx>
        <c:axId val="604288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294672"/>
        <c:crosses val="autoZero"/>
        <c:auto val="1"/>
        <c:lblAlgn val="ctr"/>
        <c:lblOffset val="100"/>
        <c:noMultiLvlLbl val="0"/>
      </c:catAx>
      <c:valAx>
        <c:axId val="604294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288192"/>
        <c:crosses val="autoZero"/>
        <c:crossBetween val="between"/>
      </c:valAx>
      <c:valAx>
        <c:axId val="53241864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Scripts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2419368"/>
        <c:crosses val="max"/>
        <c:crossBetween val="between"/>
      </c:valAx>
      <c:catAx>
        <c:axId val="532419368"/>
        <c:scaling>
          <c:orientation val="minMax"/>
        </c:scaling>
        <c:delete val="1"/>
        <c:axPos val="b"/>
        <c:numFmt formatCode="General" sourceLinked="1"/>
        <c:majorTickMark val="out"/>
        <c:minorTickMark val="none"/>
        <c:tickLblPos val="nextTo"/>
        <c:crossAx val="5324186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Incident Case</a:t>
            </a:r>
            <a:r>
              <a:rPr lang="en-US" baseline="0"/>
              <a:t>s of Disease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Sheet2!$B$15</c:f>
              <c:strCache>
                <c:ptCount val="1"/>
                <c:pt idx="0">
                  <c:v>AIHW incident cases</c:v>
                </c:pt>
              </c:strCache>
            </c:strRef>
          </c:tx>
          <c:spPr>
            <a:solidFill>
              <a:schemeClr val="accent1"/>
            </a:solidFill>
            <a:ln>
              <a:noFill/>
            </a:ln>
            <a:effectLst/>
          </c:spPr>
          <c:invertIfNegative val="0"/>
          <c:cat>
            <c:strRef>
              <c:f>Sheet2!$A$18:$A$24</c:f>
              <c:strCache>
                <c:ptCount val="7"/>
                <c:pt idx="0">
                  <c:v>34 - yrs</c:v>
                </c:pt>
                <c:pt idx="1">
                  <c:v>35-44 yrs</c:v>
                </c:pt>
                <c:pt idx="2">
                  <c:v>45-54 yrs</c:v>
                </c:pt>
                <c:pt idx="3">
                  <c:v>55-64 yrs</c:v>
                </c:pt>
                <c:pt idx="4">
                  <c:v>65-74 yrs</c:v>
                </c:pt>
                <c:pt idx="5">
                  <c:v>75-84 yrs</c:v>
                </c:pt>
                <c:pt idx="6">
                  <c:v>85+ yrs</c:v>
                </c:pt>
              </c:strCache>
              <c:extLst/>
            </c:strRef>
          </c:cat>
          <c:val>
            <c:numRef>
              <c:f>Sheet2!$B$18:$B$24</c:f>
              <c:numCache>
                <c:formatCode>General</c:formatCode>
                <c:ptCount val="7"/>
                <c:pt idx="0">
                  <c:v>9</c:v>
                </c:pt>
                <c:pt idx="1">
                  <c:v>24</c:v>
                </c:pt>
                <c:pt idx="2">
                  <c:v>154</c:v>
                </c:pt>
                <c:pt idx="3">
                  <c:v>538</c:v>
                </c:pt>
                <c:pt idx="4">
                  <c:v>599</c:v>
                </c:pt>
                <c:pt idx="5">
                  <c:v>367</c:v>
                </c:pt>
                <c:pt idx="6">
                  <c:v>107</c:v>
                </c:pt>
              </c:numCache>
              <c:extLst/>
            </c:numRef>
          </c:val>
          <c:extLst>
            <c:ext xmlns:c16="http://schemas.microsoft.com/office/drawing/2014/chart" uri="{C3380CC4-5D6E-409C-BE32-E72D297353CC}">
              <c16:uniqueId val="{00000000-401D-4E74-951B-510F40925495}"/>
            </c:ext>
          </c:extLst>
        </c:ser>
        <c:dLbls>
          <c:showLegendKey val="0"/>
          <c:showVal val="0"/>
          <c:showCatName val="0"/>
          <c:showSerName val="0"/>
          <c:showPercent val="0"/>
          <c:showBubbleSize val="0"/>
        </c:dLbls>
        <c:gapWidth val="219"/>
        <c:overlap val="-27"/>
        <c:axId val="686434920"/>
        <c:axId val="686436000"/>
      </c:barChart>
      <c:catAx>
        <c:axId val="686434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6436000"/>
        <c:crosses val="autoZero"/>
        <c:auto val="1"/>
        <c:lblAlgn val="ctr"/>
        <c:lblOffset val="100"/>
        <c:noMultiLvlLbl val="0"/>
      </c:catAx>
      <c:valAx>
        <c:axId val="686436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6434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Initial</a:t>
            </a:r>
            <a:r>
              <a:rPr lang="en-AU" baseline="0"/>
              <a:t> treatment</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lineChart>
        <c:grouping val="standard"/>
        <c:varyColors val="0"/>
        <c:ser>
          <c:idx val="0"/>
          <c:order val="0"/>
          <c:tx>
            <c:strRef>
              <c:f>Sheet1!$B$25</c:f>
              <c:strCache>
                <c:ptCount val="1"/>
                <c:pt idx="0">
                  <c:v>Sum of incident_patients</c:v>
                </c:pt>
              </c:strCache>
            </c:strRef>
          </c:tx>
          <c:spPr>
            <a:ln w="28575" cap="rnd">
              <a:solidFill>
                <a:schemeClr val="accent1"/>
              </a:solidFill>
              <a:round/>
            </a:ln>
            <a:effectLst/>
          </c:spPr>
          <c:marker>
            <c:symbol val="none"/>
          </c:marker>
          <c:cat>
            <c:strRef>
              <c:f>Sheet1!$A$26:$A$42</c:f>
              <c:strCache>
                <c:ptCount val="17"/>
                <c:pt idx="0">
                  <c:v>2020Q4</c:v>
                </c:pt>
                <c:pt idx="1">
                  <c:v>2021Q1</c:v>
                </c:pt>
                <c:pt idx="2">
                  <c:v>2021Q2</c:v>
                </c:pt>
                <c:pt idx="3">
                  <c:v>2021Q3</c:v>
                </c:pt>
                <c:pt idx="4">
                  <c:v>2021Q4</c:v>
                </c:pt>
                <c:pt idx="5">
                  <c:v>2022Q1</c:v>
                </c:pt>
                <c:pt idx="6">
                  <c:v>2022Q2</c:v>
                </c:pt>
                <c:pt idx="7">
                  <c:v>2022Q3</c:v>
                </c:pt>
                <c:pt idx="8">
                  <c:v>2022Q4</c:v>
                </c:pt>
                <c:pt idx="9">
                  <c:v>2023Q1</c:v>
                </c:pt>
                <c:pt idx="10">
                  <c:v>2023Q2</c:v>
                </c:pt>
                <c:pt idx="11">
                  <c:v>2023Q3</c:v>
                </c:pt>
                <c:pt idx="12">
                  <c:v>2023Q4</c:v>
                </c:pt>
                <c:pt idx="13">
                  <c:v>2024Q1</c:v>
                </c:pt>
                <c:pt idx="14">
                  <c:v>2024Q2</c:v>
                </c:pt>
                <c:pt idx="15">
                  <c:v>2024Q3</c:v>
                </c:pt>
                <c:pt idx="16">
                  <c:v>2024Q4</c:v>
                </c:pt>
              </c:strCache>
            </c:strRef>
          </c:cat>
          <c:val>
            <c:numRef>
              <c:f>Sheet1!$B$26:$B$42</c:f>
              <c:numCache>
                <c:formatCode>General</c:formatCode>
                <c:ptCount val="17"/>
                <c:pt idx="0">
                  <c:v>66</c:v>
                </c:pt>
                <c:pt idx="1">
                  <c:v>111</c:v>
                </c:pt>
                <c:pt idx="2">
                  <c:v>119</c:v>
                </c:pt>
                <c:pt idx="3">
                  <c:v>135</c:v>
                </c:pt>
                <c:pt idx="4">
                  <c:v>131</c:v>
                </c:pt>
                <c:pt idx="5">
                  <c:v>107</c:v>
                </c:pt>
                <c:pt idx="6">
                  <c:v>120</c:v>
                </c:pt>
                <c:pt idx="7">
                  <c:v>107</c:v>
                </c:pt>
                <c:pt idx="8">
                  <c:v>111</c:v>
                </c:pt>
                <c:pt idx="9">
                  <c:v>104</c:v>
                </c:pt>
                <c:pt idx="10">
                  <c:v>115</c:v>
                </c:pt>
                <c:pt idx="11">
                  <c:v>134</c:v>
                </c:pt>
                <c:pt idx="12">
                  <c:v>122</c:v>
                </c:pt>
                <c:pt idx="13">
                  <c:v>115</c:v>
                </c:pt>
                <c:pt idx="14">
                  <c:v>131</c:v>
                </c:pt>
                <c:pt idx="15">
                  <c:v>112</c:v>
                </c:pt>
                <c:pt idx="16">
                  <c:v>129</c:v>
                </c:pt>
              </c:numCache>
            </c:numRef>
          </c:val>
          <c:smooth val="0"/>
          <c:extLst>
            <c:ext xmlns:c16="http://schemas.microsoft.com/office/drawing/2014/chart" uri="{C3380CC4-5D6E-409C-BE32-E72D297353CC}">
              <c16:uniqueId val="{00000000-9554-4E86-A8E3-894599A5854C}"/>
            </c:ext>
          </c:extLst>
        </c:ser>
        <c:dLbls>
          <c:showLegendKey val="0"/>
          <c:showVal val="0"/>
          <c:showCatName val="0"/>
          <c:showSerName val="0"/>
          <c:showPercent val="0"/>
          <c:showBubbleSize val="0"/>
        </c:dLbls>
        <c:marker val="1"/>
        <c:smooth val="0"/>
        <c:axId val="562122592"/>
        <c:axId val="562122232"/>
      </c:lineChart>
      <c:lineChart>
        <c:grouping val="standard"/>
        <c:varyColors val="0"/>
        <c:ser>
          <c:idx val="1"/>
          <c:order val="1"/>
          <c:tx>
            <c:strRef>
              <c:f>Sheet1!$C$25</c:f>
              <c:strCache>
                <c:ptCount val="1"/>
                <c:pt idx="0">
                  <c:v>Sum of scripts_patients</c:v>
                </c:pt>
              </c:strCache>
            </c:strRef>
          </c:tx>
          <c:spPr>
            <a:ln w="28575" cap="rnd">
              <a:solidFill>
                <a:schemeClr val="accent2"/>
              </a:solidFill>
              <a:prstDash val="sysDot"/>
              <a:round/>
            </a:ln>
            <a:effectLst/>
          </c:spPr>
          <c:marker>
            <c:symbol val="none"/>
          </c:marker>
          <c:cat>
            <c:strRef>
              <c:f>Sheet1!$A$26:$A$42</c:f>
              <c:strCache>
                <c:ptCount val="17"/>
                <c:pt idx="0">
                  <c:v>2020Q4</c:v>
                </c:pt>
                <c:pt idx="1">
                  <c:v>2021Q1</c:v>
                </c:pt>
                <c:pt idx="2">
                  <c:v>2021Q2</c:v>
                </c:pt>
                <c:pt idx="3">
                  <c:v>2021Q3</c:v>
                </c:pt>
                <c:pt idx="4">
                  <c:v>2021Q4</c:v>
                </c:pt>
                <c:pt idx="5">
                  <c:v>2022Q1</c:v>
                </c:pt>
                <c:pt idx="6">
                  <c:v>2022Q2</c:v>
                </c:pt>
                <c:pt idx="7">
                  <c:v>2022Q3</c:v>
                </c:pt>
                <c:pt idx="8">
                  <c:v>2022Q4</c:v>
                </c:pt>
                <c:pt idx="9">
                  <c:v>2023Q1</c:v>
                </c:pt>
                <c:pt idx="10">
                  <c:v>2023Q2</c:v>
                </c:pt>
                <c:pt idx="11">
                  <c:v>2023Q3</c:v>
                </c:pt>
                <c:pt idx="12">
                  <c:v>2023Q4</c:v>
                </c:pt>
                <c:pt idx="13">
                  <c:v>2024Q1</c:v>
                </c:pt>
                <c:pt idx="14">
                  <c:v>2024Q2</c:v>
                </c:pt>
                <c:pt idx="15">
                  <c:v>2024Q3</c:v>
                </c:pt>
                <c:pt idx="16">
                  <c:v>2024Q4</c:v>
                </c:pt>
              </c:strCache>
            </c:strRef>
          </c:cat>
          <c:val>
            <c:numRef>
              <c:f>Sheet1!$C$26:$C$42</c:f>
              <c:numCache>
                <c:formatCode>General</c:formatCode>
                <c:ptCount val="17"/>
                <c:pt idx="0">
                  <c:v>111</c:v>
                </c:pt>
                <c:pt idx="1">
                  <c:v>395</c:v>
                </c:pt>
                <c:pt idx="2">
                  <c:v>468</c:v>
                </c:pt>
                <c:pt idx="3">
                  <c:v>569</c:v>
                </c:pt>
                <c:pt idx="4">
                  <c:v>615</c:v>
                </c:pt>
                <c:pt idx="5">
                  <c:v>529</c:v>
                </c:pt>
                <c:pt idx="6">
                  <c:v>566</c:v>
                </c:pt>
                <c:pt idx="7">
                  <c:v>578</c:v>
                </c:pt>
                <c:pt idx="8">
                  <c:v>576</c:v>
                </c:pt>
                <c:pt idx="9">
                  <c:v>527</c:v>
                </c:pt>
                <c:pt idx="10">
                  <c:v>622</c:v>
                </c:pt>
                <c:pt idx="11">
                  <c:v>593</c:v>
                </c:pt>
                <c:pt idx="12">
                  <c:v>610</c:v>
                </c:pt>
                <c:pt idx="13">
                  <c:v>571</c:v>
                </c:pt>
                <c:pt idx="14">
                  <c:v>589</c:v>
                </c:pt>
                <c:pt idx="15">
                  <c:v>615</c:v>
                </c:pt>
                <c:pt idx="16">
                  <c:v>618</c:v>
                </c:pt>
              </c:numCache>
            </c:numRef>
          </c:val>
          <c:smooth val="0"/>
          <c:extLst>
            <c:ext xmlns:c16="http://schemas.microsoft.com/office/drawing/2014/chart" uri="{C3380CC4-5D6E-409C-BE32-E72D297353CC}">
              <c16:uniqueId val="{00000001-9554-4E86-A8E3-894599A5854C}"/>
            </c:ext>
          </c:extLst>
        </c:ser>
        <c:dLbls>
          <c:showLegendKey val="0"/>
          <c:showVal val="0"/>
          <c:showCatName val="0"/>
          <c:showSerName val="0"/>
          <c:showPercent val="0"/>
          <c:showBubbleSize val="0"/>
        </c:dLbls>
        <c:marker val="1"/>
        <c:smooth val="0"/>
        <c:axId val="457453976"/>
        <c:axId val="446989064"/>
      </c:lineChart>
      <c:catAx>
        <c:axId val="562122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2122232"/>
        <c:crosses val="autoZero"/>
        <c:auto val="1"/>
        <c:lblAlgn val="ctr"/>
        <c:lblOffset val="100"/>
        <c:noMultiLvlLbl val="0"/>
      </c:catAx>
      <c:valAx>
        <c:axId val="562122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Incident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2122592"/>
        <c:crosses val="autoZero"/>
        <c:crossBetween val="between"/>
      </c:valAx>
      <c:valAx>
        <c:axId val="446989064"/>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Scripts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7453976"/>
        <c:crosses val="max"/>
        <c:crossBetween val="between"/>
      </c:valAx>
      <c:catAx>
        <c:axId val="457453976"/>
        <c:scaling>
          <c:orientation val="minMax"/>
        </c:scaling>
        <c:delete val="1"/>
        <c:axPos val="b"/>
        <c:numFmt formatCode="General" sourceLinked="1"/>
        <c:majorTickMark val="out"/>
        <c:minorTickMark val="none"/>
        <c:tickLblPos val="nextTo"/>
        <c:crossAx val="446989064"/>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Incident Patients by 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Sheet5!$O$1</c:f>
              <c:strCache>
                <c:ptCount val="1"/>
                <c:pt idx="0">
                  <c:v>Lenvatinib</c:v>
                </c:pt>
              </c:strCache>
            </c:strRef>
          </c:tx>
          <c:spPr>
            <a:solidFill>
              <a:schemeClr val="accent1"/>
            </a:solidFill>
            <a:ln>
              <a:noFill/>
            </a:ln>
            <a:effectLst/>
          </c:spPr>
          <c:invertIfNegative val="0"/>
          <c:cat>
            <c:strRef>
              <c:f>Sheet5!$N$2:$N$11</c:f>
              <c:strCache>
                <c:ptCount val="10"/>
                <c:pt idx="0">
                  <c:v>44 - yrs</c:v>
                </c:pt>
                <c:pt idx="1">
                  <c:v>45-49 yrs</c:v>
                </c:pt>
                <c:pt idx="2">
                  <c:v>50-54 yrs</c:v>
                </c:pt>
                <c:pt idx="3">
                  <c:v>55-59 yrs</c:v>
                </c:pt>
                <c:pt idx="4">
                  <c:v>60-64 yrs</c:v>
                </c:pt>
                <c:pt idx="5">
                  <c:v>65-69 yrs</c:v>
                </c:pt>
                <c:pt idx="6">
                  <c:v>70-74 yrs</c:v>
                </c:pt>
                <c:pt idx="7">
                  <c:v>75-79 yrs</c:v>
                </c:pt>
                <c:pt idx="8">
                  <c:v>80-84 yrs</c:v>
                </c:pt>
                <c:pt idx="9">
                  <c:v>85 + yrs</c:v>
                </c:pt>
              </c:strCache>
            </c:strRef>
          </c:cat>
          <c:val>
            <c:numRef>
              <c:f>Sheet5!$O$2:$O$11</c:f>
              <c:numCache>
                <c:formatCode>0.0</c:formatCode>
                <c:ptCount val="10"/>
                <c:pt idx="0">
                  <c:v>3.3126293995859215</c:v>
                </c:pt>
                <c:pt idx="1">
                  <c:v>1.6563146997929608</c:v>
                </c:pt>
                <c:pt idx="2">
                  <c:v>3.5196687370600417</c:v>
                </c:pt>
                <c:pt idx="3">
                  <c:v>9.6273291925465845</c:v>
                </c:pt>
                <c:pt idx="4">
                  <c:v>15.424430641821946</c:v>
                </c:pt>
                <c:pt idx="5">
                  <c:v>21.014492753623188</c:v>
                </c:pt>
                <c:pt idx="6">
                  <c:v>18.012422360248447</c:v>
                </c:pt>
                <c:pt idx="7">
                  <c:v>13.354037267080745</c:v>
                </c:pt>
                <c:pt idx="8">
                  <c:v>9.6273291925465845</c:v>
                </c:pt>
                <c:pt idx="9">
                  <c:v>4.4513457556935814</c:v>
                </c:pt>
              </c:numCache>
            </c:numRef>
          </c:val>
          <c:extLst>
            <c:ext xmlns:c16="http://schemas.microsoft.com/office/drawing/2014/chart" uri="{C3380CC4-5D6E-409C-BE32-E72D297353CC}">
              <c16:uniqueId val="{00000000-A44B-4B9C-9269-2064E856D5C4}"/>
            </c:ext>
          </c:extLst>
        </c:ser>
        <c:ser>
          <c:idx val="1"/>
          <c:order val="1"/>
          <c:tx>
            <c:strRef>
              <c:f>Sheet5!$P$1</c:f>
              <c:strCache>
                <c:ptCount val="1"/>
                <c:pt idx="0">
                  <c:v>Sorafenib</c:v>
                </c:pt>
              </c:strCache>
            </c:strRef>
          </c:tx>
          <c:spPr>
            <a:solidFill>
              <a:schemeClr val="accent2"/>
            </a:solidFill>
            <a:ln>
              <a:noFill/>
            </a:ln>
            <a:effectLst/>
          </c:spPr>
          <c:invertIfNegative val="0"/>
          <c:cat>
            <c:strRef>
              <c:f>Sheet5!$N$2:$N$11</c:f>
              <c:strCache>
                <c:ptCount val="10"/>
                <c:pt idx="0">
                  <c:v>44 - yrs</c:v>
                </c:pt>
                <c:pt idx="1">
                  <c:v>45-49 yrs</c:v>
                </c:pt>
                <c:pt idx="2">
                  <c:v>50-54 yrs</c:v>
                </c:pt>
                <c:pt idx="3">
                  <c:v>55-59 yrs</c:v>
                </c:pt>
                <c:pt idx="4">
                  <c:v>60-64 yrs</c:v>
                </c:pt>
                <c:pt idx="5">
                  <c:v>65-69 yrs</c:v>
                </c:pt>
                <c:pt idx="6">
                  <c:v>70-74 yrs</c:v>
                </c:pt>
                <c:pt idx="7">
                  <c:v>75-79 yrs</c:v>
                </c:pt>
                <c:pt idx="8">
                  <c:v>80-84 yrs</c:v>
                </c:pt>
                <c:pt idx="9">
                  <c:v>85 + yrs</c:v>
                </c:pt>
              </c:strCache>
            </c:strRef>
          </c:cat>
          <c:val>
            <c:numRef>
              <c:f>Sheet5!$P$2:$P$11</c:f>
              <c:numCache>
                <c:formatCode>0.0</c:formatCode>
                <c:ptCount val="10"/>
                <c:pt idx="0">
                  <c:v>3.286384976525822</c:v>
                </c:pt>
                <c:pt idx="1">
                  <c:v>2.8169014084507045</c:v>
                </c:pt>
                <c:pt idx="2">
                  <c:v>2.3474178403755865</c:v>
                </c:pt>
                <c:pt idx="3">
                  <c:v>9.8591549295774641</c:v>
                </c:pt>
                <c:pt idx="4">
                  <c:v>17.84037558685446</c:v>
                </c:pt>
                <c:pt idx="5">
                  <c:v>15.96244131455399</c:v>
                </c:pt>
                <c:pt idx="6">
                  <c:v>14.553990610328638</c:v>
                </c:pt>
                <c:pt idx="7">
                  <c:v>12.676056338028168</c:v>
                </c:pt>
                <c:pt idx="8">
                  <c:v>13.615023474178404</c:v>
                </c:pt>
                <c:pt idx="9">
                  <c:v>7.042253521126761</c:v>
                </c:pt>
              </c:numCache>
            </c:numRef>
          </c:val>
          <c:extLst>
            <c:ext xmlns:c16="http://schemas.microsoft.com/office/drawing/2014/chart" uri="{C3380CC4-5D6E-409C-BE32-E72D297353CC}">
              <c16:uniqueId val="{00000001-A44B-4B9C-9269-2064E856D5C4}"/>
            </c:ext>
          </c:extLst>
        </c:ser>
        <c:dLbls>
          <c:showLegendKey val="0"/>
          <c:showVal val="0"/>
          <c:showCatName val="0"/>
          <c:showSerName val="0"/>
          <c:showPercent val="0"/>
          <c:showBubbleSize val="0"/>
        </c:dLbls>
        <c:gapWidth val="219"/>
        <c:overlap val="-27"/>
        <c:axId val="655919744"/>
        <c:axId val="655920464"/>
      </c:barChart>
      <c:catAx>
        <c:axId val="6559197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5920464"/>
        <c:crosses val="autoZero"/>
        <c:auto val="1"/>
        <c:lblAlgn val="ctr"/>
        <c:lblOffset val="100"/>
        <c:noMultiLvlLbl val="0"/>
      </c:catAx>
      <c:valAx>
        <c:axId val="655920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Proportion of incident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59197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Change</a:t>
            </a:r>
            <a:r>
              <a:rPr lang="en-AU" baseline="0"/>
              <a:t> in proportion of lenvatinib and sorafenib by age </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barChart>
        <c:barDir val="bar"/>
        <c:grouping val="clustered"/>
        <c:varyColors val="0"/>
        <c:ser>
          <c:idx val="0"/>
          <c:order val="0"/>
          <c:tx>
            <c:strRef>
              <c:f>Sheet1!$B$13</c:f>
              <c:strCache>
                <c:ptCount val="1"/>
                <c:pt idx="0">
                  <c:v>Lenvantinib</c:v>
                </c:pt>
              </c:strCache>
            </c:strRef>
          </c:tx>
          <c:spPr>
            <a:solidFill>
              <a:schemeClr val="accent1"/>
            </a:solidFill>
            <a:ln>
              <a:noFill/>
            </a:ln>
            <a:effectLst/>
          </c:spPr>
          <c:invertIfNegative val="0"/>
          <c:cat>
            <c:strRef>
              <c:f>Sheet1!$A$14:$A$23</c:f>
              <c:strCache>
                <c:ptCount val="10"/>
                <c:pt idx="0">
                  <c:v>44 - yrs</c:v>
                </c:pt>
                <c:pt idx="1">
                  <c:v>45-49 yrs</c:v>
                </c:pt>
                <c:pt idx="2">
                  <c:v>50-54 yrs</c:v>
                </c:pt>
                <c:pt idx="3">
                  <c:v>55-59 yrs</c:v>
                </c:pt>
                <c:pt idx="4">
                  <c:v>60-64 yrs</c:v>
                </c:pt>
                <c:pt idx="5">
                  <c:v>65-69 yrs</c:v>
                </c:pt>
                <c:pt idx="6">
                  <c:v>70-74 yrs</c:v>
                </c:pt>
                <c:pt idx="7">
                  <c:v>75-79 yrs</c:v>
                </c:pt>
                <c:pt idx="8">
                  <c:v>80-84 yrs</c:v>
                </c:pt>
                <c:pt idx="9">
                  <c:v>85 + yrs</c:v>
                </c:pt>
              </c:strCache>
            </c:strRef>
          </c:cat>
          <c:val>
            <c:numRef>
              <c:f>Sheet1!$B$14:$B$23</c:f>
              <c:numCache>
                <c:formatCode>0.0</c:formatCode>
                <c:ptCount val="10"/>
                <c:pt idx="0">
                  <c:v>0.85024909862832931</c:v>
                </c:pt>
                <c:pt idx="1">
                  <c:v>-0.66926669555587659</c:v>
                </c:pt>
                <c:pt idx="2">
                  <c:v>-1.4050918648551427</c:v>
                </c:pt>
                <c:pt idx="3">
                  <c:v>-2.5477734066326221</c:v>
                </c:pt>
                <c:pt idx="4">
                  <c:v>-3.7274161434037723</c:v>
                </c:pt>
                <c:pt idx="5">
                  <c:v>0.35785800670116075</c:v>
                </c:pt>
                <c:pt idx="6">
                  <c:v>2.1437493096328524</c:v>
                </c:pt>
                <c:pt idx="7">
                  <c:v>8.454342303149609E-2</c:v>
                </c:pt>
                <c:pt idx="8">
                  <c:v>3.3345795345438489</c:v>
                </c:pt>
                <c:pt idx="9">
                  <c:v>1.5785687379097237</c:v>
                </c:pt>
              </c:numCache>
            </c:numRef>
          </c:val>
          <c:extLst>
            <c:ext xmlns:c16="http://schemas.microsoft.com/office/drawing/2014/chart" uri="{C3380CC4-5D6E-409C-BE32-E72D297353CC}">
              <c16:uniqueId val="{00000000-E1A1-47E4-8E4B-8393CE91BAB6}"/>
            </c:ext>
          </c:extLst>
        </c:ser>
        <c:ser>
          <c:idx val="1"/>
          <c:order val="1"/>
          <c:tx>
            <c:strRef>
              <c:f>Sheet1!$C$13</c:f>
              <c:strCache>
                <c:ptCount val="1"/>
                <c:pt idx="0">
                  <c:v>Sorafenib</c:v>
                </c:pt>
              </c:strCache>
            </c:strRef>
          </c:tx>
          <c:spPr>
            <a:solidFill>
              <a:schemeClr val="accent2"/>
            </a:solidFill>
            <a:ln>
              <a:noFill/>
            </a:ln>
            <a:effectLst/>
          </c:spPr>
          <c:invertIfNegative val="0"/>
          <c:cat>
            <c:strRef>
              <c:f>Sheet1!$A$14:$A$23</c:f>
              <c:strCache>
                <c:ptCount val="10"/>
                <c:pt idx="0">
                  <c:v>44 - yrs</c:v>
                </c:pt>
                <c:pt idx="1">
                  <c:v>45-49 yrs</c:v>
                </c:pt>
                <c:pt idx="2">
                  <c:v>50-54 yrs</c:v>
                </c:pt>
                <c:pt idx="3">
                  <c:v>55-59 yrs</c:v>
                </c:pt>
                <c:pt idx="4">
                  <c:v>60-64 yrs</c:v>
                </c:pt>
                <c:pt idx="5">
                  <c:v>65-69 yrs</c:v>
                </c:pt>
                <c:pt idx="6">
                  <c:v>70-74 yrs</c:v>
                </c:pt>
                <c:pt idx="7">
                  <c:v>75-79 yrs</c:v>
                </c:pt>
                <c:pt idx="8">
                  <c:v>80-84 yrs</c:v>
                </c:pt>
                <c:pt idx="9">
                  <c:v>85 + yrs</c:v>
                </c:pt>
              </c:strCache>
            </c:strRef>
          </c:cat>
          <c:val>
            <c:numRef>
              <c:f>Sheet1!$C$14:$C$23</c:f>
              <c:numCache>
                <c:formatCode>0.0</c:formatCode>
                <c:ptCount val="10"/>
                <c:pt idx="0">
                  <c:v>1.0341327242735696</c:v>
                </c:pt>
                <c:pt idx="1">
                  <c:v>0.11419870574800184</c:v>
                </c:pt>
                <c:pt idx="2">
                  <c:v>-2.1570866641289181</c:v>
                </c:pt>
                <c:pt idx="3">
                  <c:v>-2.9786829082603727</c:v>
                </c:pt>
                <c:pt idx="4">
                  <c:v>-0.85331810683923592</c:v>
                </c:pt>
                <c:pt idx="5">
                  <c:v>0.19667554878822457</c:v>
                </c:pt>
                <c:pt idx="6">
                  <c:v>-1.8874508311128064</c:v>
                </c:pt>
                <c:pt idx="7">
                  <c:v>6.3443725415556429E-2</c:v>
                </c:pt>
                <c:pt idx="8">
                  <c:v>5.2816901408450718</c:v>
                </c:pt>
                <c:pt idx="9">
                  <c:v>1.1863976652709054</c:v>
                </c:pt>
              </c:numCache>
            </c:numRef>
          </c:val>
          <c:extLst>
            <c:ext xmlns:c16="http://schemas.microsoft.com/office/drawing/2014/chart" uri="{C3380CC4-5D6E-409C-BE32-E72D297353CC}">
              <c16:uniqueId val="{00000001-E1A1-47E4-8E4B-8393CE91BAB6}"/>
            </c:ext>
          </c:extLst>
        </c:ser>
        <c:dLbls>
          <c:showLegendKey val="0"/>
          <c:showVal val="0"/>
          <c:showCatName val="0"/>
          <c:showSerName val="0"/>
          <c:showPercent val="0"/>
          <c:showBubbleSize val="0"/>
        </c:dLbls>
        <c:gapWidth val="182"/>
        <c:axId val="2046432264"/>
        <c:axId val="2046434312"/>
      </c:barChart>
      <c:catAx>
        <c:axId val="2046432264"/>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6434312"/>
        <c:crosses val="autoZero"/>
        <c:auto val="1"/>
        <c:lblAlgn val="ctr"/>
        <c:lblOffset val="100"/>
        <c:noMultiLvlLbl val="0"/>
      </c:catAx>
      <c:valAx>
        <c:axId val="204643431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64322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E5B47-A335-4C95-B55D-022B0F0D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5505</Words>
  <Characters>29842</Characters>
  <Application>Microsoft Office Word</Application>
  <DocSecurity>0</DocSecurity>
  <Lines>994</Lines>
  <Paragraphs>679</Paragraphs>
  <ScaleCrop>false</ScaleCrop>
  <Company/>
  <LinksUpToDate>false</LinksUpToDate>
  <CharactersWithSpaces>34668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2025-12-01T21:30:00Z</dcterms:created>
  <dcterms:modified xsi:type="dcterms:W3CDTF">2025-12-01T21:30:00Z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473c0236,484fa2f5,1e04f11d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3d18b545,4fc8cb3f,6db566cf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2025-12-01T21:31:03Z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4d7110f8-993e-4ee9-8fbd-8e7b12acbf19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