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3C130" w14:textId="5D40CB7F" w:rsidR="00832324" w:rsidRDefault="00585739" w:rsidP="00EF7DF8">
      <w:pPr>
        <w:pStyle w:val="Title"/>
      </w:pPr>
      <w:r w:rsidRPr="00585739">
        <w:t>Zanubrutinib for Waldenstr</w:t>
      </w:r>
      <w:r w:rsidR="0069431D">
        <w:rPr>
          <w:rFonts w:cstheme="minorHAnsi"/>
        </w:rPr>
        <w:t>ö</w:t>
      </w:r>
      <w:r w:rsidRPr="00585739">
        <w:t>m macroglobulinaemia</w:t>
      </w:r>
      <w:r w:rsidR="00EF7DF8">
        <w:t>: predicted versus actual analysis</w:t>
      </w:r>
      <w:r w:rsidR="001C4016">
        <w:t xml:space="preserve"> </w:t>
      </w:r>
    </w:p>
    <w:p w14:paraId="68F00614" w14:textId="799F8740" w:rsidR="00736041" w:rsidRDefault="009053D3" w:rsidP="00F73113">
      <w:pPr>
        <w:pStyle w:val="Title2"/>
      </w:pPr>
      <w:r>
        <w:t>D</w:t>
      </w:r>
      <w:r w:rsidR="00832324" w:rsidRPr="0063631C">
        <w:t xml:space="preserve">rug utilisation sub-committee </w:t>
      </w:r>
      <w:r w:rsidR="00832324">
        <w:t>(DUSC)</w:t>
      </w:r>
    </w:p>
    <w:p w14:paraId="78148839" w14:textId="70ABC499" w:rsidR="009053D3" w:rsidRPr="00F73113" w:rsidRDefault="00D47256" w:rsidP="00F73113">
      <w:pPr>
        <w:pStyle w:val="Meetingdate"/>
      </w:pPr>
      <w:r>
        <w:t>April</w:t>
      </w:r>
      <w:r w:rsidR="002E0641">
        <w:t xml:space="preserve"> 2025</w:t>
      </w:r>
    </w:p>
    <w:p w14:paraId="1494B8AD" w14:textId="77777777" w:rsidR="005C6661" w:rsidRPr="00CF5E22" w:rsidRDefault="005C6661" w:rsidP="00CF5E22">
      <w:pPr>
        <w:pStyle w:val="Heading2"/>
      </w:pPr>
      <w:r w:rsidRPr="00CF5E22">
        <w:t>Abstract</w:t>
      </w:r>
    </w:p>
    <w:p w14:paraId="287D7939" w14:textId="77777777" w:rsidR="005C6661" w:rsidRDefault="005C6661" w:rsidP="00CF5E22">
      <w:pPr>
        <w:pStyle w:val="Heading3"/>
      </w:pPr>
      <w:r w:rsidRPr="00CF5E22">
        <w:t>Purpose</w:t>
      </w:r>
    </w:p>
    <w:p w14:paraId="30263DE6" w14:textId="548D081A" w:rsidR="006E57D2" w:rsidRPr="006E57D2" w:rsidRDefault="006E57D2" w:rsidP="006E57D2">
      <w:r>
        <w:t xml:space="preserve">To compare the predicted and actual utilisation of </w:t>
      </w:r>
      <w:proofErr w:type="spellStart"/>
      <w:r w:rsidR="003C3879">
        <w:t>z</w:t>
      </w:r>
      <w:r w:rsidR="003C3879" w:rsidRPr="003C3879">
        <w:t>anubrutinib</w:t>
      </w:r>
      <w:proofErr w:type="spellEnd"/>
      <w:r>
        <w:t xml:space="preserve"> for </w:t>
      </w:r>
      <w:r w:rsidR="008D780E">
        <w:t>the</w:t>
      </w:r>
      <w:r>
        <w:t xml:space="preserve"> </w:t>
      </w:r>
      <w:r w:rsidR="008D780E" w:rsidRPr="008D780E">
        <w:t xml:space="preserve">treatment of Waldenström macroglobulinaemia (WM) in treatment-naïve </w:t>
      </w:r>
      <w:r w:rsidR="00E774A2">
        <w:t>(</w:t>
      </w:r>
      <w:r w:rsidR="00D47256">
        <w:t>f</w:t>
      </w:r>
      <w:r w:rsidR="00DD6044">
        <w:t>irst</w:t>
      </w:r>
      <w:r w:rsidR="007D7F12">
        <w:t xml:space="preserve"> </w:t>
      </w:r>
      <w:r w:rsidR="00E774A2">
        <w:t xml:space="preserve">line) </w:t>
      </w:r>
      <w:r w:rsidR="008D780E" w:rsidRPr="008D780E">
        <w:t xml:space="preserve">patients who are unsuitable for chemo-immunotherapy and </w:t>
      </w:r>
      <w:r w:rsidR="003C3879">
        <w:t>for</w:t>
      </w:r>
      <w:r w:rsidR="004F2230">
        <w:t xml:space="preserve"> </w:t>
      </w:r>
      <w:r w:rsidR="008D780E" w:rsidRPr="008D780E">
        <w:t xml:space="preserve">relapsed/refractory </w:t>
      </w:r>
      <w:r w:rsidR="00BF3C9B">
        <w:t>(</w:t>
      </w:r>
      <w:r w:rsidR="00D47256">
        <w:t>s</w:t>
      </w:r>
      <w:r w:rsidR="00DD6044">
        <w:t xml:space="preserve">econd and </w:t>
      </w:r>
      <w:r w:rsidR="00907A0E">
        <w:t>subsequent</w:t>
      </w:r>
      <w:r w:rsidR="00BF3C9B">
        <w:t xml:space="preserve"> line</w:t>
      </w:r>
      <w:r w:rsidR="00907A0E">
        <w:t>s</w:t>
      </w:r>
      <w:r w:rsidR="00BF3C9B">
        <w:t xml:space="preserve">) </w:t>
      </w:r>
      <w:r w:rsidR="008D780E" w:rsidRPr="008D780E">
        <w:t xml:space="preserve">patients who have received at least one prior therapy </w:t>
      </w:r>
      <w:r>
        <w:t xml:space="preserve">since </w:t>
      </w:r>
      <w:proofErr w:type="spellStart"/>
      <w:r w:rsidR="00083EBD">
        <w:t>zan</w:t>
      </w:r>
      <w:r w:rsidR="00BB478F">
        <w:t>ubrutinib’s</w:t>
      </w:r>
      <w:proofErr w:type="spellEnd"/>
      <w:r>
        <w:t xml:space="preserve"> listing on the Pharmaceutical Benefits Scheme (PBS)</w:t>
      </w:r>
      <w:r w:rsidR="003E34A1">
        <w:t>.</w:t>
      </w:r>
      <w:r w:rsidR="00A22382">
        <w:rPr>
          <w:rStyle w:val="FootnoteReference"/>
        </w:rPr>
        <w:footnoteReference w:id="2"/>
      </w:r>
    </w:p>
    <w:p w14:paraId="378E50B7" w14:textId="42EEA707" w:rsidR="002D144A" w:rsidRDefault="002D144A" w:rsidP="00D2268F">
      <w:pPr>
        <w:pStyle w:val="Heading3"/>
      </w:pPr>
      <w:r>
        <w:t>Date of listing on the P</w:t>
      </w:r>
      <w:r w:rsidR="00A95FA5">
        <w:t xml:space="preserve">harmaceutical </w:t>
      </w:r>
      <w:r>
        <w:t>B</w:t>
      </w:r>
      <w:r w:rsidR="00A95FA5">
        <w:t xml:space="preserve">enefits </w:t>
      </w:r>
      <w:r>
        <w:t>S</w:t>
      </w:r>
      <w:r w:rsidR="00A95FA5">
        <w:t>cheme (PBS)</w:t>
      </w:r>
    </w:p>
    <w:p w14:paraId="58AA3ABE" w14:textId="711B76CC" w:rsidR="00D2268F" w:rsidRPr="00D2268F" w:rsidRDefault="00C5323E" w:rsidP="00D2268F">
      <w:r>
        <w:t>Z</w:t>
      </w:r>
      <w:r w:rsidR="00D2268F" w:rsidRPr="003C3879">
        <w:t>anubrutinib</w:t>
      </w:r>
      <w:r w:rsidR="00D2268F" w:rsidRPr="00D2268F">
        <w:t xml:space="preserve"> was first listed on the PBS for </w:t>
      </w:r>
      <w:r>
        <w:t>WM</w:t>
      </w:r>
      <w:r w:rsidR="00D2268F" w:rsidRPr="00D2268F">
        <w:t xml:space="preserve"> on</w:t>
      </w:r>
      <w:r w:rsidR="00CC3713">
        <w:t xml:space="preserve"> 1 July 2022.</w:t>
      </w:r>
    </w:p>
    <w:p w14:paraId="526743BB" w14:textId="77777777" w:rsidR="005C6661" w:rsidRDefault="005C6661" w:rsidP="00CF5E22">
      <w:pPr>
        <w:pStyle w:val="Heading3"/>
      </w:pPr>
      <w:r>
        <w:t>Data Source / methodology</w:t>
      </w:r>
    </w:p>
    <w:p w14:paraId="16B5B59C" w14:textId="267D2D51" w:rsidR="00CD66D4" w:rsidRDefault="00CD66D4" w:rsidP="00CD66D4">
      <w:pPr>
        <w:spacing w:after="0"/>
      </w:pPr>
      <w:proofErr w:type="gramStart"/>
      <w:r>
        <w:t>Authorities</w:t>
      </w:r>
      <w:proofErr w:type="gramEnd"/>
      <w:r>
        <w:t xml:space="preserve"> data and prescriptions data </w:t>
      </w:r>
      <w:r w:rsidR="00F430B2">
        <w:t>were</w:t>
      </w:r>
      <w:r>
        <w:t xml:space="preserve"> extracted from the prescription database and </w:t>
      </w:r>
    </w:p>
    <w:p w14:paraId="721C170B" w14:textId="331835B2" w:rsidR="00CD66D4" w:rsidRPr="00CD66D4" w:rsidRDefault="00CD66D4" w:rsidP="00CD66D4">
      <w:pPr>
        <w:spacing w:after="0"/>
      </w:pPr>
      <w:r>
        <w:t>Authorities database maintained by the Department of Health</w:t>
      </w:r>
      <w:r w:rsidR="00522608">
        <w:t>, Disability</w:t>
      </w:r>
      <w:r>
        <w:t xml:space="preserve"> and Age</w:t>
      </w:r>
      <w:r w:rsidR="00522608">
        <w:t>ing</w:t>
      </w:r>
      <w:r>
        <w:t>, processed by Services Australia from between 1 July 2022 and 30 June 2024, respectively. Data were extracted based on the date of supply.</w:t>
      </w:r>
    </w:p>
    <w:p w14:paraId="7599E7C1" w14:textId="77777777" w:rsidR="005C6661" w:rsidRDefault="005C6661" w:rsidP="00CF5E22">
      <w:pPr>
        <w:pStyle w:val="Heading3"/>
      </w:pPr>
      <w:r>
        <w:t>Key Findings</w:t>
      </w:r>
    </w:p>
    <w:p w14:paraId="3DE4AE9D" w14:textId="1D1F9E1B" w:rsidR="00561CF7" w:rsidRDefault="006A7DCE" w:rsidP="00561CF7">
      <w:pPr>
        <w:pStyle w:val="ListParagraph"/>
        <w:numPr>
          <w:ilvl w:val="0"/>
          <w:numId w:val="5"/>
        </w:numPr>
        <w:spacing w:line="276" w:lineRule="auto"/>
      </w:pPr>
      <w:r>
        <w:t>A</w:t>
      </w:r>
      <w:r w:rsidR="00561CF7">
        <w:t xml:space="preserve">ctual patient numbers </w:t>
      </w:r>
      <w:r w:rsidR="00081163">
        <w:t>were</w:t>
      </w:r>
      <w:r>
        <w:t xml:space="preserve"> </w:t>
      </w:r>
      <w:r w:rsidR="00061741" w:rsidRPr="00061741">
        <w:rPr>
          <w:highlight w:val="black"/>
        </w:rPr>
        <w:t>XXXX</w:t>
      </w:r>
      <w:r w:rsidR="004B6C6C">
        <w:t xml:space="preserve"> than predicted </w:t>
      </w:r>
      <w:r w:rsidR="00561CF7">
        <w:t>over the first two years of listing.</w:t>
      </w:r>
    </w:p>
    <w:p w14:paraId="20111AF7" w14:textId="27C87DBB" w:rsidR="0062247D" w:rsidRDefault="0062247D" w:rsidP="0062247D">
      <w:pPr>
        <w:pStyle w:val="ListParagraph"/>
        <w:numPr>
          <w:ilvl w:val="0"/>
          <w:numId w:val="5"/>
        </w:numPr>
        <w:spacing w:line="276" w:lineRule="auto"/>
      </w:pPr>
      <w:bookmarkStart w:id="0" w:name="_Hlk182990812"/>
      <w:r>
        <w:t xml:space="preserve">Actual script numbers </w:t>
      </w:r>
      <w:r w:rsidR="00081163">
        <w:t>were</w:t>
      </w:r>
      <w:r>
        <w:t xml:space="preserve"> </w:t>
      </w:r>
      <w:r w:rsidR="00061741" w:rsidRPr="00061741">
        <w:rPr>
          <w:highlight w:val="black"/>
        </w:rPr>
        <w:t>XXXX</w:t>
      </w:r>
      <w:r>
        <w:t xml:space="preserve"> than predicted over the first two years of listing.</w:t>
      </w:r>
    </w:p>
    <w:bookmarkEnd w:id="0"/>
    <w:p w14:paraId="77DE23D2" w14:textId="170B9857" w:rsidR="0062247D" w:rsidRDefault="003E1D08" w:rsidP="00561CF7">
      <w:pPr>
        <w:pStyle w:val="ListParagraph"/>
        <w:numPr>
          <w:ilvl w:val="0"/>
          <w:numId w:val="5"/>
        </w:numPr>
        <w:spacing w:line="276" w:lineRule="auto"/>
      </w:pPr>
      <w:r>
        <w:t xml:space="preserve">Actual script numbers per patient </w:t>
      </w:r>
      <w:r w:rsidR="00081163">
        <w:t>were</w:t>
      </w:r>
      <w:r>
        <w:t xml:space="preserve"> </w:t>
      </w:r>
      <w:r w:rsidR="00061741" w:rsidRPr="00061741">
        <w:rPr>
          <w:highlight w:val="black"/>
        </w:rPr>
        <w:t>XXXX</w:t>
      </w:r>
      <w:r>
        <w:t xml:space="preserve"> than predicted over the first two years of listing.</w:t>
      </w:r>
    </w:p>
    <w:p w14:paraId="38B57ECC" w14:textId="77777777" w:rsidR="00BB0D1A" w:rsidRDefault="00BB0D1A">
      <w:pPr>
        <w:spacing w:line="276" w:lineRule="auto"/>
        <w:rPr>
          <w:rFonts w:eastAsiaTheme="majorEastAsia" w:cstheme="majorBidi"/>
          <w:b/>
          <w:bCs/>
          <w:sz w:val="32"/>
          <w:szCs w:val="26"/>
        </w:rPr>
      </w:pPr>
      <w:r>
        <w:br w:type="page"/>
      </w:r>
    </w:p>
    <w:p w14:paraId="5B262047" w14:textId="525241DC" w:rsidR="00E677DD" w:rsidRDefault="00E677DD" w:rsidP="00CF5E22">
      <w:pPr>
        <w:pStyle w:val="Heading1"/>
      </w:pPr>
      <w:r w:rsidRPr="00CF5E22">
        <w:lastRenderedPageBreak/>
        <w:t xml:space="preserve">Purpose of </w:t>
      </w:r>
      <w:r w:rsidR="00D151EB" w:rsidRPr="00CF5E22">
        <w:t>analysis</w:t>
      </w:r>
    </w:p>
    <w:p w14:paraId="071B852E" w14:textId="671BE253" w:rsidR="00986E40" w:rsidRPr="00986E40" w:rsidRDefault="00986E40" w:rsidP="00986E40">
      <w:r>
        <w:t xml:space="preserve">To compare the predicted and actual utilisation of </w:t>
      </w:r>
      <w:proofErr w:type="spellStart"/>
      <w:r>
        <w:t>z</w:t>
      </w:r>
      <w:r w:rsidRPr="003C3879">
        <w:t>anubrutinib</w:t>
      </w:r>
      <w:proofErr w:type="spellEnd"/>
      <w:r>
        <w:t xml:space="preserve"> for the </w:t>
      </w:r>
      <w:r w:rsidRPr="008D780E">
        <w:t xml:space="preserve">treatment of WM in treatment-naïve </w:t>
      </w:r>
      <w:r w:rsidR="00BF3C9B">
        <w:t>(</w:t>
      </w:r>
      <w:r w:rsidR="00D47256">
        <w:t>f</w:t>
      </w:r>
      <w:r w:rsidR="00C317EE">
        <w:t>irst</w:t>
      </w:r>
      <w:r w:rsidR="007D7F12">
        <w:t xml:space="preserve"> </w:t>
      </w:r>
      <w:r w:rsidR="001D6656">
        <w:t>l</w:t>
      </w:r>
      <w:r w:rsidR="00BF3C9B">
        <w:t xml:space="preserve">ine) </w:t>
      </w:r>
      <w:r w:rsidRPr="008D780E">
        <w:t xml:space="preserve">patients who are unsuitable for chemo-immunotherapy and </w:t>
      </w:r>
      <w:r>
        <w:t xml:space="preserve">for </w:t>
      </w:r>
      <w:r w:rsidRPr="008D780E">
        <w:t xml:space="preserve">relapsed/refractory </w:t>
      </w:r>
      <w:r w:rsidR="00BF3C9B">
        <w:t>(</w:t>
      </w:r>
      <w:r w:rsidR="00D47256">
        <w:t>s</w:t>
      </w:r>
      <w:r w:rsidR="00C317EE">
        <w:t>econd and subsequent</w:t>
      </w:r>
      <w:r w:rsidR="00BF3C9B">
        <w:t xml:space="preserve"> line</w:t>
      </w:r>
      <w:r w:rsidR="00C317EE">
        <w:t>s</w:t>
      </w:r>
      <w:r w:rsidR="00BF3C9B">
        <w:t xml:space="preserve">) </w:t>
      </w:r>
      <w:r w:rsidRPr="008D780E">
        <w:t xml:space="preserve">patients who have received at least one prior therapy </w:t>
      </w:r>
      <w:r>
        <w:t xml:space="preserve">since </w:t>
      </w:r>
      <w:proofErr w:type="spellStart"/>
      <w:r w:rsidR="00445C07">
        <w:t>zanubrut</w:t>
      </w:r>
      <w:r w:rsidR="00586E76">
        <w:t>inib’s</w:t>
      </w:r>
      <w:proofErr w:type="spellEnd"/>
      <w:r>
        <w:t xml:space="preserve"> listing on the PBS.</w:t>
      </w:r>
    </w:p>
    <w:p w14:paraId="0A7F0B57" w14:textId="034D22D5" w:rsidR="006537D9" w:rsidRPr="005E22C2" w:rsidRDefault="00736041" w:rsidP="00CF5E22">
      <w:pPr>
        <w:pStyle w:val="Heading1"/>
      </w:pPr>
      <w:r w:rsidRPr="005E22C2">
        <w:t>Background</w:t>
      </w:r>
    </w:p>
    <w:p w14:paraId="2C748275" w14:textId="77777777" w:rsidR="00EE2BBB" w:rsidRDefault="00EE2BBB" w:rsidP="00EE2BBB">
      <w:pPr>
        <w:pStyle w:val="Heading2"/>
      </w:pPr>
      <w:r w:rsidRPr="007247B9">
        <w:t>Clinical situation</w:t>
      </w:r>
    </w:p>
    <w:p w14:paraId="54A993A2" w14:textId="2AF599D3" w:rsidR="00A53F09" w:rsidRPr="00A53F09" w:rsidRDefault="00730B63" w:rsidP="00730B63">
      <w:r>
        <w:t>WM is a</w:t>
      </w:r>
      <w:r w:rsidR="00D2710D">
        <w:t>n</w:t>
      </w:r>
      <w:r>
        <w:t xml:space="preserve"> </w:t>
      </w:r>
      <w:r w:rsidR="0052481F" w:rsidRPr="0052481F">
        <w:t xml:space="preserve">indolent (slow growing) non-Hodgkin </w:t>
      </w:r>
      <w:r>
        <w:t xml:space="preserve">B-cell lymphoid malignancy which is defined by the World Health Organization (WHO) as a disease manifested by a monoclonal IgM paraprotein and infiltration of the bone marrow by </w:t>
      </w:r>
      <w:r w:rsidR="009523FC" w:rsidRPr="009523FC">
        <w:t xml:space="preserve">lymphoplasmacytic lymphoma cells </w:t>
      </w:r>
      <w:r w:rsidR="009523FC">
        <w:t>(</w:t>
      </w:r>
      <w:r>
        <w:t>clonal small B lymphocytes, plasmacytoid lymphocytes and plasma</w:t>
      </w:r>
      <w:r w:rsidR="009523FC">
        <w:t xml:space="preserve"> cells)</w:t>
      </w:r>
      <w:r w:rsidR="003E34A1">
        <w:t>.</w:t>
      </w:r>
      <w:r w:rsidR="00D2710D">
        <w:rPr>
          <w:rStyle w:val="FootnoteReference"/>
        </w:rPr>
        <w:footnoteReference w:id="3"/>
      </w:r>
      <w:r w:rsidR="00D2710D" w:rsidRPr="00D2710D">
        <w:rPr>
          <w:vertAlign w:val="superscript"/>
        </w:rPr>
        <w:t>,</w:t>
      </w:r>
      <w:r w:rsidR="00024FAF">
        <w:rPr>
          <w:rStyle w:val="FootnoteReference"/>
        </w:rPr>
        <w:footnoteReference w:id="4"/>
      </w:r>
    </w:p>
    <w:p w14:paraId="0183A567" w14:textId="413DF87B" w:rsidR="007247B9" w:rsidRDefault="007247B9" w:rsidP="00CF5E22">
      <w:pPr>
        <w:pStyle w:val="Heading2"/>
      </w:pPr>
      <w:r>
        <w:t>Pharmacology</w:t>
      </w:r>
    </w:p>
    <w:p w14:paraId="264D51FD" w14:textId="43BCBC2B" w:rsidR="002F66A8" w:rsidRPr="002F66A8" w:rsidRDefault="002F66A8" w:rsidP="002F66A8">
      <w:r w:rsidRPr="002F66A8">
        <w:t xml:space="preserve">Zanubrutinib is a small-molecule inhibitor of </w:t>
      </w:r>
      <w:r w:rsidR="00D22B5C" w:rsidRPr="00D22B5C">
        <w:t>Bruton’s Tyrosine Kinase</w:t>
      </w:r>
      <w:r w:rsidR="008610EA">
        <w:t xml:space="preserve"> (</w:t>
      </w:r>
      <w:r w:rsidRPr="002F66A8">
        <w:t>BTK</w:t>
      </w:r>
      <w:r w:rsidR="008610EA">
        <w:t>)</w:t>
      </w:r>
      <w:r w:rsidRPr="002F66A8">
        <w:t>. Zanubrutinib forms a covalent bond with a cysteine residue in the BTK active site, leading to inhibition of BTK activity. BTK is a signalling molecule of the B-cell antigen receptor and cytokine receptor pathways. In B-cells, BTK signalling results in activation of pathways necessary for B-cell proliferation, trafficking, chemotaxis, and adhesion</w:t>
      </w:r>
      <w:r w:rsidR="003E34A1">
        <w:t>.</w:t>
      </w:r>
      <w:r w:rsidR="00110967">
        <w:rPr>
          <w:rStyle w:val="FootnoteReference"/>
        </w:rPr>
        <w:footnoteReference w:id="5"/>
      </w:r>
    </w:p>
    <w:p w14:paraId="6AC18C88" w14:textId="7A398934" w:rsidR="001420B3" w:rsidRPr="005E22C2" w:rsidRDefault="00A52918" w:rsidP="00CF5E22">
      <w:pPr>
        <w:pStyle w:val="Heading2"/>
      </w:pPr>
      <w:r w:rsidRPr="00A52918">
        <w:t xml:space="preserve">Therapeutic Goods Administration </w:t>
      </w:r>
      <w:r>
        <w:t>(</w:t>
      </w:r>
      <w:r w:rsidR="001420B3" w:rsidRPr="005E22C2">
        <w:t>TGA</w:t>
      </w:r>
      <w:r>
        <w:t>)</w:t>
      </w:r>
      <w:r w:rsidR="001420B3" w:rsidRPr="005E22C2">
        <w:t xml:space="preserve"> approved </w:t>
      </w:r>
      <w:r w:rsidR="001420B3">
        <w:t>i</w:t>
      </w:r>
      <w:r w:rsidR="001420B3" w:rsidRPr="005E22C2">
        <w:t>ndications</w:t>
      </w:r>
    </w:p>
    <w:p w14:paraId="22E5EC9B" w14:textId="277526D9" w:rsidR="002F5540" w:rsidRDefault="009F3DCF" w:rsidP="002F5540">
      <w:r>
        <w:t xml:space="preserve">Zanubrutinib was registered on the Australian Register of Therapeutic Goods (ARTG) on </w:t>
      </w:r>
      <w:r w:rsidR="002203C2">
        <w:t>7</w:t>
      </w:r>
      <w:r w:rsidR="006B67BE">
        <w:t xml:space="preserve"> October 2021.</w:t>
      </w:r>
    </w:p>
    <w:p w14:paraId="0727052E" w14:textId="584CB1DB" w:rsidR="001751EA" w:rsidRDefault="001751EA" w:rsidP="002F5540">
      <w:r>
        <w:t>Zanubrutinib</w:t>
      </w:r>
      <w:r w:rsidRPr="001751EA">
        <w:t xml:space="preserve"> product information includes a black triangle indicating that it is subject to additional monitoring in Australia. By being included in the Black Triangle scheme, this reminds health professionals and consumers to report suspected adverse events.</w:t>
      </w:r>
    </w:p>
    <w:p w14:paraId="6C8248E6" w14:textId="37751CFD" w:rsidR="002F5540" w:rsidRPr="002F5540" w:rsidRDefault="00796111" w:rsidP="002F5540">
      <w:r>
        <w:t xml:space="preserve">Zanubrutinib </w:t>
      </w:r>
      <w:r w:rsidR="00D246BA">
        <w:t>is currently TGA registered for the following indications:</w:t>
      </w:r>
    </w:p>
    <w:p w14:paraId="3AE3087B" w14:textId="5691E627" w:rsidR="002F5540" w:rsidRDefault="002F5540" w:rsidP="002F5540">
      <w:pPr>
        <w:pStyle w:val="ListParagraph"/>
        <w:numPr>
          <w:ilvl w:val="0"/>
          <w:numId w:val="4"/>
        </w:numPr>
        <w:spacing w:after="0"/>
      </w:pPr>
      <w:r>
        <w:t>F</w:t>
      </w:r>
      <w:r w:rsidRPr="002F5540">
        <w:t>or the treatment of adult patients with WM who have received at least one prior therapy, or in first line treatment for patients unsuitable for chemo-immunotherapy.</w:t>
      </w:r>
    </w:p>
    <w:p w14:paraId="0E01A65E" w14:textId="4A47ADCA" w:rsidR="001E6DFA" w:rsidRDefault="001E6DFA" w:rsidP="002F5540">
      <w:pPr>
        <w:pStyle w:val="ListParagraph"/>
        <w:numPr>
          <w:ilvl w:val="0"/>
          <w:numId w:val="4"/>
        </w:numPr>
        <w:spacing w:after="0"/>
      </w:pPr>
      <w:r>
        <w:lastRenderedPageBreak/>
        <w:t>F</w:t>
      </w:r>
      <w:r w:rsidR="007B637F" w:rsidRPr="007B637F">
        <w:t xml:space="preserve">or the treatment of adult patients with mantle cell lymphoma (MCL) who have received at least one prior therapy. </w:t>
      </w:r>
    </w:p>
    <w:p w14:paraId="0401B36A" w14:textId="4FBF2F32" w:rsidR="007B637F" w:rsidRDefault="001E6DFA" w:rsidP="002F5540">
      <w:pPr>
        <w:pStyle w:val="ListParagraph"/>
        <w:numPr>
          <w:ilvl w:val="0"/>
          <w:numId w:val="4"/>
        </w:numPr>
        <w:spacing w:after="0"/>
      </w:pPr>
      <w:r>
        <w:t>F</w:t>
      </w:r>
      <w:r w:rsidR="007B637F" w:rsidRPr="007B637F">
        <w:t>or the treatment of adult patients with marginal zone lymphoma (MZL) who have received at least one-prior anti-CD20-based therapy.</w:t>
      </w:r>
    </w:p>
    <w:p w14:paraId="160B8AAB" w14:textId="5014B2C6" w:rsidR="00557914" w:rsidRDefault="003D056A" w:rsidP="002F5540">
      <w:pPr>
        <w:pStyle w:val="ListParagraph"/>
        <w:numPr>
          <w:ilvl w:val="0"/>
          <w:numId w:val="4"/>
        </w:numPr>
        <w:spacing w:after="0"/>
      </w:pPr>
      <w:r>
        <w:t>A</w:t>
      </w:r>
      <w:r w:rsidR="00557914" w:rsidRPr="00557914">
        <w:t>s monotherapy for the treatment of adult patients with chronic lymphocytic leukaemia (CLL) or small lymphocytic lymphoma (SLL), including patients with deletion 17p and/or TP53 mutation.</w:t>
      </w:r>
    </w:p>
    <w:p w14:paraId="15E919C1" w14:textId="1B3BA560" w:rsidR="006B709B" w:rsidRDefault="006B709B" w:rsidP="00CF5E22">
      <w:pPr>
        <w:pStyle w:val="Heading2"/>
      </w:pPr>
      <w:r>
        <w:t>Dosage and administration</w:t>
      </w:r>
    </w:p>
    <w:p w14:paraId="15E73BA3" w14:textId="1619543E" w:rsidR="008924E4" w:rsidRPr="00E465E0" w:rsidRDefault="00603E49" w:rsidP="00A35800">
      <w:pPr>
        <w:pStyle w:val="Notes"/>
        <w:rPr>
          <w:sz w:val="24"/>
          <w:szCs w:val="24"/>
        </w:rPr>
      </w:pPr>
      <w:r w:rsidRPr="00603E49">
        <w:rPr>
          <w:sz w:val="24"/>
          <w:szCs w:val="24"/>
        </w:rPr>
        <w:t xml:space="preserve">The recommended total daily oral dose of </w:t>
      </w:r>
      <w:proofErr w:type="spellStart"/>
      <w:r w:rsidR="00C505A0" w:rsidRPr="00C505A0">
        <w:rPr>
          <w:sz w:val="24"/>
          <w:szCs w:val="24"/>
        </w:rPr>
        <w:t>zanubrutinib</w:t>
      </w:r>
      <w:proofErr w:type="spellEnd"/>
      <w:r w:rsidRPr="00603E49">
        <w:rPr>
          <w:sz w:val="24"/>
          <w:szCs w:val="24"/>
        </w:rPr>
        <w:t xml:space="preserve"> is 320 mg. </w:t>
      </w:r>
      <w:r w:rsidR="00C505A0">
        <w:rPr>
          <w:sz w:val="24"/>
          <w:szCs w:val="24"/>
        </w:rPr>
        <w:t>Z</w:t>
      </w:r>
      <w:r w:rsidR="00C505A0" w:rsidRPr="00C505A0">
        <w:rPr>
          <w:sz w:val="24"/>
          <w:szCs w:val="24"/>
        </w:rPr>
        <w:t>anubrutinib</w:t>
      </w:r>
      <w:r w:rsidRPr="00603E49">
        <w:rPr>
          <w:sz w:val="24"/>
          <w:szCs w:val="24"/>
        </w:rPr>
        <w:t xml:space="preserve"> may be taken as either 320 mg (four 80 mg capsules) once daily, or as 160 mg (two 80 mg capsules) twice daily.</w:t>
      </w:r>
      <w:r w:rsidR="00E465E0">
        <w:rPr>
          <w:sz w:val="24"/>
          <w:szCs w:val="24"/>
        </w:rPr>
        <w:t xml:space="preserve"> </w:t>
      </w:r>
      <w:r w:rsidR="008924E4" w:rsidRPr="008924E4">
        <w:rPr>
          <w:sz w:val="24"/>
          <w:szCs w:val="24"/>
        </w:rPr>
        <w:t xml:space="preserve">Dose modification is required for </w:t>
      </w:r>
      <w:r w:rsidR="00C505A0" w:rsidRPr="00C505A0">
        <w:rPr>
          <w:sz w:val="24"/>
          <w:szCs w:val="24"/>
        </w:rPr>
        <w:t>severe (Grade 3) or life-threatening (Grade 4) adverse reactions</w:t>
      </w:r>
      <w:r w:rsidR="003E34A1">
        <w:rPr>
          <w:sz w:val="24"/>
          <w:szCs w:val="24"/>
        </w:rPr>
        <w:t>.</w:t>
      </w:r>
      <w:r w:rsidR="00020D89">
        <w:rPr>
          <w:rStyle w:val="FootnoteReference"/>
          <w:sz w:val="24"/>
          <w:szCs w:val="24"/>
        </w:rPr>
        <w:footnoteReference w:id="6"/>
      </w:r>
    </w:p>
    <w:p w14:paraId="6682A05C" w14:textId="27ADAC1D" w:rsidR="00F17D4B" w:rsidRPr="002F61CA" w:rsidRDefault="00F17D4B" w:rsidP="00F17D4B">
      <w:r w:rsidRPr="002F61CA">
        <w:t xml:space="preserve">The current Product Information (PI) and Consumer Medicine Information (CMI) are available from </w:t>
      </w:r>
      <w:hyperlink r:id="rId8" w:history="1">
        <w:hyperlink r:id="rId9" w:history="1">
          <w:r w:rsidRPr="008E1DBB">
            <w:rPr>
              <w:rStyle w:val="Hyperlink"/>
            </w:rPr>
            <w:t>the TGA (Product Information)</w:t>
          </w:r>
        </w:hyperlink>
      </w:hyperlink>
      <w:r>
        <w:t xml:space="preserve"> and </w:t>
      </w:r>
      <w:hyperlink r:id="rId10" w:history="1">
        <w:hyperlink r:id="rId11" w:history="1">
          <w:r w:rsidRPr="008E1DBB">
            <w:rPr>
              <w:rStyle w:val="Hyperlink"/>
            </w:rPr>
            <w:t>the TGA (Consumer Medicines Information)</w:t>
          </w:r>
        </w:hyperlink>
      </w:hyperlink>
      <w:r>
        <w:t>.</w:t>
      </w:r>
    </w:p>
    <w:p w14:paraId="46E2BB42" w14:textId="2FF04E64" w:rsidR="00DF0B13" w:rsidRPr="007247B9" w:rsidDel="00EE2BBB" w:rsidRDefault="00DF0B13" w:rsidP="00CF5E22">
      <w:pPr>
        <w:pStyle w:val="Heading2"/>
      </w:pPr>
      <w:r w:rsidRPr="007247B9" w:rsidDel="00EE2BBB">
        <w:t>PBS listing details</w:t>
      </w:r>
      <w:r w:rsidR="00D151EB" w:rsidDel="00EE2BBB">
        <w:t xml:space="preserve"> (as </w:t>
      </w:r>
      <w:proofErr w:type="gramStart"/>
      <w:r w:rsidR="00D151EB" w:rsidDel="00EE2BBB">
        <w:t>at</w:t>
      </w:r>
      <w:proofErr w:type="gramEnd"/>
      <w:r w:rsidR="00D9035A">
        <w:t xml:space="preserve"> </w:t>
      </w:r>
      <w:r w:rsidR="00E465E0">
        <w:t xml:space="preserve">22 </w:t>
      </w:r>
      <w:r w:rsidR="00D9035A">
        <w:t>October 2024</w:t>
      </w:r>
      <w:r w:rsidR="00D151EB" w:rsidDel="00EE2BBB">
        <w:t>)</w:t>
      </w:r>
    </w:p>
    <w:p w14:paraId="1D47784A" w14:textId="764C07FA" w:rsidR="001420B3" w:rsidRPr="001420B3" w:rsidDel="00EE2BBB" w:rsidRDefault="001420B3" w:rsidP="00CF5E22">
      <w:pPr>
        <w:pStyle w:val="Tabletitle"/>
      </w:pPr>
      <w:r w:rsidRPr="001420B3" w:rsidDel="00EE2BBB">
        <w:t xml:space="preserve">Table </w:t>
      </w:r>
      <w:r w:rsidR="009628AE">
        <w:t>1</w:t>
      </w:r>
      <w:r w:rsidRPr="001420B3" w:rsidDel="00EE2BBB">
        <w:t xml:space="preserve">: </w:t>
      </w:r>
      <w:r w:rsidR="009663B6" w:rsidDel="00EE2BBB">
        <w:t>PB</w:t>
      </w:r>
      <w:r w:rsidR="00D151EB" w:rsidDel="00EE2BBB">
        <w:t>S listing of</w:t>
      </w:r>
      <w:r w:rsidR="009628AE">
        <w:t xml:space="preserve"> </w:t>
      </w:r>
      <w:proofErr w:type="spellStart"/>
      <w:r w:rsidR="008F34F9">
        <w:t>z</w:t>
      </w:r>
      <w:r w:rsidR="009628AE">
        <w:t>anub</w:t>
      </w:r>
      <w:r w:rsidR="000C7A25">
        <w:t>rutinib</w:t>
      </w:r>
      <w:proofErr w:type="spellEnd"/>
    </w:p>
    <w:tbl>
      <w:tblPr>
        <w:tblStyle w:val="TableGrid"/>
        <w:tblW w:w="9064" w:type="dxa"/>
        <w:tblLayout w:type="fixed"/>
        <w:tblLook w:val="04A0" w:firstRow="1" w:lastRow="0" w:firstColumn="1" w:lastColumn="0" w:noHBand="0" w:noVBand="1"/>
      </w:tblPr>
      <w:tblGrid>
        <w:gridCol w:w="969"/>
        <w:gridCol w:w="2400"/>
        <w:gridCol w:w="1701"/>
        <w:gridCol w:w="850"/>
        <w:gridCol w:w="1040"/>
        <w:gridCol w:w="2104"/>
      </w:tblGrid>
      <w:tr w:rsidR="0093111F" w:rsidRPr="00A35800" w:rsidDel="00EE2BBB" w14:paraId="6AA19A37" w14:textId="77B518AD" w:rsidTr="0093111F">
        <w:trPr>
          <w:trHeight w:val="694"/>
          <w:tblHeader/>
        </w:trPr>
        <w:tc>
          <w:tcPr>
            <w:tcW w:w="969" w:type="dxa"/>
            <w:shd w:val="clear" w:color="auto" w:fill="BFBFBF" w:themeFill="background1" w:themeFillShade="BF"/>
          </w:tcPr>
          <w:p w14:paraId="56A3DEA0" w14:textId="1A878237" w:rsidR="0093111F" w:rsidRPr="00A35800" w:rsidDel="00EE2BBB" w:rsidRDefault="0093111F" w:rsidP="00A35800">
            <w:pPr>
              <w:pStyle w:val="Tableheading"/>
              <w:rPr>
                <w:sz w:val="20"/>
                <w:szCs w:val="20"/>
              </w:rPr>
            </w:pPr>
            <w:r w:rsidRPr="00A35800" w:rsidDel="00EE2BBB">
              <w:rPr>
                <w:sz w:val="20"/>
                <w:szCs w:val="20"/>
              </w:rPr>
              <w:t>Item</w:t>
            </w:r>
          </w:p>
        </w:tc>
        <w:tc>
          <w:tcPr>
            <w:tcW w:w="2400" w:type="dxa"/>
            <w:shd w:val="clear" w:color="auto" w:fill="BFBFBF" w:themeFill="background1" w:themeFillShade="BF"/>
          </w:tcPr>
          <w:p w14:paraId="67A07252" w14:textId="6DE43662" w:rsidR="0093111F" w:rsidRPr="00A35800" w:rsidDel="00EE2BBB" w:rsidRDefault="0093111F" w:rsidP="00A35800">
            <w:pPr>
              <w:pStyle w:val="Tableheading"/>
              <w:rPr>
                <w:sz w:val="20"/>
                <w:szCs w:val="20"/>
              </w:rPr>
            </w:pPr>
            <w:r w:rsidRPr="00A35800" w:rsidDel="00EE2BBB">
              <w:rPr>
                <w:sz w:val="20"/>
                <w:szCs w:val="20"/>
              </w:rPr>
              <w:t>Name, form &amp; strength, pack size</w:t>
            </w:r>
          </w:p>
        </w:tc>
        <w:tc>
          <w:tcPr>
            <w:tcW w:w="1701" w:type="dxa"/>
            <w:shd w:val="clear" w:color="auto" w:fill="BFBFBF" w:themeFill="background1" w:themeFillShade="BF"/>
          </w:tcPr>
          <w:p w14:paraId="114E9799" w14:textId="71E76A27" w:rsidR="0093111F" w:rsidRPr="00A35800" w:rsidDel="00EE2BBB" w:rsidRDefault="0093111F" w:rsidP="00A35800">
            <w:pPr>
              <w:pStyle w:val="Tableheading"/>
              <w:rPr>
                <w:sz w:val="20"/>
                <w:szCs w:val="20"/>
              </w:rPr>
            </w:pPr>
            <w:r w:rsidRPr="00A35800" w:rsidDel="00EE2BBB">
              <w:rPr>
                <w:sz w:val="20"/>
                <w:szCs w:val="20"/>
              </w:rPr>
              <w:t>Max</w:t>
            </w:r>
            <w:r w:rsidR="00A13C60" w:rsidRPr="00A35800" w:rsidDel="00EE2BBB">
              <w:rPr>
                <w:sz w:val="20"/>
                <w:szCs w:val="20"/>
              </w:rPr>
              <w:t xml:space="preserve">. </w:t>
            </w:r>
            <w:r w:rsidRPr="00A35800" w:rsidDel="00EE2BBB">
              <w:rPr>
                <w:sz w:val="20"/>
                <w:szCs w:val="20"/>
              </w:rPr>
              <w:t xml:space="preserve">quant. </w:t>
            </w:r>
          </w:p>
        </w:tc>
        <w:tc>
          <w:tcPr>
            <w:tcW w:w="850" w:type="dxa"/>
            <w:shd w:val="clear" w:color="auto" w:fill="BFBFBF" w:themeFill="background1" w:themeFillShade="BF"/>
          </w:tcPr>
          <w:p w14:paraId="0F1A79F7" w14:textId="170F6D44" w:rsidR="0093111F" w:rsidRPr="00A35800" w:rsidDel="00EE2BBB" w:rsidRDefault="0093111F" w:rsidP="00A35800">
            <w:pPr>
              <w:pStyle w:val="Tableheading"/>
              <w:rPr>
                <w:sz w:val="20"/>
                <w:szCs w:val="20"/>
              </w:rPr>
            </w:pPr>
            <w:proofErr w:type="spellStart"/>
            <w:r w:rsidRPr="00A35800" w:rsidDel="00EE2BBB">
              <w:rPr>
                <w:sz w:val="20"/>
                <w:szCs w:val="20"/>
              </w:rPr>
              <w:t>Rpts</w:t>
            </w:r>
            <w:proofErr w:type="spellEnd"/>
            <w:r w:rsidRPr="00A35800" w:rsidDel="00EE2BBB">
              <w:rPr>
                <w:sz w:val="20"/>
                <w:szCs w:val="20"/>
              </w:rPr>
              <w:t xml:space="preserve"> </w:t>
            </w:r>
          </w:p>
        </w:tc>
        <w:tc>
          <w:tcPr>
            <w:tcW w:w="1040" w:type="dxa"/>
            <w:shd w:val="clear" w:color="auto" w:fill="BFBFBF" w:themeFill="background1" w:themeFillShade="BF"/>
          </w:tcPr>
          <w:p w14:paraId="05C5A0BF" w14:textId="2CFF9AC9" w:rsidR="0093111F" w:rsidRPr="00A35800" w:rsidDel="00EE2BBB" w:rsidRDefault="0093111F" w:rsidP="00A35800">
            <w:pPr>
              <w:pStyle w:val="Tableheading"/>
              <w:rPr>
                <w:sz w:val="20"/>
                <w:szCs w:val="20"/>
              </w:rPr>
            </w:pPr>
            <w:r w:rsidRPr="00A35800" w:rsidDel="00EE2BBB">
              <w:rPr>
                <w:sz w:val="20"/>
                <w:szCs w:val="20"/>
              </w:rPr>
              <w:t>DPMQ</w:t>
            </w:r>
          </w:p>
        </w:tc>
        <w:tc>
          <w:tcPr>
            <w:tcW w:w="2104" w:type="dxa"/>
            <w:shd w:val="clear" w:color="auto" w:fill="BFBFBF" w:themeFill="background1" w:themeFillShade="BF"/>
          </w:tcPr>
          <w:p w14:paraId="09B472B7" w14:textId="479D46E2" w:rsidR="0093111F" w:rsidRPr="00A35800" w:rsidDel="00EE2BBB" w:rsidRDefault="0093111F" w:rsidP="00A35800">
            <w:pPr>
              <w:pStyle w:val="Tableheading"/>
              <w:rPr>
                <w:sz w:val="20"/>
                <w:szCs w:val="20"/>
              </w:rPr>
            </w:pPr>
            <w:r w:rsidRPr="00A35800" w:rsidDel="00EE2BBB">
              <w:rPr>
                <w:sz w:val="20"/>
                <w:szCs w:val="20"/>
              </w:rPr>
              <w:t>Brand name and manufacturer</w:t>
            </w:r>
          </w:p>
        </w:tc>
      </w:tr>
      <w:tr w:rsidR="0093111F" w:rsidRPr="00A35800" w:rsidDel="00EE2BBB" w14:paraId="2AF9D84B" w14:textId="0D323411" w:rsidTr="0093111F">
        <w:trPr>
          <w:trHeight w:val="552"/>
          <w:tblHeader/>
        </w:trPr>
        <w:tc>
          <w:tcPr>
            <w:tcW w:w="969" w:type="dxa"/>
          </w:tcPr>
          <w:p w14:paraId="0A3E3442" w14:textId="53306DEE" w:rsidR="0093111F" w:rsidRPr="00A35800" w:rsidDel="00EE2BBB" w:rsidRDefault="00FB4F40" w:rsidP="00A35800">
            <w:pPr>
              <w:pStyle w:val="Tablewriting"/>
            </w:pPr>
            <w:r w:rsidRPr="00FB4F40">
              <w:t>13041J</w:t>
            </w:r>
          </w:p>
        </w:tc>
        <w:tc>
          <w:tcPr>
            <w:tcW w:w="2400" w:type="dxa"/>
          </w:tcPr>
          <w:p w14:paraId="0F676F51" w14:textId="7486CFE5" w:rsidR="0093111F" w:rsidRPr="00A35800" w:rsidDel="00EE2BBB" w:rsidRDefault="00130D77" w:rsidP="00A35800">
            <w:pPr>
              <w:pStyle w:val="Tablewriting"/>
            </w:pPr>
            <w:r>
              <w:t>Z</w:t>
            </w:r>
            <w:r w:rsidR="00806518" w:rsidRPr="00806518">
              <w:t>anubrutinib 80 mg capsule, 120</w:t>
            </w:r>
          </w:p>
        </w:tc>
        <w:tc>
          <w:tcPr>
            <w:tcW w:w="1701" w:type="dxa"/>
          </w:tcPr>
          <w:p w14:paraId="0E2637C4" w14:textId="599E7603" w:rsidR="0093111F" w:rsidRPr="00A35800" w:rsidDel="00EE2BBB" w:rsidRDefault="00806518" w:rsidP="00A35800">
            <w:pPr>
              <w:pStyle w:val="Tablewriting"/>
            </w:pPr>
            <w:r>
              <w:t>1</w:t>
            </w:r>
          </w:p>
        </w:tc>
        <w:tc>
          <w:tcPr>
            <w:tcW w:w="850" w:type="dxa"/>
          </w:tcPr>
          <w:p w14:paraId="6B361CAA" w14:textId="57715991" w:rsidR="0093111F" w:rsidRPr="00A35800" w:rsidDel="00EE2BBB" w:rsidRDefault="007D5113" w:rsidP="00A35800">
            <w:pPr>
              <w:pStyle w:val="Tablewriting"/>
            </w:pPr>
            <w:r>
              <w:t>5</w:t>
            </w:r>
          </w:p>
        </w:tc>
        <w:tc>
          <w:tcPr>
            <w:tcW w:w="1040" w:type="dxa"/>
          </w:tcPr>
          <w:p w14:paraId="15F68405" w14:textId="55AD0F04" w:rsidR="0093111F" w:rsidRPr="00A35800" w:rsidDel="00EE2BBB" w:rsidRDefault="00EA214E" w:rsidP="00A35800">
            <w:pPr>
              <w:pStyle w:val="Tablewriting"/>
            </w:pPr>
            <w:r w:rsidRPr="00EA214E">
              <w:t>$7932.56</w:t>
            </w:r>
          </w:p>
        </w:tc>
        <w:tc>
          <w:tcPr>
            <w:tcW w:w="2104" w:type="dxa"/>
          </w:tcPr>
          <w:p w14:paraId="2D337AC6" w14:textId="53550851" w:rsidR="0093111F" w:rsidRPr="00A35800" w:rsidDel="00EE2BBB" w:rsidRDefault="00EA214E" w:rsidP="00A35800">
            <w:pPr>
              <w:pStyle w:val="Tablewriting"/>
            </w:pPr>
            <w:proofErr w:type="spellStart"/>
            <w:r w:rsidRPr="00EA214E">
              <w:t>Brukinsa</w:t>
            </w:r>
            <w:proofErr w:type="spellEnd"/>
            <w:r>
              <w:t xml:space="preserve">, </w:t>
            </w:r>
            <w:proofErr w:type="spellStart"/>
            <w:r w:rsidRPr="00EA214E">
              <w:t>BeiGene</w:t>
            </w:r>
            <w:proofErr w:type="spellEnd"/>
            <w:r w:rsidRPr="00EA214E">
              <w:t xml:space="preserve"> AUS Pty Ltd</w:t>
            </w:r>
          </w:p>
        </w:tc>
      </w:tr>
    </w:tbl>
    <w:p w14:paraId="4C09FFA8" w14:textId="7AE9E495" w:rsidR="00DD1A27" w:rsidRDefault="007408C7" w:rsidP="00DD1A27">
      <w:pPr>
        <w:pStyle w:val="Notes"/>
        <w:spacing w:after="0"/>
      </w:pPr>
      <w:r w:rsidRPr="00A35800" w:rsidDel="00EE2BBB">
        <w:t xml:space="preserve">Source: </w:t>
      </w:r>
      <w:r w:rsidR="001624D7" w:rsidDel="00EE2BBB">
        <w:t xml:space="preserve">the </w:t>
      </w:r>
      <w:hyperlink r:id="rId12" w:history="1">
        <w:r w:rsidR="001624D7" w:rsidRPr="001624D7" w:rsidDel="00EE2BBB">
          <w:rPr>
            <w:rStyle w:val="Hyperlink"/>
          </w:rPr>
          <w:t>PBS website</w:t>
        </w:r>
      </w:hyperlink>
      <w:r w:rsidR="001624D7" w:rsidDel="00EE2BBB">
        <w:t>.</w:t>
      </w:r>
      <w:r w:rsidR="0080485E" w:rsidDel="00EE2BBB">
        <w:t xml:space="preserve">  </w:t>
      </w:r>
      <w:r w:rsidR="00DD1A27">
        <w:t xml:space="preserve">A </w:t>
      </w:r>
      <w:r w:rsidR="0080485E" w:rsidRPr="0080485E" w:rsidDel="00EE2BBB">
        <w:t>Special Pricing Arrangement is in place.</w:t>
      </w:r>
    </w:p>
    <w:p w14:paraId="3E4F23AD" w14:textId="61F8DEAF" w:rsidR="00DD1A27" w:rsidRPr="00A35800" w:rsidDel="00EE2BBB" w:rsidRDefault="00DD1A27" w:rsidP="00DD1A27">
      <w:pPr>
        <w:pStyle w:val="Notes"/>
        <w:spacing w:after="0"/>
      </w:pPr>
      <w:r>
        <w:t>Note</w:t>
      </w:r>
      <w:r w:rsidR="00BF6F3B">
        <w:t>: Item code as per October 2024.</w:t>
      </w:r>
    </w:p>
    <w:p w14:paraId="1AFA1485" w14:textId="3186A599" w:rsidR="004C3186" w:rsidDel="00EE2BBB" w:rsidRDefault="004C3186" w:rsidP="00CF5E22">
      <w:pPr>
        <w:pStyle w:val="Heading3"/>
      </w:pPr>
      <w:r w:rsidDel="00EE2BBB">
        <w:t>Restriction</w:t>
      </w:r>
    </w:p>
    <w:p w14:paraId="5B330E2C" w14:textId="5E92CCB7" w:rsidR="00BF3CAF" w:rsidRDefault="00BF3CAF" w:rsidP="00152A41">
      <w:pPr>
        <w:spacing w:after="0"/>
      </w:pPr>
      <w:r>
        <w:t>Waldenstrom macroglobulinaemia</w:t>
      </w:r>
    </w:p>
    <w:p w14:paraId="171D2566" w14:textId="33E10B6C" w:rsidR="00BF3CAF" w:rsidRDefault="00BF3CAF" w:rsidP="00152A41">
      <w:pPr>
        <w:spacing w:after="0"/>
      </w:pPr>
      <w:r>
        <w:t>Treatment Phase: Initial treatment</w:t>
      </w:r>
    </w:p>
    <w:p w14:paraId="62035F46" w14:textId="10E25A8A" w:rsidR="00BF3CAF" w:rsidRDefault="00BF3CAF" w:rsidP="00152A41">
      <w:pPr>
        <w:spacing w:after="0"/>
      </w:pPr>
      <w:r>
        <w:t>Clinical criteria:</w:t>
      </w:r>
    </w:p>
    <w:p w14:paraId="3E4CA355" w14:textId="2F35C012" w:rsidR="00BF3CAF" w:rsidRDefault="00BF3CAF" w:rsidP="00152A41">
      <w:pPr>
        <w:spacing w:after="0"/>
        <w:ind w:left="720"/>
      </w:pPr>
      <w:r>
        <w:t>The condition must have relapsed or be refractory to at least one prior chemo-immunotherapy; OR</w:t>
      </w:r>
    </w:p>
    <w:p w14:paraId="589D1BA6" w14:textId="44467144" w:rsidR="00BF3CAF" w:rsidRDefault="00BF3CAF" w:rsidP="00152A41">
      <w:pPr>
        <w:spacing w:after="0"/>
        <w:ind w:left="720"/>
      </w:pPr>
      <w:r>
        <w:t>Patient must be unsuitable for treatment with chemo-immunotherapy, defined by a Cumulative Illness Rating Scale of 6 or greater, if untreated (i.e. treatment-naive) for this condition,</w:t>
      </w:r>
    </w:p>
    <w:p w14:paraId="46C600F3" w14:textId="3C74FF39" w:rsidR="00BF3CAF" w:rsidRDefault="00BF3CAF" w:rsidP="00152A41">
      <w:pPr>
        <w:spacing w:after="0"/>
        <w:ind w:left="720"/>
      </w:pPr>
      <w:r>
        <w:t>AND</w:t>
      </w:r>
    </w:p>
    <w:p w14:paraId="0BA4A327" w14:textId="3877DCC4" w:rsidR="00BF3CAF" w:rsidRDefault="00BF3CAF" w:rsidP="00152A41">
      <w:pPr>
        <w:spacing w:after="0"/>
        <w:ind w:left="720"/>
      </w:pPr>
      <w:r>
        <w:t>The treatment must be the sole PBS-subsidised therapy for this condition,</w:t>
      </w:r>
    </w:p>
    <w:p w14:paraId="7E02726A" w14:textId="7D25C74F" w:rsidR="00BF3CAF" w:rsidRDefault="00BF3CAF" w:rsidP="00152A41">
      <w:pPr>
        <w:spacing w:after="0"/>
        <w:ind w:left="720"/>
      </w:pPr>
      <w:r>
        <w:t>AND</w:t>
      </w:r>
    </w:p>
    <w:p w14:paraId="081CECE7" w14:textId="7E3DCE0A" w:rsidR="00BF3CAF" w:rsidRDefault="00BF3CAF" w:rsidP="00152A41">
      <w:pPr>
        <w:spacing w:after="0"/>
        <w:ind w:left="720"/>
      </w:pPr>
      <w:r>
        <w:lastRenderedPageBreak/>
        <w:t>Patient must have a World Health Organisation (WHO) Eastern Cooperative Oncology Group (ECOG) performance status score of 2 or less,</w:t>
      </w:r>
    </w:p>
    <w:p w14:paraId="4EBF47CD" w14:textId="288E626C" w:rsidR="00BF3CAF" w:rsidRDefault="00BF3CAF" w:rsidP="00152A41">
      <w:pPr>
        <w:spacing w:after="0"/>
        <w:ind w:left="720"/>
      </w:pPr>
      <w:r>
        <w:t>AND</w:t>
      </w:r>
    </w:p>
    <w:p w14:paraId="1B326B7A" w14:textId="77777777" w:rsidR="00BF3CAF" w:rsidRDefault="00BF3CAF" w:rsidP="00152A41">
      <w:pPr>
        <w:spacing w:after="0"/>
        <w:ind w:left="720"/>
      </w:pPr>
      <w:r>
        <w:t xml:space="preserve">Patient must be untreated with a Bruton's tyrosine kinase inhibitor for this </w:t>
      </w:r>
      <w:proofErr w:type="gramStart"/>
      <w:r>
        <w:t>condition;</w:t>
      </w:r>
      <w:proofErr w:type="gramEnd"/>
      <w:r>
        <w:t xml:space="preserve"> OR</w:t>
      </w:r>
    </w:p>
    <w:p w14:paraId="77F00E05" w14:textId="77777777" w:rsidR="00BF3CAF" w:rsidRDefault="00BF3CAF" w:rsidP="000551A3">
      <w:pPr>
        <w:spacing w:after="0"/>
        <w:ind w:left="720"/>
      </w:pPr>
      <w:r>
        <w:t>Patient must have developed intolerance to another Bruton's tyrosine kinase inhibitor of a severity necessitating permanent treatment withdrawal, when treated for this condition.</w:t>
      </w:r>
    </w:p>
    <w:p w14:paraId="4F56C4A2" w14:textId="77777777" w:rsidR="00BF3CAF" w:rsidRDefault="00BF3CAF" w:rsidP="00152A41">
      <w:pPr>
        <w:spacing w:after="0"/>
      </w:pPr>
    </w:p>
    <w:p w14:paraId="4EC26D91" w14:textId="77777777" w:rsidR="00BF3CAF" w:rsidRDefault="00BF3CAF" w:rsidP="00152A41">
      <w:pPr>
        <w:spacing w:after="0"/>
      </w:pPr>
      <w:r>
        <w:t>Authority Required</w:t>
      </w:r>
    </w:p>
    <w:p w14:paraId="13F2310A" w14:textId="77777777" w:rsidR="00BF3CAF" w:rsidRDefault="00BF3CAF" w:rsidP="00152A41">
      <w:pPr>
        <w:spacing w:after="0"/>
      </w:pPr>
      <w:r>
        <w:t>Waldenstrom macroglobulinaemia</w:t>
      </w:r>
    </w:p>
    <w:p w14:paraId="4D500C8C" w14:textId="77777777" w:rsidR="00BF3CAF" w:rsidRDefault="00BF3CAF" w:rsidP="00152A41">
      <w:pPr>
        <w:spacing w:after="0"/>
      </w:pPr>
    </w:p>
    <w:p w14:paraId="3C45F8B5" w14:textId="7BA0662D" w:rsidR="00BF3CAF" w:rsidRDefault="00BF3CAF" w:rsidP="00152A41">
      <w:pPr>
        <w:spacing w:after="0"/>
      </w:pPr>
      <w:r>
        <w:t>Treatment Phase: Continuing treatment</w:t>
      </w:r>
    </w:p>
    <w:p w14:paraId="6C7B50CF" w14:textId="4AF7142C" w:rsidR="00BF3CAF" w:rsidRDefault="00BF3CAF" w:rsidP="00152A41">
      <w:pPr>
        <w:spacing w:after="0"/>
      </w:pPr>
      <w:r>
        <w:t>Clinical criteria:</w:t>
      </w:r>
    </w:p>
    <w:p w14:paraId="66BA649E" w14:textId="57B4089A" w:rsidR="00BF3CAF" w:rsidRDefault="00BF3CAF" w:rsidP="001B1EC4">
      <w:pPr>
        <w:spacing w:after="0"/>
        <w:ind w:left="720"/>
      </w:pPr>
      <w:r>
        <w:t>The treatment must be the sole PBS-subsidised therapy for this condition,</w:t>
      </w:r>
    </w:p>
    <w:p w14:paraId="476B7879" w14:textId="17FE31F4" w:rsidR="00BF3CAF" w:rsidRDefault="00BF3CAF" w:rsidP="001B1EC4">
      <w:pPr>
        <w:spacing w:after="0"/>
        <w:ind w:left="720"/>
      </w:pPr>
      <w:r>
        <w:t>AND</w:t>
      </w:r>
    </w:p>
    <w:p w14:paraId="0279A158" w14:textId="65CC90B9" w:rsidR="00BF3CAF" w:rsidRDefault="00BF3CAF" w:rsidP="001B1EC4">
      <w:pPr>
        <w:spacing w:after="0"/>
        <w:ind w:left="720"/>
      </w:pPr>
      <w:r>
        <w:t>The condition must not have progressed while receiving PBS-subsidised treatment with this drug for this condition,</w:t>
      </w:r>
    </w:p>
    <w:p w14:paraId="286B68E3" w14:textId="146D5ABC" w:rsidR="00BF3CAF" w:rsidRDefault="00BF3CAF" w:rsidP="001B1EC4">
      <w:pPr>
        <w:spacing w:after="0"/>
        <w:ind w:left="720"/>
      </w:pPr>
      <w:r>
        <w:t>AND</w:t>
      </w:r>
    </w:p>
    <w:p w14:paraId="064FBB83" w14:textId="3BA39B54" w:rsidR="00BF3CAF" w:rsidRDefault="00BF3CAF" w:rsidP="001B1EC4">
      <w:pPr>
        <w:spacing w:after="0"/>
        <w:ind w:left="720"/>
      </w:pPr>
      <w:r>
        <w:t>Patient must have previously received PBS-subsidised treatment with this drug for this condition.</w:t>
      </w:r>
    </w:p>
    <w:p w14:paraId="79285F88" w14:textId="77777777" w:rsidR="00152A41" w:rsidRDefault="00152A41" w:rsidP="00152A41">
      <w:pPr>
        <w:spacing w:after="0"/>
      </w:pPr>
    </w:p>
    <w:p w14:paraId="61ABD2FD" w14:textId="77777777" w:rsidR="00152A41" w:rsidRDefault="00152A41" w:rsidP="00152A41">
      <w:pPr>
        <w:spacing w:after="0"/>
      </w:pPr>
      <w:r>
        <w:t>Note</w:t>
      </w:r>
    </w:p>
    <w:p w14:paraId="7237F91E" w14:textId="1C75BFA3" w:rsidR="00152A41" w:rsidRDefault="00152A41" w:rsidP="001B1EC4">
      <w:pPr>
        <w:spacing w:after="0"/>
        <w:ind w:left="720"/>
      </w:pPr>
      <w:r>
        <w:t>No increase in the maximum quantity or number of units may be authorised.</w:t>
      </w:r>
    </w:p>
    <w:p w14:paraId="5F0A3488" w14:textId="3E493A5E" w:rsidR="00152A41" w:rsidRDefault="00152A41" w:rsidP="001B1EC4">
      <w:pPr>
        <w:spacing w:after="0"/>
        <w:ind w:left="720"/>
      </w:pPr>
      <w:r>
        <w:t>No increase in the maximum number of repeats may be authorised.</w:t>
      </w:r>
    </w:p>
    <w:p w14:paraId="12902634" w14:textId="2987160B" w:rsidR="00152A41" w:rsidRDefault="00152A41" w:rsidP="001B1EC4">
      <w:pPr>
        <w:spacing w:after="0"/>
        <w:ind w:left="720"/>
      </w:pPr>
      <w:r>
        <w:t>Special Pricing Arrangements apply.</w:t>
      </w:r>
    </w:p>
    <w:p w14:paraId="3CC4BE59" w14:textId="3F164566" w:rsidR="00152A41" w:rsidRDefault="00152A41" w:rsidP="001B1EC4">
      <w:pPr>
        <w:spacing w:after="0"/>
        <w:ind w:left="720"/>
      </w:pPr>
      <w:r>
        <w:t>Applications for authorisation under this restriction may be made in real time using the Online PBS Authorities system (see www.servicesaustralia.gov.au/HPOS) or by telephone by contacting Services Australia on 1800 888 333.</w:t>
      </w:r>
    </w:p>
    <w:p w14:paraId="562EF133" w14:textId="77777777" w:rsidR="001B1EC4" w:rsidRDefault="001B1EC4" w:rsidP="00152A41">
      <w:pPr>
        <w:spacing w:after="0"/>
      </w:pPr>
    </w:p>
    <w:p w14:paraId="22433632" w14:textId="390B93E6" w:rsidR="006775F1" w:rsidRPr="006775F1" w:rsidDel="00EE2BBB" w:rsidRDefault="006775F1" w:rsidP="00A35800">
      <w:r w:rsidRPr="006775F1" w:rsidDel="00EE2BBB">
        <w:t xml:space="preserve">For </w:t>
      </w:r>
      <w:r w:rsidR="00835337" w:rsidDel="00EE2BBB">
        <w:t xml:space="preserve">details of the current PBS listing refer to the </w:t>
      </w:r>
      <w:hyperlink r:id="rId13" w:history="1">
        <w:r w:rsidR="00835337" w:rsidRPr="00645D51" w:rsidDel="00EE2BBB">
          <w:rPr>
            <w:rStyle w:val="Hyperlink"/>
          </w:rPr>
          <w:t>PBS website</w:t>
        </w:r>
      </w:hyperlink>
      <w:r w:rsidR="00835337" w:rsidDel="00EE2BBB">
        <w:rPr>
          <w:rStyle w:val="Hyperlink"/>
        </w:rPr>
        <w:t>.</w:t>
      </w:r>
    </w:p>
    <w:p w14:paraId="39EF75ED" w14:textId="73256AB5" w:rsidR="00675BB1" w:rsidRPr="00675BB1" w:rsidDel="00EE2BBB" w:rsidRDefault="00675BB1" w:rsidP="00CF5E22">
      <w:pPr>
        <w:pStyle w:val="Heading3"/>
      </w:pPr>
      <w:r w:rsidRPr="00675BB1" w:rsidDel="00EE2BBB">
        <w:t>Changes to listing</w:t>
      </w:r>
    </w:p>
    <w:p w14:paraId="74E3A892" w14:textId="34F1D22D" w:rsidR="007B7E0D" w:rsidRDefault="007B7E0D" w:rsidP="00BF544D">
      <w:r>
        <w:t xml:space="preserve">On </w:t>
      </w:r>
      <w:r w:rsidR="006B0405">
        <w:t xml:space="preserve">30 June 2023 the </w:t>
      </w:r>
      <w:proofErr w:type="gramStart"/>
      <w:r w:rsidR="006B0405">
        <w:t>Grandfather</w:t>
      </w:r>
      <w:proofErr w:type="gramEnd"/>
      <w:r w:rsidR="006B0405">
        <w:t xml:space="preserve"> arrangements ceased.</w:t>
      </w:r>
    </w:p>
    <w:p w14:paraId="64C94A85" w14:textId="4B2E827B" w:rsidR="00BF544D" w:rsidRPr="002F61CA" w:rsidDel="00EE2BBB" w:rsidRDefault="00BF544D" w:rsidP="00BF544D">
      <w:r w:rsidRPr="002F61CA" w:rsidDel="00EE2BBB">
        <w:t xml:space="preserve">Current PBS listing details are available from </w:t>
      </w:r>
      <w:r w:rsidDel="00EE2BBB">
        <w:t xml:space="preserve">the </w:t>
      </w:r>
      <w:hyperlink r:id="rId14" w:history="1">
        <w:r w:rsidRPr="00645D51" w:rsidDel="00EE2BBB">
          <w:rPr>
            <w:rStyle w:val="Hyperlink"/>
          </w:rPr>
          <w:t>PBS website</w:t>
        </w:r>
      </w:hyperlink>
      <w:r w:rsidDel="00EE2BBB">
        <w:t>.</w:t>
      </w:r>
    </w:p>
    <w:p w14:paraId="383E312E" w14:textId="724CF700" w:rsidR="00736041" w:rsidRPr="005E22C2" w:rsidRDefault="00394AEE" w:rsidP="00CF5E22">
      <w:pPr>
        <w:pStyle w:val="Heading2"/>
      </w:pPr>
      <w:r>
        <w:t>Relevant aspects of</w:t>
      </w:r>
      <w:r w:rsidR="00736041" w:rsidRPr="005E22C2">
        <w:t xml:space="preserve"> consideration</w:t>
      </w:r>
      <w:r>
        <w:t xml:space="preserve"> by the Pharmaceutical Benefits Advisory Committee (PBAC)</w:t>
      </w:r>
    </w:p>
    <w:p w14:paraId="1C652407" w14:textId="47E54A64" w:rsidR="00BA6424" w:rsidRDefault="00F549A4" w:rsidP="00D94863">
      <w:r>
        <w:t xml:space="preserve">At its July </w:t>
      </w:r>
      <w:r w:rsidR="00043107">
        <w:t xml:space="preserve">2021 meeting the PBAC </w:t>
      </w:r>
      <w:r w:rsidR="00F9692C">
        <w:t xml:space="preserve">did </w:t>
      </w:r>
      <w:r w:rsidR="00F9692C" w:rsidRPr="00F9692C">
        <w:t xml:space="preserve">not recommend the listing of </w:t>
      </w:r>
      <w:proofErr w:type="spellStart"/>
      <w:r w:rsidR="00F9692C" w:rsidRPr="00F9692C">
        <w:t>zanubrutinib</w:t>
      </w:r>
      <w:proofErr w:type="spellEnd"/>
      <w:r w:rsidR="00F9692C" w:rsidRPr="00F9692C">
        <w:t xml:space="preserve"> for the treatment of </w:t>
      </w:r>
      <w:r w:rsidR="00EE0B29">
        <w:t xml:space="preserve">WM </w:t>
      </w:r>
      <w:r w:rsidR="00EE0B29" w:rsidRPr="00EE0B29">
        <w:t>in two patient subpopulations: (</w:t>
      </w:r>
      <w:proofErr w:type="spellStart"/>
      <w:r w:rsidR="00EE0B29" w:rsidRPr="00EE0B29">
        <w:t>i</w:t>
      </w:r>
      <w:proofErr w:type="spellEnd"/>
      <w:r w:rsidR="00EE0B29" w:rsidRPr="00EE0B29">
        <w:t>) treatment-naïve (TN) patients who are ‘unsuitable’ for chemo-immunotherapy and (ii) relapsed/refractory (R/R) patients who have received at least one prior therapy.</w:t>
      </w:r>
      <w:r w:rsidR="00F9692C">
        <w:t xml:space="preserve"> T</w:t>
      </w:r>
      <w:r w:rsidR="00F9692C" w:rsidRPr="00F9692C">
        <w:t xml:space="preserve">he PBAC did not have a reliable basis to determine a cost-effective price for </w:t>
      </w:r>
      <w:proofErr w:type="spellStart"/>
      <w:r w:rsidR="00F9692C" w:rsidRPr="00F9692C">
        <w:t>zanubrutinib</w:t>
      </w:r>
      <w:proofErr w:type="spellEnd"/>
      <w:r w:rsidR="00F9692C" w:rsidRPr="00F9692C">
        <w:t xml:space="preserve"> as the economic model did not reflect the expected treatment outcomes of improved quality of life and reduced need for subsequent </w:t>
      </w:r>
      <w:r w:rsidR="00F9692C" w:rsidRPr="00F9692C">
        <w:lastRenderedPageBreak/>
        <w:t>therapies, including chemotherapy, but instead was based on projected large gains in overall survival, which were not supported by the clinical data and were considered clinically implausible. The PBAC considered the estimated use and financial impact to be underestimated.</w:t>
      </w:r>
    </w:p>
    <w:p w14:paraId="70539E18" w14:textId="06BC1DED" w:rsidR="00D94863" w:rsidRDefault="00D94863" w:rsidP="00D94863">
      <w:r>
        <w:t xml:space="preserve">For further details refer to </w:t>
      </w:r>
      <w:r w:rsidRPr="00F65F0D">
        <w:t xml:space="preserve">the </w:t>
      </w:r>
      <w:hyperlink r:id="rId15" w:history="1">
        <w:r w:rsidRPr="0005327D">
          <w:rPr>
            <w:rStyle w:val="Hyperlink"/>
          </w:rPr>
          <w:t>Public Summary Document</w:t>
        </w:r>
      </w:hyperlink>
      <w:r>
        <w:t xml:space="preserve"> </w:t>
      </w:r>
      <w:r w:rsidRPr="00F65F0D">
        <w:t xml:space="preserve">from the </w:t>
      </w:r>
      <w:r w:rsidR="005325F6">
        <w:t>July 2021</w:t>
      </w:r>
      <w:r>
        <w:t xml:space="preserve"> PBAC meeting.</w:t>
      </w:r>
    </w:p>
    <w:p w14:paraId="64F6D61C" w14:textId="5F994496" w:rsidR="001B55BF" w:rsidRDefault="001B55BF" w:rsidP="00D94863">
      <w:r>
        <w:t xml:space="preserve">At its </w:t>
      </w:r>
      <w:r w:rsidR="00834E64">
        <w:t>March 2022</w:t>
      </w:r>
      <w:r w:rsidR="00AF4A6E">
        <w:t xml:space="preserve"> meeting the PBAC</w:t>
      </w:r>
      <w:r w:rsidR="007C12B3">
        <w:t xml:space="preserve"> </w:t>
      </w:r>
      <w:r w:rsidR="007C12B3" w:rsidRPr="007C12B3">
        <w:t xml:space="preserve">recommended the listing of </w:t>
      </w:r>
      <w:proofErr w:type="spellStart"/>
      <w:r w:rsidR="007C12B3" w:rsidRPr="007C12B3">
        <w:t>zanubrutinib</w:t>
      </w:r>
      <w:proofErr w:type="spellEnd"/>
      <w:r w:rsidR="007C12B3" w:rsidRPr="007C12B3">
        <w:t xml:space="preserve"> for the treatment of</w:t>
      </w:r>
      <w:r w:rsidR="007C12B3">
        <w:t xml:space="preserve"> </w:t>
      </w:r>
      <w:r w:rsidR="007C12B3" w:rsidRPr="007C12B3">
        <w:t>WM in treatment-naïve (TN) patients who are unsuitable for chemo-immunotherapy and in relapsed/refractory (R/R) patients who have received at least one prior chemo-immunotherapy.</w:t>
      </w:r>
      <w:r w:rsidR="00A21461">
        <w:t xml:space="preserve"> The PBAC </w:t>
      </w:r>
      <w:r w:rsidR="00D91431">
        <w:t>note th</w:t>
      </w:r>
      <w:r w:rsidR="00750269">
        <w:t>at the changes made to the economic model</w:t>
      </w:r>
      <w:r w:rsidR="008B5862">
        <w:t xml:space="preserve">, additional </w:t>
      </w:r>
      <w:r w:rsidR="00703979">
        <w:t>clinical evidence</w:t>
      </w:r>
      <w:r w:rsidR="0069000D">
        <w:t>,</w:t>
      </w:r>
      <w:r w:rsidR="00750269">
        <w:t xml:space="preserve"> and </w:t>
      </w:r>
      <w:r w:rsidR="0064558D">
        <w:t xml:space="preserve">revised financial estimates </w:t>
      </w:r>
      <w:r w:rsidR="0069000D">
        <w:t>broadly</w:t>
      </w:r>
      <w:r w:rsidR="0064558D">
        <w:t xml:space="preserve"> </w:t>
      </w:r>
      <w:r w:rsidR="00342855">
        <w:t>addressed outstanding issues raised by the PBAC.</w:t>
      </w:r>
    </w:p>
    <w:p w14:paraId="16ABE68E" w14:textId="16B331C4" w:rsidR="0069000D" w:rsidRDefault="0069000D" w:rsidP="0069000D">
      <w:r>
        <w:t xml:space="preserve">For further details refer to </w:t>
      </w:r>
      <w:r w:rsidRPr="00F65F0D">
        <w:t xml:space="preserve">the </w:t>
      </w:r>
      <w:hyperlink r:id="rId16" w:history="1">
        <w:r w:rsidRPr="0005327D">
          <w:rPr>
            <w:rStyle w:val="Hyperlink"/>
          </w:rPr>
          <w:t>Public Summary Document</w:t>
        </w:r>
      </w:hyperlink>
      <w:r>
        <w:t xml:space="preserve"> </w:t>
      </w:r>
      <w:r w:rsidRPr="00F65F0D">
        <w:t xml:space="preserve">from the </w:t>
      </w:r>
      <w:r>
        <w:t>March 2022 PBAC meeting.</w:t>
      </w:r>
    </w:p>
    <w:p w14:paraId="2E4E28A7" w14:textId="16D2E968" w:rsidR="005325F6" w:rsidRDefault="00CE5D9C" w:rsidP="00615F8F">
      <w:r>
        <w:t xml:space="preserve">At its July 2024 meeting the </w:t>
      </w:r>
      <w:r w:rsidR="003C6793">
        <w:t xml:space="preserve">PBAC considered </w:t>
      </w:r>
      <w:r w:rsidR="00615F8F">
        <w:t xml:space="preserve">a submission by the sponsor requesting the PBAC to revise the previously estimated utilisation of </w:t>
      </w:r>
      <w:proofErr w:type="spellStart"/>
      <w:r w:rsidR="00615F8F">
        <w:t>zanubrutinib</w:t>
      </w:r>
      <w:proofErr w:type="spellEnd"/>
      <w:r w:rsidR="003C6793">
        <w:t xml:space="preserve"> for the treatment of WM. The </w:t>
      </w:r>
      <w:r w:rsidR="00CE468A">
        <w:t>PBA</w:t>
      </w:r>
      <w:r w:rsidR="002F5863">
        <w:t xml:space="preserve">C </w:t>
      </w:r>
      <w:r w:rsidR="002F5863" w:rsidRPr="002F5863">
        <w:t xml:space="preserve">provided advice regarding the subsidisation caps under the current risk sharing arrangement (RSA) for </w:t>
      </w:r>
      <w:proofErr w:type="spellStart"/>
      <w:r w:rsidR="002F5863" w:rsidRPr="002F5863">
        <w:t>zanubrutinib</w:t>
      </w:r>
      <w:proofErr w:type="spellEnd"/>
      <w:r w:rsidR="002F5863" w:rsidRPr="002F5863">
        <w:t xml:space="preserve"> for the treatment o</w:t>
      </w:r>
      <w:r w:rsidR="00476CB5">
        <w:t xml:space="preserve">f </w:t>
      </w:r>
      <w:r w:rsidR="002F5863" w:rsidRPr="002F5863">
        <w:t xml:space="preserve">WM. The PBAC considered it was reasonable to make amendments to the financial estimates underpinning the RSA to reflect the proposed changes in incidence and prevalence based on new epidemiological data specific to the WM subset in Australia that had not been previously available. The PBAC was satisfied that the submission provided sufficient evidence to support the requested changes to the assumptions in terms of the incidence and prevalence in the March 2022 financial estimates that were the basis for the current RSA. </w:t>
      </w:r>
    </w:p>
    <w:p w14:paraId="49A9D78B" w14:textId="5460CA4D" w:rsidR="00824920" w:rsidRPr="00F65F0D" w:rsidRDefault="00824920" w:rsidP="00D94863">
      <w:r>
        <w:t xml:space="preserve">For further details refer to </w:t>
      </w:r>
      <w:r w:rsidRPr="00F65F0D">
        <w:t xml:space="preserve">the </w:t>
      </w:r>
      <w:hyperlink r:id="rId17" w:history="1">
        <w:r w:rsidR="00A24983">
          <w:rPr>
            <w:rStyle w:val="Hyperlink"/>
          </w:rPr>
          <w:t>Recommendations made by the PBAC – July 2024</w:t>
        </w:r>
      </w:hyperlink>
      <w:r>
        <w:t xml:space="preserve"> </w:t>
      </w:r>
      <w:r w:rsidRPr="00F65F0D">
        <w:t xml:space="preserve">from the </w:t>
      </w:r>
      <w:r>
        <w:t>July 2024 PBAC meeting.</w:t>
      </w:r>
    </w:p>
    <w:p w14:paraId="72C2CA24" w14:textId="4A28B89A" w:rsidR="000F2F51" w:rsidRDefault="00ED633B" w:rsidP="00CF5E22">
      <w:pPr>
        <w:pStyle w:val="Heading2"/>
      </w:pPr>
      <w:r>
        <w:t>A</w:t>
      </w:r>
      <w:r w:rsidR="000F2F51">
        <w:t xml:space="preserve">pproach </w:t>
      </w:r>
      <w:r>
        <w:t xml:space="preserve">taken to </w:t>
      </w:r>
      <w:r w:rsidR="000F2F51">
        <w:t>estimat</w:t>
      </w:r>
      <w:r>
        <w:t>e</w:t>
      </w:r>
      <w:r w:rsidR="000F2F51">
        <w:t xml:space="preserve"> utilisation</w:t>
      </w:r>
    </w:p>
    <w:p w14:paraId="7D9B2591" w14:textId="3B382086" w:rsidR="005B6BB7" w:rsidRDefault="00EF5B17" w:rsidP="005B6BB7">
      <w:r>
        <w:t xml:space="preserve">The March 2022 </w:t>
      </w:r>
      <w:r w:rsidR="00DB6FFF">
        <w:t>re</w:t>
      </w:r>
      <w:r>
        <w:t xml:space="preserve">submission </w:t>
      </w:r>
      <w:r w:rsidR="006646BB">
        <w:t xml:space="preserve">used an epidemiological approach </w:t>
      </w:r>
      <w:r w:rsidR="004C2DA8" w:rsidRPr="004C2DA8">
        <w:t xml:space="preserve">to estimate the financial implications of the </w:t>
      </w:r>
      <w:r w:rsidR="008E6641">
        <w:t xml:space="preserve">listing of </w:t>
      </w:r>
      <w:proofErr w:type="spellStart"/>
      <w:r w:rsidR="004C2DA8" w:rsidRPr="004C2DA8">
        <w:t>zanubrutinib</w:t>
      </w:r>
      <w:proofErr w:type="spellEnd"/>
      <w:r w:rsidR="008E6641">
        <w:t xml:space="preserve">. The </w:t>
      </w:r>
      <w:r w:rsidR="00DB6FFF">
        <w:t>re</w:t>
      </w:r>
      <w:r w:rsidR="008E6641">
        <w:t xml:space="preserve">submission </w:t>
      </w:r>
      <w:r w:rsidR="00DE3576">
        <w:t xml:space="preserve">assumed </w:t>
      </w:r>
      <w:r w:rsidR="00995A0C">
        <w:t xml:space="preserve">that amongst </w:t>
      </w:r>
      <w:r w:rsidR="00A62448">
        <w:t>first</w:t>
      </w:r>
      <w:r w:rsidR="00D47256">
        <w:t>-</w:t>
      </w:r>
      <w:r w:rsidR="00995A0C">
        <w:t xml:space="preserve">line </w:t>
      </w:r>
      <w:r w:rsidR="00DB3F63">
        <w:t xml:space="preserve">patients </w:t>
      </w:r>
      <w:r w:rsidR="00061741" w:rsidRPr="00061741">
        <w:rPr>
          <w:highlight w:val="black"/>
        </w:rPr>
        <w:t>XXX</w:t>
      </w:r>
      <w:r w:rsidR="00EB7E8E">
        <w:t xml:space="preserve"> w</w:t>
      </w:r>
      <w:r w:rsidR="00D47256">
        <w:t>ould</w:t>
      </w:r>
      <w:r w:rsidR="00EB7E8E">
        <w:t xml:space="preserve"> be treated in year 1</w:t>
      </w:r>
      <w:r w:rsidR="00DB5707">
        <w:t xml:space="preserve"> (and year 2)</w:t>
      </w:r>
      <w:r w:rsidR="00EB7E8E">
        <w:t xml:space="preserve"> increasing to </w:t>
      </w:r>
      <w:r w:rsidR="00061741" w:rsidRPr="00061741">
        <w:rPr>
          <w:highlight w:val="black"/>
        </w:rPr>
        <w:t>XXX</w:t>
      </w:r>
      <w:r w:rsidR="00EB7E8E">
        <w:t xml:space="preserve"> by years 6</w:t>
      </w:r>
      <w:r w:rsidR="00DB3F63">
        <w:t xml:space="preserve"> with </w:t>
      </w:r>
      <w:r w:rsidR="00061741" w:rsidRPr="00061741">
        <w:rPr>
          <w:highlight w:val="black"/>
        </w:rPr>
        <w:t>XXX</w:t>
      </w:r>
      <w:r w:rsidR="00DB3F63">
        <w:t xml:space="preserve"> being unsuitable for</w:t>
      </w:r>
      <w:r w:rsidR="00050494">
        <w:t xml:space="preserve"> chemo-immunotherapy. </w:t>
      </w:r>
      <w:r w:rsidR="006B0BC4">
        <w:t>Fo</w:t>
      </w:r>
      <w:r w:rsidR="008548CA">
        <w:t>r</w:t>
      </w:r>
      <w:r w:rsidR="006B0BC4">
        <w:t xml:space="preserve"> </w:t>
      </w:r>
      <w:r w:rsidR="00A62448">
        <w:t>second and subsequent lines</w:t>
      </w:r>
      <w:r w:rsidR="00333E64">
        <w:t xml:space="preserve"> </w:t>
      </w:r>
      <w:r w:rsidR="00061741" w:rsidRPr="00061741">
        <w:rPr>
          <w:highlight w:val="black"/>
        </w:rPr>
        <w:t>XXX</w:t>
      </w:r>
      <w:r w:rsidR="00F8124F">
        <w:t xml:space="preserve"> w</w:t>
      </w:r>
      <w:r w:rsidR="00D47256">
        <w:t>ould</w:t>
      </w:r>
      <w:r w:rsidR="00F8124F">
        <w:t xml:space="preserve"> be treated in year 1</w:t>
      </w:r>
      <w:r w:rsidR="007E5850">
        <w:t xml:space="preserve"> (a</w:t>
      </w:r>
      <w:r w:rsidR="007C5610">
        <w:t xml:space="preserve">nd year 2) increasing to </w:t>
      </w:r>
      <w:r w:rsidR="00061741" w:rsidRPr="00061741">
        <w:rPr>
          <w:highlight w:val="black"/>
        </w:rPr>
        <w:t>XXX</w:t>
      </w:r>
      <w:r w:rsidR="007C5610">
        <w:t xml:space="preserve"> by year 6</w:t>
      </w:r>
      <w:r w:rsidR="00495F6A">
        <w:t>, t</w:t>
      </w:r>
      <w:r w:rsidR="00090939">
        <w:t xml:space="preserve">he </w:t>
      </w:r>
      <w:r w:rsidR="00495F6A" w:rsidRPr="00495F6A">
        <w:t xml:space="preserve">proportion of patients progressing to second line is </w:t>
      </w:r>
      <w:r w:rsidR="00061741" w:rsidRPr="00061741">
        <w:rPr>
          <w:highlight w:val="black"/>
        </w:rPr>
        <w:t>XXX</w:t>
      </w:r>
      <w:r w:rsidR="00495F6A" w:rsidRPr="00495F6A">
        <w:t xml:space="preserve"> and the proportion surviving two years from diagnosis </w:t>
      </w:r>
      <w:r w:rsidR="00D47256">
        <w:t>wa</w:t>
      </w:r>
      <w:r w:rsidR="00495F6A" w:rsidRPr="00495F6A">
        <w:t xml:space="preserve">s </w:t>
      </w:r>
      <w:r w:rsidR="00061741" w:rsidRPr="00061741">
        <w:rPr>
          <w:highlight w:val="black"/>
        </w:rPr>
        <w:t>XXX</w:t>
      </w:r>
      <w:r w:rsidR="00D7216C">
        <w:t xml:space="preserve">, with </w:t>
      </w:r>
      <w:r w:rsidR="00061741" w:rsidRPr="00061741">
        <w:rPr>
          <w:highlight w:val="black"/>
        </w:rPr>
        <w:t>XXX</w:t>
      </w:r>
      <w:r w:rsidR="00D7216C">
        <w:t xml:space="preserve"> o</w:t>
      </w:r>
      <w:r w:rsidR="008D392F">
        <w:t xml:space="preserve">f relapsed patients being BTK inhibitor naïve. The </w:t>
      </w:r>
      <w:r w:rsidR="00DE3576">
        <w:t>upt</w:t>
      </w:r>
      <w:r w:rsidR="00AE55C0">
        <w:t xml:space="preserve">ake rate in </w:t>
      </w:r>
      <w:r w:rsidR="001F1246">
        <w:t>first</w:t>
      </w:r>
      <w:r w:rsidR="00AE55C0">
        <w:t xml:space="preserve"> and </w:t>
      </w:r>
      <w:r w:rsidR="001F1246">
        <w:t>second (and subsequent)</w:t>
      </w:r>
      <w:r w:rsidR="00C835C1">
        <w:t xml:space="preserve"> </w:t>
      </w:r>
      <w:r w:rsidR="00AE55C0">
        <w:t>line therapy</w:t>
      </w:r>
      <w:r w:rsidR="00C835C1">
        <w:t xml:space="preserve"> </w:t>
      </w:r>
      <w:r w:rsidR="00743196">
        <w:t>commenc</w:t>
      </w:r>
      <w:r w:rsidR="005D5E63">
        <w:t>ed</w:t>
      </w:r>
      <w:r w:rsidR="00743196">
        <w:t xml:space="preserve"> at </w:t>
      </w:r>
      <w:r w:rsidR="00061741" w:rsidRPr="00061741">
        <w:rPr>
          <w:highlight w:val="black"/>
        </w:rPr>
        <w:t>XXX</w:t>
      </w:r>
      <w:r w:rsidR="00AF2EF3">
        <w:t xml:space="preserve"> in year 1 and increasing to </w:t>
      </w:r>
      <w:r w:rsidR="00061741" w:rsidRPr="00061741">
        <w:rPr>
          <w:highlight w:val="black"/>
        </w:rPr>
        <w:t>XXX</w:t>
      </w:r>
      <w:r w:rsidR="00A66A9B">
        <w:t xml:space="preserve"> by year 6.</w:t>
      </w:r>
      <w:r w:rsidR="00AD3131">
        <w:t xml:space="preserve"> </w:t>
      </w:r>
      <w:r w:rsidR="00E50383">
        <w:t xml:space="preserve">The </w:t>
      </w:r>
      <w:r w:rsidR="000B0327">
        <w:t xml:space="preserve">sponsor estimated that there would be </w:t>
      </w:r>
      <w:r w:rsidR="00061741" w:rsidRPr="00061741">
        <w:rPr>
          <w:highlight w:val="black"/>
        </w:rPr>
        <w:t>XXX</w:t>
      </w:r>
      <w:r w:rsidR="00D12D57">
        <w:t xml:space="preserve"> </w:t>
      </w:r>
      <w:r w:rsidR="000C7B3F">
        <w:t xml:space="preserve">grandfathered patients </w:t>
      </w:r>
      <w:r w:rsidR="007D03CD">
        <w:t xml:space="preserve">initiating </w:t>
      </w:r>
      <w:r w:rsidR="000C7B3F">
        <w:t>in year 1.</w:t>
      </w:r>
    </w:p>
    <w:p w14:paraId="4CEE3729" w14:textId="47B4A1FD" w:rsidR="00C068CC" w:rsidRDefault="00C068CC" w:rsidP="005B6BB7">
      <w:r>
        <w:t xml:space="preserve">The March 2022 </w:t>
      </w:r>
      <w:r w:rsidR="00DB6FFF">
        <w:t>re</w:t>
      </w:r>
      <w:r>
        <w:t xml:space="preserve">submission assumed </w:t>
      </w:r>
      <w:r w:rsidR="005E07CE">
        <w:t xml:space="preserve">an incidence of </w:t>
      </w:r>
      <w:r w:rsidR="00061741" w:rsidRPr="00061741">
        <w:rPr>
          <w:highlight w:val="black"/>
        </w:rPr>
        <w:t>XXXXXXXXXXXX</w:t>
      </w:r>
      <w:r w:rsidR="005E07CE">
        <w:t xml:space="preserve"> (increased to </w:t>
      </w:r>
      <w:r w:rsidR="00061741" w:rsidRPr="00061741">
        <w:rPr>
          <w:highlight w:val="black"/>
        </w:rPr>
        <w:t>XXXXXXXXXXXX</w:t>
      </w:r>
      <w:r w:rsidR="00F67380">
        <w:t xml:space="preserve"> in the Pre-Subcommittee Response), a </w:t>
      </w:r>
      <w:r w:rsidR="00F05CC8">
        <w:t xml:space="preserve">prevalence of </w:t>
      </w:r>
      <w:r w:rsidR="00061741" w:rsidRPr="00061741">
        <w:rPr>
          <w:highlight w:val="black"/>
        </w:rPr>
        <w:t>XXXXXXXXXXXX</w:t>
      </w:r>
      <w:r w:rsidR="00F05CC8">
        <w:t xml:space="preserve"> (5</w:t>
      </w:r>
      <w:r w:rsidR="00607716">
        <w:t xml:space="preserve">-year), and </w:t>
      </w:r>
      <w:r w:rsidR="004273E8">
        <w:t xml:space="preserve">a </w:t>
      </w:r>
      <w:r w:rsidR="00956D24">
        <w:t>survival to</w:t>
      </w:r>
      <w:r w:rsidR="005D5E63">
        <w:t xml:space="preserve"> second</w:t>
      </w:r>
      <w:r w:rsidR="00956D24">
        <w:t xml:space="preserve"> </w:t>
      </w:r>
      <w:r w:rsidR="005D5E63">
        <w:t xml:space="preserve">and subsequent </w:t>
      </w:r>
      <w:r w:rsidR="00956D24">
        <w:t>line</w:t>
      </w:r>
      <w:r w:rsidR="004273E8">
        <w:t>s of therapy</w:t>
      </w:r>
      <w:r w:rsidR="00956D24">
        <w:t xml:space="preserve"> of </w:t>
      </w:r>
      <w:r w:rsidR="00061741" w:rsidRPr="00061741">
        <w:rPr>
          <w:highlight w:val="black"/>
        </w:rPr>
        <w:t>XXX</w:t>
      </w:r>
      <w:r w:rsidR="00956D24">
        <w:t xml:space="preserve">. In the July 2024 </w:t>
      </w:r>
      <w:r w:rsidR="00956D24">
        <w:lastRenderedPageBreak/>
        <w:t xml:space="preserve">submission these were </w:t>
      </w:r>
      <w:r w:rsidR="000C5ADC">
        <w:t xml:space="preserve">updated to an incidence of </w:t>
      </w:r>
      <w:r w:rsidR="00061741" w:rsidRPr="00061741">
        <w:rPr>
          <w:highlight w:val="black"/>
        </w:rPr>
        <w:t>XXXXXXXXXX</w:t>
      </w:r>
      <w:r w:rsidR="000C5ADC">
        <w:t xml:space="preserve">, a prevalence </w:t>
      </w:r>
      <w:r w:rsidR="006646BB">
        <w:t xml:space="preserve">of </w:t>
      </w:r>
      <w:r w:rsidR="00061741" w:rsidRPr="00061741">
        <w:rPr>
          <w:highlight w:val="black"/>
        </w:rPr>
        <w:t>XXXXXXXXXXXX</w:t>
      </w:r>
      <w:r w:rsidR="006646BB">
        <w:t xml:space="preserve"> (10-year) and a s</w:t>
      </w:r>
      <w:r w:rsidR="006646BB" w:rsidRPr="006646BB">
        <w:t xml:space="preserve">urvival to </w:t>
      </w:r>
      <w:r w:rsidR="00DD2659">
        <w:t>second and subsequent</w:t>
      </w:r>
      <w:r w:rsidR="006646BB" w:rsidRPr="006646BB">
        <w:t xml:space="preserve"> line</w:t>
      </w:r>
      <w:r w:rsidR="00DD2659">
        <w:t>s</w:t>
      </w:r>
      <w:r w:rsidR="006646BB" w:rsidRPr="006646BB">
        <w:t xml:space="preserve"> of </w:t>
      </w:r>
      <w:r w:rsidR="00061741" w:rsidRPr="00061741">
        <w:rPr>
          <w:highlight w:val="black"/>
        </w:rPr>
        <w:t>XXXX</w:t>
      </w:r>
      <w:r w:rsidR="006646BB" w:rsidRPr="006646BB">
        <w:t>.</w:t>
      </w:r>
    </w:p>
    <w:p w14:paraId="4B740F24" w14:textId="31E2159B" w:rsidR="00905EC5" w:rsidRPr="005B6BB7" w:rsidRDefault="00905EC5" w:rsidP="005B6BB7">
      <w:r>
        <w:t>Both submissions as</w:t>
      </w:r>
      <w:r w:rsidR="00D02D3B">
        <w:t xml:space="preserve">sumed that each patient would have approx. </w:t>
      </w:r>
      <w:r w:rsidR="00061741" w:rsidRPr="00061741">
        <w:rPr>
          <w:highlight w:val="black"/>
        </w:rPr>
        <w:t>XXXX</w:t>
      </w:r>
      <w:r w:rsidR="00D02D3B">
        <w:t xml:space="preserve"> scripts per year.</w:t>
      </w:r>
    </w:p>
    <w:p w14:paraId="0312FFEC" w14:textId="5C6A9662" w:rsidR="00E677DD" w:rsidRDefault="00E677DD" w:rsidP="00CF5E22">
      <w:pPr>
        <w:pStyle w:val="Heading1"/>
      </w:pPr>
      <w:r w:rsidRPr="005E22C2">
        <w:t>Method</w:t>
      </w:r>
      <w:r w:rsidR="001B5D37" w:rsidRPr="005E22C2">
        <w:t>s</w:t>
      </w:r>
    </w:p>
    <w:p w14:paraId="05848B7E" w14:textId="1C7F5124" w:rsidR="00037126" w:rsidRDefault="00037126" w:rsidP="00037126">
      <w:proofErr w:type="gramStart"/>
      <w:r w:rsidRPr="00B80402">
        <w:t>Authorities</w:t>
      </w:r>
      <w:proofErr w:type="gramEnd"/>
      <w:r w:rsidRPr="00B80402">
        <w:t xml:space="preserve"> data and prescriptions data </w:t>
      </w:r>
      <w:r w:rsidRPr="0012469C">
        <w:rPr>
          <w:rFonts w:cstheme="minorHAnsi"/>
          <w:color w:val="222222"/>
          <w:shd w:val="clear" w:color="auto" w:fill="FFFFFF"/>
        </w:rPr>
        <w:t>maintained by the Department of Health</w:t>
      </w:r>
      <w:r w:rsidR="00522608">
        <w:rPr>
          <w:rFonts w:cstheme="minorHAnsi"/>
          <w:color w:val="222222"/>
          <w:shd w:val="clear" w:color="auto" w:fill="FFFFFF"/>
        </w:rPr>
        <w:t>, Disability</w:t>
      </w:r>
      <w:r w:rsidRPr="0012469C">
        <w:rPr>
          <w:rFonts w:cstheme="minorHAnsi"/>
          <w:color w:val="222222"/>
          <w:shd w:val="clear" w:color="auto" w:fill="FFFFFF"/>
        </w:rPr>
        <w:t xml:space="preserve"> and Age</w:t>
      </w:r>
      <w:r w:rsidR="00522608">
        <w:rPr>
          <w:rFonts w:cstheme="minorHAnsi"/>
          <w:color w:val="222222"/>
          <w:shd w:val="clear" w:color="auto" w:fill="FFFFFF"/>
        </w:rPr>
        <w:t>ing</w:t>
      </w:r>
      <w:r w:rsidRPr="0012469C">
        <w:rPr>
          <w:rFonts w:cstheme="minorHAnsi"/>
          <w:color w:val="222222"/>
          <w:shd w:val="clear" w:color="auto" w:fill="FFFFFF"/>
        </w:rPr>
        <w:t>, processed by Services Australia,</w:t>
      </w:r>
      <w:r>
        <w:rPr>
          <w:rFonts w:ascii="Open Sans" w:hAnsi="Open Sans" w:cs="Open Sans"/>
          <w:color w:val="222222"/>
          <w:sz w:val="20"/>
          <w:szCs w:val="20"/>
          <w:shd w:val="clear" w:color="auto" w:fill="FFFFFF"/>
        </w:rPr>
        <w:t> </w:t>
      </w:r>
      <w:r w:rsidRPr="00B80402">
        <w:t>was extracted from 1</w:t>
      </w:r>
      <w:r>
        <w:t xml:space="preserve"> July 2022</w:t>
      </w:r>
      <w:r w:rsidR="00B76560">
        <w:t xml:space="preserve"> to 30 June 2024</w:t>
      </w:r>
      <w:r w:rsidRPr="00B80402">
        <w:t xml:space="preserve">. Data was extracted based on the date of supply. </w:t>
      </w:r>
      <w:r>
        <w:t>D</w:t>
      </w:r>
      <w:r w:rsidRPr="00B80402">
        <w:t xml:space="preserve">ata is presented by </w:t>
      </w:r>
      <w:r>
        <w:t>financial</w:t>
      </w:r>
      <w:r w:rsidRPr="00B80402">
        <w:t xml:space="preserve"> year </w:t>
      </w:r>
      <w:r>
        <w:t>1 July to 30 June.</w:t>
      </w:r>
    </w:p>
    <w:p w14:paraId="48E8190B" w14:textId="77777777" w:rsidR="00037126" w:rsidRPr="00B80402" w:rsidRDefault="00037126" w:rsidP="00037126">
      <w:pPr>
        <w:spacing w:before="240"/>
        <w:rPr>
          <w:b/>
          <w:bCs/>
          <w:i/>
          <w:iCs/>
        </w:rPr>
      </w:pPr>
      <w:r w:rsidRPr="00B80402">
        <w:rPr>
          <w:b/>
          <w:bCs/>
          <w:i/>
          <w:iCs/>
        </w:rPr>
        <w:t>Patient level analysis</w:t>
      </w:r>
    </w:p>
    <w:p w14:paraId="0B15A4A6" w14:textId="2E7DE249" w:rsidR="00037126" w:rsidRDefault="00037126" w:rsidP="00037126">
      <w:r w:rsidRPr="00B80402">
        <w:t xml:space="preserve">The number of </w:t>
      </w:r>
      <w:r w:rsidR="00363892">
        <w:t xml:space="preserve">incident patients, </w:t>
      </w:r>
      <w:r w:rsidRPr="00B80402">
        <w:t>prevalent patients</w:t>
      </w:r>
      <w:r w:rsidR="000142B6">
        <w:t>, and scripts dispensed</w:t>
      </w:r>
      <w:r w:rsidRPr="00B80402">
        <w:t xml:space="preserve"> was determined by counting the number of people supplied at least one PBS prescription using person specific numbers (non-identifying) in the data for the specified time periods. Patient initiation was defined as the date of supply of the first PBS or RPBS prescription.</w:t>
      </w:r>
    </w:p>
    <w:p w14:paraId="7916D692" w14:textId="23B1F830" w:rsidR="007208B8" w:rsidRDefault="007208B8" w:rsidP="00346762">
      <w:r>
        <w:t xml:space="preserve">PBS prescription data also contains age and gender information. </w:t>
      </w:r>
      <w:r w:rsidR="00D01051" w:rsidRPr="00D01051">
        <w:t xml:space="preserve">Patient age was derived as the age at first supply. </w:t>
      </w:r>
      <w:r>
        <w:t xml:space="preserve">This information was used to perform a breakdown of </w:t>
      </w:r>
      <w:r w:rsidR="00363892">
        <w:t xml:space="preserve">incident </w:t>
      </w:r>
      <w:r>
        <w:t>patients by age and gender.</w:t>
      </w:r>
      <w:r w:rsidR="00346762">
        <w:t xml:space="preserve"> </w:t>
      </w:r>
      <w:r w:rsidR="00346762" w:rsidRPr="00B80402">
        <w:t>Patient age</w:t>
      </w:r>
      <w:r w:rsidR="00346762">
        <w:t xml:space="preserve"> was derived as the age at first supply</w:t>
      </w:r>
      <w:r w:rsidR="00346762" w:rsidRPr="00B80402">
        <w:t xml:space="preserve">. </w:t>
      </w:r>
    </w:p>
    <w:p w14:paraId="43D04CC8" w14:textId="77777777" w:rsidR="009E53A0" w:rsidRDefault="009E53A0" w:rsidP="009E53A0">
      <w:pPr>
        <w:tabs>
          <w:tab w:val="left" w:pos="720"/>
        </w:tabs>
        <w:autoSpaceDE w:val="0"/>
        <w:autoSpaceDN w:val="0"/>
        <w:adjustRightInd w:val="0"/>
        <w:spacing w:before="240"/>
        <w:rPr>
          <w:rFonts w:ascii="Calibri" w:hAnsi="Calibri" w:cs="Calibri"/>
          <w:b/>
          <w:bCs/>
          <w:i/>
          <w:iCs/>
        </w:rPr>
      </w:pPr>
      <w:r>
        <w:rPr>
          <w:rFonts w:ascii="Calibri" w:hAnsi="Calibri" w:cs="Calibri"/>
          <w:b/>
          <w:bCs/>
          <w:i/>
          <w:iCs/>
        </w:rPr>
        <w:t>Prescriber analysis</w:t>
      </w:r>
    </w:p>
    <w:p w14:paraId="0234EF63" w14:textId="5445F522" w:rsidR="009E53A0" w:rsidRPr="00460ADC" w:rsidRDefault="009E53A0" w:rsidP="00460ADC">
      <w:pPr>
        <w:autoSpaceDE w:val="0"/>
        <w:autoSpaceDN w:val="0"/>
        <w:adjustRightInd w:val="0"/>
        <w:rPr>
          <w:rFonts w:ascii="Calibri" w:hAnsi="Calibri" w:cs="Calibri"/>
        </w:rPr>
      </w:pPr>
      <w:r>
        <w:rPr>
          <w:rFonts w:ascii="Calibri" w:hAnsi="Calibri" w:cs="Calibri"/>
        </w:rPr>
        <w:t>Number and proportion of prescriptions dispensed by prescriber type over time was derived by specialities.</w:t>
      </w:r>
    </w:p>
    <w:p w14:paraId="1E638B21" w14:textId="77777777" w:rsidR="00863641" w:rsidRDefault="00863641" w:rsidP="00863641">
      <w:pPr>
        <w:rPr>
          <w:b/>
          <w:bCs/>
          <w:i/>
          <w:iCs/>
        </w:rPr>
      </w:pPr>
      <w:r w:rsidRPr="003251DC">
        <w:rPr>
          <w:b/>
          <w:bCs/>
          <w:i/>
          <w:iCs/>
        </w:rPr>
        <w:t>Treatment sequence</w:t>
      </w:r>
    </w:p>
    <w:p w14:paraId="5D92A858" w14:textId="1F3668C7" w:rsidR="00BC06AF" w:rsidRDefault="00863641" w:rsidP="00C37CD5">
      <w:pPr>
        <w:spacing w:after="0"/>
      </w:pPr>
      <w:r w:rsidRPr="007B03A0">
        <w:t>To determine the therap</w:t>
      </w:r>
      <w:r>
        <w:t xml:space="preserve">y sequence from </w:t>
      </w:r>
      <w:proofErr w:type="gramStart"/>
      <w:r w:rsidRPr="00673283">
        <w:t>f</w:t>
      </w:r>
      <w:r>
        <w:t>irst</w:t>
      </w:r>
      <w:r w:rsidR="00CC3DEB">
        <w:t>-</w:t>
      </w:r>
      <w:r>
        <w:t>line</w:t>
      </w:r>
      <w:proofErr w:type="gramEnd"/>
      <w:r>
        <w:t xml:space="preserve"> to second</w:t>
      </w:r>
      <w:r w:rsidR="00CC3DEB">
        <w:t>-</w:t>
      </w:r>
      <w:r>
        <w:t xml:space="preserve">line treatment </w:t>
      </w:r>
      <w:r w:rsidRPr="007B03A0">
        <w:t>with</w:t>
      </w:r>
      <w:r>
        <w:t xml:space="preserve"> </w:t>
      </w:r>
      <w:proofErr w:type="spellStart"/>
      <w:r w:rsidR="00193F8E">
        <w:t>zanubrutinib</w:t>
      </w:r>
      <w:proofErr w:type="spellEnd"/>
      <w:r w:rsidR="00193F8E">
        <w:t xml:space="preserve"> for WM</w:t>
      </w:r>
      <w:r w:rsidRPr="007B03A0">
        <w:t xml:space="preserve">, prescription data for the </w:t>
      </w:r>
      <w:r>
        <w:t>first</w:t>
      </w:r>
      <w:r w:rsidR="00C833A3">
        <w:t>-</w:t>
      </w:r>
      <w:r>
        <w:t>line medications</w:t>
      </w:r>
      <w:r w:rsidR="006F22F5">
        <w:rPr>
          <w:rStyle w:val="FootnoteReference"/>
        </w:rPr>
        <w:footnoteReference w:id="7"/>
      </w:r>
      <w:r w:rsidR="00BB639E" w:rsidRPr="00BB639E">
        <w:rPr>
          <w:vertAlign w:val="superscript"/>
        </w:rPr>
        <w:t>,</w:t>
      </w:r>
      <w:r w:rsidR="00BE2D07">
        <w:rPr>
          <w:rStyle w:val="FootnoteReference"/>
        </w:rPr>
        <w:footnoteReference w:id="8"/>
      </w:r>
      <w:r w:rsidR="00740453" w:rsidRPr="00740453">
        <w:rPr>
          <w:vertAlign w:val="superscript"/>
        </w:rPr>
        <w:t>,</w:t>
      </w:r>
      <w:r w:rsidR="00A864C0">
        <w:rPr>
          <w:rStyle w:val="FootnoteReference"/>
        </w:rPr>
        <w:footnoteReference w:id="9"/>
      </w:r>
      <w:r w:rsidR="003B5EE8">
        <w:t xml:space="preserve"> </w:t>
      </w:r>
      <w:r>
        <w:t xml:space="preserve">for the </w:t>
      </w:r>
      <w:r w:rsidR="003C0256">
        <w:t>treatment of WM</w:t>
      </w:r>
      <w:r w:rsidRPr="007B03A0">
        <w:t xml:space="preserve"> listed in Appendix A were extracted from </w:t>
      </w:r>
      <w:r>
        <w:t xml:space="preserve">the start of </w:t>
      </w:r>
      <w:r w:rsidRPr="007B03A0">
        <w:t>J</w:t>
      </w:r>
      <w:r w:rsidR="004A16E5">
        <w:t>uly 2022</w:t>
      </w:r>
      <w:r w:rsidRPr="007B03A0">
        <w:t xml:space="preserve"> to the end of </w:t>
      </w:r>
      <w:r w:rsidR="004A16E5">
        <w:t>June</w:t>
      </w:r>
      <w:r w:rsidRPr="007B03A0">
        <w:t xml:space="preserve"> 2024. These data were merged with patients who had been supplied </w:t>
      </w:r>
      <w:proofErr w:type="spellStart"/>
      <w:r w:rsidR="003337EA" w:rsidRPr="004C2DA8">
        <w:t>zanubrutinib</w:t>
      </w:r>
      <w:proofErr w:type="spellEnd"/>
      <w:r>
        <w:t xml:space="preserve"> to identify the l</w:t>
      </w:r>
      <w:r w:rsidRPr="002A7EAD">
        <w:t xml:space="preserve">ast </w:t>
      </w:r>
      <w:r>
        <w:t>first-</w:t>
      </w:r>
      <w:r w:rsidRPr="002A7EAD">
        <w:t xml:space="preserve">line </w:t>
      </w:r>
      <w:r>
        <w:t>medication which was used</w:t>
      </w:r>
      <w:r w:rsidRPr="002A7EAD">
        <w:t xml:space="preserve"> directly prior to the most recent use of </w:t>
      </w:r>
      <w:proofErr w:type="spellStart"/>
      <w:r w:rsidR="003337EA" w:rsidRPr="004C2DA8">
        <w:t>zanubrutinib</w:t>
      </w:r>
      <w:proofErr w:type="spellEnd"/>
      <w:r>
        <w:t>.</w:t>
      </w:r>
      <w:r w:rsidR="00EC5606">
        <w:t xml:space="preserve"> </w:t>
      </w:r>
      <w:r w:rsidR="00C57B06">
        <w:t>T</w:t>
      </w:r>
      <w:r w:rsidR="002F738F">
        <w:t xml:space="preserve">he data used in this analysis are </w:t>
      </w:r>
      <w:r w:rsidR="00C57B06">
        <w:t xml:space="preserve">drawn </w:t>
      </w:r>
      <w:r w:rsidR="002F738F">
        <w:t xml:space="preserve">from the </w:t>
      </w:r>
      <w:r w:rsidR="002F738F" w:rsidRPr="002F738F">
        <w:t>PBS prescription database</w:t>
      </w:r>
      <w:r w:rsidR="00C57B06">
        <w:t>,</w:t>
      </w:r>
      <w:r w:rsidR="002F738F" w:rsidRPr="002F738F">
        <w:t xml:space="preserve"> </w:t>
      </w:r>
      <w:r w:rsidR="002F738F">
        <w:t xml:space="preserve">it does not include data on non-PBS medications </w:t>
      </w:r>
      <w:r w:rsidR="00C57B06">
        <w:t xml:space="preserve">that </w:t>
      </w:r>
      <w:r w:rsidR="002F738F">
        <w:t>may have been dispensed in the first-line setting</w:t>
      </w:r>
      <w:r w:rsidR="00354337">
        <w:t xml:space="preserve"> for WM</w:t>
      </w:r>
      <w:r w:rsidR="002F738F">
        <w:t xml:space="preserve">. </w:t>
      </w:r>
      <w:r w:rsidR="002F738F" w:rsidRPr="002F738F">
        <w:t xml:space="preserve">Medications which are commonly used for the first-line </w:t>
      </w:r>
      <w:r w:rsidR="002F738F" w:rsidRPr="002F738F">
        <w:lastRenderedPageBreak/>
        <w:t>treatment of WM that are either not PBS listed or PBS listed only for other indications are not included</w:t>
      </w:r>
      <w:r w:rsidR="00C57B06">
        <w:t xml:space="preserve"> in this analysis</w:t>
      </w:r>
      <w:r w:rsidR="002F738F" w:rsidRPr="002F738F">
        <w:t>.</w:t>
      </w:r>
    </w:p>
    <w:p w14:paraId="36FFE8B7" w14:textId="77777777" w:rsidR="00460ADC" w:rsidRDefault="00460ADC" w:rsidP="00C37CD5">
      <w:pPr>
        <w:spacing w:after="0"/>
      </w:pPr>
    </w:p>
    <w:p w14:paraId="31E91C22" w14:textId="373E9A39" w:rsidR="00E67D0B" w:rsidRPr="00D63334" w:rsidRDefault="00E67D0B" w:rsidP="00C37CD5">
      <w:pPr>
        <w:spacing w:after="0"/>
        <w:rPr>
          <w:b/>
          <w:bCs/>
          <w:i/>
          <w:iCs/>
        </w:rPr>
      </w:pPr>
      <w:r w:rsidRPr="00D63334">
        <w:rPr>
          <w:b/>
          <w:bCs/>
          <w:i/>
          <w:iCs/>
        </w:rPr>
        <w:t xml:space="preserve">Dose modification </w:t>
      </w:r>
    </w:p>
    <w:p w14:paraId="1DC8BCD3" w14:textId="77777777" w:rsidR="00E67D0B" w:rsidRDefault="00E67D0B" w:rsidP="00C37CD5">
      <w:pPr>
        <w:spacing w:after="0"/>
      </w:pPr>
    </w:p>
    <w:p w14:paraId="25B30FBA" w14:textId="718D8A2C" w:rsidR="00460ADC" w:rsidRPr="002D127D" w:rsidRDefault="00B8079A" w:rsidP="002D127D">
      <w:pPr>
        <w:rPr>
          <w:rFonts w:ascii="Calibri" w:eastAsia="Times New Roman" w:hAnsi="Calibri" w:cs="Calibri"/>
          <w:color w:val="000000"/>
        </w:rPr>
      </w:pPr>
      <w:r>
        <w:t>Z</w:t>
      </w:r>
      <w:r w:rsidRPr="00B8079A">
        <w:t xml:space="preserve">anubrutinib for WM </w:t>
      </w:r>
      <w:r w:rsidR="00E67D0B" w:rsidRPr="004059E7">
        <w:t xml:space="preserve">is </w:t>
      </w:r>
      <w:r>
        <w:t xml:space="preserve">taken </w:t>
      </w:r>
      <w:r w:rsidR="007A3213">
        <w:t>either as 160</w:t>
      </w:r>
      <w:r w:rsidR="008D1C08">
        <w:t xml:space="preserve"> </w:t>
      </w:r>
      <w:r w:rsidR="007A3213">
        <w:t>mg twice a day or 320</w:t>
      </w:r>
      <w:r w:rsidR="008D1C08">
        <w:t xml:space="preserve"> </w:t>
      </w:r>
      <w:r w:rsidR="007A3213">
        <w:t>mg daily. Dose may be modified</w:t>
      </w:r>
      <w:r w:rsidR="00877CAC">
        <w:t xml:space="preserve"> </w:t>
      </w:r>
      <w:r w:rsidR="00E67D0B" w:rsidRPr="004059E7">
        <w:t xml:space="preserve">due to </w:t>
      </w:r>
      <w:r w:rsidR="0081540C">
        <w:t>h</w:t>
      </w:r>
      <w:r w:rsidR="00955AB3">
        <w:t xml:space="preserve">aematological or non-haematological </w:t>
      </w:r>
      <w:r w:rsidR="00E67D0B" w:rsidRPr="004059E7">
        <w:t>toxicities</w:t>
      </w:r>
      <w:r w:rsidR="00955AB3">
        <w:t xml:space="preserve">, hepatic impairment or </w:t>
      </w:r>
      <w:r w:rsidR="006477D1">
        <w:t>c</w:t>
      </w:r>
      <w:r w:rsidR="006477D1" w:rsidRPr="006477D1">
        <w:t>oncomitant use with CYP3A4 inhibitor</w:t>
      </w:r>
      <w:r w:rsidR="003E34A1">
        <w:t>.</w:t>
      </w:r>
      <w:r w:rsidR="00E207EF">
        <w:rPr>
          <w:rStyle w:val="FootnoteReference"/>
        </w:rPr>
        <w:footnoteReference w:id="10"/>
      </w:r>
      <w:r w:rsidR="00E67D0B" w:rsidRPr="004059E7">
        <w:t xml:space="preserve"> </w:t>
      </w:r>
      <w:r w:rsidR="006477D1">
        <w:t xml:space="preserve">The dose of </w:t>
      </w:r>
      <w:proofErr w:type="spellStart"/>
      <w:r w:rsidR="006477D1" w:rsidRPr="006477D1">
        <w:t>zanubrutinib</w:t>
      </w:r>
      <w:proofErr w:type="spellEnd"/>
      <w:r w:rsidR="00E67D0B" w:rsidRPr="004059E7">
        <w:t xml:space="preserve"> was determined </w:t>
      </w:r>
      <w:r w:rsidR="00E67D0B" w:rsidRPr="002351CE">
        <w:t>by</w:t>
      </w:r>
      <w:r w:rsidR="00E67D0B">
        <w:t xml:space="preserve"> calculating</w:t>
      </w:r>
      <w:r w:rsidR="00E67D0B" w:rsidRPr="002351CE">
        <w:t xml:space="preserve"> the total amount of drug dispensed as the product of the mass per unit of drug supplied by the PBS quantity dispensed. </w:t>
      </w:r>
    </w:p>
    <w:p w14:paraId="26F20248" w14:textId="77777777" w:rsidR="00D056E2" w:rsidRDefault="00D056E2" w:rsidP="00C37CD5">
      <w:pPr>
        <w:spacing w:after="0"/>
      </w:pPr>
    </w:p>
    <w:p w14:paraId="224EBC92" w14:textId="77777777" w:rsidR="0086569E" w:rsidRPr="0086569E" w:rsidRDefault="0086569E" w:rsidP="0086569E">
      <w:pPr>
        <w:spacing w:after="0"/>
        <w:rPr>
          <w:b/>
          <w:bCs/>
          <w:i/>
          <w:iCs/>
        </w:rPr>
      </w:pPr>
      <w:r w:rsidRPr="0086569E">
        <w:rPr>
          <w:b/>
          <w:bCs/>
          <w:i/>
          <w:iCs/>
        </w:rPr>
        <w:t>Treatment duration analysis</w:t>
      </w:r>
    </w:p>
    <w:p w14:paraId="287B68DC" w14:textId="77777777" w:rsidR="0086569E" w:rsidRDefault="0086569E" w:rsidP="0086569E">
      <w:pPr>
        <w:spacing w:after="0"/>
      </w:pPr>
    </w:p>
    <w:p w14:paraId="41A4E4DC" w14:textId="363ABECE" w:rsidR="0086569E" w:rsidRDefault="0086569E" w:rsidP="0086569E">
      <w:pPr>
        <w:spacing w:after="0"/>
      </w:pPr>
      <w:r>
        <w:t xml:space="preserve">Time (days) on treatment for all patients initiating </w:t>
      </w:r>
      <w:bookmarkStart w:id="1" w:name="_Hlk181257431"/>
      <w:proofErr w:type="spellStart"/>
      <w:r w:rsidR="00193F8E" w:rsidRPr="00193F8E">
        <w:t>zanubrutinib</w:t>
      </w:r>
      <w:proofErr w:type="spellEnd"/>
      <w:r w:rsidR="00193F8E" w:rsidRPr="00193F8E">
        <w:t xml:space="preserve"> for WM </w:t>
      </w:r>
      <w:bookmarkEnd w:id="1"/>
      <w:r>
        <w:t xml:space="preserve">with follow-up </w:t>
      </w:r>
    </w:p>
    <w:p w14:paraId="6DECB21F" w14:textId="3E74BC64" w:rsidR="0086569E" w:rsidRDefault="0086569E" w:rsidP="0086569E">
      <w:pPr>
        <w:spacing w:after="0"/>
      </w:pPr>
      <w:r>
        <w:t xml:space="preserve">to the end of </w:t>
      </w:r>
      <w:r w:rsidR="00193F8E">
        <w:t>June 2024</w:t>
      </w:r>
      <w:r>
        <w:t xml:space="preserve"> (excluding patients initiating in the last 6 months, i.e. on or </w:t>
      </w:r>
    </w:p>
    <w:p w14:paraId="2C7A462D" w14:textId="5C3DB5E1" w:rsidR="0086569E" w:rsidRDefault="0086569E" w:rsidP="0086569E">
      <w:pPr>
        <w:spacing w:after="0"/>
      </w:pPr>
      <w:r>
        <w:t xml:space="preserve">after 1 </w:t>
      </w:r>
      <w:r w:rsidR="00E45ACD">
        <w:t>January</w:t>
      </w:r>
      <w:r>
        <w:t xml:space="preserve"> 202</w:t>
      </w:r>
      <w:r w:rsidR="00E45ACD">
        <w:t>4</w:t>
      </w:r>
      <w:r>
        <w:t xml:space="preserve">). Kaplan-Meier analysis was undertaken to analyse the time on </w:t>
      </w:r>
    </w:p>
    <w:p w14:paraId="69E2EA03" w14:textId="77777777" w:rsidR="0086569E" w:rsidRDefault="0086569E" w:rsidP="0086569E">
      <w:pPr>
        <w:spacing w:after="0"/>
      </w:pPr>
      <w:r>
        <w:t>treatment. Time on treatment was determined with and without treatment breaks.</w:t>
      </w:r>
    </w:p>
    <w:p w14:paraId="413861BC" w14:textId="77777777" w:rsidR="0086569E" w:rsidRDefault="0086569E" w:rsidP="0086569E">
      <w:pPr>
        <w:spacing w:after="0"/>
      </w:pPr>
      <w:r>
        <w:t xml:space="preserve">Patients were assumed to have had a break in therapy if there was a period of no supply </w:t>
      </w:r>
    </w:p>
    <w:p w14:paraId="2B0A51AC" w14:textId="77777777" w:rsidR="0086569E" w:rsidRDefault="0086569E" w:rsidP="0086569E">
      <w:pPr>
        <w:spacing w:after="0"/>
      </w:pPr>
      <w:r>
        <w:t xml:space="preserve">equivalent to three times the median time between supplies (i.e. 90 days, 3 x 30 days). </w:t>
      </w:r>
    </w:p>
    <w:p w14:paraId="45EC0E4C" w14:textId="77777777" w:rsidR="0086569E" w:rsidRDefault="0086569E" w:rsidP="0086569E">
      <w:pPr>
        <w:spacing w:after="0"/>
      </w:pPr>
      <w:r>
        <w:t xml:space="preserve">Patients who had a supply within 90 days of the analysis end date were assumed to be </w:t>
      </w:r>
    </w:p>
    <w:p w14:paraId="31FA5700" w14:textId="0BED5925" w:rsidR="00D056E2" w:rsidRDefault="0086569E" w:rsidP="0086569E">
      <w:pPr>
        <w:spacing w:after="0"/>
      </w:pPr>
      <w:proofErr w:type="gramStart"/>
      <w:r>
        <w:t>continuing on</w:t>
      </w:r>
      <w:proofErr w:type="gramEnd"/>
      <w:r>
        <w:t xml:space="preserve"> therapy. These patients were censored from the Kaplan-Meier analysis.</w:t>
      </w:r>
      <w:r>
        <w:cr/>
      </w:r>
    </w:p>
    <w:p w14:paraId="6BB48535" w14:textId="77777777" w:rsidR="00C01817" w:rsidRPr="00B80402" w:rsidRDefault="00C01817" w:rsidP="00C01817">
      <w:pPr>
        <w:rPr>
          <w:b/>
          <w:bCs/>
          <w:i/>
          <w:iCs/>
        </w:rPr>
      </w:pPr>
      <w:r w:rsidRPr="00B80402">
        <w:rPr>
          <w:b/>
          <w:bCs/>
          <w:i/>
          <w:iCs/>
        </w:rPr>
        <w:t>Predicted versus actual analysis</w:t>
      </w:r>
    </w:p>
    <w:p w14:paraId="07674156" w14:textId="77777777" w:rsidR="00C01817" w:rsidRPr="00B80402" w:rsidRDefault="00C01817" w:rsidP="00C01817">
      <w:r w:rsidRPr="00B80402">
        <w:t xml:space="preserve">Predicted versus actual analysis of the number of patients treated, </w:t>
      </w:r>
      <w:r>
        <w:t xml:space="preserve">and </w:t>
      </w:r>
      <w:r w:rsidRPr="00B80402">
        <w:t xml:space="preserve">prescriptions dispensed. </w:t>
      </w:r>
    </w:p>
    <w:p w14:paraId="1F42361E" w14:textId="77777777" w:rsidR="00C01817" w:rsidRPr="00B80402" w:rsidRDefault="00C01817" w:rsidP="00C01817">
      <w:r w:rsidRPr="00B80402">
        <w:t>The differences in actual compared to predicted utilisation was determined using the following calculation:</w:t>
      </w:r>
    </w:p>
    <w:p w14:paraId="3E929081" w14:textId="5DBA39A5" w:rsidR="009E53A0" w:rsidRDefault="00C01817" w:rsidP="00D916D2">
      <w:r w:rsidRPr="00B80402">
        <w:t>Difference (%) = ((Actual – Predicted)/Predicted) x 100.</w:t>
      </w:r>
    </w:p>
    <w:p w14:paraId="3BE29463" w14:textId="77777777" w:rsidR="001B538D" w:rsidRDefault="001B538D" w:rsidP="00D916D2"/>
    <w:p w14:paraId="47560368" w14:textId="77777777" w:rsidR="001B538D" w:rsidRDefault="001B538D" w:rsidP="00D916D2"/>
    <w:p w14:paraId="6BFA5BB5" w14:textId="77777777" w:rsidR="001B538D" w:rsidRDefault="001B538D" w:rsidP="00D916D2"/>
    <w:p w14:paraId="6E5607CD" w14:textId="77777777" w:rsidR="001B538D" w:rsidRPr="00BC06AF" w:rsidRDefault="001B538D" w:rsidP="00D916D2"/>
    <w:p w14:paraId="4F91A98A" w14:textId="00180E30" w:rsidR="00C714D0" w:rsidRPr="005E22C2" w:rsidRDefault="00C714D0" w:rsidP="00CF5E22">
      <w:pPr>
        <w:pStyle w:val="Heading1"/>
      </w:pPr>
      <w:r w:rsidRPr="005E22C2">
        <w:lastRenderedPageBreak/>
        <w:t>Results</w:t>
      </w:r>
    </w:p>
    <w:p w14:paraId="2221FF19" w14:textId="336CE8B2" w:rsidR="00736041" w:rsidRPr="005E22C2" w:rsidRDefault="001B5D37" w:rsidP="00CF5E22">
      <w:pPr>
        <w:pStyle w:val="Heading2"/>
      </w:pPr>
      <w:r w:rsidRPr="005E22C2">
        <w:t xml:space="preserve">Analysis </w:t>
      </w:r>
      <w:r w:rsidR="00736041" w:rsidRPr="005E22C2">
        <w:t xml:space="preserve">of </w:t>
      </w:r>
      <w:r w:rsidR="0063631C">
        <w:t>d</w:t>
      </w:r>
      <w:r w:rsidR="00E677DD" w:rsidRPr="005E22C2">
        <w:t xml:space="preserve">rug </w:t>
      </w:r>
      <w:r w:rsidR="0063631C">
        <w:t>u</w:t>
      </w:r>
      <w:r w:rsidR="00E677DD" w:rsidRPr="005E22C2">
        <w:t>tilisation</w:t>
      </w:r>
    </w:p>
    <w:p w14:paraId="09F8A9BC" w14:textId="35E50016" w:rsidR="006A44F5" w:rsidRDefault="00736041" w:rsidP="00CF5E22">
      <w:pPr>
        <w:pStyle w:val="Heading3"/>
      </w:pPr>
      <w:r w:rsidRPr="005E22C2">
        <w:t>Overall utilisation</w:t>
      </w:r>
    </w:p>
    <w:p w14:paraId="0FCA0050" w14:textId="3B8CE404" w:rsidR="00060D9F" w:rsidRPr="006A3636" w:rsidRDefault="00060D9F" w:rsidP="00060D9F">
      <w:pPr>
        <w:pStyle w:val="Figurecaption"/>
        <w:spacing w:before="200" w:after="20"/>
        <w:rPr>
          <w:b/>
          <w:bCs/>
          <w:sz w:val="24"/>
          <w:szCs w:val="24"/>
        </w:rPr>
      </w:pPr>
      <w:r w:rsidRPr="006A3636">
        <w:rPr>
          <w:b/>
          <w:bCs/>
          <w:sz w:val="24"/>
          <w:szCs w:val="24"/>
        </w:rPr>
        <w:t xml:space="preserve">Table </w:t>
      </w:r>
      <w:r w:rsidR="000C7A25">
        <w:rPr>
          <w:b/>
          <w:bCs/>
          <w:sz w:val="24"/>
          <w:szCs w:val="24"/>
        </w:rPr>
        <w:t>2</w:t>
      </w:r>
      <w:r w:rsidRPr="006A3636">
        <w:rPr>
          <w:b/>
          <w:bCs/>
          <w:sz w:val="24"/>
          <w:szCs w:val="24"/>
        </w:rPr>
        <w:t>: Number of incident (new)prevalent (total treated) patients and scripts by listing year</w:t>
      </w: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2"/>
        <w:gridCol w:w="2882"/>
        <w:gridCol w:w="2883"/>
      </w:tblGrid>
      <w:tr w:rsidR="00060D9F" w:rsidRPr="00D111D2" w14:paraId="3BEF4661" w14:textId="77777777" w:rsidTr="00FD6DAA">
        <w:trPr>
          <w:trHeight w:val="312"/>
        </w:trPr>
        <w:tc>
          <w:tcPr>
            <w:tcW w:w="2882" w:type="dxa"/>
            <w:shd w:val="clear" w:color="auto" w:fill="BFBFBF" w:themeFill="background1" w:themeFillShade="BF"/>
            <w:noWrap/>
            <w:hideMark/>
          </w:tcPr>
          <w:p w14:paraId="537AABAB" w14:textId="77777777" w:rsidR="00060D9F" w:rsidRPr="001C68E6" w:rsidRDefault="00060D9F" w:rsidP="00572C86">
            <w:pPr>
              <w:spacing w:before="60" w:after="60"/>
              <w:rPr>
                <w:rFonts w:ascii="Calibri" w:eastAsia="Times New Roman" w:hAnsi="Calibri" w:cs="Calibri"/>
                <w:color w:val="000000"/>
                <w:sz w:val="20"/>
                <w:szCs w:val="20"/>
              </w:rPr>
            </w:pPr>
          </w:p>
        </w:tc>
        <w:tc>
          <w:tcPr>
            <w:tcW w:w="2882" w:type="dxa"/>
            <w:shd w:val="clear" w:color="auto" w:fill="BFBFBF" w:themeFill="background1" w:themeFillShade="BF"/>
            <w:noWrap/>
            <w:vAlign w:val="center"/>
            <w:hideMark/>
          </w:tcPr>
          <w:p w14:paraId="24189836" w14:textId="230717FD" w:rsidR="00060D9F" w:rsidRPr="001C68E6" w:rsidRDefault="00060D9F" w:rsidP="00572C86">
            <w:pPr>
              <w:spacing w:before="60" w:after="60"/>
              <w:jc w:val="center"/>
              <w:rPr>
                <w:rFonts w:ascii="Calibri" w:eastAsia="Times New Roman" w:hAnsi="Calibri" w:cs="Calibri"/>
                <w:b/>
                <w:bCs/>
                <w:color w:val="000000"/>
                <w:sz w:val="20"/>
                <w:szCs w:val="20"/>
              </w:rPr>
            </w:pPr>
            <w:r w:rsidRPr="001C68E6">
              <w:rPr>
                <w:rFonts w:ascii="Calibri" w:eastAsia="Times New Roman" w:hAnsi="Calibri" w:cs="Calibri"/>
                <w:b/>
                <w:bCs/>
                <w:color w:val="000000"/>
                <w:sz w:val="20"/>
                <w:szCs w:val="20"/>
              </w:rPr>
              <w:t>Year 1</w:t>
            </w:r>
            <w:r w:rsidR="00FD6DAA">
              <w:rPr>
                <w:rFonts w:ascii="Calibri" w:eastAsia="Times New Roman" w:hAnsi="Calibri" w:cs="Calibri"/>
                <w:b/>
                <w:bCs/>
                <w:color w:val="000000"/>
                <w:sz w:val="20"/>
                <w:szCs w:val="20"/>
              </w:rPr>
              <w:t xml:space="preserve"> (</w:t>
            </w:r>
            <w:r w:rsidR="00C73077">
              <w:rPr>
                <w:rFonts w:ascii="Calibri" w:eastAsia="Times New Roman" w:hAnsi="Calibri" w:cs="Calibri"/>
                <w:b/>
                <w:bCs/>
                <w:color w:val="000000"/>
                <w:sz w:val="20"/>
                <w:szCs w:val="20"/>
              </w:rPr>
              <w:t>2022-23)</w:t>
            </w:r>
          </w:p>
        </w:tc>
        <w:tc>
          <w:tcPr>
            <w:tcW w:w="2883" w:type="dxa"/>
            <w:shd w:val="clear" w:color="auto" w:fill="BFBFBF" w:themeFill="background1" w:themeFillShade="BF"/>
            <w:noWrap/>
            <w:vAlign w:val="center"/>
            <w:hideMark/>
          </w:tcPr>
          <w:p w14:paraId="5E942855" w14:textId="203E241A" w:rsidR="00060D9F" w:rsidRPr="001C68E6" w:rsidRDefault="00060D9F" w:rsidP="00572C86">
            <w:pPr>
              <w:spacing w:before="60" w:after="60"/>
              <w:jc w:val="center"/>
              <w:rPr>
                <w:rFonts w:ascii="Calibri" w:eastAsia="Times New Roman" w:hAnsi="Calibri" w:cs="Calibri"/>
                <w:b/>
                <w:bCs/>
                <w:color w:val="000000"/>
                <w:sz w:val="20"/>
                <w:szCs w:val="20"/>
              </w:rPr>
            </w:pPr>
            <w:r w:rsidRPr="001C68E6">
              <w:rPr>
                <w:rFonts w:ascii="Calibri" w:eastAsia="Times New Roman" w:hAnsi="Calibri" w:cs="Calibri"/>
                <w:b/>
                <w:bCs/>
                <w:color w:val="000000"/>
                <w:sz w:val="20"/>
                <w:szCs w:val="20"/>
              </w:rPr>
              <w:t>Year 2</w:t>
            </w:r>
            <w:r w:rsidR="00C73077">
              <w:rPr>
                <w:rFonts w:ascii="Calibri" w:eastAsia="Times New Roman" w:hAnsi="Calibri" w:cs="Calibri"/>
                <w:b/>
                <w:bCs/>
                <w:color w:val="000000"/>
                <w:sz w:val="20"/>
                <w:szCs w:val="20"/>
              </w:rPr>
              <w:t xml:space="preserve"> (2023-24)</w:t>
            </w:r>
          </w:p>
        </w:tc>
      </w:tr>
      <w:tr w:rsidR="00FD6DAA" w:rsidRPr="00D111D2" w14:paraId="216FE043" w14:textId="77777777" w:rsidTr="00FD6DAA">
        <w:trPr>
          <w:trHeight w:val="300"/>
        </w:trPr>
        <w:tc>
          <w:tcPr>
            <w:tcW w:w="2882" w:type="dxa"/>
            <w:noWrap/>
            <w:vAlign w:val="center"/>
          </w:tcPr>
          <w:p w14:paraId="3C0D2A82" w14:textId="77777777" w:rsidR="00FD6DAA" w:rsidRPr="001C68E6" w:rsidRDefault="00FD6DAA" w:rsidP="00FD6DAA">
            <w:pPr>
              <w:spacing w:before="60" w:after="60"/>
              <w:rPr>
                <w:rFonts w:ascii="Calibri" w:eastAsia="Times New Roman" w:hAnsi="Calibri" w:cs="Calibri"/>
                <w:color w:val="000000"/>
                <w:sz w:val="20"/>
                <w:szCs w:val="20"/>
              </w:rPr>
            </w:pPr>
            <w:r w:rsidRPr="001C68E6">
              <w:rPr>
                <w:rFonts w:ascii="Calibri" w:eastAsia="Times New Roman" w:hAnsi="Calibri" w:cs="Calibri"/>
                <w:color w:val="000000"/>
                <w:sz w:val="20"/>
                <w:szCs w:val="20"/>
              </w:rPr>
              <w:t>Incident patients</w:t>
            </w:r>
          </w:p>
        </w:tc>
        <w:tc>
          <w:tcPr>
            <w:tcW w:w="2882" w:type="dxa"/>
            <w:noWrap/>
          </w:tcPr>
          <w:p w14:paraId="602482D5" w14:textId="204BF093" w:rsidR="00FD6DAA" w:rsidRPr="00FD6DAA" w:rsidRDefault="00FD6DAA" w:rsidP="00FD6DAA">
            <w:pPr>
              <w:spacing w:before="60" w:after="60"/>
              <w:jc w:val="center"/>
              <w:rPr>
                <w:rFonts w:ascii="Calibri" w:hAnsi="Calibri" w:cs="Calibri"/>
                <w:color w:val="000000"/>
                <w:sz w:val="20"/>
                <w:szCs w:val="20"/>
              </w:rPr>
            </w:pPr>
            <w:r w:rsidRPr="00FD6DAA">
              <w:rPr>
                <w:sz w:val="20"/>
                <w:szCs w:val="20"/>
              </w:rPr>
              <w:t>413</w:t>
            </w:r>
          </w:p>
        </w:tc>
        <w:tc>
          <w:tcPr>
            <w:tcW w:w="2883" w:type="dxa"/>
            <w:noWrap/>
          </w:tcPr>
          <w:p w14:paraId="73BC1BC3" w14:textId="411C4F06" w:rsidR="00FD6DAA" w:rsidRPr="00FD6DAA" w:rsidRDefault="00795A4C" w:rsidP="00FD6DAA">
            <w:pPr>
              <w:spacing w:before="60" w:after="60"/>
              <w:jc w:val="center"/>
              <w:rPr>
                <w:rFonts w:ascii="Calibri" w:hAnsi="Calibri" w:cs="Calibri"/>
                <w:color w:val="000000"/>
                <w:sz w:val="20"/>
                <w:szCs w:val="20"/>
              </w:rPr>
            </w:pPr>
            <w:r>
              <w:rPr>
                <w:rFonts w:ascii="Calibri" w:hAnsi="Calibri" w:cs="Calibri"/>
                <w:color w:val="000000"/>
                <w:sz w:val="20"/>
                <w:szCs w:val="20"/>
              </w:rPr>
              <w:t>372</w:t>
            </w:r>
          </w:p>
        </w:tc>
      </w:tr>
      <w:tr w:rsidR="00FD6DAA" w:rsidRPr="00D111D2" w14:paraId="6ED9039B" w14:textId="77777777" w:rsidTr="00FD6DAA">
        <w:trPr>
          <w:trHeight w:val="300"/>
        </w:trPr>
        <w:tc>
          <w:tcPr>
            <w:tcW w:w="2882" w:type="dxa"/>
            <w:noWrap/>
            <w:vAlign w:val="center"/>
          </w:tcPr>
          <w:p w14:paraId="5BFB34D1" w14:textId="77777777" w:rsidR="00FD6DAA" w:rsidRPr="001C68E6" w:rsidRDefault="00FD6DAA" w:rsidP="00FD6DAA">
            <w:pPr>
              <w:spacing w:before="60" w:after="60"/>
              <w:rPr>
                <w:rFonts w:ascii="Calibri" w:eastAsia="Times New Roman" w:hAnsi="Calibri" w:cs="Calibri"/>
                <w:color w:val="000000"/>
                <w:sz w:val="20"/>
                <w:szCs w:val="20"/>
              </w:rPr>
            </w:pPr>
            <w:r w:rsidRPr="001C68E6">
              <w:rPr>
                <w:rFonts w:ascii="Calibri" w:eastAsia="Times New Roman" w:hAnsi="Calibri" w:cs="Calibri"/>
                <w:color w:val="000000"/>
                <w:sz w:val="20"/>
                <w:szCs w:val="20"/>
              </w:rPr>
              <w:t>Prevalent patients</w:t>
            </w:r>
          </w:p>
        </w:tc>
        <w:tc>
          <w:tcPr>
            <w:tcW w:w="2882" w:type="dxa"/>
            <w:noWrap/>
          </w:tcPr>
          <w:p w14:paraId="4F2624E5" w14:textId="604A6359" w:rsidR="00FD6DAA" w:rsidRPr="00FD6DAA" w:rsidRDefault="007449AF" w:rsidP="00FD6DAA">
            <w:pPr>
              <w:spacing w:before="60" w:after="60"/>
              <w:jc w:val="center"/>
              <w:rPr>
                <w:rFonts w:ascii="Calibri" w:hAnsi="Calibri" w:cs="Calibri"/>
                <w:color w:val="000000"/>
                <w:sz w:val="20"/>
                <w:szCs w:val="20"/>
              </w:rPr>
            </w:pPr>
            <w:r>
              <w:rPr>
                <w:sz w:val="20"/>
                <w:szCs w:val="20"/>
              </w:rPr>
              <w:t>413</w:t>
            </w:r>
          </w:p>
        </w:tc>
        <w:tc>
          <w:tcPr>
            <w:tcW w:w="2883" w:type="dxa"/>
            <w:noWrap/>
          </w:tcPr>
          <w:p w14:paraId="05623F69" w14:textId="2ED2CF2D" w:rsidR="00FD6DAA" w:rsidRPr="00FD6DAA" w:rsidRDefault="00795A4C" w:rsidP="00FD6DAA">
            <w:pPr>
              <w:spacing w:before="60" w:after="60"/>
              <w:jc w:val="center"/>
              <w:rPr>
                <w:rFonts w:ascii="Calibri" w:hAnsi="Calibri" w:cs="Calibri"/>
                <w:color w:val="000000"/>
                <w:sz w:val="20"/>
                <w:szCs w:val="20"/>
              </w:rPr>
            </w:pPr>
            <w:r>
              <w:rPr>
                <w:rFonts w:ascii="Calibri" w:hAnsi="Calibri" w:cs="Calibri"/>
                <w:color w:val="000000"/>
                <w:sz w:val="20"/>
                <w:szCs w:val="20"/>
              </w:rPr>
              <w:t>723</w:t>
            </w:r>
          </w:p>
        </w:tc>
      </w:tr>
      <w:tr w:rsidR="00FD6DAA" w:rsidRPr="00D111D2" w14:paraId="630D81E1" w14:textId="77777777" w:rsidTr="00FD6DAA">
        <w:trPr>
          <w:trHeight w:val="300"/>
        </w:trPr>
        <w:tc>
          <w:tcPr>
            <w:tcW w:w="2882" w:type="dxa"/>
            <w:noWrap/>
            <w:vAlign w:val="center"/>
          </w:tcPr>
          <w:p w14:paraId="166C47C6" w14:textId="77777777" w:rsidR="00FD6DAA" w:rsidRPr="001C68E6" w:rsidRDefault="00FD6DAA" w:rsidP="00FD6DAA">
            <w:pPr>
              <w:spacing w:before="60" w:after="60"/>
              <w:rPr>
                <w:rFonts w:ascii="Calibri" w:eastAsia="Times New Roman" w:hAnsi="Calibri" w:cs="Calibri"/>
                <w:color w:val="000000"/>
                <w:sz w:val="20"/>
                <w:szCs w:val="20"/>
              </w:rPr>
            </w:pPr>
            <w:r w:rsidRPr="001C68E6">
              <w:rPr>
                <w:rFonts w:ascii="Calibri" w:eastAsia="Times New Roman" w:hAnsi="Calibri" w:cs="Calibri"/>
                <w:color w:val="000000"/>
                <w:sz w:val="20"/>
                <w:szCs w:val="20"/>
              </w:rPr>
              <w:t>Total scripts</w:t>
            </w:r>
            <w:r>
              <w:rPr>
                <w:rFonts w:ascii="Calibri" w:eastAsia="Times New Roman" w:hAnsi="Calibri" w:cs="Calibri"/>
                <w:color w:val="000000"/>
                <w:sz w:val="20"/>
                <w:szCs w:val="20"/>
              </w:rPr>
              <w:t xml:space="preserve"> supplied</w:t>
            </w:r>
          </w:p>
        </w:tc>
        <w:tc>
          <w:tcPr>
            <w:tcW w:w="2882" w:type="dxa"/>
            <w:noWrap/>
          </w:tcPr>
          <w:p w14:paraId="530A3126" w14:textId="040474BA" w:rsidR="00FD6DAA" w:rsidRPr="00FD6DAA" w:rsidRDefault="007449AF" w:rsidP="00FD6DAA">
            <w:pPr>
              <w:spacing w:before="60" w:after="60"/>
              <w:jc w:val="center"/>
              <w:rPr>
                <w:rFonts w:ascii="Calibri" w:hAnsi="Calibri" w:cs="Calibri"/>
                <w:color w:val="000000"/>
                <w:sz w:val="20"/>
                <w:szCs w:val="20"/>
              </w:rPr>
            </w:pPr>
            <w:r>
              <w:rPr>
                <w:sz w:val="20"/>
                <w:szCs w:val="20"/>
              </w:rPr>
              <w:t>2</w:t>
            </w:r>
            <w:r w:rsidR="003E34A1">
              <w:rPr>
                <w:sz w:val="20"/>
                <w:szCs w:val="20"/>
              </w:rPr>
              <w:t>,</w:t>
            </w:r>
            <w:r>
              <w:rPr>
                <w:sz w:val="20"/>
                <w:szCs w:val="20"/>
              </w:rPr>
              <w:t>463</w:t>
            </w:r>
          </w:p>
        </w:tc>
        <w:tc>
          <w:tcPr>
            <w:tcW w:w="2883" w:type="dxa"/>
            <w:noWrap/>
          </w:tcPr>
          <w:p w14:paraId="490C5DD0" w14:textId="39FEBBD8" w:rsidR="00FD6DAA" w:rsidRPr="00FD6DAA" w:rsidRDefault="007449AF" w:rsidP="00FD6DAA">
            <w:pPr>
              <w:spacing w:before="60" w:after="60"/>
              <w:jc w:val="center"/>
              <w:rPr>
                <w:rFonts w:ascii="Calibri" w:hAnsi="Calibri" w:cs="Calibri"/>
                <w:color w:val="000000"/>
                <w:sz w:val="20"/>
                <w:szCs w:val="20"/>
              </w:rPr>
            </w:pPr>
            <w:r>
              <w:rPr>
                <w:rFonts w:ascii="Calibri" w:hAnsi="Calibri" w:cs="Calibri"/>
                <w:color w:val="000000"/>
                <w:sz w:val="20"/>
                <w:szCs w:val="20"/>
              </w:rPr>
              <w:t>4</w:t>
            </w:r>
            <w:r w:rsidR="003E34A1">
              <w:rPr>
                <w:rFonts w:ascii="Calibri" w:hAnsi="Calibri" w:cs="Calibri"/>
                <w:color w:val="000000"/>
                <w:sz w:val="20"/>
                <w:szCs w:val="20"/>
              </w:rPr>
              <w:t>,</w:t>
            </w:r>
            <w:r>
              <w:rPr>
                <w:rFonts w:ascii="Calibri" w:hAnsi="Calibri" w:cs="Calibri"/>
                <w:color w:val="000000"/>
                <w:sz w:val="20"/>
                <w:szCs w:val="20"/>
              </w:rPr>
              <w:t>962</w:t>
            </w:r>
          </w:p>
        </w:tc>
      </w:tr>
    </w:tbl>
    <w:p w14:paraId="4B206DD9" w14:textId="77777777" w:rsidR="00060D9F" w:rsidRPr="00945AEB" w:rsidRDefault="00060D9F" w:rsidP="00060D9F">
      <w:pPr>
        <w:spacing w:after="0"/>
        <w:rPr>
          <w:sz w:val="20"/>
          <w:szCs w:val="20"/>
        </w:rPr>
      </w:pPr>
      <w:r>
        <w:rPr>
          <w:sz w:val="20"/>
          <w:szCs w:val="20"/>
        </w:rPr>
        <w:t>Note:</w:t>
      </w:r>
    </w:p>
    <w:p w14:paraId="36230545" w14:textId="703F7C8A" w:rsidR="00060D9F" w:rsidRPr="000F5CE4" w:rsidRDefault="00060D9F" w:rsidP="00060D9F">
      <w:pPr>
        <w:spacing w:after="0"/>
        <w:rPr>
          <w:sz w:val="20"/>
          <w:szCs w:val="20"/>
          <w:vertAlign w:val="superscript"/>
        </w:rPr>
      </w:pPr>
      <w:r w:rsidRPr="00B94780">
        <w:rPr>
          <w:sz w:val="20"/>
          <w:szCs w:val="20"/>
        </w:rPr>
        <w:t>The figures are presented in listing years (</w:t>
      </w:r>
      <w:r>
        <w:rPr>
          <w:sz w:val="20"/>
          <w:szCs w:val="20"/>
        </w:rPr>
        <w:t>July</w:t>
      </w:r>
      <w:r w:rsidRPr="00B94780">
        <w:rPr>
          <w:sz w:val="20"/>
          <w:szCs w:val="20"/>
        </w:rPr>
        <w:t xml:space="preserve"> to </w:t>
      </w:r>
      <w:r>
        <w:rPr>
          <w:sz w:val="20"/>
          <w:szCs w:val="20"/>
        </w:rPr>
        <w:t>June</w:t>
      </w:r>
      <w:r w:rsidRPr="00B94780">
        <w:rPr>
          <w:sz w:val="20"/>
          <w:szCs w:val="20"/>
        </w:rPr>
        <w:t xml:space="preserve">). </w:t>
      </w:r>
    </w:p>
    <w:p w14:paraId="26163621" w14:textId="77777777" w:rsidR="00060D9F" w:rsidRPr="00060D9F" w:rsidRDefault="00060D9F" w:rsidP="00060D9F"/>
    <w:p w14:paraId="1C052F51" w14:textId="133E20F0" w:rsidR="00080992" w:rsidRPr="00080992" w:rsidRDefault="00F2745B" w:rsidP="00080992">
      <w:r>
        <w:rPr>
          <w:noProof/>
        </w:rPr>
        <w:drawing>
          <wp:inline distT="0" distB="0" distL="0" distR="0" wp14:anchorId="51825274" wp14:editId="1B48C975">
            <wp:extent cx="5495925" cy="3648075"/>
            <wp:effectExtent l="0" t="0" r="9525" b="9525"/>
            <wp:docPr id="1420937522" name="Chart 1">
              <a:extLst xmlns:a="http://schemas.openxmlformats.org/drawingml/2006/main">
                <a:ext uri="{FF2B5EF4-FFF2-40B4-BE49-F238E27FC236}">
                  <a16:creationId xmlns:a16="http://schemas.microsoft.com/office/drawing/2014/main" id="{1D96A9D4-D524-3657-BB17-E4301B8A5A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65C2D6A" w14:textId="687BB5EF" w:rsidR="00D916D2" w:rsidRDefault="00D916D2" w:rsidP="00AA5D01">
      <w:pPr>
        <w:pStyle w:val="Heading3"/>
        <w:spacing w:before="0" w:after="0"/>
        <w:rPr>
          <w:i w:val="0"/>
          <w:iCs/>
        </w:rPr>
      </w:pPr>
      <w:r w:rsidRPr="000D4C6A">
        <w:rPr>
          <w:i w:val="0"/>
          <w:iCs/>
        </w:rPr>
        <w:t xml:space="preserve">Figure </w:t>
      </w:r>
      <w:r w:rsidR="000C7A25">
        <w:rPr>
          <w:i w:val="0"/>
          <w:iCs/>
        </w:rPr>
        <w:t>1</w:t>
      </w:r>
      <w:r w:rsidRPr="000D4C6A">
        <w:rPr>
          <w:i w:val="0"/>
          <w:iCs/>
        </w:rPr>
        <w:t xml:space="preserve">: </w:t>
      </w:r>
      <w:r w:rsidR="00A31FE3" w:rsidRPr="000D4C6A">
        <w:rPr>
          <w:i w:val="0"/>
          <w:iCs/>
        </w:rPr>
        <w:t xml:space="preserve">Number of treated prevalent </w:t>
      </w:r>
      <w:r w:rsidR="000D4C6A" w:rsidRPr="000D4C6A">
        <w:rPr>
          <w:i w:val="0"/>
          <w:iCs/>
        </w:rPr>
        <w:t xml:space="preserve">and incident </w:t>
      </w:r>
      <w:r w:rsidR="00A31FE3" w:rsidRPr="000D4C6A">
        <w:rPr>
          <w:i w:val="0"/>
          <w:iCs/>
        </w:rPr>
        <w:t>patients</w:t>
      </w:r>
      <w:r w:rsidR="000D4C6A" w:rsidRPr="000D4C6A">
        <w:rPr>
          <w:i w:val="0"/>
          <w:iCs/>
        </w:rPr>
        <w:t>,</w:t>
      </w:r>
      <w:r w:rsidR="00A31FE3" w:rsidRPr="000D4C6A">
        <w:rPr>
          <w:i w:val="0"/>
          <w:iCs/>
        </w:rPr>
        <w:t xml:space="preserve"> and scripts by </w:t>
      </w:r>
      <w:r w:rsidR="000D4C6A" w:rsidRPr="000D4C6A">
        <w:rPr>
          <w:i w:val="0"/>
          <w:iCs/>
        </w:rPr>
        <w:t>month</w:t>
      </w:r>
    </w:p>
    <w:p w14:paraId="1EFBA16F" w14:textId="77777777" w:rsidR="00AA5D01" w:rsidRPr="00AA5D01" w:rsidRDefault="00AA5D01" w:rsidP="00AA5D01">
      <w:pPr>
        <w:spacing w:after="0"/>
        <w:rPr>
          <w:rFonts w:cstheme="minorHAnsi"/>
          <w:sz w:val="20"/>
          <w:szCs w:val="20"/>
        </w:rPr>
      </w:pPr>
      <w:r w:rsidRPr="00AA5D01">
        <w:rPr>
          <w:rFonts w:cstheme="minorHAnsi"/>
          <w:sz w:val="20"/>
          <w:szCs w:val="20"/>
        </w:rPr>
        <w:t>Note:</w:t>
      </w:r>
    </w:p>
    <w:p w14:paraId="366CE30F" w14:textId="77777777" w:rsidR="00AA5D01" w:rsidRPr="00AA5D01" w:rsidRDefault="00AA5D01" w:rsidP="00AA5D01">
      <w:pPr>
        <w:spacing w:after="0"/>
        <w:rPr>
          <w:rFonts w:cstheme="minorHAnsi"/>
          <w:sz w:val="20"/>
          <w:szCs w:val="20"/>
        </w:rPr>
      </w:pPr>
      <w:r w:rsidRPr="00AA5D01">
        <w:rPr>
          <w:rFonts w:cstheme="minorHAnsi"/>
          <w:sz w:val="20"/>
          <w:szCs w:val="20"/>
        </w:rPr>
        <w:t>Incident (dotted line) are marked on the secondary axis.</w:t>
      </w:r>
    </w:p>
    <w:p w14:paraId="785D182B" w14:textId="77777777" w:rsidR="001D6656" w:rsidRDefault="001D6656" w:rsidP="00CF5E22">
      <w:pPr>
        <w:pStyle w:val="Heading3"/>
      </w:pPr>
    </w:p>
    <w:p w14:paraId="72B6D507" w14:textId="77777777" w:rsidR="001D6656" w:rsidRDefault="001D6656" w:rsidP="00CF5E22">
      <w:pPr>
        <w:pStyle w:val="Heading3"/>
      </w:pPr>
    </w:p>
    <w:p w14:paraId="7A78A58C" w14:textId="77777777" w:rsidR="001D6656" w:rsidRDefault="001D6656" w:rsidP="00CF5E22">
      <w:pPr>
        <w:pStyle w:val="Heading3"/>
      </w:pPr>
    </w:p>
    <w:p w14:paraId="571EE3EA" w14:textId="0173E9F8" w:rsidR="00CE5066" w:rsidRPr="00CE5066" w:rsidRDefault="00736041" w:rsidP="001D6656">
      <w:pPr>
        <w:pStyle w:val="Heading3"/>
      </w:pPr>
      <w:r w:rsidRPr="005E22C2">
        <w:lastRenderedPageBreak/>
        <w:t xml:space="preserve">Utilisation by </w:t>
      </w:r>
      <w:r w:rsidR="00CE5066">
        <w:t>age and gender</w:t>
      </w:r>
    </w:p>
    <w:p w14:paraId="5CBBAFA8" w14:textId="77824EB2" w:rsidR="00367638" w:rsidRPr="009B68DE" w:rsidRDefault="00C611E7" w:rsidP="00367638">
      <w:pPr>
        <w:tabs>
          <w:tab w:val="left" w:pos="720"/>
        </w:tabs>
        <w:autoSpaceDE w:val="0"/>
        <w:autoSpaceDN w:val="0"/>
        <w:adjustRightInd w:val="0"/>
        <w:spacing w:before="240"/>
        <w:rPr>
          <w:rFonts w:ascii="Calibri" w:hAnsi="Calibri" w:cs="Calibri"/>
        </w:rPr>
      </w:pPr>
      <w:r>
        <w:rPr>
          <w:rFonts w:ascii="Calibri" w:hAnsi="Calibri" w:cs="Calibri"/>
          <w:noProof/>
        </w:rPr>
        <w:drawing>
          <wp:inline distT="0" distB="0" distL="0" distR="0" wp14:anchorId="1C6C7044" wp14:editId="2808DFE6">
            <wp:extent cx="5450205" cy="3286125"/>
            <wp:effectExtent l="0" t="0" r="0" b="9525"/>
            <wp:docPr id="6087418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50205" cy="3286125"/>
                    </a:xfrm>
                    <a:prstGeom prst="rect">
                      <a:avLst/>
                    </a:prstGeom>
                    <a:noFill/>
                  </pic:spPr>
                </pic:pic>
              </a:graphicData>
            </a:graphic>
          </wp:inline>
        </w:drawing>
      </w:r>
    </w:p>
    <w:p w14:paraId="54B02511" w14:textId="1E22A6D0" w:rsidR="00280B9F" w:rsidRDefault="00280B9F" w:rsidP="00367638">
      <w:pPr>
        <w:tabs>
          <w:tab w:val="left" w:pos="720"/>
        </w:tabs>
        <w:autoSpaceDE w:val="0"/>
        <w:autoSpaceDN w:val="0"/>
        <w:adjustRightInd w:val="0"/>
        <w:spacing w:before="240"/>
        <w:rPr>
          <w:rFonts w:ascii="Calibri" w:hAnsi="Calibri" w:cs="Calibri"/>
          <w:b/>
          <w:bCs/>
        </w:rPr>
      </w:pPr>
      <w:r w:rsidRPr="00046262">
        <w:rPr>
          <w:rFonts w:ascii="Calibri" w:hAnsi="Calibri" w:cs="Calibri"/>
          <w:b/>
          <w:bCs/>
        </w:rPr>
        <w:t xml:space="preserve">Figure </w:t>
      </w:r>
      <w:r w:rsidR="000C7A25">
        <w:rPr>
          <w:rFonts w:ascii="Calibri" w:hAnsi="Calibri" w:cs="Calibri"/>
          <w:b/>
          <w:bCs/>
        </w:rPr>
        <w:t>2</w:t>
      </w:r>
      <w:r w:rsidRPr="00046262">
        <w:rPr>
          <w:rFonts w:ascii="Calibri" w:hAnsi="Calibri" w:cs="Calibri"/>
          <w:b/>
          <w:bCs/>
        </w:rPr>
        <w:t xml:space="preserve">: </w:t>
      </w:r>
      <w:r w:rsidR="000E5B23" w:rsidRPr="00046262">
        <w:rPr>
          <w:rFonts w:ascii="Calibri" w:hAnsi="Calibri" w:cs="Calibri"/>
          <w:b/>
          <w:bCs/>
        </w:rPr>
        <w:t>Incident patients by gender and 5-year age group</w:t>
      </w:r>
    </w:p>
    <w:p w14:paraId="01317392" w14:textId="4F9BF4EF" w:rsidR="00E765BB" w:rsidRDefault="00E765BB" w:rsidP="00884EC7">
      <w:pPr>
        <w:spacing w:after="0"/>
      </w:pPr>
      <w:r w:rsidRPr="003A765C">
        <w:t xml:space="preserve">More males than females </w:t>
      </w:r>
      <w:r w:rsidR="00081163">
        <w:t>were</w:t>
      </w:r>
      <w:r w:rsidRPr="003A765C">
        <w:t xml:space="preserve"> being dispensed</w:t>
      </w:r>
      <w:r w:rsidR="00D05033">
        <w:t xml:space="preserve"> </w:t>
      </w:r>
      <w:proofErr w:type="spellStart"/>
      <w:r w:rsidR="00D05033">
        <w:t>z</w:t>
      </w:r>
      <w:r w:rsidR="00D05033" w:rsidRPr="00D05033">
        <w:t>anubrutinib</w:t>
      </w:r>
      <w:proofErr w:type="spellEnd"/>
      <w:r w:rsidR="00D05033" w:rsidRPr="00D05033">
        <w:t xml:space="preserve"> for W</w:t>
      </w:r>
      <w:r w:rsidR="00D05033">
        <w:t>M</w:t>
      </w:r>
      <w:r w:rsidRPr="003A765C">
        <w:t>, at a ratio of</w:t>
      </w:r>
      <w:r w:rsidR="00CB15F3">
        <w:t xml:space="preserve"> </w:t>
      </w:r>
      <w:r w:rsidR="00B5083C">
        <w:t xml:space="preserve">approx. </w:t>
      </w:r>
      <w:r w:rsidR="00233CFB">
        <w:t>5:3</w:t>
      </w:r>
      <w:r w:rsidRPr="003A765C">
        <w:t xml:space="preserve"> which mirrors the incidence of </w:t>
      </w:r>
      <w:r w:rsidR="00D05033">
        <w:t>WM</w:t>
      </w:r>
      <w:r w:rsidRPr="003A765C">
        <w:rPr>
          <w:rStyle w:val="FootnoteReference"/>
        </w:rPr>
        <w:footnoteReference w:id="11"/>
      </w:r>
      <w:r w:rsidRPr="003A765C">
        <w:t xml:space="preserve"> in the Australian population </w:t>
      </w:r>
      <w:r w:rsidR="00884EC7">
        <w:t>of</w:t>
      </w:r>
      <w:r w:rsidRPr="003A765C">
        <w:t xml:space="preserve"> </w:t>
      </w:r>
      <w:r w:rsidR="00CB15F3">
        <w:t>0.9</w:t>
      </w:r>
      <w:r w:rsidRPr="003A765C">
        <w:t xml:space="preserve"> per 100,000 for males and </w:t>
      </w:r>
      <w:r w:rsidR="00CB15F3">
        <w:t>0.5</w:t>
      </w:r>
      <w:r w:rsidRPr="003A765C">
        <w:t xml:space="preserve"> per 100,000 for females in 20</w:t>
      </w:r>
      <w:r w:rsidR="005F2E16">
        <w:t>20</w:t>
      </w:r>
      <w:r w:rsidR="00125F0E">
        <w:t xml:space="preserve"> (aged</w:t>
      </w:r>
      <w:r w:rsidR="00C10506">
        <w:t xml:space="preserve"> specific incidence all ages standardised to Australian population 2024)</w:t>
      </w:r>
      <w:r w:rsidRPr="003A765C">
        <w:t>.</w:t>
      </w:r>
    </w:p>
    <w:p w14:paraId="009EC4AF" w14:textId="77777777" w:rsidR="00110CD3" w:rsidRDefault="00110CD3" w:rsidP="00884EC7">
      <w:pPr>
        <w:spacing w:after="0"/>
      </w:pPr>
    </w:p>
    <w:p w14:paraId="509F731C" w14:textId="261E2A06" w:rsidR="00110CD3" w:rsidRDefault="00110CD3" w:rsidP="00884EC7">
      <w:pPr>
        <w:spacing w:after="0"/>
      </w:pPr>
      <w:r>
        <w:rPr>
          <w:noProof/>
        </w:rPr>
        <w:lastRenderedPageBreak/>
        <w:drawing>
          <wp:inline distT="0" distB="0" distL="0" distR="0" wp14:anchorId="6E3EE1CC" wp14:editId="49D67BDB">
            <wp:extent cx="5354320" cy="2976880"/>
            <wp:effectExtent l="0" t="0" r="17780" b="13970"/>
            <wp:docPr id="1507179743" name="Chart 1">
              <a:extLst xmlns:a="http://schemas.openxmlformats.org/drawingml/2006/main">
                <a:ext uri="{FF2B5EF4-FFF2-40B4-BE49-F238E27FC236}">
                  <a16:creationId xmlns:a16="http://schemas.microsoft.com/office/drawing/2014/main" id="{FD92C7FC-E3A9-4508-31C1-B94C874FF4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6245600" w14:textId="18D2B955" w:rsidR="00110CD3" w:rsidRPr="007A4903" w:rsidRDefault="00110CD3" w:rsidP="00884EC7">
      <w:pPr>
        <w:spacing w:after="0"/>
        <w:rPr>
          <w:b/>
          <w:bCs/>
        </w:rPr>
      </w:pPr>
      <w:r w:rsidRPr="007A4903">
        <w:rPr>
          <w:b/>
          <w:bCs/>
        </w:rPr>
        <w:t>Figure 3: Incident patients on treatment</w:t>
      </w:r>
    </w:p>
    <w:p w14:paraId="050083A6" w14:textId="77777777" w:rsidR="00110CD3" w:rsidRDefault="00110CD3" w:rsidP="00884EC7">
      <w:pPr>
        <w:spacing w:after="0"/>
      </w:pPr>
    </w:p>
    <w:p w14:paraId="3AA5F13F" w14:textId="35B7B9CD" w:rsidR="00110CD3" w:rsidRDefault="00110CD3" w:rsidP="00884EC7">
      <w:pPr>
        <w:spacing w:after="0"/>
      </w:pPr>
      <w:r>
        <w:rPr>
          <w:noProof/>
        </w:rPr>
        <w:drawing>
          <wp:inline distT="0" distB="0" distL="0" distR="0" wp14:anchorId="645FBA1F" wp14:editId="5E280998">
            <wp:extent cx="5354320" cy="3332480"/>
            <wp:effectExtent l="0" t="0" r="17780" b="1270"/>
            <wp:docPr id="1649873206" name="Chart 1">
              <a:extLst xmlns:a="http://schemas.openxmlformats.org/drawingml/2006/main">
                <a:ext uri="{FF2B5EF4-FFF2-40B4-BE49-F238E27FC236}">
                  <a16:creationId xmlns:a16="http://schemas.microsoft.com/office/drawing/2014/main" id="{DAC493D0-58C0-2C53-F5A4-1BF0C75F10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F4DE96E" w14:textId="739B94D1" w:rsidR="00110CD3" w:rsidRDefault="00110CD3" w:rsidP="00884EC7">
      <w:pPr>
        <w:spacing w:after="0"/>
      </w:pPr>
      <w:r w:rsidRPr="007A4903">
        <w:rPr>
          <w:b/>
          <w:bCs/>
        </w:rPr>
        <w:t>Figure 4: Incident cases of WM</w:t>
      </w:r>
      <w:r>
        <w:rPr>
          <w:rStyle w:val="FootnoteReference"/>
        </w:rPr>
        <w:footnoteReference w:id="12"/>
      </w:r>
    </w:p>
    <w:p w14:paraId="30027A1B" w14:textId="77777777" w:rsidR="00110CD3" w:rsidRDefault="00110CD3" w:rsidP="00884EC7">
      <w:pPr>
        <w:spacing w:after="0"/>
      </w:pPr>
    </w:p>
    <w:p w14:paraId="15F83B35" w14:textId="77777777" w:rsidR="00110CD3" w:rsidRDefault="00110CD3" w:rsidP="00884EC7">
      <w:pPr>
        <w:spacing w:after="0"/>
      </w:pPr>
    </w:p>
    <w:p w14:paraId="0EAECA8D" w14:textId="77777777" w:rsidR="00110CD3" w:rsidRDefault="00110CD3" w:rsidP="00884EC7">
      <w:pPr>
        <w:spacing w:after="0"/>
      </w:pPr>
    </w:p>
    <w:p w14:paraId="0D8B28E1" w14:textId="77777777" w:rsidR="00110CD3" w:rsidRPr="00884EC7" w:rsidRDefault="00110CD3" w:rsidP="00884EC7">
      <w:pPr>
        <w:spacing w:after="0"/>
      </w:pPr>
    </w:p>
    <w:p w14:paraId="768E0EEB" w14:textId="598D5B74" w:rsidR="00884EC7" w:rsidRPr="00367638" w:rsidRDefault="00367638" w:rsidP="00367638">
      <w:pPr>
        <w:tabs>
          <w:tab w:val="left" w:pos="720"/>
        </w:tabs>
        <w:autoSpaceDE w:val="0"/>
        <w:autoSpaceDN w:val="0"/>
        <w:adjustRightInd w:val="0"/>
        <w:spacing w:before="240"/>
        <w:rPr>
          <w:rFonts w:ascii="Calibri" w:hAnsi="Calibri" w:cs="Calibri"/>
          <w:b/>
          <w:bCs/>
          <w:i/>
          <w:iCs/>
        </w:rPr>
      </w:pPr>
      <w:r>
        <w:rPr>
          <w:rFonts w:ascii="Calibri" w:hAnsi="Calibri" w:cs="Calibri"/>
          <w:b/>
          <w:bCs/>
          <w:i/>
          <w:iCs/>
        </w:rPr>
        <w:t>Prescriber analysis</w:t>
      </w:r>
    </w:p>
    <w:p w14:paraId="2A7E6875" w14:textId="14C3AB58" w:rsidR="00DC5EFD" w:rsidRPr="00636537" w:rsidRDefault="00DC5EFD" w:rsidP="00DC5EFD">
      <w:pPr>
        <w:spacing w:after="0"/>
        <w:rPr>
          <w:b/>
          <w:bCs/>
        </w:rPr>
      </w:pPr>
      <w:r>
        <w:rPr>
          <w:b/>
          <w:bCs/>
        </w:rPr>
        <w:t xml:space="preserve">Table </w:t>
      </w:r>
      <w:r w:rsidR="000C7A25">
        <w:rPr>
          <w:b/>
          <w:bCs/>
        </w:rPr>
        <w:t>3</w:t>
      </w:r>
      <w:r>
        <w:rPr>
          <w:b/>
          <w:bCs/>
        </w:rPr>
        <w:t>:</w:t>
      </w:r>
      <w:r w:rsidRPr="00E75DC8">
        <w:t xml:space="preserve"> </w:t>
      </w:r>
      <w:r w:rsidRPr="00E75DC8">
        <w:rPr>
          <w:b/>
          <w:bCs/>
        </w:rPr>
        <w:t>Percentage of prescriptions supplied by prescriber type</w:t>
      </w:r>
    </w:p>
    <w:tbl>
      <w:tblPr>
        <w:tblStyle w:val="TableGrid"/>
        <w:tblW w:w="0" w:type="auto"/>
        <w:tblLook w:val="04A0" w:firstRow="1" w:lastRow="0" w:firstColumn="1" w:lastColumn="0" w:noHBand="0" w:noVBand="1"/>
      </w:tblPr>
      <w:tblGrid>
        <w:gridCol w:w="2263"/>
        <w:gridCol w:w="2268"/>
      </w:tblGrid>
      <w:tr w:rsidR="00DC5EFD" w14:paraId="59CF90D9" w14:textId="77777777" w:rsidTr="00572C86">
        <w:tc>
          <w:tcPr>
            <w:tcW w:w="2263" w:type="dxa"/>
            <w:shd w:val="clear" w:color="auto" w:fill="BFBFBF" w:themeFill="background1" w:themeFillShade="BF"/>
          </w:tcPr>
          <w:p w14:paraId="4E7A0D58" w14:textId="77777777" w:rsidR="00DC5EFD" w:rsidRPr="009D5F09" w:rsidRDefault="00DC5EFD" w:rsidP="00572C86">
            <w:pPr>
              <w:spacing w:before="60" w:after="60"/>
              <w:rPr>
                <w:b/>
                <w:bCs/>
                <w:sz w:val="20"/>
                <w:szCs w:val="20"/>
              </w:rPr>
            </w:pPr>
            <w:r w:rsidRPr="009D5F09">
              <w:rPr>
                <w:b/>
                <w:bCs/>
                <w:sz w:val="20"/>
                <w:szCs w:val="20"/>
              </w:rPr>
              <w:t>Prescriber type</w:t>
            </w:r>
          </w:p>
        </w:tc>
        <w:tc>
          <w:tcPr>
            <w:tcW w:w="2268" w:type="dxa"/>
            <w:shd w:val="clear" w:color="auto" w:fill="BFBFBF" w:themeFill="background1" w:themeFillShade="BF"/>
          </w:tcPr>
          <w:p w14:paraId="3B5ED5B1" w14:textId="40FC5210" w:rsidR="00DC5EFD" w:rsidRPr="009D5F09" w:rsidRDefault="00450BBC" w:rsidP="00572C86">
            <w:pPr>
              <w:spacing w:before="60" w:after="60"/>
              <w:jc w:val="center"/>
              <w:rPr>
                <w:b/>
                <w:bCs/>
                <w:sz w:val="20"/>
                <w:szCs w:val="20"/>
              </w:rPr>
            </w:pPr>
            <w:r>
              <w:rPr>
                <w:b/>
                <w:bCs/>
                <w:sz w:val="20"/>
                <w:szCs w:val="20"/>
              </w:rPr>
              <w:t>2022-24</w:t>
            </w:r>
          </w:p>
        </w:tc>
      </w:tr>
      <w:tr w:rsidR="00DF2484" w14:paraId="48546562" w14:textId="77777777" w:rsidTr="009C5308">
        <w:tc>
          <w:tcPr>
            <w:tcW w:w="2263" w:type="dxa"/>
            <w:vAlign w:val="bottom"/>
          </w:tcPr>
          <w:p w14:paraId="0AF4B4BE" w14:textId="76CC402A" w:rsidR="00DF2484" w:rsidRPr="003E34A1" w:rsidRDefault="00DF2484" w:rsidP="00DF2484">
            <w:pPr>
              <w:spacing w:before="60" w:after="60"/>
              <w:rPr>
                <w:rFonts w:cstheme="minorHAnsi"/>
                <w:b/>
                <w:bCs/>
                <w:sz w:val="20"/>
                <w:szCs w:val="20"/>
              </w:rPr>
            </w:pPr>
            <w:r w:rsidRPr="003E34A1">
              <w:rPr>
                <w:rFonts w:cstheme="minorHAnsi"/>
                <w:color w:val="000000"/>
                <w:sz w:val="20"/>
                <w:szCs w:val="20"/>
              </w:rPr>
              <w:t>Haematology</w:t>
            </w:r>
          </w:p>
        </w:tc>
        <w:tc>
          <w:tcPr>
            <w:tcW w:w="2268" w:type="dxa"/>
            <w:vAlign w:val="bottom"/>
          </w:tcPr>
          <w:p w14:paraId="68C6A3AE" w14:textId="6868F045" w:rsidR="00DF2484" w:rsidRPr="003E34A1" w:rsidRDefault="00DF2484" w:rsidP="00DF2484">
            <w:pPr>
              <w:spacing w:before="60" w:after="60"/>
              <w:jc w:val="center"/>
              <w:rPr>
                <w:rFonts w:cstheme="minorHAnsi"/>
                <w:sz w:val="20"/>
                <w:szCs w:val="20"/>
              </w:rPr>
            </w:pPr>
            <w:r w:rsidRPr="003E34A1">
              <w:rPr>
                <w:rFonts w:cstheme="minorHAnsi"/>
                <w:color w:val="000000"/>
                <w:sz w:val="20"/>
                <w:szCs w:val="20"/>
              </w:rPr>
              <w:t>66</w:t>
            </w:r>
            <w:r w:rsidR="00CC7291" w:rsidRPr="003E34A1">
              <w:rPr>
                <w:rFonts w:cstheme="minorHAnsi"/>
                <w:color w:val="000000"/>
                <w:sz w:val="20"/>
                <w:szCs w:val="20"/>
              </w:rPr>
              <w:t>%</w:t>
            </w:r>
          </w:p>
        </w:tc>
      </w:tr>
      <w:tr w:rsidR="00DF2484" w14:paraId="63DF4C6F" w14:textId="77777777" w:rsidTr="009C5308">
        <w:tc>
          <w:tcPr>
            <w:tcW w:w="2263" w:type="dxa"/>
            <w:vAlign w:val="bottom"/>
          </w:tcPr>
          <w:p w14:paraId="68C24202" w14:textId="14C67CDA" w:rsidR="00DF2484" w:rsidRPr="003E34A1" w:rsidRDefault="00DF2484" w:rsidP="00DF2484">
            <w:pPr>
              <w:spacing w:before="60" w:after="60"/>
              <w:rPr>
                <w:rFonts w:cstheme="minorHAnsi"/>
                <w:b/>
                <w:bCs/>
                <w:sz w:val="20"/>
                <w:szCs w:val="20"/>
              </w:rPr>
            </w:pPr>
            <w:r w:rsidRPr="003E34A1">
              <w:rPr>
                <w:rFonts w:cstheme="minorHAnsi"/>
                <w:color w:val="000000"/>
                <w:sz w:val="20"/>
                <w:szCs w:val="20"/>
              </w:rPr>
              <w:t>Pathology</w:t>
            </w:r>
          </w:p>
        </w:tc>
        <w:tc>
          <w:tcPr>
            <w:tcW w:w="2268" w:type="dxa"/>
            <w:vAlign w:val="bottom"/>
          </w:tcPr>
          <w:p w14:paraId="7F6B25A8" w14:textId="1CD67A62" w:rsidR="00DF2484" w:rsidRPr="003E34A1" w:rsidRDefault="00DF2484" w:rsidP="00DF2484">
            <w:pPr>
              <w:spacing w:before="60" w:after="60"/>
              <w:jc w:val="center"/>
              <w:rPr>
                <w:rFonts w:cstheme="minorHAnsi"/>
                <w:sz w:val="20"/>
                <w:szCs w:val="20"/>
              </w:rPr>
            </w:pPr>
            <w:r w:rsidRPr="003E34A1">
              <w:rPr>
                <w:rFonts w:cstheme="minorHAnsi"/>
                <w:color w:val="000000"/>
                <w:sz w:val="20"/>
                <w:szCs w:val="20"/>
              </w:rPr>
              <w:t>16</w:t>
            </w:r>
            <w:r w:rsidR="00CC7291" w:rsidRPr="003E34A1">
              <w:rPr>
                <w:rFonts w:cstheme="minorHAnsi"/>
                <w:color w:val="000000"/>
                <w:sz w:val="20"/>
                <w:szCs w:val="20"/>
              </w:rPr>
              <w:t>%</w:t>
            </w:r>
          </w:p>
        </w:tc>
      </w:tr>
      <w:tr w:rsidR="00DF2484" w14:paraId="5DD8BFA5" w14:textId="77777777" w:rsidTr="009C5308">
        <w:tc>
          <w:tcPr>
            <w:tcW w:w="2263" w:type="dxa"/>
            <w:vAlign w:val="bottom"/>
          </w:tcPr>
          <w:p w14:paraId="088433F7" w14:textId="1DB078C3" w:rsidR="00DF2484" w:rsidRPr="003E34A1" w:rsidRDefault="00DF2484" w:rsidP="00DF2484">
            <w:pPr>
              <w:spacing w:before="60" w:after="60"/>
              <w:rPr>
                <w:rFonts w:cstheme="minorHAnsi"/>
                <w:b/>
                <w:bCs/>
                <w:sz w:val="20"/>
                <w:szCs w:val="20"/>
              </w:rPr>
            </w:pPr>
            <w:r w:rsidRPr="003E34A1">
              <w:rPr>
                <w:rFonts w:cstheme="minorHAnsi"/>
                <w:color w:val="000000"/>
                <w:sz w:val="20"/>
                <w:szCs w:val="20"/>
              </w:rPr>
              <w:t>NONVRGP</w:t>
            </w:r>
          </w:p>
        </w:tc>
        <w:tc>
          <w:tcPr>
            <w:tcW w:w="2268" w:type="dxa"/>
            <w:vAlign w:val="bottom"/>
          </w:tcPr>
          <w:p w14:paraId="52CA44F3" w14:textId="6B21C9FB" w:rsidR="00DF2484" w:rsidRPr="003E34A1" w:rsidRDefault="00DF2484" w:rsidP="00DF2484">
            <w:pPr>
              <w:spacing w:before="60" w:after="60"/>
              <w:jc w:val="center"/>
              <w:rPr>
                <w:rFonts w:cstheme="minorHAnsi"/>
                <w:sz w:val="20"/>
                <w:szCs w:val="20"/>
              </w:rPr>
            </w:pPr>
            <w:r w:rsidRPr="003E34A1">
              <w:rPr>
                <w:rFonts w:cstheme="minorHAnsi"/>
                <w:color w:val="000000"/>
                <w:sz w:val="20"/>
                <w:szCs w:val="20"/>
              </w:rPr>
              <w:t>11</w:t>
            </w:r>
            <w:r w:rsidR="00CC7291" w:rsidRPr="003E34A1">
              <w:rPr>
                <w:rFonts w:cstheme="minorHAnsi"/>
                <w:color w:val="000000"/>
                <w:sz w:val="20"/>
                <w:szCs w:val="20"/>
              </w:rPr>
              <w:t>%</w:t>
            </w:r>
          </w:p>
        </w:tc>
      </w:tr>
      <w:tr w:rsidR="00DF2484" w14:paraId="66F2B952" w14:textId="77777777" w:rsidTr="009C5308">
        <w:tc>
          <w:tcPr>
            <w:tcW w:w="2263" w:type="dxa"/>
            <w:vAlign w:val="bottom"/>
          </w:tcPr>
          <w:p w14:paraId="5F3D0CE2" w14:textId="161581D9" w:rsidR="00DF2484" w:rsidRPr="003E34A1" w:rsidRDefault="00DF2484" w:rsidP="00DF2484">
            <w:pPr>
              <w:spacing w:before="60" w:after="60"/>
              <w:rPr>
                <w:rFonts w:cstheme="minorHAnsi"/>
                <w:b/>
                <w:bCs/>
                <w:sz w:val="20"/>
                <w:szCs w:val="20"/>
              </w:rPr>
            </w:pPr>
            <w:r w:rsidRPr="003E34A1">
              <w:rPr>
                <w:rFonts w:cstheme="minorHAnsi"/>
                <w:color w:val="000000"/>
                <w:sz w:val="20"/>
                <w:szCs w:val="20"/>
              </w:rPr>
              <w:t>Internal Medicine</w:t>
            </w:r>
          </w:p>
        </w:tc>
        <w:tc>
          <w:tcPr>
            <w:tcW w:w="2268" w:type="dxa"/>
            <w:vAlign w:val="bottom"/>
          </w:tcPr>
          <w:p w14:paraId="4424222D" w14:textId="0A4E8DDC" w:rsidR="00DF2484" w:rsidRPr="003E34A1" w:rsidRDefault="00DF2484" w:rsidP="00DF2484">
            <w:pPr>
              <w:spacing w:before="60" w:after="60"/>
              <w:jc w:val="center"/>
              <w:rPr>
                <w:rFonts w:cstheme="minorHAnsi"/>
                <w:sz w:val="20"/>
                <w:szCs w:val="20"/>
              </w:rPr>
            </w:pPr>
            <w:r w:rsidRPr="003E34A1">
              <w:rPr>
                <w:rFonts w:cstheme="minorHAnsi"/>
                <w:color w:val="000000"/>
                <w:sz w:val="20"/>
                <w:szCs w:val="20"/>
              </w:rPr>
              <w:t>3</w:t>
            </w:r>
            <w:r w:rsidR="00CC7291" w:rsidRPr="003E34A1">
              <w:rPr>
                <w:rFonts w:cstheme="minorHAnsi"/>
                <w:color w:val="000000"/>
                <w:sz w:val="20"/>
                <w:szCs w:val="20"/>
              </w:rPr>
              <w:t>%</w:t>
            </w:r>
          </w:p>
        </w:tc>
      </w:tr>
      <w:tr w:rsidR="00DF2484" w14:paraId="65286820" w14:textId="77777777" w:rsidTr="009C5308">
        <w:tc>
          <w:tcPr>
            <w:tcW w:w="2263" w:type="dxa"/>
            <w:vAlign w:val="bottom"/>
          </w:tcPr>
          <w:p w14:paraId="08BC6DD6" w14:textId="52230D5D" w:rsidR="00DF2484" w:rsidRPr="003E34A1" w:rsidRDefault="00DF2484" w:rsidP="00DF2484">
            <w:pPr>
              <w:spacing w:before="60" w:after="60"/>
              <w:rPr>
                <w:rFonts w:cstheme="minorHAnsi"/>
                <w:b/>
                <w:bCs/>
                <w:sz w:val="20"/>
                <w:szCs w:val="20"/>
              </w:rPr>
            </w:pPr>
            <w:r w:rsidRPr="003E34A1">
              <w:rPr>
                <w:rFonts w:cstheme="minorHAnsi"/>
                <w:color w:val="000000"/>
                <w:sz w:val="20"/>
                <w:szCs w:val="20"/>
              </w:rPr>
              <w:t>VRGP</w:t>
            </w:r>
          </w:p>
        </w:tc>
        <w:tc>
          <w:tcPr>
            <w:tcW w:w="2268" w:type="dxa"/>
            <w:vAlign w:val="bottom"/>
          </w:tcPr>
          <w:p w14:paraId="3FCE6590" w14:textId="02A4E527" w:rsidR="00DF2484" w:rsidRPr="003E34A1" w:rsidRDefault="00DF2484" w:rsidP="00DF2484">
            <w:pPr>
              <w:spacing w:before="60" w:after="60"/>
              <w:jc w:val="center"/>
              <w:rPr>
                <w:rFonts w:cstheme="minorHAnsi"/>
                <w:sz w:val="20"/>
                <w:szCs w:val="20"/>
              </w:rPr>
            </w:pPr>
            <w:r w:rsidRPr="003E34A1">
              <w:rPr>
                <w:rFonts w:cstheme="minorHAnsi"/>
                <w:color w:val="000000"/>
                <w:sz w:val="20"/>
                <w:szCs w:val="20"/>
              </w:rPr>
              <w:t>3</w:t>
            </w:r>
            <w:r w:rsidR="00CC7291" w:rsidRPr="003E34A1">
              <w:rPr>
                <w:rFonts w:cstheme="minorHAnsi"/>
                <w:color w:val="000000"/>
                <w:sz w:val="20"/>
                <w:szCs w:val="20"/>
              </w:rPr>
              <w:t>%</w:t>
            </w:r>
          </w:p>
        </w:tc>
      </w:tr>
      <w:tr w:rsidR="00DF2484" w14:paraId="47DD9B21" w14:textId="77777777" w:rsidTr="009C5308">
        <w:tc>
          <w:tcPr>
            <w:tcW w:w="2263" w:type="dxa"/>
            <w:vAlign w:val="bottom"/>
          </w:tcPr>
          <w:p w14:paraId="5A2F86A3" w14:textId="25C49715" w:rsidR="00DF2484" w:rsidRPr="003E34A1" w:rsidRDefault="00DF2484" w:rsidP="00DF2484">
            <w:pPr>
              <w:spacing w:before="60" w:after="60"/>
              <w:rPr>
                <w:rFonts w:cstheme="minorHAnsi"/>
                <w:b/>
                <w:bCs/>
                <w:sz w:val="20"/>
                <w:szCs w:val="20"/>
              </w:rPr>
            </w:pPr>
            <w:r w:rsidRPr="003E34A1">
              <w:rPr>
                <w:rFonts w:cstheme="minorHAnsi"/>
                <w:color w:val="000000"/>
                <w:sz w:val="20"/>
                <w:szCs w:val="20"/>
              </w:rPr>
              <w:t>Medical Oncology</w:t>
            </w:r>
          </w:p>
        </w:tc>
        <w:tc>
          <w:tcPr>
            <w:tcW w:w="2268" w:type="dxa"/>
            <w:vAlign w:val="bottom"/>
          </w:tcPr>
          <w:p w14:paraId="6C4D1472" w14:textId="0AF7AD70" w:rsidR="00DF2484" w:rsidRPr="003E34A1" w:rsidRDefault="00DF2484" w:rsidP="00DF2484">
            <w:pPr>
              <w:spacing w:before="60" w:after="60"/>
              <w:jc w:val="center"/>
              <w:rPr>
                <w:rFonts w:cstheme="minorHAnsi"/>
                <w:sz w:val="20"/>
                <w:szCs w:val="20"/>
              </w:rPr>
            </w:pPr>
            <w:r w:rsidRPr="003E34A1">
              <w:rPr>
                <w:rFonts w:cstheme="minorHAnsi"/>
                <w:color w:val="000000"/>
                <w:sz w:val="20"/>
                <w:szCs w:val="20"/>
              </w:rPr>
              <w:t>2</w:t>
            </w:r>
            <w:r w:rsidR="00CC7291" w:rsidRPr="003E34A1">
              <w:rPr>
                <w:rFonts w:cstheme="minorHAnsi"/>
                <w:color w:val="000000"/>
                <w:sz w:val="20"/>
                <w:szCs w:val="20"/>
              </w:rPr>
              <w:t>%</w:t>
            </w:r>
          </w:p>
        </w:tc>
      </w:tr>
      <w:tr w:rsidR="00DC5EFD" w14:paraId="384FAEB3" w14:textId="77777777" w:rsidTr="00572C86">
        <w:tc>
          <w:tcPr>
            <w:tcW w:w="2263" w:type="dxa"/>
          </w:tcPr>
          <w:p w14:paraId="1B9519B5" w14:textId="10E10AE3" w:rsidR="00DC5EFD" w:rsidRPr="003E34A1" w:rsidRDefault="00DF2484" w:rsidP="00572C86">
            <w:pPr>
              <w:spacing w:before="60" w:after="60"/>
              <w:rPr>
                <w:rFonts w:cstheme="minorHAnsi"/>
                <w:b/>
                <w:bCs/>
                <w:sz w:val="20"/>
                <w:szCs w:val="20"/>
              </w:rPr>
            </w:pPr>
            <w:r w:rsidRPr="003E34A1">
              <w:rPr>
                <w:rFonts w:cstheme="minorHAnsi"/>
                <w:b/>
                <w:bCs/>
                <w:sz w:val="20"/>
                <w:szCs w:val="20"/>
              </w:rPr>
              <w:t>Other</w:t>
            </w:r>
          </w:p>
        </w:tc>
        <w:tc>
          <w:tcPr>
            <w:tcW w:w="2268" w:type="dxa"/>
          </w:tcPr>
          <w:p w14:paraId="4207EAA1" w14:textId="5AC551DE" w:rsidR="00DC5EFD" w:rsidRPr="003E34A1" w:rsidRDefault="00B41FE3" w:rsidP="00572C86">
            <w:pPr>
              <w:spacing w:before="60" w:after="60"/>
              <w:jc w:val="center"/>
              <w:rPr>
                <w:rFonts w:cstheme="minorHAnsi"/>
                <w:sz w:val="20"/>
                <w:szCs w:val="20"/>
              </w:rPr>
            </w:pPr>
            <w:r w:rsidRPr="003E34A1">
              <w:rPr>
                <w:rFonts w:cstheme="minorHAnsi"/>
                <w:sz w:val="20"/>
                <w:szCs w:val="20"/>
              </w:rPr>
              <w:t>1</w:t>
            </w:r>
            <w:r w:rsidR="00CC7291" w:rsidRPr="003E34A1">
              <w:rPr>
                <w:rFonts w:cstheme="minorHAnsi"/>
                <w:sz w:val="20"/>
                <w:szCs w:val="20"/>
              </w:rPr>
              <w:t>%</w:t>
            </w:r>
          </w:p>
        </w:tc>
      </w:tr>
    </w:tbl>
    <w:p w14:paraId="139C6F51" w14:textId="77777777" w:rsidR="006F5756" w:rsidRPr="006F2BD9" w:rsidRDefault="006F5756" w:rsidP="006F5756">
      <w:pPr>
        <w:autoSpaceDE w:val="0"/>
        <w:autoSpaceDN w:val="0"/>
        <w:adjustRightInd w:val="0"/>
        <w:spacing w:after="0"/>
        <w:rPr>
          <w:rFonts w:ascii="Calibri" w:hAnsi="Calibri" w:cs="Calibri"/>
          <w:sz w:val="20"/>
          <w:szCs w:val="20"/>
        </w:rPr>
      </w:pPr>
      <w:r w:rsidRPr="006F2BD9">
        <w:rPr>
          <w:rFonts w:ascii="Calibri" w:hAnsi="Calibri" w:cs="Calibri"/>
          <w:sz w:val="20"/>
          <w:szCs w:val="20"/>
        </w:rPr>
        <w:t xml:space="preserve">NONVRGP – </w:t>
      </w:r>
      <w:proofErr w:type="gramStart"/>
      <w:r w:rsidRPr="006F2BD9">
        <w:rPr>
          <w:rFonts w:ascii="Calibri" w:hAnsi="Calibri" w:cs="Calibri"/>
          <w:sz w:val="20"/>
          <w:szCs w:val="20"/>
        </w:rPr>
        <w:t>Non-vocationally</w:t>
      </w:r>
      <w:proofErr w:type="gramEnd"/>
      <w:r w:rsidRPr="006F2BD9">
        <w:rPr>
          <w:rFonts w:ascii="Calibri" w:hAnsi="Calibri" w:cs="Calibri"/>
          <w:sz w:val="20"/>
          <w:szCs w:val="20"/>
        </w:rPr>
        <w:t xml:space="preserve"> registered GP</w:t>
      </w:r>
    </w:p>
    <w:p w14:paraId="331E3FB2" w14:textId="56E3772E" w:rsidR="00DC5EFD" w:rsidRDefault="006F5756" w:rsidP="001D6656">
      <w:pPr>
        <w:autoSpaceDE w:val="0"/>
        <w:autoSpaceDN w:val="0"/>
        <w:adjustRightInd w:val="0"/>
        <w:spacing w:after="0"/>
        <w:rPr>
          <w:rFonts w:ascii="Calibri" w:hAnsi="Calibri" w:cs="Calibri"/>
          <w:sz w:val="20"/>
          <w:szCs w:val="20"/>
        </w:rPr>
      </w:pPr>
      <w:r w:rsidRPr="006F2BD9">
        <w:rPr>
          <w:rFonts w:ascii="Calibri" w:hAnsi="Calibri" w:cs="Calibri"/>
          <w:sz w:val="20"/>
          <w:szCs w:val="20"/>
        </w:rPr>
        <w:t>VRGP - Vocationally registered GP</w:t>
      </w:r>
    </w:p>
    <w:p w14:paraId="5348EA07" w14:textId="77777777" w:rsidR="001B538D" w:rsidRPr="001D6656" w:rsidRDefault="001B538D" w:rsidP="001D6656">
      <w:pPr>
        <w:autoSpaceDE w:val="0"/>
        <w:autoSpaceDN w:val="0"/>
        <w:adjustRightInd w:val="0"/>
        <w:spacing w:after="0"/>
        <w:rPr>
          <w:rFonts w:ascii="Calibri" w:hAnsi="Calibri" w:cs="Calibri"/>
          <w:sz w:val="20"/>
          <w:szCs w:val="20"/>
        </w:rPr>
      </w:pPr>
    </w:p>
    <w:p w14:paraId="478B9636" w14:textId="77777777" w:rsidR="003C57F0" w:rsidRDefault="003C57F0" w:rsidP="003C57F0">
      <w:pPr>
        <w:rPr>
          <w:b/>
          <w:bCs/>
          <w:i/>
          <w:iCs/>
        </w:rPr>
      </w:pPr>
      <w:r w:rsidRPr="003251DC">
        <w:rPr>
          <w:b/>
          <w:bCs/>
          <w:i/>
          <w:iCs/>
        </w:rPr>
        <w:t>Treatment sequence</w:t>
      </w:r>
    </w:p>
    <w:p w14:paraId="50C61016" w14:textId="27144BA4" w:rsidR="00C05DCA" w:rsidRPr="003C64B4" w:rsidRDefault="00C05DCA" w:rsidP="003C57F0">
      <w:pPr>
        <w:rPr>
          <w:b/>
          <w:bCs/>
        </w:rPr>
      </w:pPr>
      <w:r w:rsidRPr="003C64B4">
        <w:rPr>
          <w:b/>
          <w:bCs/>
        </w:rPr>
        <w:t>Table</w:t>
      </w:r>
      <w:r w:rsidR="00F92BDA" w:rsidRPr="003C64B4">
        <w:rPr>
          <w:b/>
          <w:bCs/>
        </w:rPr>
        <w:t xml:space="preserve"> </w:t>
      </w:r>
      <w:r w:rsidR="000C7A25">
        <w:rPr>
          <w:b/>
          <w:bCs/>
        </w:rPr>
        <w:t>4</w:t>
      </w:r>
      <w:r w:rsidR="00F92BDA" w:rsidRPr="003C64B4">
        <w:rPr>
          <w:b/>
          <w:bCs/>
        </w:rPr>
        <w:t xml:space="preserve">: </w:t>
      </w:r>
      <w:r w:rsidR="003C64B4">
        <w:rPr>
          <w:b/>
          <w:bCs/>
        </w:rPr>
        <w:t>Treatment sequence f</w:t>
      </w:r>
      <w:r w:rsidR="009F54AD" w:rsidRPr="003C64B4">
        <w:rPr>
          <w:b/>
          <w:bCs/>
        </w:rPr>
        <w:t>rom first</w:t>
      </w:r>
      <w:r w:rsidR="00580007">
        <w:rPr>
          <w:b/>
          <w:bCs/>
        </w:rPr>
        <w:t>-</w:t>
      </w:r>
      <w:r w:rsidR="009F54AD" w:rsidRPr="003C64B4">
        <w:rPr>
          <w:b/>
          <w:bCs/>
        </w:rPr>
        <w:t xml:space="preserve">line therapy to </w:t>
      </w:r>
      <w:proofErr w:type="spellStart"/>
      <w:r w:rsidR="009F54AD" w:rsidRPr="003C64B4">
        <w:rPr>
          <w:b/>
          <w:bCs/>
        </w:rPr>
        <w:t>zanubru</w:t>
      </w:r>
      <w:r w:rsidR="003C64B4" w:rsidRPr="003C64B4">
        <w:rPr>
          <w:b/>
          <w:bCs/>
        </w:rPr>
        <w:t>tinib</w:t>
      </w:r>
      <w:proofErr w:type="spellEnd"/>
    </w:p>
    <w:tbl>
      <w:tblPr>
        <w:tblStyle w:val="TableGrid"/>
        <w:tblpPr w:leftFromText="180" w:rightFromText="180" w:vertAnchor="text" w:tblpY="1"/>
        <w:tblOverlap w:val="never"/>
        <w:tblW w:w="0" w:type="auto"/>
        <w:tblLook w:val="04A0" w:firstRow="1" w:lastRow="0" w:firstColumn="1" w:lastColumn="0" w:noHBand="0" w:noVBand="1"/>
      </w:tblPr>
      <w:tblGrid>
        <w:gridCol w:w="4815"/>
        <w:gridCol w:w="1853"/>
      </w:tblGrid>
      <w:tr w:rsidR="00640471" w:rsidRPr="002827FD" w14:paraId="5F07546A" w14:textId="77777777" w:rsidTr="00640471">
        <w:tc>
          <w:tcPr>
            <w:tcW w:w="4815" w:type="dxa"/>
            <w:shd w:val="clear" w:color="auto" w:fill="BFBFBF" w:themeFill="background1" w:themeFillShade="BF"/>
          </w:tcPr>
          <w:p w14:paraId="30E7CC50" w14:textId="2BCB73CC" w:rsidR="00640471" w:rsidRPr="002827FD" w:rsidRDefault="00640471" w:rsidP="00640471">
            <w:pPr>
              <w:rPr>
                <w:rFonts w:cstheme="minorHAnsi"/>
                <w:b/>
                <w:bCs/>
                <w:sz w:val="20"/>
                <w:szCs w:val="20"/>
              </w:rPr>
            </w:pPr>
            <w:r w:rsidRPr="002827FD">
              <w:rPr>
                <w:rFonts w:cstheme="minorHAnsi"/>
                <w:b/>
                <w:bCs/>
                <w:sz w:val="20"/>
                <w:szCs w:val="20"/>
              </w:rPr>
              <w:t>Treatment sequence</w:t>
            </w:r>
            <w:r w:rsidR="0013201E" w:rsidRPr="00100283">
              <w:rPr>
                <w:rFonts w:cstheme="minorHAnsi"/>
                <w:b/>
                <w:bCs/>
                <w:sz w:val="20"/>
                <w:szCs w:val="20"/>
                <w:vertAlign w:val="superscript"/>
              </w:rPr>
              <w:t>1</w:t>
            </w:r>
          </w:p>
        </w:tc>
        <w:tc>
          <w:tcPr>
            <w:tcW w:w="1853" w:type="dxa"/>
            <w:shd w:val="clear" w:color="auto" w:fill="BFBFBF" w:themeFill="background1" w:themeFillShade="BF"/>
          </w:tcPr>
          <w:p w14:paraId="4795F5E6" w14:textId="77777777" w:rsidR="00640471" w:rsidRPr="002827FD" w:rsidRDefault="00640471" w:rsidP="00640471">
            <w:pPr>
              <w:jc w:val="center"/>
              <w:rPr>
                <w:rFonts w:cstheme="minorHAnsi"/>
                <w:b/>
                <w:bCs/>
                <w:sz w:val="20"/>
                <w:szCs w:val="20"/>
              </w:rPr>
            </w:pPr>
            <w:r w:rsidRPr="002827FD">
              <w:rPr>
                <w:rFonts w:cstheme="minorHAnsi"/>
                <w:b/>
                <w:bCs/>
                <w:sz w:val="20"/>
                <w:szCs w:val="20"/>
              </w:rPr>
              <w:t>Patients</w:t>
            </w:r>
          </w:p>
        </w:tc>
      </w:tr>
      <w:tr w:rsidR="0066553B" w:rsidRPr="002827FD" w14:paraId="49D603F1" w14:textId="77777777" w:rsidTr="00E01248">
        <w:tc>
          <w:tcPr>
            <w:tcW w:w="4815" w:type="dxa"/>
            <w:vAlign w:val="bottom"/>
          </w:tcPr>
          <w:p w14:paraId="24833FC4" w14:textId="43270799" w:rsidR="0066553B" w:rsidRPr="0066553B" w:rsidRDefault="0066553B" w:rsidP="0066553B">
            <w:pPr>
              <w:rPr>
                <w:rFonts w:cstheme="minorHAnsi"/>
                <w:b/>
                <w:bCs/>
                <w:sz w:val="20"/>
                <w:szCs w:val="20"/>
              </w:rPr>
            </w:pPr>
            <w:r w:rsidRPr="0066553B">
              <w:rPr>
                <w:rFonts w:cstheme="minorHAnsi"/>
                <w:color w:val="000000"/>
                <w:sz w:val="20"/>
                <w:szCs w:val="20"/>
              </w:rPr>
              <w:t>CYCLOPHOSPHAMIDE -&gt; ZANUBRUTINIB</w:t>
            </w:r>
          </w:p>
        </w:tc>
        <w:tc>
          <w:tcPr>
            <w:tcW w:w="1853" w:type="dxa"/>
            <w:vAlign w:val="bottom"/>
          </w:tcPr>
          <w:p w14:paraId="5A31F6CD" w14:textId="4B5B4F6C" w:rsidR="0066553B" w:rsidRPr="0066553B" w:rsidRDefault="0066553B" w:rsidP="0066553B">
            <w:pPr>
              <w:jc w:val="center"/>
              <w:rPr>
                <w:rFonts w:cstheme="minorHAnsi"/>
                <w:b/>
                <w:bCs/>
                <w:sz w:val="20"/>
                <w:szCs w:val="20"/>
              </w:rPr>
            </w:pPr>
            <w:r w:rsidRPr="0066553B">
              <w:rPr>
                <w:rFonts w:cstheme="minorHAnsi"/>
                <w:color w:val="000000"/>
                <w:sz w:val="20"/>
                <w:szCs w:val="20"/>
              </w:rPr>
              <w:t>29</w:t>
            </w:r>
          </w:p>
        </w:tc>
      </w:tr>
      <w:tr w:rsidR="0066553B" w:rsidRPr="002827FD" w14:paraId="48342405" w14:textId="77777777" w:rsidTr="00E01248">
        <w:tc>
          <w:tcPr>
            <w:tcW w:w="4815" w:type="dxa"/>
            <w:vAlign w:val="bottom"/>
          </w:tcPr>
          <w:p w14:paraId="5DC677F5" w14:textId="0902D015" w:rsidR="0066553B" w:rsidRPr="0066553B" w:rsidRDefault="0066553B" w:rsidP="0066553B">
            <w:pPr>
              <w:rPr>
                <w:rFonts w:cstheme="minorHAnsi"/>
                <w:b/>
                <w:bCs/>
                <w:sz w:val="20"/>
                <w:szCs w:val="20"/>
              </w:rPr>
            </w:pPr>
            <w:r w:rsidRPr="0066553B">
              <w:rPr>
                <w:rFonts w:cstheme="minorHAnsi"/>
                <w:color w:val="000000"/>
                <w:sz w:val="20"/>
                <w:szCs w:val="20"/>
              </w:rPr>
              <w:t>DEXAMETHASONE -&gt; ZANUBRUTINIB</w:t>
            </w:r>
          </w:p>
        </w:tc>
        <w:tc>
          <w:tcPr>
            <w:tcW w:w="1853" w:type="dxa"/>
            <w:vAlign w:val="bottom"/>
          </w:tcPr>
          <w:p w14:paraId="21F4D24A" w14:textId="4BF5740B" w:rsidR="0066553B" w:rsidRPr="0066553B" w:rsidRDefault="0066553B" w:rsidP="0066553B">
            <w:pPr>
              <w:jc w:val="center"/>
              <w:rPr>
                <w:rFonts w:cstheme="minorHAnsi"/>
                <w:b/>
                <w:bCs/>
                <w:sz w:val="20"/>
                <w:szCs w:val="20"/>
              </w:rPr>
            </w:pPr>
            <w:r w:rsidRPr="0066553B">
              <w:rPr>
                <w:rFonts w:cstheme="minorHAnsi"/>
                <w:color w:val="000000"/>
                <w:sz w:val="20"/>
                <w:szCs w:val="20"/>
              </w:rPr>
              <w:t>16</w:t>
            </w:r>
          </w:p>
        </w:tc>
      </w:tr>
      <w:tr w:rsidR="0066553B" w:rsidRPr="002827FD" w14:paraId="39F7124E" w14:textId="77777777" w:rsidTr="00E01248">
        <w:tc>
          <w:tcPr>
            <w:tcW w:w="4815" w:type="dxa"/>
            <w:vAlign w:val="bottom"/>
          </w:tcPr>
          <w:p w14:paraId="750C1849" w14:textId="2271AF9A" w:rsidR="0066553B" w:rsidRPr="0066553B" w:rsidRDefault="0066553B" w:rsidP="0066553B">
            <w:pPr>
              <w:rPr>
                <w:rFonts w:cstheme="minorHAnsi"/>
                <w:b/>
                <w:bCs/>
                <w:sz w:val="20"/>
                <w:szCs w:val="20"/>
              </w:rPr>
            </w:pPr>
            <w:r w:rsidRPr="0066553B">
              <w:rPr>
                <w:rFonts w:cstheme="minorHAnsi"/>
                <w:color w:val="000000"/>
                <w:sz w:val="20"/>
                <w:szCs w:val="20"/>
              </w:rPr>
              <w:t>CHLORAMBUCIL -&gt; ZANUBRUTINIB</w:t>
            </w:r>
          </w:p>
        </w:tc>
        <w:tc>
          <w:tcPr>
            <w:tcW w:w="1853" w:type="dxa"/>
            <w:vAlign w:val="bottom"/>
          </w:tcPr>
          <w:p w14:paraId="6C0C9683" w14:textId="3D9CBBE5" w:rsidR="0066553B" w:rsidRPr="0066553B" w:rsidRDefault="00C611E7" w:rsidP="0066553B">
            <w:pPr>
              <w:jc w:val="center"/>
              <w:rPr>
                <w:rFonts w:cstheme="minorHAnsi"/>
                <w:b/>
                <w:bCs/>
                <w:sz w:val="20"/>
                <w:szCs w:val="20"/>
              </w:rPr>
            </w:pPr>
            <w:r>
              <w:rPr>
                <w:rFonts w:cstheme="minorHAnsi"/>
                <w:color w:val="000000"/>
                <w:sz w:val="20"/>
                <w:szCs w:val="20"/>
              </w:rPr>
              <w:t>&lt;10</w:t>
            </w:r>
          </w:p>
        </w:tc>
      </w:tr>
      <w:tr w:rsidR="006F564E" w:rsidRPr="002827FD" w14:paraId="1592E00F" w14:textId="77777777" w:rsidTr="00E01248">
        <w:tc>
          <w:tcPr>
            <w:tcW w:w="4815" w:type="dxa"/>
            <w:vAlign w:val="bottom"/>
          </w:tcPr>
          <w:p w14:paraId="1A33089E" w14:textId="7901F33F" w:rsidR="006F564E" w:rsidRPr="00C05DCA" w:rsidRDefault="006F564E" w:rsidP="005C35D1">
            <w:pPr>
              <w:rPr>
                <w:rFonts w:cstheme="minorHAnsi"/>
                <w:color w:val="000000"/>
                <w:sz w:val="20"/>
                <w:szCs w:val="20"/>
              </w:rPr>
            </w:pPr>
            <w:r>
              <w:rPr>
                <w:rFonts w:cstheme="minorHAnsi"/>
                <w:color w:val="000000"/>
                <w:sz w:val="20"/>
                <w:szCs w:val="20"/>
              </w:rPr>
              <w:t>Other</w:t>
            </w:r>
          </w:p>
        </w:tc>
        <w:tc>
          <w:tcPr>
            <w:tcW w:w="1853" w:type="dxa"/>
            <w:vAlign w:val="bottom"/>
          </w:tcPr>
          <w:p w14:paraId="32DE4F3F" w14:textId="5AE9579E" w:rsidR="0066553B" w:rsidRPr="00C05DCA" w:rsidRDefault="00C611E7" w:rsidP="0066553B">
            <w:pPr>
              <w:jc w:val="center"/>
              <w:rPr>
                <w:rFonts w:cstheme="minorHAnsi"/>
                <w:color w:val="000000"/>
                <w:sz w:val="20"/>
                <w:szCs w:val="20"/>
              </w:rPr>
            </w:pPr>
            <w:r>
              <w:rPr>
                <w:rFonts w:cstheme="minorHAnsi"/>
                <w:color w:val="000000"/>
                <w:sz w:val="20"/>
                <w:szCs w:val="20"/>
              </w:rPr>
              <w:t>&lt;10</w:t>
            </w:r>
          </w:p>
        </w:tc>
      </w:tr>
    </w:tbl>
    <w:p w14:paraId="3F009642" w14:textId="77777777" w:rsidR="00E207EF" w:rsidRDefault="00E207EF" w:rsidP="00180D54">
      <w:pPr>
        <w:spacing w:after="0"/>
        <w:rPr>
          <w:sz w:val="20"/>
          <w:szCs w:val="20"/>
        </w:rPr>
      </w:pPr>
    </w:p>
    <w:p w14:paraId="1FE7B2AC" w14:textId="77777777" w:rsidR="00E207EF" w:rsidRDefault="00E207EF" w:rsidP="00180D54">
      <w:pPr>
        <w:spacing w:after="0"/>
        <w:rPr>
          <w:sz w:val="20"/>
          <w:szCs w:val="20"/>
        </w:rPr>
      </w:pPr>
    </w:p>
    <w:p w14:paraId="1B13FC66" w14:textId="77777777" w:rsidR="00E207EF" w:rsidRDefault="00E207EF" w:rsidP="00180D54">
      <w:pPr>
        <w:spacing w:after="0"/>
        <w:rPr>
          <w:sz w:val="20"/>
          <w:szCs w:val="20"/>
        </w:rPr>
      </w:pPr>
    </w:p>
    <w:p w14:paraId="25BB00B3" w14:textId="77777777" w:rsidR="00E207EF" w:rsidRDefault="00E207EF" w:rsidP="00180D54">
      <w:pPr>
        <w:spacing w:after="0"/>
        <w:rPr>
          <w:sz w:val="20"/>
          <w:szCs w:val="20"/>
        </w:rPr>
      </w:pPr>
    </w:p>
    <w:p w14:paraId="05A00FA0" w14:textId="77777777" w:rsidR="00E207EF" w:rsidRDefault="00E207EF" w:rsidP="00180D54">
      <w:pPr>
        <w:spacing w:after="0"/>
        <w:rPr>
          <w:sz w:val="20"/>
          <w:szCs w:val="20"/>
        </w:rPr>
      </w:pPr>
    </w:p>
    <w:p w14:paraId="2F598BD3" w14:textId="77777777" w:rsidR="00E207EF" w:rsidRDefault="00E207EF" w:rsidP="00180D54">
      <w:pPr>
        <w:spacing w:after="0"/>
        <w:rPr>
          <w:sz w:val="20"/>
          <w:szCs w:val="20"/>
        </w:rPr>
      </w:pPr>
    </w:p>
    <w:p w14:paraId="30B3EAE6" w14:textId="3F55AD9D" w:rsidR="00426FB2" w:rsidRDefault="00100283" w:rsidP="00180D54">
      <w:pPr>
        <w:spacing w:after="0"/>
        <w:rPr>
          <w:sz w:val="20"/>
          <w:szCs w:val="20"/>
        </w:rPr>
      </w:pPr>
      <w:r>
        <w:rPr>
          <w:sz w:val="20"/>
          <w:szCs w:val="20"/>
        </w:rPr>
        <w:t xml:space="preserve">Note: </w:t>
      </w:r>
      <w:r w:rsidR="00533CAE" w:rsidRPr="00533CAE">
        <w:rPr>
          <w:sz w:val="20"/>
          <w:szCs w:val="20"/>
          <w:vertAlign w:val="superscript"/>
        </w:rPr>
        <w:t>1</w:t>
      </w:r>
      <w:r w:rsidR="00D83353">
        <w:rPr>
          <w:sz w:val="20"/>
          <w:szCs w:val="20"/>
        </w:rPr>
        <w:t>Commonly used</w:t>
      </w:r>
      <w:r>
        <w:rPr>
          <w:sz w:val="20"/>
          <w:szCs w:val="20"/>
        </w:rPr>
        <w:t xml:space="preserve"> first</w:t>
      </w:r>
      <w:r w:rsidR="006B1CB7">
        <w:rPr>
          <w:sz w:val="20"/>
          <w:szCs w:val="20"/>
        </w:rPr>
        <w:t>-</w:t>
      </w:r>
      <w:r>
        <w:rPr>
          <w:sz w:val="20"/>
          <w:szCs w:val="20"/>
        </w:rPr>
        <w:t xml:space="preserve">line </w:t>
      </w:r>
      <w:r w:rsidR="00D83353">
        <w:rPr>
          <w:sz w:val="20"/>
          <w:szCs w:val="20"/>
        </w:rPr>
        <w:t xml:space="preserve">medications for WM </w:t>
      </w:r>
      <w:r w:rsidR="00CA0D36">
        <w:rPr>
          <w:sz w:val="20"/>
          <w:szCs w:val="20"/>
        </w:rPr>
        <w:t>(see Appendix A)</w:t>
      </w:r>
      <w:r w:rsidR="00972764">
        <w:rPr>
          <w:sz w:val="20"/>
          <w:szCs w:val="20"/>
        </w:rPr>
        <w:t xml:space="preserve">. Medications </w:t>
      </w:r>
      <w:r w:rsidR="004B0C8C">
        <w:rPr>
          <w:sz w:val="20"/>
          <w:szCs w:val="20"/>
        </w:rPr>
        <w:t xml:space="preserve">which are commonly used for the first-line treatment of WM </w:t>
      </w:r>
      <w:r w:rsidR="00972764">
        <w:rPr>
          <w:sz w:val="20"/>
          <w:szCs w:val="20"/>
        </w:rPr>
        <w:t>that are</w:t>
      </w:r>
      <w:r w:rsidR="00D83353">
        <w:rPr>
          <w:sz w:val="20"/>
          <w:szCs w:val="20"/>
        </w:rPr>
        <w:t xml:space="preserve"> </w:t>
      </w:r>
      <w:r w:rsidR="00E66219">
        <w:rPr>
          <w:sz w:val="20"/>
          <w:szCs w:val="20"/>
        </w:rPr>
        <w:t xml:space="preserve">either not PBS </w:t>
      </w:r>
      <w:proofErr w:type="gramStart"/>
      <w:r w:rsidR="00E66219">
        <w:rPr>
          <w:sz w:val="20"/>
          <w:szCs w:val="20"/>
        </w:rPr>
        <w:t>listed</w:t>
      </w:r>
      <w:proofErr w:type="gramEnd"/>
      <w:r w:rsidR="00E66219">
        <w:rPr>
          <w:sz w:val="20"/>
          <w:szCs w:val="20"/>
        </w:rPr>
        <w:t xml:space="preserve"> or </w:t>
      </w:r>
      <w:r w:rsidR="00D83353">
        <w:rPr>
          <w:sz w:val="20"/>
          <w:szCs w:val="20"/>
        </w:rPr>
        <w:t xml:space="preserve">PBS listed </w:t>
      </w:r>
      <w:r w:rsidR="00D5518B">
        <w:rPr>
          <w:sz w:val="20"/>
          <w:szCs w:val="20"/>
        </w:rPr>
        <w:t xml:space="preserve">only </w:t>
      </w:r>
      <w:r w:rsidR="00D83353">
        <w:rPr>
          <w:sz w:val="20"/>
          <w:szCs w:val="20"/>
        </w:rPr>
        <w:t xml:space="preserve">for other indications </w:t>
      </w:r>
      <w:r w:rsidR="00B23D03">
        <w:rPr>
          <w:sz w:val="20"/>
          <w:szCs w:val="20"/>
        </w:rPr>
        <w:t>are not included</w:t>
      </w:r>
      <w:r w:rsidR="004D03AE">
        <w:rPr>
          <w:sz w:val="20"/>
          <w:szCs w:val="20"/>
        </w:rPr>
        <w:t>.</w:t>
      </w:r>
    </w:p>
    <w:p w14:paraId="26300F67" w14:textId="77777777" w:rsidR="004D03AE" w:rsidRPr="00100283" w:rsidRDefault="004D03AE" w:rsidP="00180D54">
      <w:pPr>
        <w:spacing w:after="0"/>
        <w:rPr>
          <w:sz w:val="20"/>
          <w:szCs w:val="20"/>
        </w:rPr>
      </w:pPr>
    </w:p>
    <w:p w14:paraId="598B123E" w14:textId="5EF9D02B" w:rsidR="00180D54" w:rsidRDefault="00180D54" w:rsidP="00180D54">
      <w:pPr>
        <w:spacing w:after="0"/>
        <w:rPr>
          <w:b/>
          <w:bCs/>
          <w:i/>
          <w:iCs/>
        </w:rPr>
      </w:pPr>
      <w:r w:rsidRPr="00D63334">
        <w:rPr>
          <w:b/>
          <w:bCs/>
          <w:i/>
          <w:iCs/>
        </w:rPr>
        <w:t xml:space="preserve">Dose modification </w:t>
      </w:r>
    </w:p>
    <w:p w14:paraId="38F75689" w14:textId="77777777" w:rsidR="0035779C" w:rsidRDefault="0035779C" w:rsidP="00180D54">
      <w:pPr>
        <w:spacing w:after="0"/>
        <w:rPr>
          <w:b/>
          <w:bCs/>
          <w:i/>
          <w:iCs/>
        </w:rPr>
      </w:pPr>
    </w:p>
    <w:p w14:paraId="77B81920" w14:textId="72A0E802" w:rsidR="00046262" w:rsidRPr="00046262" w:rsidRDefault="00046262" w:rsidP="00180D54">
      <w:pPr>
        <w:spacing w:after="0"/>
        <w:rPr>
          <w:b/>
          <w:bCs/>
        </w:rPr>
      </w:pPr>
      <w:r>
        <w:rPr>
          <w:b/>
          <w:bCs/>
        </w:rPr>
        <w:t xml:space="preserve">Table </w:t>
      </w:r>
      <w:r w:rsidR="000C7A25">
        <w:rPr>
          <w:b/>
          <w:bCs/>
        </w:rPr>
        <w:t>5</w:t>
      </w:r>
      <w:r w:rsidR="00E714C1">
        <w:rPr>
          <w:b/>
          <w:bCs/>
        </w:rPr>
        <w:t>: Dose dispensed</w:t>
      </w:r>
    </w:p>
    <w:tbl>
      <w:tblPr>
        <w:tblStyle w:val="TableGrid"/>
        <w:tblW w:w="4560" w:type="dxa"/>
        <w:tblLook w:val="04A0" w:firstRow="1" w:lastRow="0" w:firstColumn="1" w:lastColumn="0" w:noHBand="0" w:noVBand="1"/>
      </w:tblPr>
      <w:tblGrid>
        <w:gridCol w:w="2640"/>
        <w:gridCol w:w="1920"/>
      </w:tblGrid>
      <w:tr w:rsidR="000F17D2" w14:paraId="25EC3A0D" w14:textId="77777777" w:rsidTr="2B269E1A">
        <w:tc>
          <w:tcPr>
            <w:tcW w:w="2640" w:type="dxa"/>
            <w:shd w:val="clear" w:color="auto" w:fill="BFBFBF" w:themeFill="background1" w:themeFillShade="BF"/>
          </w:tcPr>
          <w:p w14:paraId="7006769D" w14:textId="44F19289" w:rsidR="000F17D2" w:rsidRPr="003E34A1" w:rsidRDefault="00FF418E" w:rsidP="00180D54">
            <w:pPr>
              <w:rPr>
                <w:b/>
                <w:bCs/>
                <w:sz w:val="20"/>
                <w:szCs w:val="20"/>
              </w:rPr>
            </w:pPr>
            <w:r w:rsidRPr="003E34A1">
              <w:rPr>
                <w:b/>
                <w:bCs/>
                <w:sz w:val="20"/>
                <w:szCs w:val="20"/>
              </w:rPr>
              <w:t xml:space="preserve">Dose </w:t>
            </w:r>
            <w:r w:rsidR="006E793F" w:rsidRPr="003E34A1">
              <w:rPr>
                <w:b/>
                <w:bCs/>
                <w:sz w:val="20"/>
                <w:szCs w:val="20"/>
              </w:rPr>
              <w:t>dispensed</w:t>
            </w:r>
          </w:p>
        </w:tc>
        <w:tc>
          <w:tcPr>
            <w:tcW w:w="1920" w:type="dxa"/>
            <w:shd w:val="clear" w:color="auto" w:fill="BFBFBF" w:themeFill="background1" w:themeFillShade="BF"/>
          </w:tcPr>
          <w:p w14:paraId="43015A26" w14:textId="0CC1BAC0" w:rsidR="000F17D2" w:rsidRPr="003E34A1" w:rsidRDefault="008E48F0" w:rsidP="00180D54">
            <w:pPr>
              <w:rPr>
                <w:b/>
                <w:bCs/>
                <w:sz w:val="20"/>
                <w:szCs w:val="20"/>
              </w:rPr>
            </w:pPr>
            <w:r w:rsidRPr="003E34A1">
              <w:rPr>
                <w:b/>
                <w:bCs/>
                <w:sz w:val="20"/>
                <w:szCs w:val="20"/>
              </w:rPr>
              <w:t>Scripts</w:t>
            </w:r>
          </w:p>
        </w:tc>
      </w:tr>
      <w:tr w:rsidR="000F17D2" w14:paraId="10A34E2B" w14:textId="77777777" w:rsidTr="2B269E1A">
        <w:tc>
          <w:tcPr>
            <w:tcW w:w="2640" w:type="dxa"/>
          </w:tcPr>
          <w:p w14:paraId="727BBAD1" w14:textId="106E11D9" w:rsidR="000F17D2" w:rsidRPr="005C7587" w:rsidRDefault="004931E5" w:rsidP="00180D54">
            <w:pPr>
              <w:rPr>
                <w:sz w:val="20"/>
                <w:szCs w:val="20"/>
              </w:rPr>
            </w:pPr>
            <w:r w:rsidRPr="005C7587">
              <w:rPr>
                <w:sz w:val="20"/>
                <w:szCs w:val="20"/>
              </w:rPr>
              <w:t>320</w:t>
            </w:r>
            <w:r w:rsidR="00A80A34" w:rsidRPr="005C7587">
              <w:rPr>
                <w:sz w:val="20"/>
                <w:szCs w:val="20"/>
              </w:rPr>
              <w:t xml:space="preserve"> </w:t>
            </w:r>
            <w:r w:rsidRPr="005C7587">
              <w:rPr>
                <w:sz w:val="20"/>
                <w:szCs w:val="20"/>
              </w:rPr>
              <w:t>m</w:t>
            </w:r>
            <w:r w:rsidR="00EB1BBB" w:rsidRPr="005C7587">
              <w:rPr>
                <w:sz w:val="20"/>
                <w:szCs w:val="20"/>
              </w:rPr>
              <w:t>g</w:t>
            </w:r>
          </w:p>
        </w:tc>
        <w:tc>
          <w:tcPr>
            <w:tcW w:w="1920" w:type="dxa"/>
          </w:tcPr>
          <w:p w14:paraId="0FBAE9AD" w14:textId="0984F83B" w:rsidR="000F17D2" w:rsidRPr="005C7587" w:rsidRDefault="00F97D1F" w:rsidP="00180D54">
            <w:pPr>
              <w:rPr>
                <w:sz w:val="20"/>
                <w:szCs w:val="20"/>
              </w:rPr>
            </w:pPr>
            <w:r w:rsidRPr="005C7587">
              <w:rPr>
                <w:sz w:val="20"/>
                <w:szCs w:val="20"/>
              </w:rPr>
              <w:t>7</w:t>
            </w:r>
            <w:r w:rsidR="003E34A1">
              <w:rPr>
                <w:sz w:val="20"/>
                <w:szCs w:val="20"/>
              </w:rPr>
              <w:t>,</w:t>
            </w:r>
            <w:r w:rsidRPr="005C7587">
              <w:rPr>
                <w:sz w:val="20"/>
                <w:szCs w:val="20"/>
              </w:rPr>
              <w:t>317</w:t>
            </w:r>
          </w:p>
        </w:tc>
      </w:tr>
      <w:tr w:rsidR="000F17D2" w14:paraId="441C6626" w14:textId="77777777" w:rsidTr="2B269E1A">
        <w:tc>
          <w:tcPr>
            <w:tcW w:w="2640" w:type="dxa"/>
          </w:tcPr>
          <w:p w14:paraId="63FA8390" w14:textId="7DD261BF" w:rsidR="000F17D2" w:rsidRPr="005C7587" w:rsidRDefault="00EB1BBB" w:rsidP="00180D54">
            <w:pPr>
              <w:rPr>
                <w:sz w:val="20"/>
                <w:szCs w:val="20"/>
              </w:rPr>
            </w:pPr>
            <w:r w:rsidRPr="005C7587">
              <w:rPr>
                <w:sz w:val="20"/>
                <w:szCs w:val="20"/>
              </w:rPr>
              <w:t>160</w:t>
            </w:r>
            <w:r w:rsidR="00A80A34" w:rsidRPr="005C7587">
              <w:rPr>
                <w:sz w:val="20"/>
                <w:szCs w:val="20"/>
              </w:rPr>
              <w:t xml:space="preserve"> </w:t>
            </w:r>
            <w:r w:rsidRPr="005C7587">
              <w:rPr>
                <w:sz w:val="20"/>
                <w:szCs w:val="20"/>
              </w:rPr>
              <w:t>mg</w:t>
            </w:r>
          </w:p>
        </w:tc>
        <w:tc>
          <w:tcPr>
            <w:tcW w:w="1920" w:type="dxa"/>
          </w:tcPr>
          <w:p w14:paraId="1C961124" w14:textId="3CA66935" w:rsidR="000F17D2" w:rsidRPr="005C7587" w:rsidRDefault="00F97D1F" w:rsidP="00180D54">
            <w:pPr>
              <w:rPr>
                <w:sz w:val="20"/>
                <w:szCs w:val="20"/>
              </w:rPr>
            </w:pPr>
            <w:r w:rsidRPr="005C7587">
              <w:rPr>
                <w:sz w:val="20"/>
                <w:szCs w:val="20"/>
              </w:rPr>
              <w:t>82</w:t>
            </w:r>
          </w:p>
        </w:tc>
      </w:tr>
      <w:tr w:rsidR="000F17D2" w14:paraId="57C7CF93" w14:textId="77777777" w:rsidTr="2B269E1A">
        <w:tc>
          <w:tcPr>
            <w:tcW w:w="2640" w:type="dxa"/>
          </w:tcPr>
          <w:p w14:paraId="10879201" w14:textId="767FC205" w:rsidR="000F17D2" w:rsidRPr="005C7587" w:rsidRDefault="009A721F" w:rsidP="00180D54">
            <w:pPr>
              <w:rPr>
                <w:sz w:val="20"/>
                <w:szCs w:val="20"/>
              </w:rPr>
            </w:pPr>
            <w:r w:rsidRPr="005C7587">
              <w:rPr>
                <w:sz w:val="20"/>
                <w:szCs w:val="20"/>
              </w:rPr>
              <w:t>80</w:t>
            </w:r>
            <w:r w:rsidR="00A80A34" w:rsidRPr="005C7587">
              <w:rPr>
                <w:sz w:val="20"/>
                <w:szCs w:val="20"/>
              </w:rPr>
              <w:t xml:space="preserve"> </w:t>
            </w:r>
            <w:r w:rsidRPr="005C7587">
              <w:rPr>
                <w:sz w:val="20"/>
                <w:szCs w:val="20"/>
              </w:rPr>
              <w:t>mg</w:t>
            </w:r>
          </w:p>
        </w:tc>
        <w:tc>
          <w:tcPr>
            <w:tcW w:w="1920" w:type="dxa"/>
          </w:tcPr>
          <w:p w14:paraId="3BF8EDCE" w14:textId="5A3B0B63" w:rsidR="000F17D2" w:rsidRPr="005C7587" w:rsidRDefault="00F97D1F" w:rsidP="00180D54">
            <w:pPr>
              <w:rPr>
                <w:sz w:val="20"/>
                <w:szCs w:val="20"/>
              </w:rPr>
            </w:pPr>
            <w:r w:rsidRPr="005C7587">
              <w:rPr>
                <w:sz w:val="20"/>
                <w:szCs w:val="20"/>
              </w:rPr>
              <w:t>15</w:t>
            </w:r>
          </w:p>
        </w:tc>
      </w:tr>
    </w:tbl>
    <w:p w14:paraId="6832E2AA" w14:textId="77777777" w:rsidR="0035779C" w:rsidRDefault="0035779C" w:rsidP="00180D54">
      <w:pPr>
        <w:spacing w:after="0"/>
      </w:pPr>
    </w:p>
    <w:p w14:paraId="734338FC" w14:textId="4ABA8DEA" w:rsidR="00E714C1" w:rsidRPr="00E714C1" w:rsidRDefault="00E714C1" w:rsidP="00180D54">
      <w:pPr>
        <w:spacing w:after="0"/>
        <w:rPr>
          <w:b/>
          <w:bCs/>
        </w:rPr>
      </w:pPr>
      <w:r w:rsidRPr="00E714C1">
        <w:rPr>
          <w:b/>
          <w:bCs/>
        </w:rPr>
        <w:t xml:space="preserve">Table </w:t>
      </w:r>
      <w:r w:rsidR="000C7A25">
        <w:rPr>
          <w:b/>
          <w:bCs/>
        </w:rPr>
        <w:t>6</w:t>
      </w:r>
      <w:r w:rsidRPr="00E714C1">
        <w:rPr>
          <w:b/>
          <w:bCs/>
        </w:rPr>
        <w:t>: Dose modification</w:t>
      </w:r>
    </w:p>
    <w:tbl>
      <w:tblPr>
        <w:tblStyle w:val="TableGrid"/>
        <w:tblW w:w="4635" w:type="dxa"/>
        <w:tblLook w:val="04A0" w:firstRow="1" w:lastRow="0" w:firstColumn="1" w:lastColumn="0" w:noHBand="0" w:noVBand="1"/>
      </w:tblPr>
      <w:tblGrid>
        <w:gridCol w:w="2685"/>
        <w:gridCol w:w="1950"/>
      </w:tblGrid>
      <w:tr w:rsidR="00D447B8" w14:paraId="20643AC3" w14:textId="77777777" w:rsidTr="2B269E1A">
        <w:tc>
          <w:tcPr>
            <w:tcW w:w="2685" w:type="dxa"/>
            <w:shd w:val="clear" w:color="auto" w:fill="BFBFBF" w:themeFill="background1" w:themeFillShade="BF"/>
          </w:tcPr>
          <w:p w14:paraId="79A9BD3F" w14:textId="588754F2" w:rsidR="00D447B8" w:rsidRPr="003E34A1" w:rsidRDefault="00D447B8" w:rsidP="00180D54">
            <w:pPr>
              <w:rPr>
                <w:b/>
                <w:bCs/>
                <w:sz w:val="20"/>
                <w:szCs w:val="20"/>
              </w:rPr>
            </w:pPr>
            <w:r w:rsidRPr="003E34A1">
              <w:rPr>
                <w:b/>
                <w:bCs/>
                <w:sz w:val="20"/>
                <w:szCs w:val="20"/>
              </w:rPr>
              <w:t>Dose modification</w:t>
            </w:r>
          </w:p>
        </w:tc>
        <w:tc>
          <w:tcPr>
            <w:tcW w:w="1950" w:type="dxa"/>
            <w:shd w:val="clear" w:color="auto" w:fill="BFBFBF" w:themeFill="background1" w:themeFillShade="BF"/>
          </w:tcPr>
          <w:p w14:paraId="7FCE1763" w14:textId="7CFD6283" w:rsidR="00D447B8" w:rsidRPr="003E34A1" w:rsidRDefault="00D447B8" w:rsidP="00180D54">
            <w:pPr>
              <w:rPr>
                <w:b/>
                <w:bCs/>
                <w:sz w:val="20"/>
                <w:szCs w:val="20"/>
              </w:rPr>
            </w:pPr>
            <w:r w:rsidRPr="003E34A1">
              <w:rPr>
                <w:b/>
                <w:bCs/>
                <w:sz w:val="20"/>
                <w:szCs w:val="20"/>
              </w:rPr>
              <w:t>Patients</w:t>
            </w:r>
          </w:p>
        </w:tc>
      </w:tr>
      <w:tr w:rsidR="00D447B8" w14:paraId="5D6B4D49" w14:textId="77777777" w:rsidTr="2B269E1A">
        <w:tc>
          <w:tcPr>
            <w:tcW w:w="2685" w:type="dxa"/>
          </w:tcPr>
          <w:p w14:paraId="402EFFD1" w14:textId="3B2E7D45" w:rsidR="00D447B8" w:rsidRPr="005C7587" w:rsidRDefault="00D447B8" w:rsidP="00180D54">
            <w:pPr>
              <w:rPr>
                <w:sz w:val="20"/>
                <w:szCs w:val="20"/>
              </w:rPr>
            </w:pPr>
            <w:r w:rsidRPr="005C7587">
              <w:rPr>
                <w:sz w:val="20"/>
                <w:szCs w:val="20"/>
              </w:rPr>
              <w:t>Up ti</w:t>
            </w:r>
            <w:r w:rsidR="0010163F" w:rsidRPr="005C7587">
              <w:rPr>
                <w:sz w:val="20"/>
                <w:szCs w:val="20"/>
              </w:rPr>
              <w:t>trated</w:t>
            </w:r>
            <w:r w:rsidR="587A9D08" w:rsidRPr="005C7587">
              <w:rPr>
                <w:sz w:val="20"/>
                <w:szCs w:val="20"/>
                <w:vertAlign w:val="superscript"/>
              </w:rPr>
              <w:t>1</w:t>
            </w:r>
          </w:p>
        </w:tc>
        <w:tc>
          <w:tcPr>
            <w:tcW w:w="1950" w:type="dxa"/>
          </w:tcPr>
          <w:p w14:paraId="6618B882" w14:textId="26166DBF" w:rsidR="00D447B8" w:rsidRPr="005C7587" w:rsidRDefault="00C611E7" w:rsidP="00180D54">
            <w:pPr>
              <w:rPr>
                <w:sz w:val="20"/>
                <w:szCs w:val="20"/>
              </w:rPr>
            </w:pPr>
            <w:r>
              <w:rPr>
                <w:sz w:val="20"/>
                <w:szCs w:val="20"/>
              </w:rPr>
              <w:t>&lt;10</w:t>
            </w:r>
          </w:p>
        </w:tc>
      </w:tr>
      <w:tr w:rsidR="00D447B8" w14:paraId="7DCC916D" w14:textId="77777777" w:rsidTr="2B269E1A">
        <w:tc>
          <w:tcPr>
            <w:tcW w:w="2685" w:type="dxa"/>
          </w:tcPr>
          <w:p w14:paraId="43917FDC" w14:textId="61693D31" w:rsidR="00D447B8" w:rsidRPr="005C7587" w:rsidRDefault="0010163F" w:rsidP="00180D54">
            <w:pPr>
              <w:rPr>
                <w:sz w:val="20"/>
                <w:szCs w:val="20"/>
                <w:vertAlign w:val="superscript"/>
              </w:rPr>
            </w:pPr>
            <w:r w:rsidRPr="005C7587">
              <w:rPr>
                <w:sz w:val="20"/>
                <w:szCs w:val="20"/>
              </w:rPr>
              <w:t>Down titrated</w:t>
            </w:r>
            <w:r w:rsidR="0156CEFC" w:rsidRPr="005C7587">
              <w:rPr>
                <w:sz w:val="20"/>
                <w:szCs w:val="20"/>
                <w:vertAlign w:val="superscript"/>
              </w:rPr>
              <w:t>2</w:t>
            </w:r>
          </w:p>
        </w:tc>
        <w:tc>
          <w:tcPr>
            <w:tcW w:w="1950" w:type="dxa"/>
          </w:tcPr>
          <w:p w14:paraId="3FE2E088" w14:textId="32871799" w:rsidR="00D447B8" w:rsidRPr="005C7587" w:rsidRDefault="00105A56" w:rsidP="00180D54">
            <w:pPr>
              <w:rPr>
                <w:sz w:val="20"/>
                <w:szCs w:val="20"/>
              </w:rPr>
            </w:pPr>
            <w:r w:rsidRPr="005C7587">
              <w:rPr>
                <w:sz w:val="20"/>
                <w:szCs w:val="20"/>
              </w:rPr>
              <w:t>13</w:t>
            </w:r>
          </w:p>
        </w:tc>
      </w:tr>
    </w:tbl>
    <w:p w14:paraId="7B63DA6F" w14:textId="4AD1A147" w:rsidR="00180D54" w:rsidRDefault="004C4AC6" w:rsidP="007C6089">
      <w:pPr>
        <w:spacing w:after="0"/>
        <w:rPr>
          <w:sz w:val="20"/>
          <w:szCs w:val="20"/>
        </w:rPr>
      </w:pPr>
      <w:r>
        <w:rPr>
          <w:sz w:val="20"/>
          <w:szCs w:val="20"/>
        </w:rPr>
        <w:t>Note:</w:t>
      </w:r>
    </w:p>
    <w:p w14:paraId="5F4C7EA2" w14:textId="5AB8F2D8" w:rsidR="00180D54" w:rsidRDefault="004C4AC6" w:rsidP="007C6089">
      <w:pPr>
        <w:spacing w:after="0"/>
        <w:rPr>
          <w:sz w:val="20"/>
          <w:szCs w:val="20"/>
        </w:rPr>
      </w:pPr>
      <w:r w:rsidRPr="006E793F">
        <w:rPr>
          <w:sz w:val="20"/>
          <w:szCs w:val="20"/>
          <w:vertAlign w:val="superscript"/>
        </w:rPr>
        <w:t>1</w:t>
      </w:r>
      <w:r w:rsidR="7583CB7A" w:rsidRPr="3FC21F21">
        <w:rPr>
          <w:sz w:val="20"/>
          <w:szCs w:val="20"/>
        </w:rPr>
        <w:t>From lower dose to 320</w:t>
      </w:r>
      <w:r w:rsidR="006B1CB7">
        <w:rPr>
          <w:sz w:val="20"/>
          <w:szCs w:val="20"/>
        </w:rPr>
        <w:t xml:space="preserve"> </w:t>
      </w:r>
      <w:r w:rsidR="7583CB7A" w:rsidRPr="3FC21F21">
        <w:rPr>
          <w:sz w:val="20"/>
          <w:szCs w:val="20"/>
        </w:rPr>
        <w:t>mg.</w:t>
      </w:r>
    </w:p>
    <w:p w14:paraId="019816C2" w14:textId="4063DB7F" w:rsidR="00180D54" w:rsidRDefault="7583CB7A" w:rsidP="007C6089">
      <w:pPr>
        <w:spacing w:after="0"/>
        <w:rPr>
          <w:sz w:val="20"/>
          <w:szCs w:val="20"/>
        </w:rPr>
      </w:pPr>
      <w:r w:rsidRPr="3FC21F21">
        <w:rPr>
          <w:sz w:val="20"/>
          <w:szCs w:val="20"/>
          <w:vertAlign w:val="superscript"/>
        </w:rPr>
        <w:t>2</w:t>
      </w:r>
      <w:r w:rsidR="007C6089">
        <w:rPr>
          <w:sz w:val="20"/>
          <w:szCs w:val="20"/>
        </w:rPr>
        <w:t>I</w:t>
      </w:r>
      <w:r w:rsidR="004C4AC6" w:rsidRPr="3FC21F21">
        <w:rPr>
          <w:sz w:val="20"/>
          <w:szCs w:val="20"/>
        </w:rPr>
        <w:t>ncludes</w:t>
      </w:r>
      <w:r w:rsidR="004C4AC6">
        <w:rPr>
          <w:sz w:val="20"/>
          <w:szCs w:val="20"/>
        </w:rPr>
        <w:t xml:space="preserve"> patients returned to original dose.</w:t>
      </w:r>
    </w:p>
    <w:p w14:paraId="42E74FBE" w14:textId="77777777" w:rsidR="000A2C46" w:rsidRDefault="000A2C46" w:rsidP="00DC5EFD">
      <w:pPr>
        <w:rPr>
          <w:sz w:val="20"/>
          <w:szCs w:val="20"/>
        </w:rPr>
      </w:pPr>
    </w:p>
    <w:p w14:paraId="1ED385DF" w14:textId="77777777" w:rsidR="00C57B06" w:rsidRDefault="00C57B06" w:rsidP="00DC5EFD">
      <w:pPr>
        <w:rPr>
          <w:sz w:val="20"/>
          <w:szCs w:val="20"/>
        </w:rPr>
      </w:pPr>
    </w:p>
    <w:p w14:paraId="5766E562" w14:textId="77777777" w:rsidR="00C57B06" w:rsidRDefault="00C57B06" w:rsidP="00DC5EFD">
      <w:pPr>
        <w:rPr>
          <w:sz w:val="20"/>
          <w:szCs w:val="20"/>
        </w:rPr>
      </w:pPr>
    </w:p>
    <w:p w14:paraId="5DF8CEB0" w14:textId="77777777" w:rsidR="00C57B06" w:rsidRDefault="00C57B06" w:rsidP="00DC5EFD">
      <w:pPr>
        <w:rPr>
          <w:sz w:val="20"/>
          <w:szCs w:val="20"/>
        </w:rPr>
      </w:pPr>
    </w:p>
    <w:p w14:paraId="5AF90DB0" w14:textId="4F8A2A09" w:rsidR="000A2C46" w:rsidRDefault="000A2C46" w:rsidP="00DC5EFD">
      <w:pPr>
        <w:rPr>
          <w:b/>
          <w:bCs/>
          <w:i/>
          <w:iCs/>
        </w:rPr>
      </w:pPr>
      <w:r w:rsidRPr="0086569E">
        <w:rPr>
          <w:b/>
          <w:bCs/>
          <w:i/>
          <w:iCs/>
        </w:rPr>
        <w:t>Treatment duration analysis</w:t>
      </w:r>
    </w:p>
    <w:p w14:paraId="2495530A" w14:textId="351648A6" w:rsidR="003006CE" w:rsidRPr="00855839" w:rsidRDefault="003006CE" w:rsidP="003006CE">
      <w:pPr>
        <w:pStyle w:val="Figurecaption"/>
        <w:rPr>
          <w:b/>
          <w:bCs/>
          <w:sz w:val="24"/>
          <w:szCs w:val="24"/>
        </w:rPr>
      </w:pPr>
      <w:r>
        <w:rPr>
          <w:b/>
          <w:bCs/>
          <w:sz w:val="24"/>
          <w:szCs w:val="24"/>
        </w:rPr>
        <w:t xml:space="preserve">Table </w:t>
      </w:r>
      <w:r w:rsidR="000C7A25">
        <w:rPr>
          <w:b/>
          <w:bCs/>
          <w:sz w:val="24"/>
          <w:szCs w:val="24"/>
        </w:rPr>
        <w:t>7</w:t>
      </w:r>
      <w:r>
        <w:rPr>
          <w:b/>
          <w:bCs/>
          <w:sz w:val="24"/>
          <w:szCs w:val="24"/>
        </w:rPr>
        <w:t>: Time on treatment (days)</w:t>
      </w:r>
    </w:p>
    <w:tbl>
      <w:tblPr>
        <w:tblStyle w:val="TableGrid"/>
        <w:tblW w:w="0" w:type="auto"/>
        <w:tblLook w:val="04A0" w:firstRow="1" w:lastRow="0" w:firstColumn="1" w:lastColumn="0" w:noHBand="0" w:noVBand="1"/>
      </w:tblPr>
      <w:tblGrid>
        <w:gridCol w:w="1149"/>
        <w:gridCol w:w="1118"/>
        <w:gridCol w:w="2237"/>
        <w:gridCol w:w="2237"/>
      </w:tblGrid>
      <w:tr w:rsidR="00EA64A4" w14:paraId="3917649E" w14:textId="77777777" w:rsidTr="00646CA8">
        <w:tc>
          <w:tcPr>
            <w:tcW w:w="2236" w:type="dxa"/>
            <w:gridSpan w:val="2"/>
            <w:shd w:val="clear" w:color="auto" w:fill="BFBFBF" w:themeFill="background1" w:themeFillShade="BF"/>
          </w:tcPr>
          <w:p w14:paraId="0F9F5AF0" w14:textId="77777777" w:rsidR="00EA64A4" w:rsidRPr="009D5F09" w:rsidRDefault="00EA64A4" w:rsidP="00646CA8">
            <w:pPr>
              <w:pStyle w:val="Figurecaption"/>
            </w:pPr>
          </w:p>
        </w:tc>
        <w:tc>
          <w:tcPr>
            <w:tcW w:w="2237" w:type="dxa"/>
            <w:shd w:val="clear" w:color="auto" w:fill="BFBFBF" w:themeFill="background1" w:themeFillShade="BF"/>
          </w:tcPr>
          <w:p w14:paraId="436385A8" w14:textId="77777777" w:rsidR="00EA64A4" w:rsidRPr="009D5F09" w:rsidRDefault="00EA64A4" w:rsidP="00646CA8">
            <w:pPr>
              <w:pStyle w:val="Figurecaption"/>
              <w:jc w:val="center"/>
              <w:rPr>
                <w:b/>
                <w:bCs/>
              </w:rPr>
            </w:pPr>
            <w:r w:rsidRPr="009D5F09">
              <w:rPr>
                <w:b/>
                <w:bCs/>
              </w:rPr>
              <w:t>With breaks</w:t>
            </w:r>
          </w:p>
        </w:tc>
        <w:tc>
          <w:tcPr>
            <w:tcW w:w="2237" w:type="dxa"/>
            <w:shd w:val="clear" w:color="auto" w:fill="BFBFBF" w:themeFill="background1" w:themeFillShade="BF"/>
          </w:tcPr>
          <w:p w14:paraId="5C0B5060" w14:textId="77777777" w:rsidR="00EA64A4" w:rsidRPr="009D5F09" w:rsidRDefault="00EA64A4" w:rsidP="00646CA8">
            <w:pPr>
              <w:pStyle w:val="Figurecaption"/>
              <w:jc w:val="center"/>
              <w:rPr>
                <w:b/>
                <w:bCs/>
              </w:rPr>
            </w:pPr>
            <w:r w:rsidRPr="009D5F09">
              <w:rPr>
                <w:b/>
                <w:bCs/>
              </w:rPr>
              <w:t>Without breaks</w:t>
            </w:r>
          </w:p>
        </w:tc>
      </w:tr>
      <w:tr w:rsidR="00EA64A4" w14:paraId="1D142EEA" w14:textId="77777777" w:rsidTr="00646CA8">
        <w:tc>
          <w:tcPr>
            <w:tcW w:w="2236" w:type="dxa"/>
            <w:gridSpan w:val="2"/>
          </w:tcPr>
          <w:p w14:paraId="7903EFCE" w14:textId="77777777" w:rsidR="00EA64A4" w:rsidRPr="009D5F09" w:rsidRDefault="00EA64A4" w:rsidP="00646CA8">
            <w:pPr>
              <w:pStyle w:val="Figurecaption"/>
              <w:ind w:left="720"/>
              <w:rPr>
                <w:b/>
                <w:bCs/>
              </w:rPr>
            </w:pPr>
            <w:r w:rsidRPr="009D5F09">
              <w:rPr>
                <w:b/>
                <w:bCs/>
              </w:rPr>
              <w:t>Mean</w:t>
            </w:r>
          </w:p>
        </w:tc>
        <w:tc>
          <w:tcPr>
            <w:tcW w:w="2237" w:type="dxa"/>
          </w:tcPr>
          <w:p w14:paraId="3B5CA777" w14:textId="3094EF05" w:rsidR="00EA64A4" w:rsidRPr="009D5F09" w:rsidRDefault="00436C07" w:rsidP="00646CA8">
            <w:pPr>
              <w:pStyle w:val="Figurecaption"/>
              <w:jc w:val="center"/>
            </w:pPr>
            <w:r>
              <w:t>4</w:t>
            </w:r>
            <w:r w:rsidR="00A826B7">
              <w:t>67</w:t>
            </w:r>
          </w:p>
        </w:tc>
        <w:tc>
          <w:tcPr>
            <w:tcW w:w="2237" w:type="dxa"/>
          </w:tcPr>
          <w:p w14:paraId="6C914BC1" w14:textId="5260D260" w:rsidR="00EA64A4" w:rsidRPr="009D5F09" w:rsidRDefault="00C84AEF" w:rsidP="00646CA8">
            <w:pPr>
              <w:pStyle w:val="Figurecaption"/>
              <w:jc w:val="center"/>
            </w:pPr>
            <w:r>
              <w:t>38</w:t>
            </w:r>
            <w:r w:rsidR="006A13A5">
              <w:t>4</w:t>
            </w:r>
          </w:p>
        </w:tc>
      </w:tr>
      <w:tr w:rsidR="00EA64A4" w14:paraId="34B2EDDF" w14:textId="77777777" w:rsidTr="00646CA8">
        <w:tc>
          <w:tcPr>
            <w:tcW w:w="2236" w:type="dxa"/>
            <w:gridSpan w:val="2"/>
          </w:tcPr>
          <w:p w14:paraId="2A588DF7" w14:textId="77777777" w:rsidR="00EA64A4" w:rsidRPr="009D5F09" w:rsidRDefault="00EA64A4" w:rsidP="00646CA8">
            <w:pPr>
              <w:pStyle w:val="Figurecaption"/>
              <w:ind w:left="720"/>
              <w:rPr>
                <w:b/>
                <w:bCs/>
              </w:rPr>
            </w:pPr>
            <w:r w:rsidRPr="009D5F09">
              <w:rPr>
                <w:b/>
                <w:bCs/>
              </w:rPr>
              <w:t>Median</w:t>
            </w:r>
          </w:p>
        </w:tc>
        <w:tc>
          <w:tcPr>
            <w:tcW w:w="2237" w:type="dxa"/>
          </w:tcPr>
          <w:p w14:paraId="35C1CFCE" w14:textId="5CA272F3" w:rsidR="00EA64A4" w:rsidRPr="009D5F09" w:rsidRDefault="00A826B7" w:rsidP="00646CA8">
            <w:pPr>
              <w:pStyle w:val="Figurecaption"/>
              <w:jc w:val="center"/>
            </w:pPr>
            <w:r>
              <w:t>-</w:t>
            </w:r>
          </w:p>
        </w:tc>
        <w:tc>
          <w:tcPr>
            <w:tcW w:w="2237" w:type="dxa"/>
          </w:tcPr>
          <w:p w14:paraId="674DF4BD" w14:textId="1C3ED3E2" w:rsidR="00EA64A4" w:rsidRPr="009D5F09" w:rsidRDefault="006A13A5" w:rsidP="00646CA8">
            <w:pPr>
              <w:pStyle w:val="Figurecaption"/>
              <w:jc w:val="center"/>
            </w:pPr>
            <w:r>
              <w:t>531</w:t>
            </w:r>
          </w:p>
        </w:tc>
      </w:tr>
      <w:tr w:rsidR="002273EE" w14:paraId="35F0ED62" w14:textId="77777777" w:rsidTr="00646CA8">
        <w:tc>
          <w:tcPr>
            <w:tcW w:w="2236" w:type="dxa"/>
            <w:gridSpan w:val="2"/>
          </w:tcPr>
          <w:p w14:paraId="712FD015" w14:textId="7825C87B" w:rsidR="002273EE" w:rsidRPr="009D5F09" w:rsidRDefault="002273EE" w:rsidP="00646CA8">
            <w:pPr>
              <w:pStyle w:val="Figurecaption"/>
              <w:ind w:left="720"/>
              <w:rPr>
                <w:b/>
                <w:bCs/>
              </w:rPr>
            </w:pPr>
            <w:r>
              <w:rPr>
                <w:b/>
                <w:bCs/>
              </w:rPr>
              <w:t>Standard error</w:t>
            </w:r>
          </w:p>
        </w:tc>
        <w:tc>
          <w:tcPr>
            <w:tcW w:w="2237" w:type="dxa"/>
          </w:tcPr>
          <w:p w14:paraId="524EA5CC" w14:textId="1DD12B7E" w:rsidR="002273EE" w:rsidRDefault="002273EE" w:rsidP="00646CA8">
            <w:pPr>
              <w:pStyle w:val="Figurecaption"/>
              <w:jc w:val="center"/>
            </w:pPr>
            <w:r>
              <w:t>9.3</w:t>
            </w:r>
          </w:p>
        </w:tc>
        <w:tc>
          <w:tcPr>
            <w:tcW w:w="2237" w:type="dxa"/>
          </w:tcPr>
          <w:p w14:paraId="2E3B59CE" w14:textId="37709547" w:rsidR="002273EE" w:rsidRDefault="002273EE" w:rsidP="00646CA8">
            <w:pPr>
              <w:pStyle w:val="Figurecaption"/>
              <w:jc w:val="center"/>
            </w:pPr>
            <w:r>
              <w:t>10.0</w:t>
            </w:r>
          </w:p>
        </w:tc>
      </w:tr>
      <w:tr w:rsidR="005332FC" w14:paraId="24886246" w14:textId="77777777" w:rsidTr="00646CA8">
        <w:tc>
          <w:tcPr>
            <w:tcW w:w="2236" w:type="dxa"/>
            <w:gridSpan w:val="2"/>
          </w:tcPr>
          <w:p w14:paraId="1B207B97" w14:textId="52252170" w:rsidR="005332FC" w:rsidRDefault="005332FC" w:rsidP="00646CA8">
            <w:pPr>
              <w:pStyle w:val="Figurecaption"/>
              <w:ind w:left="720"/>
              <w:rPr>
                <w:b/>
                <w:bCs/>
              </w:rPr>
            </w:pPr>
            <w:r>
              <w:rPr>
                <w:b/>
                <w:bCs/>
              </w:rPr>
              <w:t>Number of patients</w:t>
            </w:r>
          </w:p>
        </w:tc>
        <w:tc>
          <w:tcPr>
            <w:tcW w:w="2237" w:type="dxa"/>
          </w:tcPr>
          <w:p w14:paraId="48320C79" w14:textId="18F0503E" w:rsidR="005332FC" w:rsidRDefault="005332FC" w:rsidP="00646CA8">
            <w:pPr>
              <w:pStyle w:val="Figurecaption"/>
              <w:jc w:val="center"/>
            </w:pPr>
            <w:r>
              <w:t>579</w:t>
            </w:r>
          </w:p>
        </w:tc>
        <w:tc>
          <w:tcPr>
            <w:tcW w:w="2237" w:type="dxa"/>
          </w:tcPr>
          <w:p w14:paraId="431555C6" w14:textId="48B0E224" w:rsidR="005332FC" w:rsidRDefault="005332FC" w:rsidP="00646CA8">
            <w:pPr>
              <w:pStyle w:val="Figurecaption"/>
              <w:jc w:val="center"/>
            </w:pPr>
            <w:r>
              <w:t>579</w:t>
            </w:r>
          </w:p>
        </w:tc>
      </w:tr>
      <w:tr w:rsidR="005332FC" w14:paraId="3AEF72D7" w14:textId="77777777" w:rsidTr="00646CA8">
        <w:tc>
          <w:tcPr>
            <w:tcW w:w="2236" w:type="dxa"/>
            <w:gridSpan w:val="2"/>
          </w:tcPr>
          <w:p w14:paraId="5EC62A2E" w14:textId="50411B2D" w:rsidR="005332FC" w:rsidRDefault="005332FC" w:rsidP="00646CA8">
            <w:pPr>
              <w:pStyle w:val="Figurecaption"/>
              <w:ind w:left="720"/>
              <w:rPr>
                <w:b/>
                <w:bCs/>
              </w:rPr>
            </w:pPr>
            <w:r>
              <w:rPr>
                <w:b/>
                <w:bCs/>
              </w:rPr>
              <w:t>Censored</w:t>
            </w:r>
          </w:p>
        </w:tc>
        <w:tc>
          <w:tcPr>
            <w:tcW w:w="2237" w:type="dxa"/>
          </w:tcPr>
          <w:p w14:paraId="734D165A" w14:textId="5F3B5785" w:rsidR="005332FC" w:rsidRPr="00E63123" w:rsidRDefault="00061741" w:rsidP="00646CA8">
            <w:pPr>
              <w:pStyle w:val="Figurecaption"/>
              <w:jc w:val="center"/>
              <w:rPr>
                <w:highlight w:val="darkGray"/>
              </w:rPr>
            </w:pPr>
            <w:r w:rsidRPr="00061741">
              <w:rPr>
                <w:highlight w:val="black"/>
              </w:rPr>
              <w:t>XXX</w:t>
            </w:r>
          </w:p>
        </w:tc>
        <w:tc>
          <w:tcPr>
            <w:tcW w:w="2237" w:type="dxa"/>
          </w:tcPr>
          <w:p w14:paraId="6F5F6D42" w14:textId="214FAB71" w:rsidR="005332FC" w:rsidRPr="00E63123" w:rsidRDefault="00061741" w:rsidP="00646CA8">
            <w:pPr>
              <w:pStyle w:val="Figurecaption"/>
              <w:jc w:val="center"/>
              <w:rPr>
                <w:highlight w:val="darkGray"/>
              </w:rPr>
            </w:pPr>
            <w:r w:rsidRPr="00061741">
              <w:rPr>
                <w:highlight w:val="black"/>
              </w:rPr>
              <w:t>XXX</w:t>
            </w:r>
          </w:p>
        </w:tc>
      </w:tr>
      <w:tr w:rsidR="00C51880" w14:paraId="4AEECF82" w14:textId="77777777" w:rsidTr="00292A1B">
        <w:tc>
          <w:tcPr>
            <w:tcW w:w="1118" w:type="dxa"/>
            <w:vMerge w:val="restart"/>
          </w:tcPr>
          <w:p w14:paraId="1AF07720" w14:textId="77777777" w:rsidR="00C51880" w:rsidRDefault="00C51880" w:rsidP="00C51880">
            <w:pPr>
              <w:pStyle w:val="Figurecaption"/>
              <w:rPr>
                <w:b/>
                <w:bCs/>
              </w:rPr>
            </w:pPr>
            <w:r>
              <w:rPr>
                <w:b/>
                <w:bCs/>
              </w:rPr>
              <w:t>95% Confidence</w:t>
            </w:r>
          </w:p>
          <w:p w14:paraId="2439E32D" w14:textId="64DFD1EA" w:rsidR="00C51880" w:rsidRDefault="00C51880" w:rsidP="00C51880">
            <w:pPr>
              <w:pStyle w:val="Figurecaption"/>
              <w:rPr>
                <w:b/>
                <w:bCs/>
              </w:rPr>
            </w:pPr>
            <w:r>
              <w:rPr>
                <w:b/>
                <w:bCs/>
              </w:rPr>
              <w:t>interval</w:t>
            </w:r>
          </w:p>
        </w:tc>
        <w:tc>
          <w:tcPr>
            <w:tcW w:w="1118" w:type="dxa"/>
          </w:tcPr>
          <w:p w14:paraId="5D333BA0" w14:textId="092B55F3" w:rsidR="00C51880" w:rsidRDefault="00C51880" w:rsidP="00C51880">
            <w:pPr>
              <w:pStyle w:val="Figurecaption"/>
              <w:rPr>
                <w:b/>
                <w:bCs/>
              </w:rPr>
            </w:pPr>
            <w:r>
              <w:rPr>
                <w:b/>
                <w:bCs/>
              </w:rPr>
              <w:t>Lower limit</w:t>
            </w:r>
          </w:p>
        </w:tc>
        <w:tc>
          <w:tcPr>
            <w:tcW w:w="2237" w:type="dxa"/>
          </w:tcPr>
          <w:p w14:paraId="11835BD8" w14:textId="1542AC43" w:rsidR="00C51880" w:rsidRDefault="00C51880" w:rsidP="00646CA8">
            <w:pPr>
              <w:pStyle w:val="Figurecaption"/>
              <w:jc w:val="center"/>
            </w:pPr>
            <w:r>
              <w:t>-</w:t>
            </w:r>
          </w:p>
        </w:tc>
        <w:tc>
          <w:tcPr>
            <w:tcW w:w="2237" w:type="dxa"/>
          </w:tcPr>
          <w:p w14:paraId="77672477" w14:textId="169BB369" w:rsidR="00C51880" w:rsidRDefault="00C51880" w:rsidP="00646CA8">
            <w:pPr>
              <w:pStyle w:val="Figurecaption"/>
              <w:jc w:val="center"/>
            </w:pPr>
            <w:r>
              <w:t>448</w:t>
            </w:r>
          </w:p>
        </w:tc>
      </w:tr>
      <w:tr w:rsidR="00C51880" w14:paraId="12AFC12F" w14:textId="77777777" w:rsidTr="00292A1B">
        <w:tc>
          <w:tcPr>
            <w:tcW w:w="1118" w:type="dxa"/>
            <w:vMerge/>
          </w:tcPr>
          <w:p w14:paraId="02C7FA58" w14:textId="77777777" w:rsidR="00C51880" w:rsidRDefault="00C51880" w:rsidP="00C51880">
            <w:pPr>
              <w:pStyle w:val="Figurecaption"/>
              <w:rPr>
                <w:b/>
                <w:bCs/>
              </w:rPr>
            </w:pPr>
          </w:p>
        </w:tc>
        <w:tc>
          <w:tcPr>
            <w:tcW w:w="1118" w:type="dxa"/>
          </w:tcPr>
          <w:p w14:paraId="43D7918D" w14:textId="5312DA04" w:rsidR="00C51880" w:rsidRDefault="00C51880" w:rsidP="00C51880">
            <w:pPr>
              <w:pStyle w:val="Figurecaption"/>
              <w:rPr>
                <w:b/>
                <w:bCs/>
              </w:rPr>
            </w:pPr>
            <w:r>
              <w:rPr>
                <w:b/>
                <w:bCs/>
              </w:rPr>
              <w:t>Upper limit</w:t>
            </w:r>
          </w:p>
        </w:tc>
        <w:tc>
          <w:tcPr>
            <w:tcW w:w="2237" w:type="dxa"/>
          </w:tcPr>
          <w:p w14:paraId="3FF79D46" w14:textId="452730EC" w:rsidR="00C51880" w:rsidRDefault="00C51880" w:rsidP="00646CA8">
            <w:pPr>
              <w:pStyle w:val="Figurecaption"/>
              <w:jc w:val="center"/>
            </w:pPr>
            <w:r>
              <w:t>-</w:t>
            </w:r>
          </w:p>
        </w:tc>
        <w:tc>
          <w:tcPr>
            <w:tcW w:w="2237" w:type="dxa"/>
          </w:tcPr>
          <w:p w14:paraId="1959521C" w14:textId="0B8CAB40" w:rsidR="00C51880" w:rsidRDefault="00C51880" w:rsidP="00646CA8">
            <w:pPr>
              <w:pStyle w:val="Figurecaption"/>
              <w:jc w:val="center"/>
            </w:pPr>
            <w:r>
              <w:t>-</w:t>
            </w:r>
          </w:p>
        </w:tc>
      </w:tr>
    </w:tbl>
    <w:p w14:paraId="54C16AEC" w14:textId="41281F45" w:rsidR="000A2C46" w:rsidRDefault="00E65FEA" w:rsidP="00DC5EFD">
      <w:pPr>
        <w:rPr>
          <w:sz w:val="20"/>
          <w:szCs w:val="20"/>
        </w:rPr>
      </w:pPr>
      <w:r w:rsidRPr="00E65FEA">
        <w:rPr>
          <w:sz w:val="20"/>
          <w:szCs w:val="20"/>
        </w:rPr>
        <w:t xml:space="preserve">Note: The mean survival time and its standard error were underestimated because the largest observation was </w:t>
      </w:r>
      <w:proofErr w:type="gramStart"/>
      <w:r w:rsidRPr="00E65FEA">
        <w:rPr>
          <w:sz w:val="20"/>
          <w:szCs w:val="20"/>
        </w:rPr>
        <w:t>censored</w:t>
      </w:r>
      <w:proofErr w:type="gramEnd"/>
      <w:r w:rsidRPr="00E65FEA">
        <w:rPr>
          <w:sz w:val="20"/>
          <w:szCs w:val="20"/>
        </w:rPr>
        <w:t xml:space="preserve"> and the estimation was restricted to the largest event time.</w:t>
      </w:r>
    </w:p>
    <w:p w14:paraId="62D24EFA" w14:textId="77777777" w:rsidR="002273EE" w:rsidRDefault="002273EE" w:rsidP="00DC5EFD">
      <w:pPr>
        <w:rPr>
          <w:sz w:val="20"/>
          <w:szCs w:val="20"/>
        </w:rPr>
      </w:pPr>
    </w:p>
    <w:p w14:paraId="066BA9CB" w14:textId="4BF0A7A0" w:rsidR="00144373" w:rsidRDefault="00144373" w:rsidP="00DC5EFD">
      <w:pPr>
        <w:rPr>
          <w:sz w:val="20"/>
          <w:szCs w:val="20"/>
        </w:rPr>
      </w:pPr>
      <w:r>
        <w:rPr>
          <w:noProof/>
        </w:rPr>
        <w:drawing>
          <wp:inline distT="0" distB="0" distL="0" distR="0" wp14:anchorId="4F4D69F8" wp14:editId="2A58A2A7">
            <wp:extent cx="5687695" cy="4264025"/>
            <wp:effectExtent l="0" t="0" r="8255" b="3175"/>
            <wp:docPr id="1975365973" name="Picture 1" descr="A graph showing the growth of a produ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365973" name="Picture 1" descr="A graph showing the growth of a product&#10;&#10;Description automatically generated"/>
                    <pic:cNvPicPr/>
                  </pic:nvPicPr>
                  <pic:blipFill>
                    <a:blip r:embed="rId22"/>
                    <a:stretch>
                      <a:fillRect/>
                    </a:stretch>
                  </pic:blipFill>
                  <pic:spPr>
                    <a:xfrm>
                      <a:off x="0" y="0"/>
                      <a:ext cx="5687695" cy="4264025"/>
                    </a:xfrm>
                    <a:prstGeom prst="rect">
                      <a:avLst/>
                    </a:prstGeom>
                  </pic:spPr>
                </pic:pic>
              </a:graphicData>
            </a:graphic>
          </wp:inline>
        </w:drawing>
      </w:r>
    </w:p>
    <w:p w14:paraId="2689E18B" w14:textId="6EADB12D" w:rsidR="00144373" w:rsidRPr="00E63123" w:rsidRDefault="00E63123" w:rsidP="00DC5EFD">
      <w:pPr>
        <w:rPr>
          <w:b/>
          <w:bCs/>
          <w:noProof/>
        </w:rPr>
      </w:pPr>
      <w:r w:rsidRPr="00E63123">
        <w:rPr>
          <w:b/>
          <w:bCs/>
          <w:noProof/>
        </w:rPr>
        <w:lastRenderedPageBreak/>
        <w:t xml:space="preserve">Figure </w:t>
      </w:r>
      <w:r w:rsidR="00110CD3">
        <w:rPr>
          <w:b/>
          <w:bCs/>
          <w:noProof/>
        </w:rPr>
        <w:t>5</w:t>
      </w:r>
      <w:r w:rsidRPr="00E63123">
        <w:rPr>
          <w:b/>
          <w:bCs/>
          <w:noProof/>
        </w:rPr>
        <w:t>: Estimated length of treatment from Kaplan Meier analysis with breaks</w:t>
      </w:r>
    </w:p>
    <w:p w14:paraId="24D84E01" w14:textId="70D0EB5E" w:rsidR="00E63123" w:rsidRDefault="00E63123" w:rsidP="00DC5EFD">
      <w:pPr>
        <w:rPr>
          <w:noProof/>
        </w:rPr>
      </w:pPr>
      <w:r>
        <w:rPr>
          <w:noProof/>
        </w:rPr>
        <w:drawing>
          <wp:inline distT="0" distB="0" distL="0" distR="0" wp14:anchorId="19E2568F" wp14:editId="5A3A9420">
            <wp:extent cx="5687695" cy="4269105"/>
            <wp:effectExtent l="0" t="0" r="8255" b="0"/>
            <wp:docPr id="1674838691" name="Picture 1" descr="A graph of a produ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838691" name="Picture 1" descr="A graph of a product&#10;&#10;Description automatically generated"/>
                    <pic:cNvPicPr/>
                  </pic:nvPicPr>
                  <pic:blipFill>
                    <a:blip r:embed="rId23"/>
                    <a:stretch>
                      <a:fillRect/>
                    </a:stretch>
                  </pic:blipFill>
                  <pic:spPr>
                    <a:xfrm>
                      <a:off x="0" y="0"/>
                      <a:ext cx="5687695" cy="4269105"/>
                    </a:xfrm>
                    <a:prstGeom prst="rect">
                      <a:avLst/>
                    </a:prstGeom>
                  </pic:spPr>
                </pic:pic>
              </a:graphicData>
            </a:graphic>
          </wp:inline>
        </w:drawing>
      </w:r>
    </w:p>
    <w:p w14:paraId="2C393196" w14:textId="27226C9E" w:rsidR="00E63123" w:rsidRDefault="00E63123" w:rsidP="00DC5EFD">
      <w:pPr>
        <w:rPr>
          <w:b/>
          <w:bCs/>
          <w:noProof/>
        </w:rPr>
      </w:pPr>
      <w:r w:rsidRPr="00E63123">
        <w:rPr>
          <w:b/>
          <w:bCs/>
          <w:noProof/>
        </w:rPr>
        <w:t xml:space="preserve">Figure </w:t>
      </w:r>
      <w:r w:rsidR="00110CD3">
        <w:rPr>
          <w:b/>
          <w:bCs/>
          <w:noProof/>
        </w:rPr>
        <w:t>6</w:t>
      </w:r>
      <w:r w:rsidRPr="00E63123">
        <w:rPr>
          <w:b/>
          <w:bCs/>
          <w:noProof/>
        </w:rPr>
        <w:t>: Estimated length of treatment from Kaplan Meier analysis without breaks</w:t>
      </w:r>
    </w:p>
    <w:p w14:paraId="495F05FE" w14:textId="77777777" w:rsidR="001D6656" w:rsidRDefault="001D6656" w:rsidP="00DC5EFD">
      <w:pPr>
        <w:rPr>
          <w:b/>
          <w:bCs/>
          <w:noProof/>
        </w:rPr>
      </w:pPr>
    </w:p>
    <w:p w14:paraId="0B8C1733" w14:textId="77777777" w:rsidR="001D6656" w:rsidRDefault="001D6656" w:rsidP="00DC5EFD">
      <w:pPr>
        <w:rPr>
          <w:b/>
          <w:bCs/>
          <w:noProof/>
        </w:rPr>
      </w:pPr>
    </w:p>
    <w:p w14:paraId="1BF5F07F" w14:textId="77777777" w:rsidR="001D6656" w:rsidRDefault="001D6656" w:rsidP="00DC5EFD">
      <w:pPr>
        <w:rPr>
          <w:b/>
          <w:bCs/>
          <w:noProof/>
        </w:rPr>
      </w:pPr>
    </w:p>
    <w:p w14:paraId="4488373F" w14:textId="77777777" w:rsidR="001D6656" w:rsidRDefault="001D6656" w:rsidP="00DC5EFD">
      <w:pPr>
        <w:rPr>
          <w:b/>
          <w:bCs/>
          <w:noProof/>
        </w:rPr>
      </w:pPr>
    </w:p>
    <w:p w14:paraId="29F12090" w14:textId="77777777" w:rsidR="001D6656" w:rsidRDefault="001D6656" w:rsidP="00DC5EFD">
      <w:pPr>
        <w:rPr>
          <w:b/>
          <w:bCs/>
          <w:noProof/>
        </w:rPr>
      </w:pPr>
    </w:p>
    <w:p w14:paraId="6381FADE" w14:textId="77777777" w:rsidR="001D6656" w:rsidRDefault="001D6656" w:rsidP="00DC5EFD">
      <w:pPr>
        <w:rPr>
          <w:b/>
          <w:bCs/>
          <w:noProof/>
        </w:rPr>
      </w:pPr>
    </w:p>
    <w:p w14:paraId="727A7FFB" w14:textId="77777777" w:rsidR="001D6656" w:rsidRDefault="001D6656" w:rsidP="00DC5EFD">
      <w:pPr>
        <w:rPr>
          <w:b/>
          <w:bCs/>
          <w:noProof/>
        </w:rPr>
      </w:pPr>
    </w:p>
    <w:p w14:paraId="11B213D1" w14:textId="77777777" w:rsidR="001D6656" w:rsidRDefault="001D6656" w:rsidP="00DC5EFD">
      <w:pPr>
        <w:rPr>
          <w:b/>
          <w:bCs/>
          <w:noProof/>
        </w:rPr>
      </w:pPr>
    </w:p>
    <w:p w14:paraId="0EA70676" w14:textId="77777777" w:rsidR="001D6656" w:rsidRDefault="001D6656" w:rsidP="00DC5EFD">
      <w:pPr>
        <w:rPr>
          <w:b/>
          <w:bCs/>
          <w:noProof/>
        </w:rPr>
      </w:pPr>
    </w:p>
    <w:p w14:paraId="435B04F7" w14:textId="77777777" w:rsidR="001D6656" w:rsidRDefault="001D6656" w:rsidP="00DC5EFD">
      <w:pPr>
        <w:rPr>
          <w:b/>
          <w:bCs/>
          <w:noProof/>
        </w:rPr>
      </w:pPr>
    </w:p>
    <w:p w14:paraId="765B7876" w14:textId="77777777" w:rsidR="003C36AD" w:rsidRDefault="003C36AD" w:rsidP="00081163">
      <w:pPr>
        <w:spacing w:after="0"/>
        <w:rPr>
          <w:b/>
          <w:bCs/>
          <w:noProof/>
        </w:rPr>
      </w:pPr>
    </w:p>
    <w:p w14:paraId="65396658" w14:textId="77777777" w:rsidR="00081163" w:rsidRDefault="00081163" w:rsidP="00081163">
      <w:pPr>
        <w:spacing w:after="0"/>
        <w:rPr>
          <w:rFonts w:ascii="Calibri" w:eastAsia="Calibri" w:hAnsi="Calibri" w:cs="Calibri"/>
          <w:b/>
          <w:bCs/>
          <w:lang w:eastAsia="en-US"/>
          <w14:ligatures w14:val="standardContextual"/>
        </w:rPr>
      </w:pPr>
    </w:p>
    <w:p w14:paraId="1E0C4CF1" w14:textId="77777777" w:rsidR="001D6656" w:rsidRPr="004724EE" w:rsidRDefault="001D6656" w:rsidP="004724EE">
      <w:pPr>
        <w:spacing w:after="0"/>
        <w:jc w:val="center"/>
        <w:rPr>
          <w:rFonts w:ascii="Calibri" w:eastAsia="Calibri" w:hAnsi="Calibri" w:cs="Calibri"/>
          <w:b/>
          <w:bCs/>
          <w:lang w:eastAsia="en-US"/>
          <w14:ligatures w14:val="standardContextual"/>
        </w:rPr>
      </w:pPr>
    </w:p>
    <w:p w14:paraId="5F22B4D8" w14:textId="319090EA" w:rsidR="00736041" w:rsidRDefault="00D151EB" w:rsidP="00F73113">
      <w:pPr>
        <w:pStyle w:val="Heading2"/>
      </w:pPr>
      <w:r>
        <w:t xml:space="preserve">Analysis </w:t>
      </w:r>
      <w:r w:rsidR="00C0076F" w:rsidRPr="005E22C2">
        <w:t xml:space="preserve">of </w:t>
      </w:r>
      <w:r w:rsidR="0063631C">
        <w:t>a</w:t>
      </w:r>
      <w:r w:rsidR="00C0076F" w:rsidRPr="005E22C2">
        <w:t xml:space="preserve">ctual versus </w:t>
      </w:r>
      <w:r w:rsidR="0063631C">
        <w:t>p</w:t>
      </w:r>
      <w:r w:rsidR="00C0076F" w:rsidRPr="005E22C2">
        <w:t xml:space="preserve">redicted </w:t>
      </w:r>
      <w:r w:rsidR="0063631C">
        <w:t>u</w:t>
      </w:r>
      <w:r w:rsidR="00C0076F" w:rsidRPr="005E22C2">
        <w:t>tilisation</w:t>
      </w:r>
    </w:p>
    <w:p w14:paraId="7318D0E5" w14:textId="4DF43968" w:rsidR="009F3475" w:rsidRDefault="000C7A25" w:rsidP="009F3475">
      <w:pPr>
        <w:spacing w:before="200" w:after="20"/>
        <w:rPr>
          <w:b/>
          <w:bCs/>
        </w:rPr>
      </w:pPr>
      <w:r>
        <w:rPr>
          <w:b/>
          <w:bCs/>
        </w:rPr>
        <w:t xml:space="preserve">Table </w:t>
      </w:r>
      <w:r w:rsidR="00E32C6A">
        <w:rPr>
          <w:b/>
          <w:bCs/>
        </w:rPr>
        <w:t>8</w:t>
      </w:r>
      <w:r>
        <w:rPr>
          <w:b/>
          <w:bCs/>
        </w:rPr>
        <w:t xml:space="preserve">: </w:t>
      </w:r>
      <w:r w:rsidR="009F3475">
        <w:rPr>
          <w:b/>
          <w:bCs/>
        </w:rPr>
        <w:t xml:space="preserve">Comparison of predicted versus actual utilisation of </w:t>
      </w:r>
      <w:proofErr w:type="spellStart"/>
      <w:r w:rsidR="00346762">
        <w:rPr>
          <w:b/>
          <w:bCs/>
        </w:rPr>
        <w:t>z</w:t>
      </w:r>
      <w:r w:rsidR="00E865E0" w:rsidRPr="00E865E0">
        <w:rPr>
          <w:b/>
          <w:bCs/>
        </w:rPr>
        <w:t>anubrutinib</w:t>
      </w:r>
      <w:proofErr w:type="spellEnd"/>
      <w:r w:rsidR="009F3475">
        <w:rPr>
          <w:b/>
          <w:bCs/>
        </w:rPr>
        <w:t xml:space="preserve"> for each year of listing</w:t>
      </w:r>
    </w:p>
    <w:tbl>
      <w:tblPr>
        <w:tblW w:w="8790" w:type="dxa"/>
        <w:tblLayout w:type="fixed"/>
        <w:tblLook w:val="04A0" w:firstRow="1" w:lastRow="0" w:firstColumn="1" w:lastColumn="0" w:noHBand="0" w:noVBand="1"/>
      </w:tblPr>
      <w:tblGrid>
        <w:gridCol w:w="4441"/>
        <w:gridCol w:w="2174"/>
        <w:gridCol w:w="2175"/>
      </w:tblGrid>
      <w:tr w:rsidR="009F3475" w14:paraId="51E21196" w14:textId="77777777" w:rsidTr="00A71FD7">
        <w:trPr>
          <w:trHeight w:val="444"/>
        </w:trPr>
        <w:tc>
          <w:tcPr>
            <w:tcW w:w="444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1A12D482" w14:textId="77777777" w:rsidR="009F3475" w:rsidRDefault="009F3475">
            <w:pPr>
              <w:rPr>
                <w:b/>
                <w:bCs/>
              </w:rPr>
            </w:pPr>
          </w:p>
        </w:tc>
        <w:tc>
          <w:tcPr>
            <w:tcW w:w="217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hideMark/>
          </w:tcPr>
          <w:p w14:paraId="5F6F47AE" w14:textId="77777777" w:rsidR="009F3475" w:rsidRDefault="009F3475">
            <w:pPr>
              <w:spacing w:before="60" w:after="60" w:line="276" w:lineRule="auto"/>
              <w:jc w:val="center"/>
              <w:rPr>
                <w:rFonts w:ascii="Calibri" w:eastAsia="Times New Roman" w:hAnsi="Calibri" w:cs="Calibri"/>
                <w:b/>
                <w:bCs/>
                <w:sz w:val="20"/>
                <w:szCs w:val="20"/>
                <w:shd w:val="clear" w:color="auto" w:fill="C0C0C1"/>
              </w:rPr>
            </w:pPr>
            <w:r>
              <w:rPr>
                <w:rFonts w:ascii="Calibri" w:eastAsia="Times New Roman" w:hAnsi="Calibri" w:cs="Calibri"/>
                <w:b/>
                <w:bCs/>
                <w:sz w:val="20"/>
                <w:szCs w:val="20"/>
                <w:shd w:val="clear" w:color="auto" w:fill="C0C0C1"/>
              </w:rPr>
              <w:t>Year 1</w:t>
            </w:r>
            <w:r>
              <w:rPr>
                <w:rFonts w:ascii="Calibri" w:eastAsia="Times New Roman" w:hAnsi="Calibri" w:cs="Calibri"/>
                <w:b/>
                <w:bCs/>
                <w:sz w:val="20"/>
                <w:szCs w:val="20"/>
                <w:shd w:val="clear" w:color="auto" w:fill="C0C0C1"/>
                <w:vertAlign w:val="superscript"/>
              </w:rPr>
              <w:t>a</w:t>
            </w:r>
          </w:p>
        </w:tc>
        <w:tc>
          <w:tcPr>
            <w:tcW w:w="217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hideMark/>
          </w:tcPr>
          <w:p w14:paraId="4B1DD0DA" w14:textId="77777777" w:rsidR="009F3475" w:rsidRDefault="009F3475">
            <w:pPr>
              <w:spacing w:before="60" w:after="60" w:line="276" w:lineRule="auto"/>
              <w:jc w:val="center"/>
              <w:rPr>
                <w:rFonts w:ascii="Calibri" w:eastAsia="Times New Roman" w:hAnsi="Calibri" w:cs="Calibri"/>
                <w:b/>
                <w:bCs/>
                <w:sz w:val="20"/>
                <w:szCs w:val="20"/>
                <w:shd w:val="clear" w:color="auto" w:fill="C0C0C1"/>
              </w:rPr>
            </w:pPr>
            <w:r>
              <w:rPr>
                <w:rFonts w:ascii="Calibri" w:eastAsia="Times New Roman" w:hAnsi="Calibri" w:cs="Calibri"/>
                <w:b/>
                <w:bCs/>
                <w:sz w:val="20"/>
                <w:szCs w:val="20"/>
                <w:shd w:val="clear" w:color="auto" w:fill="C0C0C1"/>
              </w:rPr>
              <w:t>Year 2</w:t>
            </w:r>
            <w:r>
              <w:rPr>
                <w:rFonts w:ascii="Calibri" w:eastAsia="Times New Roman" w:hAnsi="Calibri" w:cs="Calibri"/>
                <w:b/>
                <w:bCs/>
                <w:sz w:val="20"/>
                <w:szCs w:val="20"/>
                <w:shd w:val="clear" w:color="auto" w:fill="C0C0C1"/>
                <w:vertAlign w:val="superscript"/>
              </w:rPr>
              <w:t>a</w:t>
            </w:r>
          </w:p>
        </w:tc>
      </w:tr>
      <w:tr w:rsidR="009F3475" w14:paraId="3D176712" w14:textId="77777777" w:rsidTr="00A71FD7">
        <w:trPr>
          <w:trHeight w:val="340"/>
        </w:trPr>
        <w:tc>
          <w:tcPr>
            <w:tcW w:w="44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8C991E3" w14:textId="77777777" w:rsidR="009F3475" w:rsidRDefault="009F3475">
            <w:pPr>
              <w:spacing w:before="60" w:after="60" w:line="276" w:lineRule="auto"/>
              <w:rPr>
                <w:rFonts w:cstheme="minorHAnsi"/>
                <w:b/>
                <w:bCs/>
                <w:sz w:val="20"/>
                <w:szCs w:val="20"/>
              </w:rPr>
            </w:pPr>
            <w:r>
              <w:rPr>
                <w:rFonts w:cstheme="minorHAnsi"/>
                <w:b/>
                <w:bCs/>
                <w:sz w:val="20"/>
                <w:szCs w:val="20"/>
              </w:rPr>
              <w:t>Number of patients</w:t>
            </w:r>
          </w:p>
        </w:tc>
        <w:tc>
          <w:tcPr>
            <w:tcW w:w="217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7EEAEF9" w14:textId="77777777" w:rsidR="009F3475" w:rsidRDefault="009F3475">
            <w:pPr>
              <w:spacing w:before="60" w:after="60" w:line="276" w:lineRule="auto"/>
              <w:jc w:val="center"/>
              <w:rPr>
                <w:rFonts w:cstheme="minorHAnsi"/>
                <w:sz w:val="20"/>
                <w:szCs w:val="20"/>
              </w:rPr>
            </w:pPr>
          </w:p>
        </w:tc>
        <w:tc>
          <w:tcPr>
            <w:tcW w:w="21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ABB4373" w14:textId="77777777" w:rsidR="009F3475" w:rsidRDefault="009F3475">
            <w:pPr>
              <w:spacing w:before="60" w:after="60" w:line="276" w:lineRule="auto"/>
              <w:jc w:val="center"/>
              <w:rPr>
                <w:rFonts w:cstheme="minorHAnsi"/>
                <w:sz w:val="20"/>
                <w:szCs w:val="20"/>
              </w:rPr>
            </w:pPr>
          </w:p>
        </w:tc>
      </w:tr>
      <w:tr w:rsidR="009F3475" w14:paraId="35694C63" w14:textId="77777777" w:rsidTr="00A71FD7">
        <w:trPr>
          <w:trHeight w:val="340"/>
        </w:trPr>
        <w:tc>
          <w:tcPr>
            <w:tcW w:w="44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5DA04A4" w14:textId="77777777" w:rsidR="009F3475" w:rsidRDefault="009F3475">
            <w:pPr>
              <w:spacing w:before="60" w:after="60" w:line="276" w:lineRule="auto"/>
              <w:rPr>
                <w:rFonts w:cstheme="minorHAnsi"/>
                <w:sz w:val="20"/>
                <w:szCs w:val="20"/>
              </w:rPr>
            </w:pPr>
            <w:r>
              <w:rPr>
                <w:rFonts w:cstheme="minorHAnsi"/>
                <w:sz w:val="20"/>
                <w:szCs w:val="20"/>
              </w:rPr>
              <w:t>Predicted</w:t>
            </w:r>
          </w:p>
        </w:tc>
        <w:tc>
          <w:tcPr>
            <w:tcW w:w="217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7F0DF05" w14:textId="5290513A" w:rsidR="009F3475" w:rsidRPr="002D5B33" w:rsidRDefault="00061741">
            <w:pPr>
              <w:spacing w:before="60" w:after="60" w:line="276" w:lineRule="auto"/>
              <w:jc w:val="center"/>
              <w:rPr>
                <w:rFonts w:cstheme="minorHAnsi"/>
                <w:sz w:val="20"/>
                <w:szCs w:val="20"/>
                <w:highlight w:val="darkGray"/>
              </w:rPr>
            </w:pPr>
            <w:r w:rsidRPr="00061741">
              <w:rPr>
                <w:rFonts w:cstheme="minorHAnsi"/>
                <w:sz w:val="20"/>
                <w:szCs w:val="20"/>
                <w:highlight w:val="black"/>
              </w:rPr>
              <w:t>XXX</w:t>
            </w:r>
          </w:p>
        </w:tc>
        <w:tc>
          <w:tcPr>
            <w:tcW w:w="2175" w:type="dxa"/>
            <w:tcBorders>
              <w:top w:val="single" w:sz="4" w:space="0" w:color="auto"/>
              <w:left w:val="nil"/>
              <w:bottom w:val="single" w:sz="4" w:space="0" w:color="auto"/>
              <w:right w:val="single" w:sz="4" w:space="0" w:color="auto"/>
            </w:tcBorders>
            <w:shd w:val="clear" w:color="auto" w:fill="FFFFFF" w:themeFill="background1"/>
            <w:noWrap/>
            <w:vAlign w:val="center"/>
          </w:tcPr>
          <w:p w14:paraId="4EA89BAE" w14:textId="521E5525" w:rsidR="009F3475" w:rsidRPr="002D5B33" w:rsidRDefault="00061741">
            <w:pPr>
              <w:spacing w:before="60" w:after="60" w:line="276" w:lineRule="auto"/>
              <w:jc w:val="center"/>
              <w:rPr>
                <w:rFonts w:cstheme="minorHAnsi"/>
                <w:sz w:val="20"/>
                <w:szCs w:val="20"/>
                <w:highlight w:val="darkGray"/>
              </w:rPr>
            </w:pPr>
            <w:r w:rsidRPr="00061741">
              <w:rPr>
                <w:rFonts w:cstheme="minorHAnsi"/>
                <w:sz w:val="20"/>
                <w:szCs w:val="20"/>
                <w:highlight w:val="black"/>
              </w:rPr>
              <w:t>XXX</w:t>
            </w:r>
          </w:p>
        </w:tc>
      </w:tr>
      <w:tr w:rsidR="009F3475" w14:paraId="777EF6E6" w14:textId="77777777" w:rsidTr="00A71FD7">
        <w:trPr>
          <w:trHeight w:val="340"/>
        </w:trPr>
        <w:tc>
          <w:tcPr>
            <w:tcW w:w="44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3A43434" w14:textId="77777777" w:rsidR="009F3475" w:rsidRDefault="009F3475">
            <w:pPr>
              <w:spacing w:before="60" w:after="60" w:line="276" w:lineRule="auto"/>
              <w:rPr>
                <w:rFonts w:cstheme="minorHAnsi"/>
                <w:sz w:val="20"/>
                <w:szCs w:val="20"/>
              </w:rPr>
            </w:pPr>
            <w:r>
              <w:rPr>
                <w:rFonts w:cstheme="minorHAnsi"/>
                <w:sz w:val="20"/>
                <w:szCs w:val="20"/>
              </w:rPr>
              <w:t>Actual</w:t>
            </w:r>
          </w:p>
        </w:tc>
        <w:tc>
          <w:tcPr>
            <w:tcW w:w="217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D73783E" w14:textId="6C78936F" w:rsidR="009F3475" w:rsidRDefault="004D169B">
            <w:pPr>
              <w:spacing w:before="60" w:after="60" w:line="276" w:lineRule="auto"/>
              <w:jc w:val="center"/>
              <w:rPr>
                <w:rFonts w:cstheme="minorHAnsi"/>
                <w:sz w:val="20"/>
                <w:szCs w:val="20"/>
              </w:rPr>
            </w:pPr>
            <w:r>
              <w:rPr>
                <w:rFonts w:cstheme="minorHAnsi"/>
                <w:sz w:val="20"/>
                <w:szCs w:val="20"/>
              </w:rPr>
              <w:t>413</w:t>
            </w:r>
          </w:p>
        </w:tc>
        <w:tc>
          <w:tcPr>
            <w:tcW w:w="21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1D8DC10" w14:textId="3AB44381" w:rsidR="009F3475" w:rsidRDefault="00BF6C6B">
            <w:pPr>
              <w:spacing w:before="60" w:after="60" w:line="276" w:lineRule="auto"/>
              <w:jc w:val="center"/>
              <w:rPr>
                <w:rFonts w:cstheme="minorHAnsi"/>
                <w:sz w:val="20"/>
                <w:szCs w:val="20"/>
              </w:rPr>
            </w:pPr>
            <w:r>
              <w:rPr>
                <w:rFonts w:cstheme="minorHAnsi"/>
                <w:sz w:val="20"/>
                <w:szCs w:val="20"/>
              </w:rPr>
              <w:t>723</w:t>
            </w:r>
          </w:p>
        </w:tc>
      </w:tr>
      <w:tr w:rsidR="00A71FD7" w14:paraId="3C7E4597" w14:textId="77777777" w:rsidTr="00A71FD7">
        <w:trPr>
          <w:trHeight w:val="340"/>
        </w:trPr>
        <w:tc>
          <w:tcPr>
            <w:tcW w:w="44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CD2D263" w14:textId="77777777" w:rsidR="00A71FD7" w:rsidRDefault="00A71FD7" w:rsidP="00A71FD7">
            <w:pPr>
              <w:spacing w:before="60" w:after="60" w:line="276" w:lineRule="auto"/>
              <w:rPr>
                <w:rFonts w:cstheme="minorHAnsi"/>
                <w:sz w:val="20"/>
                <w:szCs w:val="20"/>
              </w:rPr>
            </w:pPr>
            <w:r>
              <w:rPr>
                <w:rFonts w:cstheme="minorHAnsi"/>
                <w:sz w:val="20"/>
                <w:szCs w:val="20"/>
              </w:rPr>
              <w:t xml:space="preserve">Difference </w:t>
            </w:r>
            <w:r>
              <w:rPr>
                <w:rFonts w:cstheme="minorHAnsi"/>
                <w:sz w:val="20"/>
                <w:szCs w:val="20"/>
                <w:vertAlign w:val="superscript"/>
              </w:rPr>
              <w:t>b</w:t>
            </w:r>
          </w:p>
        </w:tc>
        <w:tc>
          <w:tcPr>
            <w:tcW w:w="2174"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1EDE020C" w14:textId="7D7F3FE8" w:rsidR="00A71FD7" w:rsidRPr="002D5B33" w:rsidRDefault="00061741" w:rsidP="00A71FD7">
            <w:pPr>
              <w:spacing w:before="60" w:after="60" w:line="276" w:lineRule="auto"/>
              <w:jc w:val="center"/>
              <w:rPr>
                <w:rFonts w:cstheme="minorHAnsi"/>
                <w:sz w:val="20"/>
                <w:szCs w:val="20"/>
                <w:highlight w:val="darkGray"/>
              </w:rPr>
            </w:pPr>
            <w:r w:rsidRPr="00061741">
              <w:rPr>
                <w:sz w:val="20"/>
                <w:szCs w:val="20"/>
                <w:highlight w:val="black"/>
              </w:rPr>
              <w:t>XXXX</w:t>
            </w:r>
          </w:p>
        </w:tc>
        <w:tc>
          <w:tcPr>
            <w:tcW w:w="2175"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6015748" w14:textId="1B178EDD" w:rsidR="00A71FD7" w:rsidRPr="002D5B33" w:rsidRDefault="00061741" w:rsidP="00A71FD7">
            <w:pPr>
              <w:spacing w:before="60" w:after="60" w:line="276" w:lineRule="auto"/>
              <w:jc w:val="center"/>
              <w:rPr>
                <w:rFonts w:cstheme="minorHAnsi"/>
                <w:sz w:val="20"/>
                <w:szCs w:val="20"/>
                <w:highlight w:val="darkGray"/>
              </w:rPr>
            </w:pPr>
            <w:r w:rsidRPr="00061741">
              <w:rPr>
                <w:sz w:val="20"/>
                <w:szCs w:val="20"/>
                <w:highlight w:val="black"/>
              </w:rPr>
              <w:t>XXXX</w:t>
            </w:r>
          </w:p>
        </w:tc>
      </w:tr>
      <w:tr w:rsidR="009A4C0C" w14:paraId="0A289B8F" w14:textId="77777777" w:rsidTr="00A71FD7">
        <w:trPr>
          <w:trHeight w:val="340"/>
        </w:trPr>
        <w:tc>
          <w:tcPr>
            <w:tcW w:w="44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F042B40" w14:textId="7BCF2198" w:rsidR="009A4C0C" w:rsidRDefault="009A4C0C">
            <w:pPr>
              <w:spacing w:before="60" w:after="60" w:line="276" w:lineRule="auto"/>
              <w:rPr>
                <w:rFonts w:cstheme="minorHAnsi"/>
                <w:sz w:val="20"/>
                <w:szCs w:val="20"/>
              </w:rPr>
            </w:pPr>
            <w:r>
              <w:rPr>
                <w:rFonts w:cstheme="minorHAnsi"/>
                <w:sz w:val="20"/>
                <w:szCs w:val="20"/>
              </w:rPr>
              <w:t>July predicted</w:t>
            </w:r>
            <w:r w:rsidR="00464284">
              <w:rPr>
                <w:rFonts w:cstheme="minorHAnsi"/>
                <w:sz w:val="20"/>
                <w:szCs w:val="20"/>
              </w:rPr>
              <w:t xml:space="preserve"> </w:t>
            </w:r>
            <w:r w:rsidRPr="00FB4369">
              <w:rPr>
                <w:rFonts w:cstheme="minorHAnsi"/>
                <w:sz w:val="20"/>
                <w:szCs w:val="20"/>
                <w:vertAlign w:val="superscript"/>
              </w:rPr>
              <w:t>c</w:t>
            </w:r>
          </w:p>
        </w:tc>
        <w:tc>
          <w:tcPr>
            <w:tcW w:w="2174"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DFC3EC5" w14:textId="0F0B2E1D" w:rsidR="009A4C0C" w:rsidRPr="002D5B33" w:rsidRDefault="00061741">
            <w:pPr>
              <w:spacing w:before="60" w:after="60" w:line="276" w:lineRule="auto"/>
              <w:jc w:val="center"/>
              <w:rPr>
                <w:rFonts w:cstheme="minorHAnsi"/>
                <w:sz w:val="20"/>
                <w:szCs w:val="20"/>
                <w:highlight w:val="darkGray"/>
              </w:rPr>
            </w:pPr>
            <w:r w:rsidRPr="00061741">
              <w:rPr>
                <w:rFonts w:cstheme="minorHAnsi"/>
                <w:sz w:val="20"/>
                <w:szCs w:val="20"/>
                <w:highlight w:val="black"/>
              </w:rPr>
              <w:t>XXX</w:t>
            </w:r>
          </w:p>
        </w:tc>
        <w:tc>
          <w:tcPr>
            <w:tcW w:w="2175"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3100E39C" w14:textId="73CCB3FE" w:rsidR="009A4C0C" w:rsidRPr="002D5B33" w:rsidRDefault="00061741">
            <w:pPr>
              <w:spacing w:before="60" w:after="60" w:line="276" w:lineRule="auto"/>
              <w:jc w:val="center"/>
              <w:rPr>
                <w:rFonts w:cstheme="minorHAnsi"/>
                <w:sz w:val="20"/>
                <w:szCs w:val="20"/>
                <w:highlight w:val="darkGray"/>
              </w:rPr>
            </w:pPr>
            <w:r w:rsidRPr="00061741">
              <w:rPr>
                <w:rFonts w:cstheme="minorHAnsi"/>
                <w:sz w:val="20"/>
                <w:szCs w:val="20"/>
                <w:highlight w:val="black"/>
              </w:rPr>
              <w:t>XXX</w:t>
            </w:r>
          </w:p>
        </w:tc>
      </w:tr>
      <w:tr w:rsidR="006A562D" w14:paraId="5ACC1D51" w14:textId="77777777" w:rsidTr="00C9092C">
        <w:trPr>
          <w:trHeight w:val="340"/>
        </w:trPr>
        <w:tc>
          <w:tcPr>
            <w:tcW w:w="44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BDEA1A5" w14:textId="0DF276AE" w:rsidR="006A562D" w:rsidRDefault="006A562D" w:rsidP="006A562D">
            <w:pPr>
              <w:spacing w:before="60" w:after="60" w:line="276" w:lineRule="auto"/>
              <w:rPr>
                <w:rFonts w:cstheme="minorHAnsi"/>
                <w:sz w:val="20"/>
                <w:szCs w:val="20"/>
              </w:rPr>
            </w:pPr>
            <w:r>
              <w:rPr>
                <w:rFonts w:cstheme="minorHAnsi"/>
                <w:sz w:val="20"/>
                <w:szCs w:val="20"/>
              </w:rPr>
              <w:t xml:space="preserve">Difference </w:t>
            </w:r>
            <w:r w:rsidRPr="0023135A">
              <w:rPr>
                <w:rFonts w:cstheme="minorHAnsi"/>
                <w:sz w:val="20"/>
                <w:szCs w:val="20"/>
                <w:vertAlign w:val="superscript"/>
              </w:rPr>
              <w:t>b</w:t>
            </w:r>
          </w:p>
        </w:tc>
        <w:tc>
          <w:tcPr>
            <w:tcW w:w="2174" w:type="dxa"/>
            <w:tcBorders>
              <w:top w:val="nil"/>
              <w:left w:val="nil"/>
              <w:bottom w:val="single" w:sz="8" w:space="0" w:color="auto"/>
              <w:right w:val="single" w:sz="8" w:space="0" w:color="auto"/>
            </w:tcBorders>
            <w:shd w:val="clear" w:color="000000" w:fill="FFFFFF"/>
            <w:noWrap/>
            <w:vAlign w:val="center"/>
          </w:tcPr>
          <w:p w14:paraId="46EBFCA0" w14:textId="36E54421" w:rsidR="006A562D" w:rsidRPr="002D5B33" w:rsidRDefault="00061741" w:rsidP="006A562D">
            <w:pPr>
              <w:spacing w:before="60" w:after="60" w:line="276" w:lineRule="auto"/>
              <w:jc w:val="center"/>
              <w:rPr>
                <w:rFonts w:cstheme="minorHAnsi"/>
                <w:sz w:val="20"/>
                <w:szCs w:val="20"/>
                <w:highlight w:val="darkGray"/>
              </w:rPr>
            </w:pPr>
            <w:r w:rsidRPr="00061741">
              <w:rPr>
                <w:rFonts w:cstheme="minorHAnsi"/>
                <w:sz w:val="20"/>
                <w:szCs w:val="20"/>
                <w:highlight w:val="black"/>
              </w:rPr>
              <w:t>XXX</w:t>
            </w:r>
          </w:p>
        </w:tc>
        <w:tc>
          <w:tcPr>
            <w:tcW w:w="2175" w:type="dxa"/>
            <w:tcBorders>
              <w:top w:val="nil"/>
              <w:left w:val="nil"/>
              <w:bottom w:val="single" w:sz="8" w:space="0" w:color="auto"/>
              <w:right w:val="single" w:sz="8" w:space="0" w:color="auto"/>
            </w:tcBorders>
            <w:shd w:val="clear" w:color="000000" w:fill="FFFFFF"/>
            <w:noWrap/>
            <w:vAlign w:val="center"/>
          </w:tcPr>
          <w:p w14:paraId="66475D1D" w14:textId="48449F07" w:rsidR="006A562D" w:rsidRPr="002D5B33" w:rsidRDefault="00061741" w:rsidP="006A562D">
            <w:pPr>
              <w:spacing w:before="60" w:after="60" w:line="276" w:lineRule="auto"/>
              <w:jc w:val="center"/>
              <w:rPr>
                <w:rFonts w:cstheme="minorHAnsi"/>
                <w:sz w:val="20"/>
                <w:szCs w:val="20"/>
                <w:highlight w:val="darkGray"/>
              </w:rPr>
            </w:pPr>
            <w:r w:rsidRPr="00061741">
              <w:rPr>
                <w:rFonts w:cstheme="minorHAnsi"/>
                <w:sz w:val="20"/>
                <w:szCs w:val="20"/>
                <w:highlight w:val="black"/>
              </w:rPr>
              <w:t>XXXX</w:t>
            </w:r>
          </w:p>
        </w:tc>
      </w:tr>
      <w:tr w:rsidR="009F3475" w14:paraId="5D685E5A" w14:textId="77777777" w:rsidTr="00A71FD7">
        <w:trPr>
          <w:trHeight w:val="340"/>
        </w:trPr>
        <w:tc>
          <w:tcPr>
            <w:tcW w:w="44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34082ED" w14:textId="77777777" w:rsidR="009F3475" w:rsidRDefault="009F3475">
            <w:pPr>
              <w:spacing w:before="60" w:after="60" w:line="276" w:lineRule="auto"/>
              <w:rPr>
                <w:rFonts w:cstheme="minorHAnsi"/>
                <w:b/>
                <w:bCs/>
                <w:sz w:val="20"/>
                <w:szCs w:val="20"/>
              </w:rPr>
            </w:pPr>
            <w:r>
              <w:rPr>
                <w:rFonts w:cstheme="minorHAnsi"/>
                <w:b/>
                <w:bCs/>
                <w:sz w:val="20"/>
                <w:szCs w:val="20"/>
              </w:rPr>
              <w:t>Number of scripts</w:t>
            </w:r>
          </w:p>
        </w:tc>
        <w:tc>
          <w:tcPr>
            <w:tcW w:w="217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CEBAC77" w14:textId="77777777" w:rsidR="009F3475" w:rsidRDefault="009F3475">
            <w:pPr>
              <w:spacing w:before="60" w:after="60" w:line="276" w:lineRule="auto"/>
              <w:jc w:val="center"/>
              <w:rPr>
                <w:rFonts w:cstheme="minorHAnsi"/>
                <w:sz w:val="20"/>
                <w:szCs w:val="20"/>
              </w:rPr>
            </w:pPr>
          </w:p>
        </w:tc>
        <w:tc>
          <w:tcPr>
            <w:tcW w:w="21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44406D" w14:textId="77777777" w:rsidR="009F3475" w:rsidRDefault="009F3475">
            <w:pPr>
              <w:spacing w:before="60" w:after="60" w:line="276" w:lineRule="auto"/>
              <w:jc w:val="center"/>
              <w:rPr>
                <w:rFonts w:cstheme="minorHAnsi"/>
                <w:sz w:val="20"/>
                <w:szCs w:val="20"/>
              </w:rPr>
            </w:pPr>
          </w:p>
        </w:tc>
      </w:tr>
      <w:tr w:rsidR="009F3475" w14:paraId="262D8902" w14:textId="77777777" w:rsidTr="00A71FD7">
        <w:trPr>
          <w:trHeight w:val="340"/>
        </w:trPr>
        <w:tc>
          <w:tcPr>
            <w:tcW w:w="44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7F88AD9" w14:textId="77777777" w:rsidR="009F3475" w:rsidRDefault="009F3475">
            <w:pPr>
              <w:spacing w:before="60" w:after="60" w:line="276" w:lineRule="auto"/>
              <w:rPr>
                <w:rFonts w:cstheme="minorHAnsi"/>
                <w:sz w:val="20"/>
                <w:szCs w:val="20"/>
              </w:rPr>
            </w:pPr>
            <w:r>
              <w:rPr>
                <w:rFonts w:cstheme="minorHAnsi"/>
                <w:sz w:val="20"/>
                <w:szCs w:val="20"/>
              </w:rPr>
              <w:t>Predicted</w:t>
            </w:r>
          </w:p>
        </w:tc>
        <w:tc>
          <w:tcPr>
            <w:tcW w:w="217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F36CBD" w14:textId="440F8D56" w:rsidR="009F3475" w:rsidRPr="002D5B33" w:rsidRDefault="00061741">
            <w:pPr>
              <w:spacing w:before="60" w:after="60" w:line="276" w:lineRule="auto"/>
              <w:jc w:val="center"/>
              <w:rPr>
                <w:rFonts w:cstheme="minorHAnsi"/>
                <w:sz w:val="20"/>
                <w:szCs w:val="20"/>
                <w:highlight w:val="darkGray"/>
              </w:rPr>
            </w:pPr>
            <w:r w:rsidRPr="00061741">
              <w:rPr>
                <w:rFonts w:cstheme="minorHAnsi"/>
                <w:sz w:val="20"/>
                <w:szCs w:val="20"/>
                <w:highlight w:val="black"/>
              </w:rPr>
              <w:t>XXXXX</w:t>
            </w:r>
          </w:p>
        </w:tc>
        <w:tc>
          <w:tcPr>
            <w:tcW w:w="2175" w:type="dxa"/>
            <w:tcBorders>
              <w:top w:val="single" w:sz="4" w:space="0" w:color="auto"/>
              <w:left w:val="nil"/>
              <w:bottom w:val="single" w:sz="4" w:space="0" w:color="auto"/>
              <w:right w:val="single" w:sz="4" w:space="0" w:color="auto"/>
            </w:tcBorders>
            <w:shd w:val="clear" w:color="auto" w:fill="FFFFFF" w:themeFill="background1"/>
            <w:noWrap/>
            <w:vAlign w:val="center"/>
          </w:tcPr>
          <w:p w14:paraId="699F7A8E" w14:textId="409DABC8" w:rsidR="009F3475" w:rsidRPr="002D5B33" w:rsidRDefault="00061741">
            <w:pPr>
              <w:spacing w:before="60" w:after="60" w:line="276" w:lineRule="auto"/>
              <w:jc w:val="center"/>
              <w:rPr>
                <w:rFonts w:cstheme="minorHAnsi"/>
                <w:sz w:val="20"/>
                <w:szCs w:val="20"/>
                <w:highlight w:val="darkGray"/>
              </w:rPr>
            </w:pPr>
            <w:r w:rsidRPr="00061741">
              <w:rPr>
                <w:rFonts w:cstheme="minorHAnsi"/>
                <w:sz w:val="20"/>
                <w:szCs w:val="20"/>
                <w:highlight w:val="black"/>
              </w:rPr>
              <w:t>XXXXX</w:t>
            </w:r>
          </w:p>
        </w:tc>
      </w:tr>
      <w:tr w:rsidR="009F3475" w14:paraId="65F2AFF4" w14:textId="77777777" w:rsidTr="00A71FD7">
        <w:trPr>
          <w:trHeight w:val="340"/>
        </w:trPr>
        <w:tc>
          <w:tcPr>
            <w:tcW w:w="44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BEDC906" w14:textId="77777777" w:rsidR="009F3475" w:rsidRDefault="009F3475">
            <w:pPr>
              <w:spacing w:before="60" w:after="60" w:line="276" w:lineRule="auto"/>
              <w:rPr>
                <w:rFonts w:cstheme="minorHAnsi"/>
                <w:sz w:val="20"/>
                <w:szCs w:val="20"/>
              </w:rPr>
            </w:pPr>
            <w:r>
              <w:rPr>
                <w:rFonts w:cstheme="minorHAnsi"/>
                <w:sz w:val="20"/>
                <w:szCs w:val="20"/>
              </w:rPr>
              <w:t>Actual</w:t>
            </w:r>
          </w:p>
        </w:tc>
        <w:tc>
          <w:tcPr>
            <w:tcW w:w="2174"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2C45C6F8" w14:textId="173B480A" w:rsidR="009F3475" w:rsidRDefault="00BF6C6B">
            <w:pPr>
              <w:spacing w:before="60" w:after="60" w:line="276" w:lineRule="auto"/>
              <w:jc w:val="center"/>
              <w:rPr>
                <w:rFonts w:cstheme="minorHAnsi"/>
                <w:sz w:val="20"/>
                <w:szCs w:val="20"/>
              </w:rPr>
            </w:pPr>
            <w:r w:rsidRPr="00BF6C6B">
              <w:rPr>
                <w:rFonts w:cstheme="minorHAnsi"/>
                <w:sz w:val="20"/>
                <w:szCs w:val="20"/>
              </w:rPr>
              <w:t>2</w:t>
            </w:r>
            <w:r>
              <w:rPr>
                <w:rFonts w:cstheme="minorHAnsi"/>
                <w:sz w:val="20"/>
                <w:szCs w:val="20"/>
              </w:rPr>
              <w:t>,</w:t>
            </w:r>
            <w:r w:rsidRPr="00BF6C6B">
              <w:rPr>
                <w:rFonts w:cstheme="minorHAnsi"/>
                <w:sz w:val="20"/>
                <w:szCs w:val="20"/>
              </w:rPr>
              <w:t>463</w:t>
            </w:r>
          </w:p>
        </w:tc>
        <w:tc>
          <w:tcPr>
            <w:tcW w:w="2175" w:type="dxa"/>
            <w:tcBorders>
              <w:top w:val="single" w:sz="4" w:space="0" w:color="auto"/>
              <w:left w:val="nil"/>
              <w:bottom w:val="single" w:sz="4" w:space="0" w:color="auto"/>
              <w:right w:val="single" w:sz="4" w:space="0" w:color="auto"/>
            </w:tcBorders>
            <w:shd w:val="clear" w:color="auto" w:fill="FFFFFF" w:themeFill="background1"/>
            <w:noWrap/>
          </w:tcPr>
          <w:p w14:paraId="0BEEDF21" w14:textId="58476200" w:rsidR="009F3475" w:rsidRDefault="00BF6C6B">
            <w:pPr>
              <w:spacing w:before="60" w:after="60" w:line="276" w:lineRule="auto"/>
              <w:jc w:val="center"/>
              <w:rPr>
                <w:rFonts w:cstheme="minorHAnsi"/>
                <w:sz w:val="20"/>
                <w:szCs w:val="20"/>
              </w:rPr>
            </w:pPr>
            <w:r w:rsidRPr="00BF6C6B">
              <w:rPr>
                <w:rFonts w:cstheme="minorHAnsi"/>
                <w:sz w:val="20"/>
                <w:szCs w:val="20"/>
              </w:rPr>
              <w:t>4</w:t>
            </w:r>
            <w:r>
              <w:rPr>
                <w:rFonts w:cstheme="minorHAnsi"/>
                <w:sz w:val="20"/>
                <w:szCs w:val="20"/>
              </w:rPr>
              <w:t>,</w:t>
            </w:r>
            <w:r w:rsidRPr="00BF6C6B">
              <w:rPr>
                <w:rFonts w:cstheme="minorHAnsi"/>
                <w:sz w:val="20"/>
                <w:szCs w:val="20"/>
              </w:rPr>
              <w:t>962</w:t>
            </w:r>
          </w:p>
        </w:tc>
      </w:tr>
      <w:tr w:rsidR="006A562D" w14:paraId="066BD9C1" w14:textId="77777777" w:rsidTr="00434050">
        <w:trPr>
          <w:trHeight w:val="340"/>
        </w:trPr>
        <w:tc>
          <w:tcPr>
            <w:tcW w:w="44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A5521F9" w14:textId="77777777" w:rsidR="006A562D" w:rsidRDefault="006A562D" w:rsidP="006A562D">
            <w:pPr>
              <w:spacing w:before="60" w:after="60" w:line="276" w:lineRule="auto"/>
              <w:rPr>
                <w:rFonts w:cstheme="minorHAnsi"/>
                <w:sz w:val="20"/>
                <w:szCs w:val="20"/>
              </w:rPr>
            </w:pPr>
            <w:r>
              <w:rPr>
                <w:rFonts w:cstheme="minorHAnsi"/>
                <w:sz w:val="20"/>
                <w:szCs w:val="20"/>
              </w:rPr>
              <w:t>Difference</w:t>
            </w:r>
            <w:r>
              <w:rPr>
                <w:rFonts w:cstheme="minorHAnsi"/>
                <w:sz w:val="20"/>
                <w:szCs w:val="20"/>
                <w:vertAlign w:val="superscript"/>
              </w:rPr>
              <w:t xml:space="preserve"> b</w:t>
            </w:r>
          </w:p>
        </w:tc>
        <w:tc>
          <w:tcPr>
            <w:tcW w:w="2174" w:type="dxa"/>
            <w:tcBorders>
              <w:top w:val="nil"/>
              <w:left w:val="nil"/>
              <w:bottom w:val="single" w:sz="8" w:space="0" w:color="auto"/>
              <w:right w:val="single" w:sz="8" w:space="0" w:color="auto"/>
            </w:tcBorders>
            <w:shd w:val="clear" w:color="000000" w:fill="FFFFFF"/>
            <w:noWrap/>
            <w:vAlign w:val="center"/>
          </w:tcPr>
          <w:p w14:paraId="1F050A60" w14:textId="62749E47" w:rsidR="006A562D" w:rsidRPr="002D5B33" w:rsidRDefault="00061741" w:rsidP="006A562D">
            <w:pPr>
              <w:spacing w:before="60" w:after="60" w:line="276" w:lineRule="auto"/>
              <w:jc w:val="center"/>
              <w:rPr>
                <w:rFonts w:cstheme="minorHAnsi"/>
                <w:sz w:val="20"/>
                <w:szCs w:val="20"/>
                <w:highlight w:val="darkGray"/>
              </w:rPr>
            </w:pPr>
            <w:r w:rsidRPr="00061741">
              <w:rPr>
                <w:rFonts w:ascii="Calibri" w:hAnsi="Calibri" w:cstheme="minorHAnsi"/>
                <w:color w:val="000000"/>
                <w:sz w:val="20"/>
                <w:szCs w:val="20"/>
                <w:highlight w:val="black"/>
              </w:rPr>
              <w:t>XXX</w:t>
            </w:r>
          </w:p>
        </w:tc>
        <w:tc>
          <w:tcPr>
            <w:tcW w:w="2175" w:type="dxa"/>
            <w:tcBorders>
              <w:top w:val="nil"/>
              <w:left w:val="nil"/>
              <w:bottom w:val="single" w:sz="8" w:space="0" w:color="auto"/>
              <w:right w:val="single" w:sz="8" w:space="0" w:color="auto"/>
            </w:tcBorders>
            <w:shd w:val="clear" w:color="000000" w:fill="FFFFFF"/>
            <w:noWrap/>
            <w:vAlign w:val="center"/>
          </w:tcPr>
          <w:p w14:paraId="1F6BD234" w14:textId="6EFC27B4" w:rsidR="006A562D" w:rsidRPr="002D5B33" w:rsidRDefault="00061741" w:rsidP="006A562D">
            <w:pPr>
              <w:spacing w:before="60" w:after="60" w:line="276" w:lineRule="auto"/>
              <w:jc w:val="center"/>
              <w:rPr>
                <w:rFonts w:cstheme="minorHAnsi"/>
                <w:sz w:val="20"/>
                <w:szCs w:val="20"/>
                <w:highlight w:val="darkGray"/>
              </w:rPr>
            </w:pPr>
            <w:r w:rsidRPr="00061741">
              <w:rPr>
                <w:rFonts w:ascii="Calibri" w:hAnsi="Calibri" w:cstheme="minorHAnsi"/>
                <w:color w:val="000000"/>
                <w:sz w:val="20"/>
                <w:szCs w:val="20"/>
                <w:highlight w:val="black"/>
              </w:rPr>
              <w:t>XXXX</w:t>
            </w:r>
          </w:p>
        </w:tc>
      </w:tr>
      <w:tr w:rsidR="009A4C0C" w14:paraId="13C806BA" w14:textId="77777777" w:rsidTr="00A71FD7">
        <w:trPr>
          <w:trHeight w:val="340"/>
        </w:trPr>
        <w:tc>
          <w:tcPr>
            <w:tcW w:w="44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EC27087" w14:textId="5448AFF7" w:rsidR="009A4C0C" w:rsidRDefault="009A4C0C">
            <w:pPr>
              <w:spacing w:before="60" w:after="60" w:line="276" w:lineRule="auto"/>
              <w:rPr>
                <w:rFonts w:cstheme="minorHAnsi"/>
                <w:sz w:val="20"/>
                <w:szCs w:val="20"/>
              </w:rPr>
            </w:pPr>
            <w:r>
              <w:rPr>
                <w:rFonts w:cstheme="minorHAnsi"/>
                <w:sz w:val="20"/>
                <w:szCs w:val="20"/>
              </w:rPr>
              <w:t>July 2024 predicted</w:t>
            </w:r>
            <w:r w:rsidR="00464284">
              <w:rPr>
                <w:rFonts w:cstheme="minorHAnsi"/>
                <w:sz w:val="20"/>
                <w:szCs w:val="20"/>
              </w:rPr>
              <w:t xml:space="preserve"> </w:t>
            </w:r>
            <w:r w:rsidR="00FB4369" w:rsidRPr="00FB4369">
              <w:rPr>
                <w:rFonts w:cstheme="minorHAnsi"/>
                <w:sz w:val="20"/>
                <w:szCs w:val="20"/>
                <w:vertAlign w:val="superscript"/>
              </w:rPr>
              <w:t>c</w:t>
            </w:r>
          </w:p>
        </w:tc>
        <w:tc>
          <w:tcPr>
            <w:tcW w:w="2174"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3463EBB3" w14:textId="72D84811" w:rsidR="009A4C0C" w:rsidRPr="002D5B33" w:rsidRDefault="00061741">
            <w:pPr>
              <w:spacing w:before="60" w:after="60" w:line="276" w:lineRule="auto"/>
              <w:jc w:val="center"/>
              <w:rPr>
                <w:rFonts w:cstheme="minorHAnsi"/>
                <w:sz w:val="20"/>
                <w:szCs w:val="20"/>
                <w:highlight w:val="darkGray"/>
              </w:rPr>
            </w:pPr>
            <w:r w:rsidRPr="00061741">
              <w:rPr>
                <w:rFonts w:cstheme="minorHAnsi"/>
                <w:sz w:val="20"/>
                <w:szCs w:val="20"/>
                <w:highlight w:val="black"/>
              </w:rPr>
              <w:t>XXXXX</w:t>
            </w:r>
          </w:p>
        </w:tc>
        <w:tc>
          <w:tcPr>
            <w:tcW w:w="2175"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855EF3E" w14:textId="5572112D" w:rsidR="009A4C0C" w:rsidRPr="002D5B33" w:rsidRDefault="00061741">
            <w:pPr>
              <w:spacing w:before="60" w:after="60" w:line="276" w:lineRule="auto"/>
              <w:jc w:val="center"/>
              <w:rPr>
                <w:rFonts w:cstheme="minorHAnsi"/>
                <w:sz w:val="20"/>
                <w:szCs w:val="20"/>
                <w:highlight w:val="darkGray"/>
              </w:rPr>
            </w:pPr>
            <w:r w:rsidRPr="00061741">
              <w:rPr>
                <w:rFonts w:cstheme="minorHAnsi"/>
                <w:sz w:val="20"/>
                <w:szCs w:val="20"/>
                <w:highlight w:val="black"/>
              </w:rPr>
              <w:t>XXXXX</w:t>
            </w:r>
          </w:p>
        </w:tc>
      </w:tr>
      <w:tr w:rsidR="006A562D" w14:paraId="1FCECFCC" w14:textId="77777777" w:rsidTr="00BC3EE0">
        <w:trPr>
          <w:trHeight w:val="340"/>
        </w:trPr>
        <w:tc>
          <w:tcPr>
            <w:tcW w:w="44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EB28E19" w14:textId="378B2C35" w:rsidR="006A562D" w:rsidRDefault="006A562D" w:rsidP="006A562D">
            <w:pPr>
              <w:spacing w:before="60" w:after="60" w:line="276" w:lineRule="auto"/>
              <w:rPr>
                <w:rFonts w:cstheme="minorHAnsi"/>
                <w:sz w:val="20"/>
                <w:szCs w:val="20"/>
              </w:rPr>
            </w:pPr>
            <w:r>
              <w:rPr>
                <w:rFonts w:cstheme="minorHAnsi"/>
                <w:sz w:val="20"/>
                <w:szCs w:val="20"/>
              </w:rPr>
              <w:t xml:space="preserve">Difference </w:t>
            </w:r>
            <w:r w:rsidRPr="0023135A">
              <w:rPr>
                <w:rFonts w:cstheme="minorHAnsi"/>
                <w:sz w:val="20"/>
                <w:szCs w:val="20"/>
                <w:vertAlign w:val="superscript"/>
              </w:rPr>
              <w:t>b</w:t>
            </w:r>
          </w:p>
        </w:tc>
        <w:tc>
          <w:tcPr>
            <w:tcW w:w="2174" w:type="dxa"/>
            <w:tcBorders>
              <w:top w:val="nil"/>
              <w:left w:val="nil"/>
              <w:bottom w:val="single" w:sz="8" w:space="0" w:color="auto"/>
              <w:right w:val="single" w:sz="8" w:space="0" w:color="auto"/>
            </w:tcBorders>
            <w:shd w:val="clear" w:color="000000" w:fill="FFFFFF"/>
            <w:noWrap/>
            <w:vAlign w:val="center"/>
          </w:tcPr>
          <w:p w14:paraId="0302493A" w14:textId="01EFD431" w:rsidR="006A562D" w:rsidRPr="002D5B33" w:rsidRDefault="00061741" w:rsidP="006A562D">
            <w:pPr>
              <w:spacing w:before="60" w:after="60" w:line="276" w:lineRule="auto"/>
              <w:jc w:val="center"/>
              <w:rPr>
                <w:rFonts w:cstheme="minorHAnsi"/>
                <w:sz w:val="20"/>
                <w:szCs w:val="20"/>
                <w:highlight w:val="darkGray"/>
              </w:rPr>
            </w:pPr>
            <w:r w:rsidRPr="00061741">
              <w:rPr>
                <w:rFonts w:cstheme="minorHAnsi"/>
                <w:sz w:val="20"/>
                <w:szCs w:val="20"/>
                <w:highlight w:val="black"/>
              </w:rPr>
              <w:t>XXXX</w:t>
            </w:r>
          </w:p>
        </w:tc>
        <w:tc>
          <w:tcPr>
            <w:tcW w:w="2175" w:type="dxa"/>
            <w:tcBorders>
              <w:top w:val="nil"/>
              <w:left w:val="nil"/>
              <w:bottom w:val="single" w:sz="8" w:space="0" w:color="auto"/>
              <w:right w:val="single" w:sz="8" w:space="0" w:color="auto"/>
            </w:tcBorders>
            <w:shd w:val="clear" w:color="000000" w:fill="FFFFFF"/>
            <w:noWrap/>
            <w:vAlign w:val="center"/>
          </w:tcPr>
          <w:p w14:paraId="09BFD804" w14:textId="5C0B605B" w:rsidR="006A562D" w:rsidRPr="002D5B33" w:rsidRDefault="00061741" w:rsidP="006A562D">
            <w:pPr>
              <w:spacing w:before="60" w:after="60" w:line="276" w:lineRule="auto"/>
              <w:jc w:val="center"/>
              <w:rPr>
                <w:rFonts w:cstheme="minorHAnsi"/>
                <w:sz w:val="20"/>
                <w:szCs w:val="20"/>
                <w:highlight w:val="darkGray"/>
              </w:rPr>
            </w:pPr>
            <w:r w:rsidRPr="00061741">
              <w:rPr>
                <w:rFonts w:cstheme="minorHAnsi"/>
                <w:sz w:val="20"/>
                <w:szCs w:val="20"/>
                <w:highlight w:val="black"/>
              </w:rPr>
              <w:t>XXX</w:t>
            </w:r>
          </w:p>
        </w:tc>
      </w:tr>
    </w:tbl>
    <w:p w14:paraId="728D71D0" w14:textId="77777777" w:rsidR="009F3475" w:rsidRDefault="009F3475" w:rsidP="009F3475">
      <w:pPr>
        <w:spacing w:after="0"/>
        <w:rPr>
          <w:sz w:val="20"/>
          <w:szCs w:val="20"/>
        </w:rPr>
      </w:pPr>
      <w:r>
        <w:rPr>
          <w:sz w:val="20"/>
          <w:szCs w:val="20"/>
        </w:rPr>
        <w:t>Source: The predicted figures were sourced from the final version of the financial estimates model.</w:t>
      </w:r>
    </w:p>
    <w:p w14:paraId="37543B50" w14:textId="77777777" w:rsidR="009F3475" w:rsidRDefault="009F3475" w:rsidP="009F3475">
      <w:pPr>
        <w:spacing w:after="0"/>
        <w:rPr>
          <w:sz w:val="20"/>
          <w:szCs w:val="20"/>
        </w:rPr>
      </w:pPr>
      <w:r>
        <w:rPr>
          <w:sz w:val="20"/>
          <w:szCs w:val="20"/>
        </w:rPr>
        <w:t>Note:</w:t>
      </w:r>
    </w:p>
    <w:p w14:paraId="3574448E" w14:textId="5C21BB83" w:rsidR="009F3475" w:rsidRDefault="009F3475" w:rsidP="009F3475">
      <w:pPr>
        <w:spacing w:after="0"/>
        <w:rPr>
          <w:sz w:val="20"/>
          <w:szCs w:val="20"/>
        </w:rPr>
      </w:pPr>
      <w:proofErr w:type="spellStart"/>
      <w:r>
        <w:rPr>
          <w:sz w:val="20"/>
          <w:szCs w:val="20"/>
          <w:vertAlign w:val="superscript"/>
        </w:rPr>
        <w:t>a</w:t>
      </w:r>
      <w:proofErr w:type="spellEnd"/>
      <w:r>
        <w:rPr>
          <w:sz w:val="20"/>
          <w:szCs w:val="20"/>
        </w:rPr>
        <w:t xml:space="preserve"> </w:t>
      </w:r>
      <w:proofErr w:type="gramStart"/>
      <w:r>
        <w:rPr>
          <w:sz w:val="20"/>
          <w:szCs w:val="20"/>
        </w:rPr>
        <w:t>The</w:t>
      </w:r>
      <w:proofErr w:type="gramEnd"/>
      <w:r>
        <w:rPr>
          <w:sz w:val="20"/>
          <w:szCs w:val="20"/>
        </w:rPr>
        <w:t xml:space="preserve"> figures are presented in listing years (Ju</w:t>
      </w:r>
      <w:r w:rsidR="006D7FF8">
        <w:rPr>
          <w:sz w:val="20"/>
          <w:szCs w:val="20"/>
        </w:rPr>
        <w:t>l</w:t>
      </w:r>
      <w:r>
        <w:rPr>
          <w:sz w:val="20"/>
          <w:szCs w:val="20"/>
        </w:rPr>
        <w:t xml:space="preserve"> to </w:t>
      </w:r>
      <w:r w:rsidR="006D7FF8">
        <w:rPr>
          <w:sz w:val="20"/>
          <w:szCs w:val="20"/>
        </w:rPr>
        <w:t>Jun</w:t>
      </w:r>
      <w:r>
        <w:rPr>
          <w:sz w:val="20"/>
          <w:szCs w:val="20"/>
        </w:rPr>
        <w:t>).</w:t>
      </w:r>
    </w:p>
    <w:p w14:paraId="4876C2EB" w14:textId="77777777" w:rsidR="009F3475" w:rsidRDefault="009F3475" w:rsidP="009F3475">
      <w:pPr>
        <w:spacing w:after="0"/>
        <w:rPr>
          <w:sz w:val="20"/>
          <w:szCs w:val="20"/>
        </w:rPr>
      </w:pPr>
      <w:r>
        <w:rPr>
          <w:sz w:val="20"/>
          <w:szCs w:val="20"/>
          <w:vertAlign w:val="superscript"/>
        </w:rPr>
        <w:t>b</w:t>
      </w:r>
      <w:r>
        <w:rPr>
          <w:sz w:val="20"/>
          <w:szCs w:val="20"/>
        </w:rPr>
        <w:t xml:space="preserve"> Difference is calculated as: ((Actual – Predicted)/Predicted) x 100.</w:t>
      </w:r>
    </w:p>
    <w:p w14:paraId="47940B0A" w14:textId="2909A20D" w:rsidR="009F3475" w:rsidRPr="005564A4" w:rsidRDefault="00FB4369" w:rsidP="009F3475">
      <w:pPr>
        <w:rPr>
          <w:sz w:val="18"/>
          <w:szCs w:val="18"/>
        </w:rPr>
      </w:pPr>
      <w:r w:rsidRPr="00FB4369">
        <w:rPr>
          <w:vertAlign w:val="superscript"/>
        </w:rPr>
        <w:t>c</w:t>
      </w:r>
      <w:r>
        <w:t xml:space="preserve"> </w:t>
      </w:r>
      <w:r w:rsidR="005564A4" w:rsidRPr="005564A4">
        <w:rPr>
          <w:sz w:val="20"/>
          <w:szCs w:val="20"/>
        </w:rPr>
        <w:t>Predicted values in the July 2024 submission</w:t>
      </w:r>
      <w:r w:rsidR="00A007F0">
        <w:rPr>
          <w:sz w:val="20"/>
          <w:szCs w:val="20"/>
        </w:rPr>
        <w:t xml:space="preserve"> sourced from </w:t>
      </w:r>
      <w:r w:rsidR="00A007F0" w:rsidRPr="00A007F0">
        <w:rPr>
          <w:sz w:val="20"/>
          <w:szCs w:val="20"/>
        </w:rPr>
        <w:t>the final version of the financial estimates model</w:t>
      </w:r>
      <w:r w:rsidR="005564A4" w:rsidRPr="005564A4">
        <w:rPr>
          <w:sz w:val="20"/>
          <w:szCs w:val="20"/>
        </w:rPr>
        <w:t>.</w:t>
      </w:r>
    </w:p>
    <w:p w14:paraId="3555DFBA" w14:textId="60E8E761" w:rsidR="00591512" w:rsidRDefault="00AB3733" w:rsidP="00F73113">
      <w:pPr>
        <w:pStyle w:val="Heading1"/>
      </w:pPr>
      <w:r>
        <w:t>D</w:t>
      </w:r>
      <w:r w:rsidR="007346C7" w:rsidRPr="005E22C2">
        <w:t>iscussion</w:t>
      </w:r>
    </w:p>
    <w:p w14:paraId="72114F5A" w14:textId="5A335265" w:rsidR="00B9049C" w:rsidRDefault="00346762" w:rsidP="001905A9">
      <w:r w:rsidRPr="00346762">
        <w:t xml:space="preserve">Actual patient numbers </w:t>
      </w:r>
      <w:r w:rsidR="00081163">
        <w:t>were</w:t>
      </w:r>
      <w:r w:rsidRPr="00346762">
        <w:t xml:space="preserve"> </w:t>
      </w:r>
      <w:r w:rsidR="00061741" w:rsidRPr="00061741">
        <w:rPr>
          <w:highlight w:val="black"/>
        </w:rPr>
        <w:t>XXXX</w:t>
      </w:r>
      <w:r w:rsidRPr="00346762">
        <w:t xml:space="preserve"> than predicted over the first two years of listing.</w:t>
      </w:r>
      <w:r>
        <w:t xml:space="preserve"> This may have been due to </w:t>
      </w:r>
      <w:proofErr w:type="gramStart"/>
      <w:r>
        <w:t>a number of</w:t>
      </w:r>
      <w:proofErr w:type="gramEnd"/>
      <w:r>
        <w:t xml:space="preserve"> factors. </w:t>
      </w:r>
      <w:r w:rsidR="00B9049C">
        <w:t>Gi</w:t>
      </w:r>
      <w:r w:rsidR="00482F98">
        <w:t>ven the relatively few patients having prior treatment with a PBS listed medication that can be used in the first</w:t>
      </w:r>
      <w:r w:rsidR="00E4085B">
        <w:t>-</w:t>
      </w:r>
      <w:r w:rsidR="00482F98">
        <w:t>line treatment of WM</w:t>
      </w:r>
      <w:r w:rsidR="00935BB0">
        <w:t xml:space="preserve"> (Table 4)</w:t>
      </w:r>
      <w:r>
        <w:t>, i</w:t>
      </w:r>
      <w:r w:rsidR="00B2146C">
        <w:t xml:space="preserve">t is possible that </w:t>
      </w:r>
      <w:r w:rsidR="00061741" w:rsidRPr="00061741">
        <w:rPr>
          <w:highlight w:val="black"/>
        </w:rPr>
        <w:t>XXXX</w:t>
      </w:r>
      <w:r w:rsidR="00B9049C">
        <w:t xml:space="preserve"> treatment naïve </w:t>
      </w:r>
      <w:r w:rsidR="00B2146C">
        <w:t>patient</w:t>
      </w:r>
      <w:r w:rsidR="001B2063">
        <w:t>s</w:t>
      </w:r>
      <w:r w:rsidR="00B2146C">
        <w:t xml:space="preserve"> are being </w:t>
      </w:r>
      <w:r w:rsidR="00C274A4">
        <w:t xml:space="preserve">dispensed </w:t>
      </w:r>
      <w:proofErr w:type="spellStart"/>
      <w:r w:rsidR="00935BB0">
        <w:t>zan</w:t>
      </w:r>
      <w:r w:rsidR="007D5113">
        <w:t>u</w:t>
      </w:r>
      <w:r w:rsidR="00935BB0">
        <w:t>brutinib</w:t>
      </w:r>
      <w:proofErr w:type="spellEnd"/>
      <w:r w:rsidR="00B2146C">
        <w:t xml:space="preserve"> </w:t>
      </w:r>
      <w:proofErr w:type="spellStart"/>
      <w:r w:rsidR="00B9049C">
        <w:t>then</w:t>
      </w:r>
      <w:proofErr w:type="spellEnd"/>
      <w:r w:rsidR="00B9049C">
        <w:t xml:space="preserve"> expected</w:t>
      </w:r>
      <w:r w:rsidR="00B2146C">
        <w:t>.</w:t>
      </w:r>
      <w:r w:rsidR="00B9049C">
        <w:t xml:space="preserve"> </w:t>
      </w:r>
      <w:r w:rsidR="00110CD3">
        <w:t xml:space="preserve">However, there are limitations which make it difficult to accurately determine if a patient has received another first-line medication of WM prior to </w:t>
      </w:r>
      <w:proofErr w:type="spellStart"/>
      <w:r w:rsidR="001B2063">
        <w:t>z</w:t>
      </w:r>
      <w:r w:rsidR="00110CD3">
        <w:t>anubrutinib</w:t>
      </w:r>
      <w:proofErr w:type="spellEnd"/>
      <w:r w:rsidR="00110CD3">
        <w:t xml:space="preserve">. Patients who were dispensed a non-PBS medication for first-line treatment of WM will not be captured by this analysis. </w:t>
      </w:r>
      <w:r>
        <w:t xml:space="preserve">In </w:t>
      </w:r>
      <w:r w:rsidR="001B2063">
        <w:t>addition,</w:t>
      </w:r>
      <w:r>
        <w:t xml:space="preserve"> there</w:t>
      </w:r>
      <w:r w:rsidR="00B3566A">
        <w:t xml:space="preserve"> </w:t>
      </w:r>
      <w:r>
        <w:t>are</w:t>
      </w:r>
      <w:r w:rsidR="00B3566A">
        <w:t xml:space="preserve"> </w:t>
      </w:r>
      <w:proofErr w:type="gramStart"/>
      <w:r w:rsidR="00B3566A">
        <w:t>a number of</w:t>
      </w:r>
      <w:proofErr w:type="gramEnd"/>
      <w:r w:rsidR="00B3566A">
        <w:t xml:space="preserve"> estimates </w:t>
      </w:r>
      <w:r w:rsidR="00043476">
        <w:t>which ha</w:t>
      </w:r>
      <w:r>
        <w:t>ve</w:t>
      </w:r>
      <w:r w:rsidR="00043476">
        <w:t xml:space="preserve"> various levels of uncertainty </w:t>
      </w:r>
      <w:r w:rsidR="00205428">
        <w:t>associated with</w:t>
      </w:r>
      <w:r w:rsidR="00043476">
        <w:t xml:space="preserve"> them </w:t>
      </w:r>
      <w:r w:rsidR="0023433A">
        <w:t xml:space="preserve">including </w:t>
      </w:r>
      <w:r w:rsidR="00043476">
        <w:t xml:space="preserve">the </w:t>
      </w:r>
      <w:r w:rsidR="001D6656">
        <w:t>proportion of WM patients initiating treatment, duration of treatment</w:t>
      </w:r>
      <w:r w:rsidR="00321ED7">
        <w:t xml:space="preserve">, </w:t>
      </w:r>
      <w:r w:rsidR="00F54A6A">
        <w:t>rate of relapse in second</w:t>
      </w:r>
      <w:r w:rsidR="00E4085B">
        <w:t>-</w:t>
      </w:r>
      <w:r w:rsidR="00F54A6A">
        <w:t xml:space="preserve"> line</w:t>
      </w:r>
      <w:r w:rsidR="0073496F">
        <w:t xml:space="preserve">, survival rate, rate of </w:t>
      </w:r>
      <w:r w:rsidR="008F0A45">
        <w:t>BTK inhibitor naïve</w:t>
      </w:r>
      <w:r w:rsidR="009A0F5D">
        <w:t xml:space="preserve"> patients</w:t>
      </w:r>
      <w:r w:rsidR="008F0A45">
        <w:t>, and the uptake rate</w:t>
      </w:r>
      <w:r w:rsidR="003D2F9C">
        <w:t xml:space="preserve">, and </w:t>
      </w:r>
      <w:r w:rsidR="009A7AFB">
        <w:t>the number of grandfathered patients</w:t>
      </w:r>
      <w:r w:rsidR="008F0A45">
        <w:t xml:space="preserve">. </w:t>
      </w:r>
      <w:r w:rsidR="0023433A">
        <w:t>The two estimates which may have contributed to the</w:t>
      </w:r>
      <w:r w:rsidR="00E84AFE">
        <w:t xml:space="preserve"> </w:t>
      </w:r>
      <w:r w:rsidR="00113B8C">
        <w:t xml:space="preserve">significant difference between the predicted and actual patient population may be that the </w:t>
      </w:r>
      <w:r w:rsidR="007F67EC">
        <w:t xml:space="preserve">rate of </w:t>
      </w:r>
      <w:r w:rsidR="007F67EC">
        <w:lastRenderedPageBreak/>
        <w:t>patients’ ineligible for of chemo-</w:t>
      </w:r>
      <w:proofErr w:type="spellStart"/>
      <w:r w:rsidR="007F67EC">
        <w:t>immuno</w:t>
      </w:r>
      <w:proofErr w:type="spellEnd"/>
      <w:r w:rsidR="007F67EC">
        <w:t xml:space="preserve"> therapy </w:t>
      </w:r>
      <w:r w:rsidR="00894111">
        <w:t xml:space="preserve">and the </w:t>
      </w:r>
      <w:r w:rsidR="00113B8C">
        <w:t>pr</w:t>
      </w:r>
      <w:r w:rsidR="00C91D6E">
        <w:t xml:space="preserve">evalent patient pool. </w:t>
      </w:r>
      <w:r w:rsidR="00B04F63">
        <w:t>Australian Institute of Health and Welfare (</w:t>
      </w:r>
      <w:r w:rsidR="001905A9">
        <w:t>AIHW</w:t>
      </w:r>
      <w:r w:rsidR="00B04F63">
        <w:t>)</w:t>
      </w:r>
      <w:r w:rsidR="001905A9">
        <w:t xml:space="preserve"> data on WA</w:t>
      </w:r>
      <w:r w:rsidR="00FB05CC">
        <w:rPr>
          <w:rStyle w:val="FootnoteReference"/>
        </w:rPr>
        <w:footnoteReference w:id="13"/>
      </w:r>
      <w:r w:rsidR="001905A9">
        <w:t xml:space="preserve">  indicate a </w:t>
      </w:r>
      <w:proofErr w:type="gramStart"/>
      <w:r w:rsidR="001905A9">
        <w:t>10 year</w:t>
      </w:r>
      <w:proofErr w:type="gramEnd"/>
      <w:r w:rsidR="00FB05CC">
        <w:t xml:space="preserve"> </w:t>
      </w:r>
      <w:r w:rsidR="00ED6C6D">
        <w:t>prevalence</w:t>
      </w:r>
      <w:r w:rsidR="00FB05CC">
        <w:t xml:space="preserve"> rate</w:t>
      </w:r>
      <w:r w:rsidR="001905A9">
        <w:t xml:space="preserve">, </w:t>
      </w:r>
      <w:r w:rsidR="00ED6C6D">
        <w:t xml:space="preserve">all </w:t>
      </w:r>
      <w:r w:rsidR="001905A9">
        <w:t xml:space="preserve">persons, all ages (age-standardised rate </w:t>
      </w:r>
      <w:r w:rsidR="00CF4C28">
        <w:t>–</w:t>
      </w:r>
      <w:r w:rsidR="001905A9">
        <w:t xml:space="preserve"> 2024</w:t>
      </w:r>
      <w:r w:rsidR="00CF4C28">
        <w:t xml:space="preserve"> and crude rate</w:t>
      </w:r>
      <w:r w:rsidR="001905A9">
        <w:t xml:space="preserve">) </w:t>
      </w:r>
      <w:r w:rsidR="00CF4C28">
        <w:t>of</w:t>
      </w:r>
      <w:r w:rsidR="001905A9">
        <w:t xml:space="preserve"> 4 per 100,000</w:t>
      </w:r>
      <w:r w:rsidR="00AB3DF5">
        <w:t xml:space="preserve"> as at the end of 2020</w:t>
      </w:r>
      <w:r w:rsidR="0B40190F">
        <w:t>.</w:t>
      </w:r>
      <w:r w:rsidR="003F426D">
        <w:t xml:space="preserve"> </w:t>
      </w:r>
      <w:r w:rsidR="00F85B16">
        <w:t>It may also be that patients who are fit for chemo-</w:t>
      </w:r>
      <w:proofErr w:type="spellStart"/>
      <w:r w:rsidR="00F85B16">
        <w:t>immuno</w:t>
      </w:r>
      <w:proofErr w:type="spellEnd"/>
      <w:r w:rsidR="00F85B16">
        <w:t xml:space="preserve"> therapy could be accessing </w:t>
      </w:r>
      <w:proofErr w:type="spellStart"/>
      <w:r w:rsidR="00F85B16">
        <w:t>zan</w:t>
      </w:r>
      <w:r w:rsidR="007D5113">
        <w:t>u</w:t>
      </w:r>
      <w:r w:rsidR="00F85B16">
        <w:t>brutinib</w:t>
      </w:r>
      <w:proofErr w:type="spellEnd"/>
      <w:r w:rsidR="00F85B16">
        <w:t xml:space="preserve"> for WM</w:t>
      </w:r>
      <w:r w:rsidR="00005B4A">
        <w:t>,</w:t>
      </w:r>
      <w:r w:rsidR="002D4B42">
        <w:t xml:space="preserve"> such as p</w:t>
      </w:r>
      <w:r w:rsidR="00212499">
        <w:t xml:space="preserve">atients who </w:t>
      </w:r>
      <w:proofErr w:type="gramStart"/>
      <w:r w:rsidR="00005B4A">
        <w:t xml:space="preserve">actually </w:t>
      </w:r>
      <w:r w:rsidR="00212499">
        <w:t>have</w:t>
      </w:r>
      <w:proofErr w:type="gramEnd"/>
      <w:r w:rsidR="00B9049C">
        <w:t xml:space="preserve"> a </w:t>
      </w:r>
      <w:r w:rsidR="00426838" w:rsidRPr="00426838">
        <w:t>Cumulative Illness Rating Scale</w:t>
      </w:r>
      <w:r w:rsidR="00B9049C">
        <w:t xml:space="preserve"> of less than 6</w:t>
      </w:r>
      <w:r w:rsidR="00DB4866">
        <w:t>.</w:t>
      </w:r>
      <w:r w:rsidR="001B2063">
        <w:t xml:space="preserve"> However, as Figures 3 and 4</w:t>
      </w:r>
      <w:r w:rsidR="004B0C8C">
        <w:t xml:space="preserve"> indicate </w:t>
      </w:r>
      <w:r w:rsidR="004B0C8C" w:rsidRPr="004B0C8C">
        <w:t xml:space="preserve">it is more likely that patients unsuitable (in older age cohorts) for </w:t>
      </w:r>
      <w:r w:rsidR="004B0C8C">
        <w:t>chemo-immunotherapy</w:t>
      </w:r>
      <w:r w:rsidR="004B0C8C" w:rsidRPr="004B0C8C">
        <w:t xml:space="preserve"> are receiving </w:t>
      </w:r>
      <w:proofErr w:type="spellStart"/>
      <w:r w:rsidR="004B0C8C" w:rsidRPr="004B0C8C">
        <w:t>zanubrutinib</w:t>
      </w:r>
      <w:proofErr w:type="spellEnd"/>
      <w:r w:rsidR="004B0C8C" w:rsidRPr="004B0C8C">
        <w:t xml:space="preserve"> with 62% of in</w:t>
      </w:r>
      <w:r w:rsidR="004B0C8C">
        <w:t>cident</w:t>
      </w:r>
      <w:r w:rsidR="004B0C8C" w:rsidRPr="004B0C8C">
        <w:t xml:space="preserve"> patients aged 75+ </w:t>
      </w:r>
      <w:r w:rsidR="007B65A6">
        <w:t xml:space="preserve">years </w:t>
      </w:r>
      <w:r w:rsidR="004B0C8C" w:rsidRPr="004B0C8C">
        <w:t xml:space="preserve">as compared to 45% of WM </w:t>
      </w:r>
      <w:r w:rsidR="004B0C8C">
        <w:t xml:space="preserve">incident </w:t>
      </w:r>
      <w:r w:rsidR="004B0C8C" w:rsidRPr="004B0C8C">
        <w:t xml:space="preserve">cases which are </w:t>
      </w:r>
      <w:r w:rsidR="007B65A6">
        <w:t xml:space="preserve">aged </w:t>
      </w:r>
      <w:r w:rsidR="004B0C8C" w:rsidRPr="004B0C8C">
        <w:t>75+</w:t>
      </w:r>
      <w:r w:rsidR="007B65A6">
        <w:t xml:space="preserve"> years.</w:t>
      </w:r>
    </w:p>
    <w:p w14:paraId="7BB6F601" w14:textId="4E7213A6" w:rsidR="00A23523" w:rsidRDefault="002D5B33">
      <w:r>
        <w:t xml:space="preserve">While </w:t>
      </w:r>
      <w:r w:rsidR="00061741" w:rsidRPr="00061741">
        <w:rPr>
          <w:highlight w:val="black"/>
        </w:rPr>
        <w:t>XXXX</w:t>
      </w:r>
      <w:r>
        <w:t xml:space="preserve"> scripts </w:t>
      </w:r>
      <w:r w:rsidR="00F85B16">
        <w:t>have been</w:t>
      </w:r>
      <w:r>
        <w:t xml:space="preserve"> </w:t>
      </w:r>
      <w:r w:rsidR="00705135">
        <w:t>written then predicted there were</w:t>
      </w:r>
      <w:r w:rsidR="009C503F">
        <w:t xml:space="preserve"> </w:t>
      </w:r>
      <w:r w:rsidR="00061741" w:rsidRPr="00061741">
        <w:rPr>
          <w:highlight w:val="black"/>
        </w:rPr>
        <w:t>XXXXX</w:t>
      </w:r>
      <w:r w:rsidR="009C503F">
        <w:t xml:space="preserve"> scripts </w:t>
      </w:r>
      <w:r>
        <w:t>per patient</w:t>
      </w:r>
      <w:r w:rsidR="00705135">
        <w:t xml:space="preserve">, which </w:t>
      </w:r>
      <w:r w:rsidR="009C503F">
        <w:t>is</w:t>
      </w:r>
      <w:r w:rsidR="00F5302C">
        <w:t xml:space="preserve"> </w:t>
      </w:r>
      <w:r w:rsidR="005B5E7B">
        <w:t xml:space="preserve">likely due to </w:t>
      </w:r>
      <w:r w:rsidR="001F43FF">
        <w:t xml:space="preserve">patients commencing treatment throughout the year which would mean that </w:t>
      </w:r>
      <w:r w:rsidR="00F85B16">
        <w:t>there</w:t>
      </w:r>
      <w:r w:rsidR="001F43FF">
        <w:t xml:space="preserve"> would </w:t>
      </w:r>
      <w:r w:rsidR="00F85B16">
        <w:t>be</w:t>
      </w:r>
      <w:r w:rsidR="001F43FF">
        <w:t xml:space="preserve"> </w:t>
      </w:r>
      <w:r w:rsidR="007D5113" w:rsidRPr="007D5113">
        <w:rPr>
          <w:highlight w:val="black"/>
        </w:rPr>
        <w:t>XXXX</w:t>
      </w:r>
      <w:r w:rsidR="001F43FF">
        <w:t xml:space="preserve"> than the approx. </w:t>
      </w:r>
      <w:r w:rsidR="00990B03" w:rsidRPr="00990B03">
        <w:rPr>
          <w:highlight w:val="black"/>
        </w:rPr>
        <w:t>XXXX</w:t>
      </w:r>
      <w:r w:rsidR="001F43FF">
        <w:t xml:space="preserve"> scripts per patient per year</w:t>
      </w:r>
      <w:r w:rsidR="00F85B16">
        <w:t xml:space="preserve"> required</w:t>
      </w:r>
      <w:r w:rsidR="001F43FF">
        <w:t xml:space="preserve">. </w:t>
      </w:r>
      <w:r w:rsidR="001B1E31">
        <w:t xml:space="preserve">It is </w:t>
      </w:r>
      <w:r w:rsidR="00F85B16">
        <w:t>un</w:t>
      </w:r>
      <w:r w:rsidR="001B1E31">
        <w:t xml:space="preserve">likely that </w:t>
      </w:r>
      <w:r w:rsidR="002D4B42">
        <w:t>this is due to other factors such as</w:t>
      </w:r>
      <w:r w:rsidR="001B1E31">
        <w:t xml:space="preserve"> </w:t>
      </w:r>
      <w:r w:rsidR="00DA1436">
        <w:t xml:space="preserve">a lower dose of </w:t>
      </w:r>
      <w:r w:rsidR="00D654B8">
        <w:t xml:space="preserve">medication being </w:t>
      </w:r>
      <w:r w:rsidR="00B9049C">
        <w:t>dispensed</w:t>
      </w:r>
      <w:r w:rsidR="00D654B8">
        <w:t xml:space="preserve"> or </w:t>
      </w:r>
      <w:r w:rsidR="001B1E31">
        <w:t>d</w:t>
      </w:r>
      <w:r w:rsidR="00CF46F4">
        <w:t xml:space="preserve">ose modification </w:t>
      </w:r>
      <w:r w:rsidR="00DA1436">
        <w:t xml:space="preserve">(Table 5 and </w:t>
      </w:r>
      <w:r w:rsidR="00F85B16">
        <w:t>T</w:t>
      </w:r>
      <w:r w:rsidR="00DA1436">
        <w:t xml:space="preserve">able 6) due </w:t>
      </w:r>
      <w:r w:rsidR="00CF46F4">
        <w:t xml:space="preserve">to toxicity, </w:t>
      </w:r>
      <w:r w:rsidR="007A5CF6">
        <w:t xml:space="preserve">hepatic impairment, </w:t>
      </w:r>
      <w:r w:rsidR="001B1E31">
        <w:t xml:space="preserve">and/or </w:t>
      </w:r>
      <w:r w:rsidR="007A5CF6">
        <w:t>conc</w:t>
      </w:r>
      <w:r w:rsidR="009A710E">
        <w:t>omitant use with CYP3A4 inhibitors</w:t>
      </w:r>
      <w:r w:rsidR="001B1E31">
        <w:t xml:space="preserve"> </w:t>
      </w:r>
      <w:r w:rsidR="007C25A7">
        <w:t xml:space="preserve">or </w:t>
      </w:r>
      <w:r w:rsidR="00D654B8">
        <w:t xml:space="preserve">given the time on treatment </w:t>
      </w:r>
      <w:r w:rsidR="00B9049C">
        <w:t xml:space="preserve">(Table 7) </w:t>
      </w:r>
      <w:r w:rsidR="007C25A7">
        <w:t>due to patient’s ceasing therapy</w:t>
      </w:r>
      <w:r w:rsidR="009A710E">
        <w:t>.</w:t>
      </w:r>
    </w:p>
    <w:p w14:paraId="66D67104" w14:textId="621BDF1D" w:rsidR="000A05C8" w:rsidRDefault="000A05C8" w:rsidP="001B6360">
      <w:pPr>
        <w:spacing w:after="0"/>
      </w:pPr>
      <w:r w:rsidRPr="000A05C8">
        <w:t xml:space="preserve">The cap </w:t>
      </w:r>
      <w:r w:rsidR="00F46562">
        <w:t xml:space="preserve">for the </w:t>
      </w:r>
      <w:r w:rsidR="00F46562" w:rsidRPr="00F46562">
        <w:t xml:space="preserve">deed of agreement for the supply of </w:t>
      </w:r>
      <w:proofErr w:type="spellStart"/>
      <w:r w:rsidR="00F46562" w:rsidRPr="00F46562">
        <w:t>zanubrutinib</w:t>
      </w:r>
      <w:proofErr w:type="spellEnd"/>
      <w:r w:rsidR="00F46562" w:rsidRPr="00F46562">
        <w:t xml:space="preserve"> for the treatment of W</w:t>
      </w:r>
      <w:r w:rsidR="00F46562">
        <w:t>M ha</w:t>
      </w:r>
      <w:r w:rsidR="00081163">
        <w:t>d</w:t>
      </w:r>
      <w:r w:rsidRPr="000A05C8">
        <w:t xml:space="preserve"> been </w:t>
      </w:r>
      <w:r w:rsidR="00990B03" w:rsidRPr="00990B03">
        <w:rPr>
          <w:highlight w:val="black"/>
        </w:rPr>
        <w:t>XXXXXXXX</w:t>
      </w:r>
      <w:r w:rsidRPr="000A05C8">
        <w:t xml:space="preserve"> for the </w:t>
      </w:r>
      <w:r w:rsidR="00990B03" w:rsidRPr="00990B03">
        <w:rPr>
          <w:highlight w:val="black"/>
        </w:rPr>
        <w:t>X XXXXX</w:t>
      </w:r>
      <w:r w:rsidRPr="000A05C8">
        <w:t xml:space="preserve"> years of the deed</w:t>
      </w:r>
      <w:r w:rsidR="00B928FA">
        <w:t xml:space="preserve"> and is likely to </w:t>
      </w:r>
      <w:r w:rsidR="00990B03" w:rsidRPr="00990B03">
        <w:rPr>
          <w:highlight w:val="black"/>
        </w:rPr>
        <w:t>XXXXXXXXXXXXX</w:t>
      </w:r>
      <w:r w:rsidR="00B928FA" w:rsidRPr="00990B03">
        <w:rPr>
          <w:highlight w:val="black"/>
        </w:rPr>
        <w:t xml:space="preserve"> </w:t>
      </w:r>
      <w:r w:rsidR="00990B03" w:rsidRPr="00990B03">
        <w:rPr>
          <w:highlight w:val="black"/>
        </w:rPr>
        <w:t>XXXXXX</w:t>
      </w:r>
      <w:r w:rsidR="00B928FA">
        <w:t xml:space="preserve"> the </w:t>
      </w:r>
      <w:r w:rsidR="00BB2775">
        <w:t>cap in year 3. At its July 2024 meeting the PBAC</w:t>
      </w:r>
      <w:r w:rsidR="001B6360">
        <w:t xml:space="preserve"> was satisfied that the submission provided sufficient evidence to support the requested changes to the assumptions in terms of the incidence and prevalence in the March 2022 financial estimates that were the basis for the current RSA</w:t>
      </w:r>
      <w:r w:rsidR="00106584">
        <w:t>.</w:t>
      </w:r>
      <w:r w:rsidR="00750BBF">
        <w:t xml:space="preserve"> However, it is likely tha</w:t>
      </w:r>
      <w:r w:rsidR="001C1641">
        <w:t xml:space="preserve">t the </w:t>
      </w:r>
      <w:r w:rsidR="009B4D10" w:rsidRPr="009B4D10">
        <w:t>incidence and prevalence</w:t>
      </w:r>
      <w:r w:rsidR="009B4D10">
        <w:t xml:space="preserve"> </w:t>
      </w:r>
      <w:r w:rsidR="00081163">
        <w:t>have been</w:t>
      </w:r>
      <w:r w:rsidR="009B4D10">
        <w:t xml:space="preserve"> underestimate</w:t>
      </w:r>
      <w:r w:rsidR="00081163">
        <w:t>d</w:t>
      </w:r>
      <w:r w:rsidR="009B4D10">
        <w:t xml:space="preserve"> and that there may be </w:t>
      </w:r>
      <w:r w:rsidR="00A41851">
        <w:t>usage</w:t>
      </w:r>
      <w:r w:rsidR="009B4D10">
        <w:t xml:space="preserve"> </w:t>
      </w:r>
      <w:r w:rsidR="008315E5">
        <w:t>in other patient populations.</w:t>
      </w:r>
    </w:p>
    <w:p w14:paraId="5C583B23" w14:textId="77777777" w:rsidR="00B92BE0" w:rsidRDefault="00B92BE0" w:rsidP="00B92BE0"/>
    <w:p w14:paraId="3D075C06" w14:textId="77777777" w:rsidR="00E32C6A" w:rsidRDefault="00E32C6A" w:rsidP="00E32C6A">
      <w:pPr>
        <w:rPr>
          <w:b/>
          <w:bCs/>
          <w:sz w:val="32"/>
          <w:szCs w:val="32"/>
        </w:rPr>
      </w:pPr>
      <w:r w:rsidRPr="00974DEB">
        <w:rPr>
          <w:b/>
          <w:bCs/>
          <w:sz w:val="32"/>
          <w:szCs w:val="32"/>
        </w:rPr>
        <w:t>DUSC consideration</w:t>
      </w:r>
    </w:p>
    <w:p w14:paraId="01F000E5" w14:textId="7C083017" w:rsidR="00BD1B81" w:rsidRPr="00BD1B81" w:rsidRDefault="00BD1B81" w:rsidP="00BD1B81">
      <w:r w:rsidRPr="00BD1B81">
        <w:t xml:space="preserve">DUSC noted that the analysis indicated that there are only a few patients moving from first line therapy to second line or relapse/refractory (R/R) </w:t>
      </w:r>
      <w:proofErr w:type="spellStart"/>
      <w:r w:rsidRPr="00BD1B81">
        <w:t>zanubrutinib</w:t>
      </w:r>
      <w:proofErr w:type="spellEnd"/>
      <w:r w:rsidRPr="00BD1B81">
        <w:t xml:space="preserve"> therapy. DUSC noted that the analysis was confounded by the fact that medications commonly used for first line treatment of WM who are suitable for chemo-immunotherapy (CI) were not PBS listed or are PBS listed only for other indications and as such are not included in the analysis. DUSC noted that patients receiving first line treatment from alternate sources were likely to be classified as treatment naïve in the analysis. DUSC considered that the proportion of patients who had received first line therapy with another drug were likely to have been underestimated in the analysis and that a greater proportion were being treated in the second line.</w:t>
      </w:r>
    </w:p>
    <w:p w14:paraId="296E5AE1" w14:textId="14A2083B" w:rsidR="00BD1B81" w:rsidRPr="00BD1B81" w:rsidRDefault="00BD1B81" w:rsidP="00BD1B81">
      <w:r w:rsidRPr="00BD1B81">
        <w:lastRenderedPageBreak/>
        <w:t xml:space="preserve">DUSC noted the mean time on treatment of 467 and 384 days with and without </w:t>
      </w:r>
      <w:r w:rsidR="00081163" w:rsidRPr="00BD1B81">
        <w:t>break</w:t>
      </w:r>
      <w:r w:rsidR="00081163">
        <w:t>s</w:t>
      </w:r>
      <w:r w:rsidRPr="00BD1B81">
        <w:t xml:space="preserve"> respectively and that only a few patients were undergoing dose modification indicating few severe (Grade 3) or life-threatening (Grade 4) adverse reactions. DUSC noted that with only two years of data that the time on treatment data was immature. DUSC considered that once a patient commences </w:t>
      </w:r>
      <w:proofErr w:type="spellStart"/>
      <w:r w:rsidRPr="00BD1B81">
        <w:t>zanubrutinib</w:t>
      </w:r>
      <w:proofErr w:type="spellEnd"/>
      <w:r w:rsidRPr="00BD1B81">
        <w:t xml:space="preserve"> therapy they are likely to remain on therapy as it is well tolerated. </w:t>
      </w:r>
    </w:p>
    <w:p w14:paraId="05252F8B" w14:textId="06D1EF3B" w:rsidR="00BD1B81" w:rsidRPr="00BD1B81" w:rsidRDefault="00BD1B81" w:rsidP="00BD1B81">
      <w:r w:rsidRPr="00BD1B81">
        <w:t xml:space="preserve">DUSC noted that the expected age and gender distribution of incident treatment did correspond with the age and gender distribution of the WM in the wider population indicating that it is more likely that patients unsuitable (i.e. in older age cohorts) for CI were appropriately receiving </w:t>
      </w:r>
      <w:proofErr w:type="spellStart"/>
      <w:r w:rsidRPr="00BD1B81">
        <w:t>zanubrutinib</w:t>
      </w:r>
      <w:proofErr w:type="spellEnd"/>
      <w:r w:rsidRPr="00BD1B81">
        <w:t xml:space="preserve">. </w:t>
      </w:r>
      <w:r w:rsidRPr="005212D1">
        <w:t xml:space="preserve">DUSC noted that in the </w:t>
      </w:r>
      <w:r w:rsidR="00027664" w:rsidRPr="00027664">
        <w:rPr>
          <w:highlight w:val="black"/>
        </w:rPr>
        <w:t>XXXXXXXXXXXXXXXXX</w:t>
      </w:r>
      <w:r w:rsidRPr="00027664">
        <w:t xml:space="preserve"> </w:t>
      </w:r>
      <w:r w:rsidR="00027664" w:rsidRPr="00027664">
        <w:rPr>
          <w:highlight w:val="black"/>
        </w:rPr>
        <w:t>XXXXXXXX</w:t>
      </w:r>
      <w:r w:rsidRPr="00027664">
        <w:t xml:space="preserve"> </w:t>
      </w:r>
      <w:r w:rsidR="00027664" w:rsidRPr="00027664">
        <w:rPr>
          <w:highlight w:val="black"/>
        </w:rPr>
        <w:t>XXXXXX</w:t>
      </w:r>
      <w:r w:rsidRPr="00027664">
        <w:t xml:space="preserve"> </w:t>
      </w:r>
      <w:r w:rsidR="00027664" w:rsidRPr="00027664">
        <w:rPr>
          <w:highlight w:val="black"/>
        </w:rPr>
        <w:t>XXXXX</w:t>
      </w:r>
      <w:r w:rsidRPr="00027664">
        <w:t xml:space="preserve"> </w:t>
      </w:r>
      <w:r w:rsidR="00027664" w:rsidRPr="00027664">
        <w:rPr>
          <w:highlight w:val="black"/>
        </w:rPr>
        <w:t>XXX</w:t>
      </w:r>
      <w:r w:rsidRPr="00027664">
        <w:t xml:space="preserve"> </w:t>
      </w:r>
      <w:r w:rsidR="00027664" w:rsidRPr="00027664">
        <w:rPr>
          <w:highlight w:val="black"/>
        </w:rPr>
        <w:t>XXXXXXX</w:t>
      </w:r>
      <w:r w:rsidRPr="005212D1">
        <w:t xml:space="preserve"> did acknowledge that the proportion of treatment naïve patients unsuitable for CI accessing </w:t>
      </w:r>
      <w:proofErr w:type="spellStart"/>
      <w:r w:rsidRPr="005212D1">
        <w:t>zanubrutinib</w:t>
      </w:r>
      <w:proofErr w:type="spellEnd"/>
      <w:r w:rsidRPr="005212D1">
        <w:t xml:space="preserve"> may be </w:t>
      </w:r>
      <w:r w:rsidR="00742508" w:rsidRPr="00742508">
        <w:rPr>
          <w:highlight w:val="black"/>
          <w:shd w:val="clear" w:color="auto" w:fill="BFBFBF" w:themeFill="background1" w:themeFillShade="BF"/>
        </w:rPr>
        <w:t>XXXXXX</w:t>
      </w:r>
      <w:r w:rsidRPr="005212D1">
        <w:t xml:space="preserve"> than predicted.</w:t>
      </w:r>
      <w:r w:rsidRPr="00BD1B81">
        <w:t xml:space="preserve"> </w:t>
      </w:r>
    </w:p>
    <w:p w14:paraId="32626FD0" w14:textId="71D4BE9A" w:rsidR="00BD1B81" w:rsidRPr="00BD1B81" w:rsidRDefault="00BD1B81" w:rsidP="00BD1B81">
      <w:r w:rsidRPr="00BD1B81">
        <w:t xml:space="preserve">DUSC noted that the actual number of patients being treated was </w:t>
      </w:r>
      <w:r w:rsidR="00742508" w:rsidRPr="00742508">
        <w:rPr>
          <w:highlight w:val="black"/>
          <w:shd w:val="clear" w:color="auto" w:fill="BFBFBF" w:themeFill="background1" w:themeFillShade="BF"/>
        </w:rPr>
        <w:t>XXXXXXX</w:t>
      </w:r>
      <w:r w:rsidRPr="00BD1B81">
        <w:t xml:space="preserve"> than the predicted number of patients. DUSC considered that there could be a number of reasons for this including </w:t>
      </w:r>
      <w:r w:rsidR="00742508" w:rsidRPr="00742508">
        <w:rPr>
          <w:highlight w:val="black"/>
        </w:rPr>
        <w:t>X</w:t>
      </w:r>
      <w:r w:rsidRPr="00742508">
        <w:t xml:space="preserve"> </w:t>
      </w:r>
      <w:r w:rsidR="00742508" w:rsidRPr="00742508">
        <w:rPr>
          <w:highlight w:val="black"/>
        </w:rPr>
        <w:t>XXXXXXXXXX</w:t>
      </w:r>
      <w:r w:rsidRPr="00742508">
        <w:t xml:space="preserve"> </w:t>
      </w:r>
      <w:r w:rsidR="00742508" w:rsidRPr="00742508">
        <w:rPr>
          <w:highlight w:val="black"/>
        </w:rPr>
        <w:t>XX</w:t>
      </w:r>
      <w:r w:rsidRPr="00742508">
        <w:t xml:space="preserve"> </w:t>
      </w:r>
      <w:r w:rsidR="00742508" w:rsidRPr="00742508">
        <w:rPr>
          <w:highlight w:val="black"/>
        </w:rPr>
        <w:t>XXXXXXXX</w:t>
      </w:r>
      <w:r w:rsidRPr="00742508">
        <w:t xml:space="preserve"> </w:t>
      </w:r>
      <w:r w:rsidR="00742508" w:rsidRPr="00742508">
        <w:rPr>
          <w:highlight w:val="black"/>
        </w:rPr>
        <w:t>XXXXXXXXX</w:t>
      </w:r>
      <w:r w:rsidRPr="00742508">
        <w:t xml:space="preserve"> </w:t>
      </w:r>
      <w:r w:rsidR="00742508" w:rsidRPr="00742508">
        <w:rPr>
          <w:highlight w:val="black"/>
        </w:rPr>
        <w:t>XXXXXXXXXXXX</w:t>
      </w:r>
      <w:r w:rsidRPr="00742508">
        <w:t xml:space="preserve"> </w:t>
      </w:r>
      <w:r w:rsidR="00742508" w:rsidRPr="00742508">
        <w:rPr>
          <w:highlight w:val="black"/>
        </w:rPr>
        <w:t>XX</w:t>
      </w:r>
      <w:r w:rsidRPr="00742508">
        <w:t xml:space="preserve"> </w:t>
      </w:r>
      <w:r w:rsidR="00742508" w:rsidRPr="00742508">
        <w:rPr>
          <w:highlight w:val="black"/>
        </w:rPr>
        <w:t>XXX</w:t>
      </w:r>
      <w:r w:rsidRPr="00742508">
        <w:t xml:space="preserve"> </w:t>
      </w:r>
      <w:r w:rsidR="00742508" w:rsidRPr="00742508">
        <w:rPr>
          <w:highlight w:val="black"/>
        </w:rPr>
        <w:t>XXXXXX</w:t>
      </w:r>
      <w:r w:rsidRPr="00742508">
        <w:t xml:space="preserve"> </w:t>
      </w:r>
      <w:r w:rsidR="00742508" w:rsidRPr="00742508">
        <w:rPr>
          <w:highlight w:val="black"/>
        </w:rPr>
        <w:t>XXXX</w:t>
      </w:r>
      <w:r w:rsidRPr="00742508">
        <w:t xml:space="preserve"> </w:t>
      </w:r>
      <w:proofErr w:type="spellStart"/>
      <w:r w:rsidR="00742508" w:rsidRPr="00742508">
        <w:rPr>
          <w:highlight w:val="black"/>
        </w:rPr>
        <w:t>XXXX</w:t>
      </w:r>
      <w:proofErr w:type="spellEnd"/>
      <w:r w:rsidRPr="00742508">
        <w:t xml:space="preserve"> </w:t>
      </w:r>
      <w:r w:rsidR="00742508" w:rsidRPr="00742508">
        <w:rPr>
          <w:highlight w:val="black"/>
        </w:rPr>
        <w:t>XX</w:t>
      </w:r>
      <w:r w:rsidRPr="00742508">
        <w:t xml:space="preserve"> </w:t>
      </w:r>
      <w:r w:rsidR="00742508" w:rsidRPr="00742508">
        <w:rPr>
          <w:highlight w:val="black"/>
        </w:rPr>
        <w:t>XXXXXXXXX</w:t>
      </w:r>
      <w:r w:rsidRPr="00742508">
        <w:t xml:space="preserve"> </w:t>
      </w:r>
      <w:r w:rsidR="00742508" w:rsidRPr="00742508">
        <w:rPr>
          <w:highlight w:val="black"/>
        </w:rPr>
        <w:t>XXXXX</w:t>
      </w:r>
      <w:r w:rsidRPr="00742508">
        <w:t xml:space="preserve"> </w:t>
      </w:r>
      <w:r w:rsidR="00742508" w:rsidRPr="00C549BB">
        <w:rPr>
          <w:highlight w:val="black"/>
        </w:rPr>
        <w:t>XXX</w:t>
      </w:r>
      <w:r w:rsidRPr="00742508">
        <w:t xml:space="preserve"> </w:t>
      </w:r>
      <w:r w:rsidR="00742508" w:rsidRPr="00C549BB">
        <w:rPr>
          <w:highlight w:val="black"/>
        </w:rPr>
        <w:t>XXXXX</w:t>
      </w:r>
      <w:r w:rsidRPr="00742508">
        <w:t xml:space="preserve"> </w:t>
      </w:r>
      <w:r w:rsidR="00742508" w:rsidRPr="00C549BB">
        <w:rPr>
          <w:highlight w:val="black"/>
        </w:rPr>
        <w:t>XXXXXXXXX</w:t>
      </w:r>
      <w:r w:rsidRPr="00742508">
        <w:t xml:space="preserve"> </w:t>
      </w:r>
      <w:r w:rsidR="00742508" w:rsidRPr="00C549BB">
        <w:rPr>
          <w:highlight w:val="black"/>
        </w:rPr>
        <w:t>XX</w:t>
      </w:r>
      <w:r w:rsidRPr="00742508">
        <w:t xml:space="preserve"> </w:t>
      </w:r>
      <w:r w:rsidR="00742508" w:rsidRPr="00C549BB">
        <w:rPr>
          <w:highlight w:val="black"/>
        </w:rPr>
        <w:t>XXXXXXXX</w:t>
      </w:r>
      <w:r w:rsidRPr="00742508">
        <w:t xml:space="preserve"> </w:t>
      </w:r>
      <w:r w:rsidR="00742508" w:rsidRPr="00C549BB">
        <w:rPr>
          <w:highlight w:val="black"/>
        </w:rPr>
        <w:t>XXX</w:t>
      </w:r>
      <w:r w:rsidRPr="00742508">
        <w:t xml:space="preserve"> </w:t>
      </w:r>
      <w:r w:rsidR="00742508" w:rsidRPr="00C549BB">
        <w:rPr>
          <w:highlight w:val="black"/>
        </w:rPr>
        <w:t>XX</w:t>
      </w:r>
      <w:r w:rsidRPr="00742508">
        <w:t xml:space="preserve"> </w:t>
      </w:r>
      <w:r w:rsidR="00742508" w:rsidRPr="00C549BB">
        <w:rPr>
          <w:highlight w:val="black"/>
        </w:rPr>
        <w:t>XXXXXXXXX</w:t>
      </w:r>
      <w:r w:rsidRPr="00742508">
        <w:t xml:space="preserve"> </w:t>
      </w:r>
      <w:r w:rsidR="00742508" w:rsidRPr="00C549BB">
        <w:rPr>
          <w:highlight w:val="black"/>
        </w:rPr>
        <w:t>XXXXX</w:t>
      </w:r>
      <w:r w:rsidRPr="00742508">
        <w:t xml:space="preserve"> </w:t>
      </w:r>
      <w:r w:rsidR="00742508" w:rsidRPr="00C549BB">
        <w:rPr>
          <w:highlight w:val="black"/>
        </w:rPr>
        <w:t>XXXX</w:t>
      </w:r>
      <w:r w:rsidRPr="00742508">
        <w:t xml:space="preserve"> </w:t>
      </w:r>
      <w:r w:rsidR="00742508" w:rsidRPr="00C549BB">
        <w:rPr>
          <w:highlight w:val="black"/>
        </w:rPr>
        <w:t>XXX</w:t>
      </w:r>
      <w:r w:rsidRPr="00742508">
        <w:t xml:space="preserve"> </w:t>
      </w:r>
      <w:proofErr w:type="spellStart"/>
      <w:r w:rsidR="00742508" w:rsidRPr="00C549BB">
        <w:rPr>
          <w:highlight w:val="black"/>
        </w:rPr>
        <w:t>XXX</w:t>
      </w:r>
      <w:proofErr w:type="spellEnd"/>
      <w:r w:rsidRPr="00742508">
        <w:t xml:space="preserve"> </w:t>
      </w:r>
      <w:r w:rsidR="00742508" w:rsidRPr="00C549BB">
        <w:rPr>
          <w:highlight w:val="black"/>
        </w:rPr>
        <w:t>XXXXXXXXXXXX</w:t>
      </w:r>
      <w:r w:rsidRPr="00742508">
        <w:t xml:space="preserve"> </w:t>
      </w:r>
      <w:r w:rsidR="00742508" w:rsidRPr="00C549BB">
        <w:rPr>
          <w:highlight w:val="black"/>
        </w:rPr>
        <w:t>XX</w:t>
      </w:r>
      <w:r w:rsidRPr="00742508">
        <w:t xml:space="preserve"> </w:t>
      </w:r>
      <w:r w:rsidR="00742508" w:rsidRPr="00C549BB">
        <w:rPr>
          <w:highlight w:val="black"/>
        </w:rPr>
        <w:t>XXXXXXXX</w:t>
      </w:r>
      <w:r w:rsidRPr="00742508">
        <w:t xml:space="preserve"> </w:t>
      </w:r>
      <w:r w:rsidR="00742508" w:rsidRPr="00C549BB">
        <w:rPr>
          <w:highlight w:val="black"/>
        </w:rPr>
        <w:t>XXXXXXXXX</w:t>
      </w:r>
      <w:r w:rsidRPr="00742508">
        <w:t xml:space="preserve"> </w:t>
      </w:r>
      <w:r w:rsidR="00742508" w:rsidRPr="00C549BB">
        <w:rPr>
          <w:highlight w:val="black"/>
        </w:rPr>
        <w:t>XXXXXXXXXXXX</w:t>
      </w:r>
      <w:r w:rsidRPr="00742508">
        <w:t xml:space="preserve"> </w:t>
      </w:r>
      <w:r w:rsidR="00742508" w:rsidRPr="00C549BB">
        <w:rPr>
          <w:highlight w:val="black"/>
        </w:rPr>
        <w:t>XXXXXXXXX</w:t>
      </w:r>
      <w:r w:rsidRPr="00742508">
        <w:t xml:space="preserve"> </w:t>
      </w:r>
      <w:r w:rsidR="00742508" w:rsidRPr="00C549BB">
        <w:rPr>
          <w:highlight w:val="black"/>
        </w:rPr>
        <w:t>XXXX</w:t>
      </w:r>
      <w:r w:rsidRPr="00742508">
        <w:t xml:space="preserve"> </w:t>
      </w:r>
      <w:r w:rsidR="00742508" w:rsidRPr="00C549BB">
        <w:rPr>
          <w:highlight w:val="black"/>
        </w:rPr>
        <w:t>XXXXX</w:t>
      </w:r>
      <w:r w:rsidRPr="00742508">
        <w:t xml:space="preserve"> </w:t>
      </w:r>
      <w:r w:rsidR="00742508" w:rsidRPr="00C549BB">
        <w:rPr>
          <w:highlight w:val="black"/>
        </w:rPr>
        <w:t>XXXXXXX</w:t>
      </w:r>
      <w:r w:rsidRPr="00742508">
        <w:t xml:space="preserve"> </w:t>
      </w:r>
      <w:r w:rsidR="00742508" w:rsidRPr="00C549BB">
        <w:rPr>
          <w:highlight w:val="black"/>
        </w:rPr>
        <w:t>XXX</w:t>
      </w:r>
      <w:r w:rsidRPr="00742508">
        <w:t xml:space="preserve"> </w:t>
      </w:r>
      <w:r w:rsidR="00742508" w:rsidRPr="00C549BB">
        <w:rPr>
          <w:highlight w:val="black"/>
        </w:rPr>
        <w:t>XXXXX</w:t>
      </w:r>
      <w:r w:rsidRPr="00742508">
        <w:t xml:space="preserve"> </w:t>
      </w:r>
      <w:r w:rsidR="00742508" w:rsidRPr="00C549BB">
        <w:rPr>
          <w:highlight w:val="black"/>
        </w:rPr>
        <w:t>XXXXXXXX</w:t>
      </w:r>
      <w:r w:rsidRPr="00742508">
        <w:t xml:space="preserve"> </w:t>
      </w:r>
      <w:r w:rsidR="00742508" w:rsidRPr="00C549BB">
        <w:rPr>
          <w:highlight w:val="black"/>
        </w:rPr>
        <w:t>XXXX</w:t>
      </w:r>
      <w:r w:rsidRPr="00742508">
        <w:t xml:space="preserve"> </w:t>
      </w:r>
      <w:r w:rsidR="00742508" w:rsidRPr="00C549BB">
        <w:rPr>
          <w:highlight w:val="black"/>
        </w:rPr>
        <w:t>XXX</w:t>
      </w:r>
      <w:r w:rsidRPr="00742508">
        <w:t xml:space="preserve"> </w:t>
      </w:r>
      <w:r w:rsidR="00742508" w:rsidRPr="00C549BB">
        <w:rPr>
          <w:highlight w:val="black"/>
        </w:rPr>
        <w:t>XXXXXX</w:t>
      </w:r>
      <w:r w:rsidRPr="00742508">
        <w:t xml:space="preserve"> </w:t>
      </w:r>
      <w:r w:rsidR="00742508" w:rsidRPr="00C549BB">
        <w:rPr>
          <w:highlight w:val="black"/>
        </w:rPr>
        <w:t>XX</w:t>
      </w:r>
      <w:r w:rsidRPr="00742508">
        <w:t xml:space="preserve"> </w:t>
      </w:r>
      <w:proofErr w:type="spellStart"/>
      <w:r w:rsidR="00742508" w:rsidRPr="00C549BB">
        <w:rPr>
          <w:highlight w:val="black"/>
        </w:rPr>
        <w:t>XX</w:t>
      </w:r>
      <w:proofErr w:type="spellEnd"/>
      <w:r w:rsidRPr="00742508">
        <w:t xml:space="preserve"> </w:t>
      </w:r>
      <w:r w:rsidR="00742508" w:rsidRPr="00C549BB">
        <w:rPr>
          <w:highlight w:val="black"/>
        </w:rPr>
        <w:t>XXXXXXX</w:t>
      </w:r>
      <w:r w:rsidRPr="00742508">
        <w:t xml:space="preserve"> </w:t>
      </w:r>
      <w:r w:rsidR="00742508" w:rsidRPr="00C549BB">
        <w:rPr>
          <w:highlight w:val="black"/>
        </w:rPr>
        <w:t>XXX</w:t>
      </w:r>
      <w:r w:rsidRPr="00742508">
        <w:t xml:space="preserve"> </w:t>
      </w:r>
      <w:r w:rsidR="00742508" w:rsidRPr="00C549BB">
        <w:rPr>
          <w:highlight w:val="black"/>
        </w:rPr>
        <w:t>XX</w:t>
      </w:r>
      <w:r w:rsidRPr="00742508">
        <w:t xml:space="preserve"> </w:t>
      </w:r>
      <w:r w:rsidR="00742508" w:rsidRPr="00C549BB">
        <w:rPr>
          <w:highlight w:val="black"/>
        </w:rPr>
        <w:t>XXXXXXXX</w:t>
      </w:r>
      <w:r w:rsidRPr="00742508">
        <w:t xml:space="preserve"> </w:t>
      </w:r>
      <w:proofErr w:type="spellStart"/>
      <w:r w:rsidR="00742508" w:rsidRPr="00C549BB">
        <w:rPr>
          <w:highlight w:val="black"/>
        </w:rPr>
        <w:t>XXXXXXXX</w:t>
      </w:r>
      <w:proofErr w:type="spellEnd"/>
      <w:r w:rsidRPr="00742508">
        <w:t xml:space="preserve"> </w:t>
      </w:r>
      <w:r w:rsidR="00742508" w:rsidRPr="00C549BB">
        <w:rPr>
          <w:highlight w:val="black"/>
        </w:rPr>
        <w:t>XXXXX</w:t>
      </w:r>
      <w:r w:rsidRPr="00742508">
        <w:t xml:space="preserve"> </w:t>
      </w:r>
      <w:r w:rsidR="00742508" w:rsidRPr="00C549BB">
        <w:rPr>
          <w:highlight w:val="black"/>
        </w:rPr>
        <w:t>XXXXXXXX</w:t>
      </w:r>
      <w:r w:rsidRPr="00742508">
        <w:t xml:space="preserve"> </w:t>
      </w:r>
      <w:r w:rsidR="00742508" w:rsidRPr="00C549BB">
        <w:rPr>
          <w:highlight w:val="black"/>
        </w:rPr>
        <w:t>XX</w:t>
      </w:r>
      <w:r w:rsidRPr="00742508">
        <w:t xml:space="preserve"> </w:t>
      </w:r>
      <w:r w:rsidR="00742508" w:rsidRPr="00C549BB">
        <w:rPr>
          <w:highlight w:val="black"/>
        </w:rPr>
        <w:t>XXXXXXXXXXXX</w:t>
      </w:r>
      <w:r w:rsidRPr="00742508">
        <w:t xml:space="preserve"> </w:t>
      </w:r>
      <w:r w:rsidR="00742508" w:rsidRPr="00C549BB">
        <w:rPr>
          <w:highlight w:val="black"/>
        </w:rPr>
        <w:t>XX</w:t>
      </w:r>
      <w:r w:rsidRPr="00742508">
        <w:t xml:space="preserve"> </w:t>
      </w:r>
      <w:r w:rsidR="00742508" w:rsidRPr="00C549BB">
        <w:rPr>
          <w:highlight w:val="black"/>
        </w:rPr>
        <w:t>XXX</w:t>
      </w:r>
      <w:r w:rsidRPr="00742508">
        <w:t xml:space="preserve"> </w:t>
      </w:r>
      <w:r w:rsidR="00742508" w:rsidRPr="00C549BB">
        <w:rPr>
          <w:highlight w:val="black"/>
        </w:rPr>
        <w:t>XXXXXXXX</w:t>
      </w:r>
      <w:r w:rsidRPr="00742508">
        <w:t xml:space="preserve"> </w:t>
      </w:r>
      <w:proofErr w:type="spellStart"/>
      <w:r w:rsidR="00742508" w:rsidRPr="00C549BB">
        <w:rPr>
          <w:highlight w:val="black"/>
        </w:rPr>
        <w:t>XXXXXXXX</w:t>
      </w:r>
      <w:proofErr w:type="spellEnd"/>
      <w:r w:rsidRPr="00742508">
        <w:t xml:space="preserve"> </w:t>
      </w:r>
      <w:r w:rsidR="00742508" w:rsidRPr="00CD2724">
        <w:rPr>
          <w:highlight w:val="black"/>
        </w:rPr>
        <w:t>XXXX</w:t>
      </w:r>
      <w:r w:rsidRPr="00BD1B81">
        <w:t xml:space="preserve">, the estimates used of the treatment naïve patients and prevalent patient pool may not have been accurate at the time the sponsor provided their submission with more accurate prevalence data now becoming available. DUSC considered that there were other uncertainties which could have led to the variance in the actual vs. predicted number of patients include the duration of treatment, the rate of relapse in second line, the survival rate, the uptake rate, and the number of grandfathered patients. </w:t>
      </w:r>
    </w:p>
    <w:p w14:paraId="0F53763F" w14:textId="0A9C6A91" w:rsidR="00BD1B81" w:rsidRPr="00BD1B81" w:rsidRDefault="00BD1B81" w:rsidP="00BD1B81">
      <w:r w:rsidRPr="00BD1B81">
        <w:t xml:space="preserve">DUSC noted that the actual number of scripts was </w:t>
      </w:r>
      <w:r w:rsidR="00C549BB" w:rsidRPr="00C549BB">
        <w:rPr>
          <w:highlight w:val="black"/>
          <w:shd w:val="clear" w:color="auto" w:fill="BFBFBF" w:themeFill="background1" w:themeFillShade="BF"/>
        </w:rPr>
        <w:t>XXXXXXX</w:t>
      </w:r>
      <w:r w:rsidRPr="00BD1B81">
        <w:t xml:space="preserve"> than the predicted number of scripts, but not as </w:t>
      </w:r>
      <w:r w:rsidR="00C549BB" w:rsidRPr="00C549BB">
        <w:rPr>
          <w:highlight w:val="black"/>
          <w:shd w:val="clear" w:color="auto" w:fill="BFBFBF" w:themeFill="background1" w:themeFillShade="BF"/>
        </w:rPr>
        <w:t>XXXX</w:t>
      </w:r>
      <w:r w:rsidRPr="00BD1B81">
        <w:t xml:space="preserve"> as the actual vs. predicted number of patients. DUSC considered that this was due to patients commencing therapy throughout the year.</w:t>
      </w:r>
    </w:p>
    <w:p w14:paraId="6FBB5212" w14:textId="1DCAFED6" w:rsidR="00BD1B81" w:rsidRDefault="00BD1B81" w:rsidP="00BD1B81">
      <w:r w:rsidRPr="00BD1B81">
        <w:t xml:space="preserve">DUSC noted the </w:t>
      </w:r>
      <w:r w:rsidR="00C549BB" w:rsidRPr="00C549BB">
        <w:rPr>
          <w:highlight w:val="black"/>
        </w:rPr>
        <w:t>XXXXXXXXX</w:t>
      </w:r>
      <w:r w:rsidRPr="00BD1B81">
        <w:t xml:space="preserve"> comments </w:t>
      </w:r>
      <w:r w:rsidRPr="00157A64">
        <w:t xml:space="preserve">in the </w:t>
      </w:r>
      <w:r w:rsidR="00C549BB" w:rsidRPr="00C549BB">
        <w:rPr>
          <w:highlight w:val="black"/>
        </w:rPr>
        <w:t>XXXX</w:t>
      </w:r>
      <w:r w:rsidRPr="00C549BB">
        <w:t xml:space="preserve"> </w:t>
      </w:r>
      <w:r w:rsidR="00C549BB" w:rsidRPr="00C549BB">
        <w:rPr>
          <w:highlight w:val="black"/>
        </w:rPr>
        <w:t>XXXXX</w:t>
      </w:r>
      <w:r w:rsidRPr="00BD1B81">
        <w:t xml:space="preserve"> to expand the analysis period and include </w:t>
      </w:r>
      <w:proofErr w:type="spellStart"/>
      <w:r w:rsidR="007D5113">
        <w:t>b</w:t>
      </w:r>
      <w:r w:rsidRPr="00BD1B81">
        <w:t>endamustine</w:t>
      </w:r>
      <w:proofErr w:type="spellEnd"/>
      <w:r w:rsidRPr="00BD1B81">
        <w:t xml:space="preserve"> plus rituximab (BR) in sequence analysis. DUSC considered that PBS data are not available for these analyses.</w:t>
      </w:r>
    </w:p>
    <w:p w14:paraId="3B7DE69E" w14:textId="6122DC65" w:rsidR="00B42A93" w:rsidRPr="00BD1B81" w:rsidRDefault="00B42A93" w:rsidP="00BD1B81">
      <w:r w:rsidRPr="00B42A93">
        <w:t xml:space="preserve">DUSC noted the </w:t>
      </w:r>
      <w:r w:rsidR="00860D73" w:rsidRPr="00860D73">
        <w:rPr>
          <w:highlight w:val="black"/>
        </w:rPr>
        <w:t>XXXXXXXX</w:t>
      </w:r>
      <w:r w:rsidRPr="00B42A93">
        <w:t xml:space="preserve"> comments that there is a preference for </w:t>
      </w:r>
      <w:proofErr w:type="spellStart"/>
      <w:r w:rsidRPr="00B42A93">
        <w:t>zanubrutinib</w:t>
      </w:r>
      <w:proofErr w:type="spellEnd"/>
      <w:r w:rsidRPr="00B42A93">
        <w:t xml:space="preserve"> due to less toxicity as compared to other drugs, especially with elderly patients. Further that </w:t>
      </w:r>
      <w:proofErr w:type="spellStart"/>
      <w:r w:rsidRPr="00B42A93">
        <w:t>zanubrutinib</w:t>
      </w:r>
      <w:proofErr w:type="spellEnd"/>
      <w:r w:rsidRPr="00B42A93">
        <w:t xml:space="preserve"> has only </w:t>
      </w:r>
      <w:r w:rsidR="00860D73">
        <w:t xml:space="preserve">been </w:t>
      </w:r>
      <w:r w:rsidRPr="00B42A93">
        <w:t xml:space="preserve">available for two years for the treatment of WM and that there could be lower level of knowledge by haematologists. </w:t>
      </w:r>
      <w:r w:rsidR="00860D73" w:rsidRPr="00860D73">
        <w:rPr>
          <w:highlight w:val="black"/>
        </w:rPr>
        <w:t>XXXXXXXX</w:t>
      </w:r>
      <w:r w:rsidRPr="00B42A93">
        <w:t xml:space="preserve"> comments suggested that the side effects including worsening neuropathy and patient death may contribute to </w:t>
      </w:r>
      <w:r w:rsidR="00C549BB" w:rsidRPr="00C549BB">
        <w:rPr>
          <w:highlight w:val="black"/>
          <w:shd w:val="clear" w:color="auto" w:fill="D9D9D9" w:themeFill="background1" w:themeFillShade="D9"/>
        </w:rPr>
        <w:t>XXXXX</w:t>
      </w:r>
      <w:r w:rsidRPr="00B42A93">
        <w:t xml:space="preserve"> number of prescriptions then predicted, and that there is a tendency to prescribe a less effective drug in the first place and then switch to </w:t>
      </w:r>
      <w:proofErr w:type="spellStart"/>
      <w:r w:rsidRPr="00B42A93">
        <w:t>zanubrutinib</w:t>
      </w:r>
      <w:proofErr w:type="spellEnd"/>
      <w:r w:rsidRPr="00B42A93">
        <w:t xml:space="preserve"> as soon as possible.  DUSC considered that </w:t>
      </w:r>
      <w:proofErr w:type="spellStart"/>
      <w:r w:rsidRPr="00B42A93">
        <w:t>zanubrutinib</w:t>
      </w:r>
      <w:proofErr w:type="spellEnd"/>
      <w:r w:rsidRPr="00B42A93">
        <w:t xml:space="preserve"> was well known amongst haematologists, that the side effects seen may be more likely due to the disease or age-related as opposed to the drug, and that it was possible that physicians were trialling less effective first line therapies and then switching to </w:t>
      </w:r>
      <w:proofErr w:type="spellStart"/>
      <w:r w:rsidRPr="00B42A93">
        <w:t>zanubrutinib</w:t>
      </w:r>
      <w:proofErr w:type="spellEnd"/>
      <w:r w:rsidRPr="00B42A93">
        <w:t xml:space="preserve"> at the earliest possible opportunity. DUSC considered that </w:t>
      </w:r>
      <w:r w:rsidRPr="00B42A93">
        <w:lastRenderedPageBreak/>
        <w:t xml:space="preserve">this would in effect lead to treatment naïve patients who would otherwise be suitable for CI being treated with </w:t>
      </w:r>
      <w:proofErr w:type="spellStart"/>
      <w:r w:rsidRPr="00B42A93">
        <w:t>zanubrutinib</w:t>
      </w:r>
      <w:proofErr w:type="spellEnd"/>
      <w:r w:rsidRPr="00B42A93">
        <w:t xml:space="preserve"> and lead to a </w:t>
      </w:r>
      <w:r w:rsidR="004E03E8" w:rsidRPr="004E03E8">
        <w:rPr>
          <w:highlight w:val="black"/>
          <w:shd w:val="clear" w:color="auto" w:fill="D9D9D9" w:themeFill="background1" w:themeFillShade="D9"/>
        </w:rPr>
        <w:t>XXXXXX</w:t>
      </w:r>
      <w:r w:rsidRPr="00B42A93">
        <w:t xml:space="preserve"> number of treated patients than originally expected.</w:t>
      </w:r>
    </w:p>
    <w:p w14:paraId="49391A32" w14:textId="51162498" w:rsidR="00BD1B81" w:rsidRDefault="00BD1B81" w:rsidP="00E32C6A">
      <w:r w:rsidRPr="00BD1B81">
        <w:t xml:space="preserve">DUSC noted that the </w:t>
      </w:r>
      <w:r w:rsidR="004E03E8" w:rsidRPr="004E03E8">
        <w:rPr>
          <w:highlight w:val="black"/>
        </w:rPr>
        <w:t>XXXXXXX</w:t>
      </w:r>
      <w:r w:rsidRPr="00BD1B81">
        <w:t xml:space="preserve"> suggested in the </w:t>
      </w:r>
      <w:r w:rsidR="004E03E8" w:rsidRPr="004E03E8">
        <w:rPr>
          <w:highlight w:val="black"/>
        </w:rPr>
        <w:t>XXXX</w:t>
      </w:r>
      <w:r w:rsidRPr="004E03E8">
        <w:t xml:space="preserve"> </w:t>
      </w:r>
      <w:r w:rsidR="004E03E8" w:rsidRPr="004E03E8">
        <w:rPr>
          <w:highlight w:val="black"/>
        </w:rPr>
        <w:t>XXXXX</w:t>
      </w:r>
      <w:r w:rsidRPr="00BD1B81">
        <w:t xml:space="preserve"> that to better track utilisation trends and improve future projections that the PBAC and DUSC consider introducing separate PBS item codes for treatment naïve and R/R patient populations. DUSC considered that under the current restriction it is difficult to differentiate treatment naïve from R/R patients </w:t>
      </w:r>
      <w:r w:rsidR="00BA6C07" w:rsidRPr="00BA6C07">
        <w:rPr>
          <w:highlight w:val="black"/>
        </w:rPr>
        <w:t>XXX</w:t>
      </w:r>
      <w:r w:rsidRPr="00BA6C07">
        <w:t xml:space="preserve"> </w:t>
      </w:r>
      <w:r w:rsidR="00BA6C07" w:rsidRPr="00BA6C07">
        <w:rPr>
          <w:highlight w:val="black"/>
        </w:rPr>
        <w:t>XXXX</w:t>
      </w:r>
      <w:r w:rsidRPr="00BA6C07">
        <w:t xml:space="preserve"> </w:t>
      </w:r>
      <w:r w:rsidR="00BA6C07" w:rsidRPr="00BA6C07">
        <w:rPr>
          <w:highlight w:val="black"/>
        </w:rPr>
        <w:t>XX</w:t>
      </w:r>
      <w:r w:rsidRPr="00BA6C07">
        <w:t xml:space="preserve"> </w:t>
      </w:r>
      <w:r w:rsidR="00BA6C07" w:rsidRPr="00BA6C07">
        <w:rPr>
          <w:highlight w:val="black"/>
        </w:rPr>
        <w:t>XXXXX</w:t>
      </w:r>
      <w:r w:rsidRPr="00BA6C07">
        <w:t xml:space="preserve"> </w:t>
      </w:r>
      <w:r w:rsidR="00BA6C07" w:rsidRPr="00BA6C07">
        <w:rPr>
          <w:highlight w:val="black"/>
        </w:rPr>
        <w:t>XX</w:t>
      </w:r>
      <w:r w:rsidRPr="00BA6C07">
        <w:t xml:space="preserve"> </w:t>
      </w:r>
      <w:r w:rsidR="00BA6C07" w:rsidRPr="00BA6C07">
        <w:rPr>
          <w:highlight w:val="black"/>
        </w:rPr>
        <w:t>XXXX</w:t>
      </w:r>
      <w:r w:rsidRPr="00BA6C07">
        <w:t xml:space="preserve"> </w:t>
      </w:r>
      <w:r w:rsidR="00BA6C07" w:rsidRPr="00BA6C07">
        <w:rPr>
          <w:highlight w:val="black"/>
        </w:rPr>
        <w:t>XXXXXXXX</w:t>
      </w:r>
      <w:r w:rsidRPr="00BA6C07">
        <w:t xml:space="preserve"> </w:t>
      </w:r>
      <w:r w:rsidR="00BA6C07" w:rsidRPr="00BA6C07">
        <w:rPr>
          <w:highlight w:val="black"/>
        </w:rPr>
        <w:t>XXXX</w:t>
      </w:r>
      <w:r w:rsidRPr="00BA6C07">
        <w:t xml:space="preserve"> </w:t>
      </w:r>
      <w:r w:rsidR="00BA6C07" w:rsidRPr="00BA6C07">
        <w:rPr>
          <w:highlight w:val="black"/>
        </w:rPr>
        <w:t>XXXXXXXXXX</w:t>
      </w:r>
      <w:r w:rsidRPr="00BA6C07">
        <w:t xml:space="preserve"> </w:t>
      </w:r>
      <w:r w:rsidR="00BA6C07" w:rsidRPr="00BA6C07">
        <w:rPr>
          <w:highlight w:val="black"/>
        </w:rPr>
        <w:t>XXX</w:t>
      </w:r>
      <w:r w:rsidRPr="00BA6C07">
        <w:t xml:space="preserve"> </w:t>
      </w:r>
      <w:r w:rsidR="00BA6C07" w:rsidRPr="00BA6C07">
        <w:rPr>
          <w:highlight w:val="black"/>
        </w:rPr>
        <w:t>XX</w:t>
      </w:r>
      <w:r w:rsidRPr="00BA6C07">
        <w:t xml:space="preserve"> </w:t>
      </w:r>
      <w:r w:rsidR="00BA6C07" w:rsidRPr="00BA6C07">
        <w:rPr>
          <w:highlight w:val="black"/>
        </w:rPr>
        <w:t>XXXXXXXXXXXXX</w:t>
      </w:r>
      <w:r w:rsidRPr="00BA6C07">
        <w:t xml:space="preserve"> </w:t>
      </w:r>
      <w:r w:rsidR="00BA6C07" w:rsidRPr="00BA6C07">
        <w:rPr>
          <w:highlight w:val="black"/>
        </w:rPr>
        <w:t>XXX</w:t>
      </w:r>
      <w:r w:rsidRPr="00BA6C07">
        <w:t xml:space="preserve"> </w:t>
      </w:r>
      <w:r w:rsidR="00BA6C07" w:rsidRPr="00BA6C07">
        <w:rPr>
          <w:highlight w:val="black"/>
        </w:rPr>
        <w:t>XXXXXXX</w:t>
      </w:r>
      <w:r w:rsidRPr="00BA6C07">
        <w:t xml:space="preserve"> </w:t>
      </w:r>
      <w:r w:rsidR="00BA6C07" w:rsidRPr="00BA6C07">
        <w:rPr>
          <w:highlight w:val="black"/>
        </w:rPr>
        <w:t>XXXXXXXXXXX</w:t>
      </w:r>
      <w:r w:rsidRPr="00BA6C07">
        <w:t xml:space="preserve"> </w:t>
      </w:r>
      <w:r w:rsidR="00BA6C07" w:rsidRPr="00BA6C07">
        <w:rPr>
          <w:highlight w:val="black"/>
        </w:rPr>
        <w:t>XXX</w:t>
      </w:r>
      <w:r w:rsidRPr="00BA6C07">
        <w:t xml:space="preserve"> </w:t>
      </w:r>
      <w:r w:rsidR="00BA6C07" w:rsidRPr="00BA6C07">
        <w:rPr>
          <w:highlight w:val="black"/>
        </w:rPr>
        <w:t>XXXXXXXXX</w:t>
      </w:r>
      <w:r w:rsidRPr="00BA6C07">
        <w:t xml:space="preserve"> </w:t>
      </w:r>
      <w:r w:rsidR="00BA6C07" w:rsidRPr="00BA6C07">
        <w:rPr>
          <w:highlight w:val="black"/>
        </w:rPr>
        <w:t>XXXXX</w:t>
      </w:r>
      <w:r w:rsidRPr="00BA6C07">
        <w:t xml:space="preserve"> </w:t>
      </w:r>
      <w:r w:rsidR="00BA6C07" w:rsidRPr="00BA6C07">
        <w:rPr>
          <w:highlight w:val="black"/>
        </w:rPr>
        <w:t>XXXXXXXX</w:t>
      </w:r>
      <w:r w:rsidRPr="00BA6C07">
        <w:t xml:space="preserve"> </w:t>
      </w:r>
      <w:r w:rsidR="00BA6C07" w:rsidRPr="00BA6C07">
        <w:rPr>
          <w:highlight w:val="black"/>
        </w:rPr>
        <w:t>XX</w:t>
      </w:r>
      <w:r w:rsidRPr="00BA6C07">
        <w:t xml:space="preserve"> </w:t>
      </w:r>
      <w:proofErr w:type="spellStart"/>
      <w:r w:rsidR="00BA6C07" w:rsidRPr="00BA6C07">
        <w:rPr>
          <w:highlight w:val="black"/>
        </w:rPr>
        <w:t>XX</w:t>
      </w:r>
      <w:proofErr w:type="spellEnd"/>
      <w:r w:rsidRPr="00BA6C07">
        <w:t xml:space="preserve"> </w:t>
      </w:r>
      <w:r w:rsidR="00BA6C07" w:rsidRPr="00BA6C07">
        <w:rPr>
          <w:highlight w:val="black"/>
        </w:rPr>
        <w:t>XXXXXXXXXX</w:t>
      </w:r>
      <w:r w:rsidRPr="00BA6C07">
        <w:t xml:space="preserve"> </w:t>
      </w:r>
      <w:r w:rsidR="00BA6C07" w:rsidRPr="00BA6C07">
        <w:rPr>
          <w:highlight w:val="black"/>
        </w:rPr>
        <w:t>XXX</w:t>
      </w:r>
      <w:r w:rsidRPr="00BA6C07">
        <w:t xml:space="preserve"> </w:t>
      </w:r>
      <w:r w:rsidR="00BA6C07" w:rsidRPr="00BA6C07">
        <w:rPr>
          <w:highlight w:val="black"/>
        </w:rPr>
        <w:t>XXXXXXXXXXXXXXXXXXX</w:t>
      </w:r>
      <w:r w:rsidRPr="00BD1B81">
        <w:t>, consideration could be given to removing the requirement for patients to be R/R to at least one prior chemo-immunotherapy (second line) or that they must be unsuitable for treatment with chemo-immunotherapy (treatment naïve).</w:t>
      </w:r>
    </w:p>
    <w:p w14:paraId="23E64D53" w14:textId="15A34D1F" w:rsidR="00BD1B81" w:rsidRPr="00BD1B81" w:rsidRDefault="00BD1B81" w:rsidP="00E32C6A">
      <w:r w:rsidRPr="00BD1B81">
        <w:t xml:space="preserve">DUSC suggested that the treatment criteria for </w:t>
      </w:r>
      <w:proofErr w:type="spellStart"/>
      <w:r w:rsidRPr="00BD1B81">
        <w:t>zanubrutinib</w:t>
      </w:r>
      <w:proofErr w:type="spellEnd"/>
      <w:r w:rsidRPr="00BD1B81">
        <w:t xml:space="preserve"> in the current restrictions for the initial treatment phase could be altered by removing from the clinical criteria ‘The condition must have relapsed or be refractory to at least one prior chemo-immunotherapy; OR Patient must be unsuitable for treatment with chemo-immunotherapy, defined by a Cumulative Illness Rating Scale of 6 or greater, if untreated (i.e. treatment-naive) for this condition’.</w:t>
      </w:r>
    </w:p>
    <w:p w14:paraId="65CDAC83" w14:textId="77777777" w:rsidR="00E32C6A" w:rsidRDefault="00E32C6A" w:rsidP="00E32C6A">
      <w:pPr>
        <w:pStyle w:val="Heading1"/>
      </w:pPr>
      <w:r>
        <w:t>DUSC Actions</w:t>
      </w:r>
    </w:p>
    <w:p w14:paraId="4F85E8B4" w14:textId="62E81205" w:rsidR="00BD1B81" w:rsidRPr="00BD1B81" w:rsidRDefault="00BD1B81" w:rsidP="00BD1B81">
      <w:r w:rsidRPr="00BD1B81">
        <w:t>DUSC considered that the use of all Bruton's tyrosine kinase inhibitors listed on the PBS could be reviewed</w:t>
      </w:r>
      <w:r>
        <w:t>.</w:t>
      </w:r>
    </w:p>
    <w:p w14:paraId="1E6006DE" w14:textId="77777777" w:rsidR="00E32C6A" w:rsidRPr="001E5165" w:rsidRDefault="00E32C6A" w:rsidP="00E32C6A">
      <w:r w:rsidRPr="001E5165">
        <w:t>DUSC requested that the report be provided to the PBAC for consideration.</w:t>
      </w:r>
    </w:p>
    <w:p w14:paraId="16298EFF" w14:textId="77777777" w:rsidR="00E32C6A" w:rsidRDefault="00E32C6A" w:rsidP="00E32C6A">
      <w:pPr>
        <w:pStyle w:val="Heading1"/>
      </w:pPr>
      <w:r w:rsidRPr="0092516A">
        <w:t>Context for analysis</w:t>
      </w:r>
    </w:p>
    <w:p w14:paraId="535F93F8" w14:textId="77777777" w:rsidR="00E32C6A" w:rsidRDefault="00E32C6A" w:rsidP="00E32C6A">
      <w:r>
        <w:t>The DUSC is a Sub Committee of the Pharmaceutical Benefits Advisory Committee (PBAC). The DUSC assesses estimates on projected usage and financial cost of medicines.</w:t>
      </w:r>
    </w:p>
    <w:p w14:paraId="14BC67F0" w14:textId="77777777" w:rsidR="00E32C6A" w:rsidRDefault="00E32C6A" w:rsidP="00E32C6A">
      <w: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14:paraId="1AEC29AC" w14:textId="77777777" w:rsidR="00E32C6A" w:rsidRDefault="00E32C6A" w:rsidP="00E32C6A">
      <w:r>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14:paraId="710769E6" w14:textId="77777777" w:rsidR="00E32C6A" w:rsidRDefault="00E32C6A" w:rsidP="00E32C6A">
      <w:r>
        <w:t>The utilisation analysis report was provided to the pharmaceutical sponsors of each drug and comments on the report were provided to DUSC prior to its consideration of the analysis.</w:t>
      </w:r>
    </w:p>
    <w:p w14:paraId="44768228" w14:textId="77777777" w:rsidR="00E32C6A" w:rsidRDefault="00E32C6A" w:rsidP="00E32C6A">
      <w:pPr>
        <w:pStyle w:val="Heading1"/>
      </w:pPr>
      <w:r>
        <w:lastRenderedPageBreak/>
        <w:t>Sponsor</w:t>
      </w:r>
      <w:r w:rsidRPr="0092516A">
        <w:t>s</w:t>
      </w:r>
      <w:r>
        <w:t>’</w:t>
      </w:r>
      <w:r w:rsidRPr="0092516A">
        <w:t xml:space="preserve"> comments</w:t>
      </w:r>
    </w:p>
    <w:p w14:paraId="4014A5B0" w14:textId="3E25D24F" w:rsidR="00F6034D" w:rsidRDefault="003E2E79" w:rsidP="007D5113">
      <w:pPr>
        <w:spacing w:line="276" w:lineRule="auto"/>
      </w:pPr>
      <w:proofErr w:type="spellStart"/>
      <w:r w:rsidRPr="003E2E79">
        <w:t>BeiGene</w:t>
      </w:r>
      <w:proofErr w:type="spellEnd"/>
      <w:r w:rsidRPr="003E2E79">
        <w:t xml:space="preserve"> AUS Pty Ltd</w:t>
      </w:r>
      <w:r>
        <w:t>:</w:t>
      </w:r>
    </w:p>
    <w:p w14:paraId="68893C7C" w14:textId="671F8A97" w:rsidR="007D5113" w:rsidRPr="007D5113" w:rsidRDefault="007D5113" w:rsidP="0080497F">
      <w:r w:rsidRPr="00F6034D">
        <w:t xml:space="preserve">The Sponsor welcomes DUSC’s recognition that </w:t>
      </w:r>
      <w:proofErr w:type="spellStart"/>
      <w:r w:rsidRPr="00F6034D">
        <w:t>zanubrutinib</w:t>
      </w:r>
      <w:proofErr w:type="spellEnd"/>
      <w:r w:rsidRPr="00F6034D">
        <w:t xml:space="preserve"> is being used predominantly in older patients, consistent with its PBS listing for those unsuitable for chemo-immunotherapy.  We believe the higher-than-expected use reflects unmet clinical need and evolving prevalence data, and we support refining PBS criteria to ensure appropriate access aligned with clinical best practice.  </w:t>
      </w:r>
    </w:p>
    <w:p w14:paraId="3ACD28FC" w14:textId="77777777" w:rsidR="00E32C6A" w:rsidRDefault="00E32C6A" w:rsidP="00E32C6A">
      <w:pPr>
        <w:pStyle w:val="Heading1"/>
      </w:pPr>
      <w:r w:rsidRPr="00A4020E">
        <w:t>Disclaimer</w:t>
      </w:r>
    </w:p>
    <w:p w14:paraId="6BAA1606" w14:textId="77777777" w:rsidR="00E32C6A" w:rsidRDefault="00E32C6A" w:rsidP="00E32C6A">
      <w:r>
        <w:t>The information provided in this report does not constitute medical advice and is not intended to take the place of professional medical advice or care.  It is not intended to define what constitutes reasonable, appropriate or best care for any individual for any given health issue.  The information should not be used as a substitute for the judgement and skill of a medical practitioner.</w:t>
      </w:r>
    </w:p>
    <w:p w14:paraId="771BD325" w14:textId="3C04BA14" w:rsidR="00E32C6A" w:rsidRDefault="00E32C6A" w:rsidP="00E32C6A">
      <w:r>
        <w:t xml:space="preserve">The </w:t>
      </w:r>
      <w:r w:rsidR="00522608">
        <w:t>Department of Health, Disability and Ageing</w:t>
      </w:r>
      <w:r>
        <w:t xml:space="preserve"> has made all reasonable efforts to ensure that information provided in this report is accurate. The information provided in this report was </w:t>
      </w:r>
      <w:proofErr w:type="gramStart"/>
      <w:r>
        <w:t>up-to-date</w:t>
      </w:r>
      <w:proofErr w:type="gramEnd"/>
      <w:r>
        <w:t xml:space="preserve"> when it was considered by the Drug Utilisation Sub-committee of the Pharmaceutical Benefits Advisory Committee.  The context for that information may have changed since publication.</w:t>
      </w:r>
    </w:p>
    <w:p w14:paraId="01803319" w14:textId="2CAF00E1" w:rsidR="00E32C6A" w:rsidRDefault="00E32C6A" w:rsidP="00E32C6A">
      <w:r>
        <w:t xml:space="preserve">To the extent provided by law, the </w:t>
      </w:r>
      <w:r w:rsidR="00522608">
        <w:t>Department of Health, Disability and Ageing</w:t>
      </w:r>
      <w:r>
        <w:t xml:space="preserve"> makes no warranties or representations as to accuracy or completeness of information contained in this report. </w:t>
      </w:r>
    </w:p>
    <w:p w14:paraId="2E34F4EA" w14:textId="31D30E2F" w:rsidR="00E32C6A" w:rsidRPr="00974DEB" w:rsidRDefault="00E32C6A" w:rsidP="00E32C6A">
      <w:r>
        <w:t xml:space="preserve">To the fullest extent permitted by law, neither the </w:t>
      </w:r>
      <w:r w:rsidR="00522608">
        <w:t>Department of Health, Disability and Ageing</w:t>
      </w:r>
      <w:r>
        <w:t xml:space="preserve"> nor any </w:t>
      </w:r>
      <w:r w:rsidR="00522608">
        <w:t>Department of Health, Disability and Ageing</w:t>
      </w:r>
      <w:r>
        <w:t xml:space="preserve">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p w14:paraId="25D65B04" w14:textId="44D1F824" w:rsidR="00FE645A" w:rsidRDefault="00FE645A">
      <w:pPr>
        <w:spacing w:line="276" w:lineRule="auto"/>
      </w:pPr>
      <w:r>
        <w:br w:type="page"/>
      </w:r>
    </w:p>
    <w:p w14:paraId="3AAD93BB" w14:textId="3257018C" w:rsidR="008A5AC6" w:rsidRPr="0096334A" w:rsidRDefault="00CA0D36" w:rsidP="00CA0D36">
      <w:pPr>
        <w:spacing w:after="0"/>
        <w:jc w:val="right"/>
        <w:rPr>
          <w:b/>
          <w:bCs/>
        </w:rPr>
      </w:pPr>
      <w:r w:rsidRPr="0096334A">
        <w:rPr>
          <w:b/>
          <w:bCs/>
        </w:rPr>
        <w:lastRenderedPageBreak/>
        <w:t>Appendix A</w:t>
      </w:r>
    </w:p>
    <w:p w14:paraId="7CC873C4" w14:textId="77777777" w:rsidR="00CA0D36" w:rsidRDefault="00CA0D36" w:rsidP="008740A3">
      <w:pPr>
        <w:spacing w:after="0"/>
      </w:pPr>
    </w:p>
    <w:p w14:paraId="6E18352B" w14:textId="78074C11" w:rsidR="008A5AC6" w:rsidRDefault="00C43992" w:rsidP="008740A3">
      <w:pPr>
        <w:spacing w:after="0"/>
      </w:pPr>
      <w:r>
        <w:t>PBS f</w:t>
      </w:r>
      <w:r w:rsidR="003C231F">
        <w:t>irst</w:t>
      </w:r>
      <w:r w:rsidR="0071568A">
        <w:t>-</w:t>
      </w:r>
      <w:r w:rsidR="003C231F">
        <w:t xml:space="preserve">line therapies </w:t>
      </w:r>
      <w:r w:rsidR="008A5AC6">
        <w:t>used in sequence analysis</w:t>
      </w:r>
      <w:r w:rsidR="00963C04">
        <w:t>:</w:t>
      </w:r>
      <w:r w:rsidR="00963C04" w:rsidRPr="00963C04">
        <w:rPr>
          <w:vertAlign w:val="superscript"/>
        </w:rPr>
        <w:t xml:space="preserve"> </w:t>
      </w:r>
      <w:r w:rsidR="00963C04" w:rsidRPr="004819E8">
        <w:rPr>
          <w:vertAlign w:val="superscript"/>
        </w:rPr>
        <w:t>1</w:t>
      </w:r>
    </w:p>
    <w:p w14:paraId="52F95713" w14:textId="77777777" w:rsidR="008A5AC6" w:rsidRDefault="008A5AC6" w:rsidP="008740A3">
      <w:pPr>
        <w:spacing w:after="0"/>
      </w:pPr>
    </w:p>
    <w:p w14:paraId="678B8C3B" w14:textId="4BA939FE" w:rsidR="008A5AC6" w:rsidRDefault="00212A52" w:rsidP="008740A3">
      <w:pPr>
        <w:spacing w:after="0"/>
      </w:pPr>
      <w:r>
        <w:t>Rituximab</w:t>
      </w:r>
    </w:p>
    <w:p w14:paraId="68A26E7D" w14:textId="40B1A79E" w:rsidR="00D6472D" w:rsidRDefault="00D6472D" w:rsidP="008740A3">
      <w:pPr>
        <w:spacing w:after="0"/>
      </w:pPr>
      <w:r>
        <w:t>Dexameth</w:t>
      </w:r>
      <w:r w:rsidR="00EC2699">
        <w:t>asone</w:t>
      </w:r>
    </w:p>
    <w:p w14:paraId="5B5EBA3C" w14:textId="2EFBC29C" w:rsidR="008E0F81" w:rsidRDefault="00C11806" w:rsidP="008740A3">
      <w:pPr>
        <w:spacing w:after="0"/>
      </w:pPr>
      <w:r>
        <w:t>Fludarabine</w:t>
      </w:r>
    </w:p>
    <w:p w14:paraId="364C868E" w14:textId="1A44610B" w:rsidR="00B47BF0" w:rsidRDefault="00B47BF0" w:rsidP="008740A3">
      <w:pPr>
        <w:spacing w:after="0"/>
      </w:pPr>
      <w:r>
        <w:t>Cyclop</w:t>
      </w:r>
      <w:r w:rsidR="00DF48F8">
        <w:t>h</w:t>
      </w:r>
      <w:r>
        <w:t>osphamide</w:t>
      </w:r>
    </w:p>
    <w:p w14:paraId="310984CE" w14:textId="1FFE6198" w:rsidR="6C1D87F2" w:rsidRDefault="6C1D87F2" w:rsidP="6C3B7373">
      <w:pPr>
        <w:spacing w:after="0"/>
      </w:pPr>
      <w:r w:rsidRPr="6C3B7373">
        <w:rPr>
          <w:color w:val="222222"/>
        </w:rPr>
        <w:t>Chlorambucil</w:t>
      </w:r>
    </w:p>
    <w:p w14:paraId="79BAE1BF" w14:textId="7DF2FC26" w:rsidR="00B47BF0" w:rsidRDefault="00B47BF0" w:rsidP="008740A3">
      <w:pPr>
        <w:spacing w:after="0"/>
      </w:pPr>
    </w:p>
    <w:p w14:paraId="020C5094" w14:textId="365662A8" w:rsidR="004819E8" w:rsidRPr="00261531" w:rsidRDefault="004819E8" w:rsidP="008740A3">
      <w:pPr>
        <w:spacing w:after="0"/>
        <w:rPr>
          <w:sz w:val="20"/>
          <w:szCs w:val="20"/>
        </w:rPr>
      </w:pPr>
      <w:r w:rsidRPr="00261531">
        <w:rPr>
          <w:sz w:val="20"/>
          <w:szCs w:val="20"/>
        </w:rPr>
        <w:t>Note</w:t>
      </w:r>
      <w:r w:rsidR="00B43C24" w:rsidRPr="00261531">
        <w:rPr>
          <w:sz w:val="20"/>
          <w:szCs w:val="20"/>
          <w:vertAlign w:val="superscript"/>
        </w:rPr>
        <w:t>1</w:t>
      </w:r>
      <w:r w:rsidRPr="00261531">
        <w:rPr>
          <w:sz w:val="20"/>
          <w:szCs w:val="20"/>
        </w:rPr>
        <w:t xml:space="preserve">: Only PBS listed </w:t>
      </w:r>
      <w:r w:rsidR="00261531" w:rsidRPr="00261531">
        <w:rPr>
          <w:sz w:val="20"/>
          <w:szCs w:val="20"/>
        </w:rPr>
        <w:t>and restricted to W</w:t>
      </w:r>
      <w:r w:rsidR="00A72198">
        <w:rPr>
          <w:sz w:val="20"/>
          <w:szCs w:val="20"/>
        </w:rPr>
        <w:t>M</w:t>
      </w:r>
      <w:r w:rsidR="00261531" w:rsidRPr="00261531">
        <w:rPr>
          <w:sz w:val="20"/>
          <w:szCs w:val="20"/>
        </w:rPr>
        <w:t xml:space="preserve"> or unrestricted were used in the analysis.</w:t>
      </w:r>
    </w:p>
    <w:p w14:paraId="6FCD4419" w14:textId="77777777" w:rsidR="00EC2699" w:rsidRDefault="00EC2699" w:rsidP="008740A3">
      <w:pPr>
        <w:spacing w:after="0"/>
      </w:pPr>
    </w:p>
    <w:p w14:paraId="5FE63626" w14:textId="77777777" w:rsidR="00EC2699" w:rsidRPr="0033504C" w:rsidRDefault="00EC2699" w:rsidP="008740A3">
      <w:pPr>
        <w:spacing w:after="0"/>
      </w:pPr>
    </w:p>
    <w:sectPr w:rsidR="00EC2699" w:rsidRPr="0033504C" w:rsidSect="00DD188C">
      <w:headerReference w:type="even" r:id="rId24"/>
      <w:headerReference w:type="default" r:id="rId25"/>
      <w:footerReference w:type="even" r:id="rId26"/>
      <w:footerReference w:type="default" r:id="rId27"/>
      <w:headerReference w:type="first" r:id="rId28"/>
      <w:footerReference w:type="first" r:id="rId29"/>
      <w:pgSz w:w="11906" w:h="16838"/>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B0402" w14:textId="77777777" w:rsidR="006308C5" w:rsidRDefault="006308C5" w:rsidP="00A35800">
      <w:r>
        <w:separator/>
      </w:r>
    </w:p>
  </w:endnote>
  <w:endnote w:type="continuationSeparator" w:id="0">
    <w:p w14:paraId="23FC4FBC" w14:textId="77777777" w:rsidR="006308C5" w:rsidRDefault="006308C5" w:rsidP="00A35800">
      <w:r>
        <w:continuationSeparator/>
      </w:r>
    </w:p>
  </w:endnote>
  <w:endnote w:type="continuationNotice" w:id="1">
    <w:p w14:paraId="076CEF59" w14:textId="77777777" w:rsidR="006308C5" w:rsidRDefault="006308C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9D5E5" w14:textId="3E878E3D" w:rsidR="00214013" w:rsidRDefault="00E96EE6" w:rsidP="00A35800">
    <w:pPr>
      <w:pStyle w:val="Footer"/>
      <w:rPr>
        <w:rStyle w:val="PageNumber"/>
      </w:rPr>
    </w:pPr>
    <w:r>
      <w:rPr>
        <w:noProof/>
      </w:rPr>
      <mc:AlternateContent>
        <mc:Choice Requires="wps">
          <w:drawing>
            <wp:anchor distT="0" distB="0" distL="0" distR="0" simplePos="0" relativeHeight="251674624" behindDoc="0" locked="0" layoutInCell="1" allowOverlap="1" wp14:anchorId="71689DE3" wp14:editId="1C2438A6">
              <wp:simplePos x="635" y="635"/>
              <wp:positionH relativeFrom="page">
                <wp:align>center</wp:align>
              </wp:positionH>
              <wp:positionV relativeFrom="page">
                <wp:align>bottom</wp:align>
              </wp:positionV>
              <wp:extent cx="748030" cy="376555"/>
              <wp:effectExtent l="0" t="0" r="13970" b="0"/>
              <wp:wrapNone/>
              <wp:docPr id="169229827"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5E835A97" w14:textId="70373A1B" w:rsidR="00E96EE6" w:rsidRPr="00E96EE6" w:rsidRDefault="00E96EE6" w:rsidP="00E96EE6">
                          <w:pPr>
                            <w:spacing w:after="0"/>
                            <w:rPr>
                              <w:rFonts w:ascii="Calibri" w:eastAsia="Calibri" w:hAnsi="Calibri" w:cs="Calibri"/>
                              <w:noProof/>
                              <w:color w:val="FF0000"/>
                            </w:rPr>
                          </w:pPr>
                          <w:r w:rsidRPr="00E96EE6">
                            <w:rPr>
                              <w:rFonts w:ascii="Calibri" w:eastAsia="Calibri" w:hAnsi="Calibri" w:cs="Calibri"/>
                              <w:noProof/>
                              <w:color w:val="FF000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689DE3" id="_x0000_t202" coordsize="21600,21600" o:spt="202" path="m,l,21600r21600,l21600,xe">
              <v:stroke joinstyle="miter"/>
              <v:path gradientshapeok="t" o:connecttype="rect"/>
            </v:shapetype>
            <v:shape id="Text Box 5" o:spid="_x0000_s1028" type="#_x0000_t202" alt="UNOFFICIAL" style="position:absolute;margin-left:0;margin-top:0;width:58.9pt;height:29.6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LovDgIAABwEAAAOAAAAZHJzL2Uyb0RvYy54bWysU8Fu2zAMvQ/YPwi6L3bSpe2MOEXWIsOA&#10;oC2QDj0rshQbkERBUmJnXz9KtpOu22nYRaZJ6pF8fFrcdVqRo3C+AVPS6SSnRBgOVWP2Jf3xsv50&#10;S4kPzFRMgRElPQlP75YfPyxaW4gZ1KAq4QiCGF+0tqR1CLbIMs9roZmfgBUGgxKcZgF/3T6rHGsR&#10;XatslufXWQuusg648B69D32QLhO+lIKHJym9CESVFHsL6XTp3MUzWy5YsXfM1g0f2mD/0IVmjcGi&#10;Z6gHFhg5uOYPKN1wBx5kmHDQGUjZcJFmwGmm+btptjWzIs2C5Hh7psn/P1j+eNzaZ0dC9xU6XGAk&#10;pLW+8OiM83TS6fjFTgnGkcLTmTbRBcLRefP5Nr/CCMfQ1c31fD6PKNnlsnU+fBOgSTRK6nAriSx2&#10;3PjQp44psZaBdaNU2owyvzkQM3qyS4fRCt2uI01V0tnY/Q6qEw7loN+3t3zdYOkN8+GZOVwwdoui&#10;DU94SAVtSWGwKKnB/fybP+Yj7xilpEXBlNSgoilR3w3uI2prNNxo7JIx/ZLPc4ybg74HlOEUX4Tl&#10;yUSvC2o0pQP9inJexUIYYoZjuZLuRvM+9MrF58DFapWSUEaWhY3ZWh6hI12Ry5fulTk7EB5wU48w&#10;qokV73jvc+NNb1eHgOynpURqeyIHxlGCaa3Dc4kaf/ufsi6PevkLAAD//wMAUEsDBBQABgAIAAAA&#10;IQBqMMNg2wAAAAQBAAAPAAAAZHJzL2Rvd25yZXYueG1sTI9Nb8IwDIbvk/gPkZF2GylUG6M0RRPS&#10;TkyT+LjsFhLTdmucqkmh/PuZXcbFkvVaj583Xw2uEWfsQu1JwXSSgEAy3tZUKjjs359eQYSoyerG&#10;Eyq4YoBVMXrIdWb9hbZ43sVSMIRCphVUMbaZlMFU6HSY+BaJs5PvnI68dqW0nb4w3DVyliQv0uma&#10;+EOlW1xXaH52vVPwvI0f/Sft069hdv3etGuTnjZGqcfx8LYEEXGI/8dw02d1KNjp6HuyQTQKuEj8&#10;m7dsOucaRwYvUpBFLu/li18AAAD//wMAUEsBAi0AFAAGAAgAAAAhALaDOJL+AAAA4QEAABMAAAAA&#10;AAAAAAAAAAAAAAAAAFtDb250ZW50X1R5cGVzXS54bWxQSwECLQAUAAYACAAAACEAOP0h/9YAAACU&#10;AQAACwAAAAAAAAAAAAAAAAAvAQAAX3JlbHMvLnJlbHNQSwECLQAUAAYACAAAACEA6ZC6Lw4CAAAc&#10;BAAADgAAAAAAAAAAAAAAAAAuAgAAZHJzL2Uyb0RvYy54bWxQSwECLQAUAAYACAAAACEAajDDYNsA&#10;AAAEAQAADwAAAAAAAAAAAAAAAABoBAAAZHJzL2Rvd25yZXYueG1sUEsFBgAAAAAEAAQA8wAAAHAF&#10;AAAAAA==&#10;" filled="f" stroked="f">
              <v:fill o:detectmouseclick="t"/>
              <v:textbox style="mso-fit-shape-to-text:t" inset="0,0,0,15pt">
                <w:txbxContent>
                  <w:p w14:paraId="5E835A97" w14:textId="70373A1B" w:rsidR="00E96EE6" w:rsidRPr="00E96EE6" w:rsidRDefault="00E96EE6" w:rsidP="00E96EE6">
                    <w:pPr>
                      <w:spacing w:after="0"/>
                      <w:rPr>
                        <w:rFonts w:ascii="Calibri" w:eastAsia="Calibri" w:hAnsi="Calibri" w:cs="Calibri"/>
                        <w:noProof/>
                        <w:color w:val="FF0000"/>
                      </w:rPr>
                    </w:pPr>
                    <w:r w:rsidRPr="00E96EE6">
                      <w:rPr>
                        <w:rFonts w:ascii="Calibri" w:eastAsia="Calibri" w:hAnsi="Calibri" w:cs="Calibri"/>
                        <w:noProof/>
                        <w:color w:val="FF0000"/>
                      </w:rPr>
                      <w:t>UNOFFICIAL</w:t>
                    </w:r>
                  </w:p>
                </w:txbxContent>
              </v:textbox>
              <w10:wrap anchorx="page" anchory="page"/>
            </v:shape>
          </w:pict>
        </mc:Fallback>
      </mc:AlternateContent>
    </w:r>
    <w:r w:rsidR="00214013">
      <w:rPr>
        <w:rStyle w:val="PageNumber"/>
      </w:rPr>
      <w:fldChar w:fldCharType="begin"/>
    </w:r>
    <w:r w:rsidR="00214013">
      <w:rPr>
        <w:rStyle w:val="PageNumber"/>
      </w:rPr>
      <w:instrText xml:space="preserve">PAGE  </w:instrText>
    </w:r>
    <w:r w:rsidR="00214013">
      <w:rPr>
        <w:rStyle w:val="PageNumber"/>
      </w:rPr>
      <w:fldChar w:fldCharType="end"/>
    </w:r>
  </w:p>
  <w:p w14:paraId="2D9F9A1E" w14:textId="77777777" w:rsidR="00214013" w:rsidRDefault="00214013" w:rsidP="00A35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B98D2" w14:textId="2A625E35" w:rsidR="00B74D72" w:rsidRDefault="00E96EE6" w:rsidP="000E72C6">
    <w:pPr>
      <w:pStyle w:val="Footer"/>
      <w:jc w:val="center"/>
    </w:pPr>
    <w:r>
      <w:rPr>
        <w:noProof/>
      </w:rPr>
      <mc:AlternateContent>
        <mc:Choice Requires="wps">
          <w:drawing>
            <wp:anchor distT="0" distB="0" distL="0" distR="0" simplePos="0" relativeHeight="251675648" behindDoc="0" locked="0" layoutInCell="1" allowOverlap="1" wp14:anchorId="1AC4E781" wp14:editId="4790108B">
              <wp:simplePos x="1009767" y="9744250"/>
              <wp:positionH relativeFrom="page">
                <wp:align>center</wp:align>
              </wp:positionH>
              <wp:positionV relativeFrom="page">
                <wp:align>bottom</wp:align>
              </wp:positionV>
              <wp:extent cx="748030" cy="376555"/>
              <wp:effectExtent l="0" t="0" r="13970" b="0"/>
              <wp:wrapNone/>
              <wp:docPr id="1086601407" name="Text Box 6"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76279EB6" w14:textId="6900971D" w:rsidR="00E96EE6" w:rsidRPr="00E96EE6" w:rsidRDefault="00E96EE6" w:rsidP="00E96EE6">
                          <w:pPr>
                            <w:spacing w:after="0"/>
                            <w:rPr>
                              <w:rFonts w:ascii="Calibri" w:eastAsia="Calibri" w:hAnsi="Calibri" w:cs="Calibri"/>
                              <w:noProof/>
                              <w:color w:val="FF0000"/>
                            </w:rPr>
                          </w:pPr>
                          <w:r w:rsidRPr="00E96EE6">
                            <w:rPr>
                              <w:rFonts w:ascii="Calibri" w:eastAsia="Calibri" w:hAnsi="Calibri" w:cs="Calibri"/>
                              <w:noProof/>
                              <w:color w:val="FF000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C4E781" id="_x0000_t202" coordsize="21600,21600" o:spt="202" path="m,l,21600r21600,l21600,xe">
              <v:stroke joinstyle="miter"/>
              <v:path gradientshapeok="t" o:connecttype="rect"/>
            </v:shapetype>
            <v:shape id="Text Box 6" o:spid="_x0000_s1029" type="#_x0000_t202" alt="UNOFFICIAL" style="position:absolute;left:0;text-align:left;margin-left:0;margin-top:0;width:58.9pt;height:29.65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wgSDgIAABwEAAAOAAAAZHJzL2Uyb0RvYy54bWysU8Fu2zAMvQ/YPwi6L3bape2MOEXWIsOA&#10;oi2QDj0rshQbkEWBUmJnXz9KjpOu22nYRaZJ6pF8fJrf9q1he4W+AVvy6STnTFkJVWO3Jf/xsvp0&#10;w5kPwlbCgFUlPyjPbxcfP8w7V6gLqMFUChmBWF90ruR1CK7IMi9r1Qo/AacsBTVgKwL94jarUHSE&#10;3prsIs+vsg6wcghSeU/e+yHIFwlfayXDk9ZeBWZKTr2FdGI6N/HMFnNRbFG4upHHNsQ/dNGKxlLR&#10;E9S9CILtsPkDqm0kggcdJhLaDLRupEoz0DTT/N0061o4lWYhcrw70eT/H6x83K/dM7LQf4WeFhgJ&#10;6ZwvPDnjPL3GNn6pU0ZxovBwok31gUlyXn++yS8pIil0eX01m80iSna+7NCHbwpaFo2SI20lkSX2&#10;Dz4MqWNKrGVh1RiTNmPsbw7CjJ7s3GG0Qr/pWVNR8bH7DVQHGgph2Ld3ctVQ6Qfhw7NAWjB1S6IN&#10;T3RoA13J4WhxVgP+/Js/5hPvFOWsI8GU3JKiOTPfLe0jams0cDQ2yZh+yWc5xe2uvQOS4ZRehJPJ&#10;JC8GM5oaoX0lOS9jIQoJK6lcyTejeRcG5dJzkGq5TEkkIyfCg107GaEjXZHLl/5VoDsSHmhTjzCq&#10;SRTveB9y403vlrtA7KelRGoHIo+MkwTTWo/PJWr87X/KOj/qxS8AAAD//wMAUEsDBBQABgAIAAAA&#10;IQBqMMNg2wAAAAQBAAAPAAAAZHJzL2Rvd25yZXYueG1sTI9Nb8IwDIbvk/gPkZF2GylUG6M0RRPS&#10;TkyT+LjsFhLTdmucqkmh/PuZXcbFkvVaj583Xw2uEWfsQu1JwXSSgEAy3tZUKjjs359eQYSoyerG&#10;Eyq4YoBVMXrIdWb9hbZ43sVSMIRCphVUMbaZlMFU6HSY+BaJs5PvnI68dqW0nb4w3DVyliQv0uma&#10;+EOlW1xXaH52vVPwvI0f/Sft069hdv3etGuTnjZGqcfx8LYEEXGI/8dw02d1KNjp6HuyQTQKuEj8&#10;m7dsOucaRwYvUpBFLu/li18AAAD//wMAUEsBAi0AFAAGAAgAAAAhALaDOJL+AAAA4QEAABMAAAAA&#10;AAAAAAAAAAAAAAAAAFtDb250ZW50X1R5cGVzXS54bWxQSwECLQAUAAYACAAAACEAOP0h/9YAAACU&#10;AQAACwAAAAAAAAAAAAAAAAAvAQAAX3JlbHMvLnJlbHNQSwECLQAUAAYACAAAACEAhC8IEg4CAAAc&#10;BAAADgAAAAAAAAAAAAAAAAAuAgAAZHJzL2Uyb0RvYy54bWxQSwECLQAUAAYACAAAACEAajDDYNsA&#10;AAAEAQAADwAAAAAAAAAAAAAAAABoBAAAZHJzL2Rvd25yZXYueG1sUEsFBgAAAAAEAAQA8wAAAHAF&#10;AAAAAA==&#10;" filled="f" stroked="f">
              <v:fill o:detectmouseclick="t"/>
              <v:textbox style="mso-fit-shape-to-text:t" inset="0,0,0,15pt">
                <w:txbxContent>
                  <w:p w14:paraId="76279EB6" w14:textId="6900971D" w:rsidR="00E96EE6" w:rsidRPr="00E96EE6" w:rsidRDefault="00E96EE6" w:rsidP="00E96EE6">
                    <w:pPr>
                      <w:spacing w:after="0"/>
                      <w:rPr>
                        <w:rFonts w:ascii="Calibri" w:eastAsia="Calibri" w:hAnsi="Calibri" w:cs="Calibri"/>
                        <w:noProof/>
                        <w:color w:val="FF0000"/>
                      </w:rPr>
                    </w:pPr>
                    <w:r w:rsidRPr="00E96EE6">
                      <w:rPr>
                        <w:rFonts w:ascii="Calibri" w:eastAsia="Calibri" w:hAnsi="Calibri" w:cs="Calibri"/>
                        <w:noProof/>
                        <w:color w:val="FF0000"/>
                      </w:rPr>
                      <w:t>UNOFFICIAL</w:t>
                    </w:r>
                  </w:p>
                </w:txbxContent>
              </v:textbox>
              <w10:wrap anchorx="page" anchory="page"/>
            </v:shape>
          </w:pict>
        </mc:Fallback>
      </mc:AlternateContent>
    </w:r>
  </w:p>
  <w:sdt>
    <w:sdtPr>
      <w:id w:val="-1220733839"/>
      <w:docPartObj>
        <w:docPartGallery w:val="Page Numbers (Bottom of Page)"/>
        <w:docPartUnique/>
      </w:docPartObj>
    </w:sdtPr>
    <w:sdtEndPr/>
    <w:sdtContent>
      <w:sdt>
        <w:sdtPr>
          <w:id w:val="-1669238322"/>
          <w:docPartObj>
            <w:docPartGallery w:val="Page Numbers (Top of Page)"/>
            <w:docPartUnique/>
          </w:docPartObj>
        </w:sdtPr>
        <w:sdtEndPr/>
        <w:sdtContent>
          <w:p w14:paraId="30682B98" w14:textId="079D6796" w:rsidR="000E72C6" w:rsidRPr="000E72C6" w:rsidRDefault="00081163" w:rsidP="000E72C6">
            <w:pPr>
              <w:pStyle w:val="Footer"/>
              <w:jc w:val="center"/>
              <w:rPr>
                <w:i/>
                <w:sz w:val="20"/>
              </w:rPr>
            </w:pPr>
            <w:r>
              <w:rPr>
                <w:i/>
                <w:sz w:val="20"/>
              </w:rPr>
              <w:t>Public Release Document, April 2025 DUSC Meeting</w:t>
            </w:r>
          </w:p>
          <w:p w14:paraId="10292A9A" w14:textId="7D864046" w:rsidR="00214013" w:rsidRDefault="00DD188C" w:rsidP="000E72C6">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sidR="00FA1BA3">
              <w:rPr>
                <w:bCs/>
                <w:i/>
                <w:noProof/>
                <w:sz w:val="20"/>
              </w:rPr>
              <w:t>4</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sidR="00FA1BA3">
              <w:rPr>
                <w:bCs/>
                <w:i/>
                <w:noProof/>
                <w:sz w:val="20"/>
              </w:rPr>
              <w:t>13</w:t>
            </w:r>
            <w:r w:rsidRPr="00DD188C">
              <w:rPr>
                <w:bCs/>
                <w:i/>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22E1F" w14:textId="3C9A982F" w:rsidR="007A5733" w:rsidRDefault="00E96EE6" w:rsidP="007A5733">
    <w:pPr>
      <w:pStyle w:val="Footer"/>
      <w:jc w:val="center"/>
      <w:rPr>
        <w:rStyle w:val="PageNumber"/>
      </w:rPr>
    </w:pPr>
    <w:r>
      <w:rPr>
        <w:noProof/>
      </w:rPr>
      <mc:AlternateContent>
        <mc:Choice Requires="wps">
          <w:drawing>
            <wp:anchor distT="0" distB="0" distL="0" distR="0" simplePos="0" relativeHeight="251673600" behindDoc="0" locked="0" layoutInCell="1" allowOverlap="1" wp14:anchorId="11CD1B0B" wp14:editId="2F876B0D">
              <wp:simplePos x="635" y="635"/>
              <wp:positionH relativeFrom="page">
                <wp:align>center</wp:align>
              </wp:positionH>
              <wp:positionV relativeFrom="page">
                <wp:align>bottom</wp:align>
              </wp:positionV>
              <wp:extent cx="748030" cy="376555"/>
              <wp:effectExtent l="0" t="0" r="13970" b="0"/>
              <wp:wrapNone/>
              <wp:docPr id="2038418497"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1DEEAB56" w14:textId="682FC719" w:rsidR="00E96EE6" w:rsidRPr="00E96EE6" w:rsidRDefault="00E96EE6" w:rsidP="00E96EE6">
                          <w:pPr>
                            <w:spacing w:after="0"/>
                            <w:rPr>
                              <w:rFonts w:ascii="Calibri" w:eastAsia="Calibri" w:hAnsi="Calibri" w:cs="Calibri"/>
                              <w:noProof/>
                              <w:color w:val="FF0000"/>
                            </w:rPr>
                          </w:pPr>
                          <w:r w:rsidRPr="00E96EE6">
                            <w:rPr>
                              <w:rFonts w:ascii="Calibri" w:eastAsia="Calibri" w:hAnsi="Calibri" w:cs="Calibri"/>
                              <w:noProof/>
                              <w:color w:val="FF000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CD1B0B" id="_x0000_t202" coordsize="21600,21600" o:spt="202" path="m,l,21600r21600,l21600,xe">
              <v:stroke joinstyle="miter"/>
              <v:path gradientshapeok="t" o:connecttype="rect"/>
            </v:shapetype>
            <v:shape id="Text Box 4" o:spid="_x0000_s1031" type="#_x0000_t202" alt="UNOFFICIAL" style="position:absolute;left:0;text-align:left;margin-left:0;margin-top:0;width:58.9pt;height:29.6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KefDQIAABwEAAAOAAAAZHJzL2Uyb0RvYy54bWysU8Fu2zAMvQ/YPwi6L3bape2MOEXWIsOA&#10;oC2QFj0rshQbkEWBUmJnXz9KiZOu62nYRaZJ6pF8fJre9q1hO4W+AVvy8SjnTFkJVWM3JX95Xny5&#10;4cwHYSthwKqS75Xnt7PPn6adK9QF1GAqhYxArC86V/I6BFdkmZe1aoUfgVOWghqwFYF+cZNVKDpC&#10;b012kedXWQdYOQSpvCfv/SHIZwlfayXDo9ZeBWZKTr2FdGI61/HMZlNRbFC4upHHNsQ/dNGKxlLR&#10;E9S9CIJtsfkLqm0kggcdRhLaDLRupEoz0DTj/N00q1o4lWYhcrw70eT/H6x82K3cE7LQf4eeFhgJ&#10;6ZwvPDnjPL3GNn6pU0ZxonB/ok31gUlyXn+9yS8pIil0eX01mUwiSna+7NCHHwpaFo2SI20lkSV2&#10;Sx8OqUNKrGVh0RiTNmPsHw7CjJ7s3GG0Qr/uWVOVPNWNnjVUexoK4bBv7+SiodJL4cOTQFowdUui&#10;DY90aANdyeFocVYD/vrIH/OJd4py1pFgSm5J0ZyZn5b2EbU1GDgY62SMv+WTnOJ2294ByXBML8LJ&#10;ZJIXgxlMjdC+kpznsRCFhJVUruTrwbwLB+XSc5BqPk9JJCMnwtKunIzQka7I5XP/KtAdCQ+0qQcY&#10;1CSKd7wfcuNN7+bbQOynpZyJPDJOEkxrPT6XqPG3/ynr/KhnvwEAAP//AwBQSwMEFAAGAAgAAAAh&#10;AGoww2DbAAAABAEAAA8AAABkcnMvZG93bnJldi54bWxMj01vwjAMhu+T+A+RkXYbKVQbozRFE9JO&#10;TJP4uOwWEtN2a5yqSaH8+5ldxsWS9VqPnzdfDa4RZ+xC7UnBdJKAQDLe1lQqOOzfn15BhKjJ6sYT&#10;KrhigFUxesh1Zv2FtnjexVIwhEKmFVQxtpmUwVTodJj4Fomzk++cjrx2pbSdvjDcNXKWJC/S6Zr4&#10;Q6VbXFdofna9U/C8jR/9J+3Tr2F2/d60a5OeNkapx/HwtgQRcYj/x3DTZ3Uo2Onoe7JBNAq4SPyb&#10;t2w65xpHBi9SkEUu7+WLXwAAAP//AwBQSwECLQAUAAYACAAAACEAtoM4kv4AAADhAQAAEwAAAAAA&#10;AAAAAAAAAAAAAAAAW0NvbnRlbnRfVHlwZXNdLnhtbFBLAQItABQABgAIAAAAIQA4/SH/1gAAAJQB&#10;AAALAAAAAAAAAAAAAAAAAC8BAABfcmVscy8ucmVsc1BLAQItABQABgAIAAAAIQDqrKefDQIAABwE&#10;AAAOAAAAAAAAAAAAAAAAAC4CAABkcnMvZTJvRG9jLnhtbFBLAQItABQABgAIAAAAIQBqMMNg2wAA&#10;AAQBAAAPAAAAAAAAAAAAAAAAAGcEAABkcnMvZG93bnJldi54bWxQSwUGAAAAAAQABADzAAAAbwUA&#10;AAAA&#10;" filled="f" stroked="f">
              <v:fill o:detectmouseclick="t"/>
              <v:textbox style="mso-fit-shape-to-text:t" inset="0,0,0,15pt">
                <w:txbxContent>
                  <w:p w14:paraId="1DEEAB56" w14:textId="682FC719" w:rsidR="00E96EE6" w:rsidRPr="00E96EE6" w:rsidRDefault="00E96EE6" w:rsidP="00E96EE6">
                    <w:pPr>
                      <w:spacing w:after="0"/>
                      <w:rPr>
                        <w:rFonts w:ascii="Calibri" w:eastAsia="Calibri" w:hAnsi="Calibri" w:cs="Calibri"/>
                        <w:noProof/>
                        <w:color w:val="FF0000"/>
                      </w:rPr>
                    </w:pPr>
                    <w:r w:rsidRPr="00E96EE6">
                      <w:rPr>
                        <w:rFonts w:ascii="Calibri" w:eastAsia="Calibri" w:hAnsi="Calibri" w:cs="Calibri"/>
                        <w:noProof/>
                        <w:color w:val="FF0000"/>
                      </w:rPr>
                      <w:t>UNOFFICIAL</w:t>
                    </w:r>
                  </w:p>
                </w:txbxContent>
              </v:textbox>
              <w10:wrap anchorx="page" anchory="page"/>
            </v:shape>
          </w:pict>
        </mc:Fallback>
      </mc:AlternateContent>
    </w:r>
    <w:r w:rsidR="007A5733">
      <w:rPr>
        <w:rStyle w:val="PageNumber"/>
      </w:rPr>
      <w:t>Committee-in-Confidence</w:t>
    </w:r>
  </w:p>
  <w:p w14:paraId="3CE6880B" w14:textId="77777777" w:rsidR="00DD188C" w:rsidRDefault="00DD188C" w:rsidP="007A573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DD6D5" w14:textId="77777777" w:rsidR="006308C5" w:rsidRDefault="006308C5" w:rsidP="00A35800">
      <w:r>
        <w:separator/>
      </w:r>
    </w:p>
  </w:footnote>
  <w:footnote w:type="continuationSeparator" w:id="0">
    <w:p w14:paraId="6F96BF82" w14:textId="77777777" w:rsidR="006308C5" w:rsidRDefault="006308C5" w:rsidP="00A35800">
      <w:r>
        <w:continuationSeparator/>
      </w:r>
    </w:p>
  </w:footnote>
  <w:footnote w:type="continuationNotice" w:id="1">
    <w:p w14:paraId="2DCDBED9" w14:textId="77777777" w:rsidR="006308C5" w:rsidRDefault="006308C5">
      <w:pPr>
        <w:spacing w:after="0"/>
      </w:pPr>
    </w:p>
  </w:footnote>
  <w:footnote w:id="2">
    <w:p w14:paraId="3608F426" w14:textId="037C74D5" w:rsidR="00A22382" w:rsidRDefault="00A22382" w:rsidP="00CA2724">
      <w:pPr>
        <w:pStyle w:val="FootnoteText"/>
      </w:pPr>
      <w:r>
        <w:rPr>
          <w:rStyle w:val="FootnoteReference"/>
        </w:rPr>
        <w:footnoteRef/>
      </w:r>
      <w:r>
        <w:t xml:space="preserve"> </w:t>
      </w:r>
      <w:r w:rsidR="00820160">
        <w:t xml:space="preserve">The predicted data </w:t>
      </w:r>
      <w:r w:rsidR="00BF1A9E">
        <w:t>was</w:t>
      </w:r>
      <w:r w:rsidR="00070798">
        <w:t xml:space="preserve"> taken from the </w:t>
      </w:r>
      <w:r w:rsidR="000A5E0B" w:rsidRPr="000A5E0B">
        <w:t>Facilitated Resolution Pathway resubmission</w:t>
      </w:r>
      <w:r w:rsidR="00634274">
        <w:t xml:space="preserve"> to the March 2022 PBAC meeting and not that</w:t>
      </w:r>
      <w:r w:rsidR="00BF1A9E">
        <w:t xml:space="preserve"> updated</w:t>
      </w:r>
      <w:r w:rsidR="00634274">
        <w:t xml:space="preserve"> in the </w:t>
      </w:r>
      <w:r w:rsidR="00BF6E2B" w:rsidRPr="00BF6E2B">
        <w:t>Category 3 submission</w:t>
      </w:r>
      <w:r w:rsidR="00BF6E2B">
        <w:t xml:space="preserve"> to the July 2024 PBAC meeting as this is outside the</w:t>
      </w:r>
      <w:r w:rsidR="007B59E0">
        <w:t xml:space="preserve"> </w:t>
      </w:r>
      <w:r w:rsidR="00BF1A9E">
        <w:t>analysis period of</w:t>
      </w:r>
      <w:r w:rsidR="007B59E0">
        <w:t xml:space="preserve"> the</w:t>
      </w:r>
      <w:r w:rsidR="00BF6E2B">
        <w:t xml:space="preserve"> </w:t>
      </w:r>
      <w:r w:rsidR="00CA2724">
        <w:t xml:space="preserve">initial </w:t>
      </w:r>
      <w:proofErr w:type="gramStart"/>
      <w:r w:rsidR="00CA2724">
        <w:t>two year</w:t>
      </w:r>
      <w:proofErr w:type="gramEnd"/>
      <w:r w:rsidR="00CA2724">
        <w:t xml:space="preserve"> listing of zanubrutinib for the treatment of WM.</w:t>
      </w:r>
    </w:p>
  </w:footnote>
  <w:footnote w:id="3">
    <w:p w14:paraId="2B4C82D6" w14:textId="4EE58FAA" w:rsidR="00D2710D" w:rsidRDefault="00D2710D" w:rsidP="000B2BD1">
      <w:pPr>
        <w:pStyle w:val="FootnoteText"/>
      </w:pPr>
      <w:r>
        <w:rPr>
          <w:rStyle w:val="FootnoteReference"/>
        </w:rPr>
        <w:footnoteRef/>
      </w:r>
      <w:r>
        <w:t xml:space="preserve"> </w:t>
      </w:r>
      <w:r w:rsidR="000B2BD1">
        <w:t xml:space="preserve">Sarosiek S, Treon SP. Bruton tyrosine kinase inhibitors in the management of Waldenström macroglobulinemia. Am </w:t>
      </w:r>
      <w:r w:rsidR="000B2BD1">
        <w:rPr>
          <w:rFonts w:hint="eastAsia"/>
        </w:rPr>
        <w:t>J Hematol. 2023;98(2):338</w:t>
      </w:r>
      <w:r w:rsidR="000B2BD1">
        <w:rPr>
          <w:rFonts w:hint="eastAsia"/>
        </w:rPr>
        <w:t>‐</w:t>
      </w:r>
      <w:r w:rsidR="000B2BD1">
        <w:rPr>
          <w:rFonts w:hint="eastAsia"/>
        </w:rPr>
        <w:t>347. doi:10.1002/ajh.26788</w:t>
      </w:r>
    </w:p>
  </w:footnote>
  <w:footnote w:id="4">
    <w:p w14:paraId="4568A83A" w14:textId="315FD0DF" w:rsidR="00024FAF" w:rsidRDefault="00024FAF" w:rsidP="00024FAF">
      <w:pPr>
        <w:pStyle w:val="FootnoteText"/>
      </w:pPr>
      <w:r>
        <w:rPr>
          <w:rStyle w:val="FootnoteReference"/>
        </w:rPr>
        <w:footnoteRef/>
      </w:r>
      <w:r>
        <w:t xml:space="preserve"> Consensus clinical practice guidelines for the treatment of patients with Waldenström Macroglobulinaemia (June 2022), Myeloma Australia. Accessed 22 October 2024</w:t>
      </w:r>
      <w:r w:rsidR="00931B6A">
        <w:t xml:space="preserve">. </w:t>
      </w:r>
      <w:hyperlink r:id="rId1" w:history="1">
        <w:r w:rsidR="002B0610" w:rsidRPr="002B0610">
          <w:rPr>
            <w:rStyle w:val="Hyperlink"/>
          </w:rPr>
          <w:t>MSAG-waldenstrom-guidelines-jun22.pdf</w:t>
        </w:r>
      </w:hyperlink>
      <w:r w:rsidR="00BD6C8A">
        <w:t>.</w:t>
      </w:r>
    </w:p>
  </w:footnote>
  <w:footnote w:id="5">
    <w:p w14:paraId="67939042" w14:textId="7279C281" w:rsidR="00110967" w:rsidRDefault="00110967">
      <w:pPr>
        <w:pStyle w:val="FootnoteText"/>
      </w:pPr>
      <w:r>
        <w:rPr>
          <w:rStyle w:val="FootnoteReference"/>
        </w:rPr>
        <w:footnoteRef/>
      </w:r>
      <w:r>
        <w:t xml:space="preserve"> </w:t>
      </w:r>
      <w:r w:rsidRPr="00C518AE">
        <w:t>BRUKINSA® (zanubrutinib)</w:t>
      </w:r>
      <w:r>
        <w:t xml:space="preserve">. Australian Approved Product Information. </w:t>
      </w:r>
      <w:r w:rsidRPr="00E417A3">
        <w:t>BeiGene AUS Pty Ltd</w:t>
      </w:r>
      <w:r>
        <w:t xml:space="preserve">. Approved 7 October 2021, updated 22 April 2024. Available from </w:t>
      </w:r>
      <w:hyperlink r:id="rId2" w:history="1">
        <w:r w:rsidRPr="00912781">
          <w:rPr>
            <w:rStyle w:val="Hyperlink"/>
          </w:rPr>
          <w:t>https://www.ebs.tga.gov.au/ebs/picmi/picmirepository.nsf/pdf?OpenAgent&amp;id=CP-2021-PI-02239-1&amp;d=20241023172310101</w:t>
        </w:r>
      </w:hyperlink>
    </w:p>
  </w:footnote>
  <w:footnote w:id="6">
    <w:p w14:paraId="2D7AC30F" w14:textId="2D2917D3" w:rsidR="00020D89" w:rsidRDefault="00020D89">
      <w:pPr>
        <w:pStyle w:val="FootnoteText"/>
      </w:pPr>
      <w:r>
        <w:rPr>
          <w:rStyle w:val="FootnoteReference"/>
        </w:rPr>
        <w:footnoteRef/>
      </w:r>
      <w:r>
        <w:t xml:space="preserve"> </w:t>
      </w:r>
      <w:r w:rsidR="00C84E83" w:rsidRPr="00C518AE">
        <w:t>BRUKINSA® (zanubrutinib)</w:t>
      </w:r>
      <w:r w:rsidR="00C84E83">
        <w:t xml:space="preserve">. Australian Approved Product Information. </w:t>
      </w:r>
      <w:r w:rsidR="00C84E83" w:rsidRPr="00E417A3">
        <w:t>BeiGene AUS Pty Ltd</w:t>
      </w:r>
      <w:r w:rsidR="00C84E83">
        <w:t xml:space="preserve">. Approved 7 October 2021, updated 22 April 2024. Available from </w:t>
      </w:r>
      <w:hyperlink r:id="rId3" w:history="1">
        <w:r w:rsidR="00C84E83" w:rsidRPr="00912781">
          <w:rPr>
            <w:rStyle w:val="Hyperlink"/>
          </w:rPr>
          <w:t>https://www.ebs.tga.gov.au/ebs/picmi/picmirepository.nsf/pdf?OpenAgent&amp;id=CP-2021-PI-02239-1&amp;d=20241023172310101</w:t>
        </w:r>
      </w:hyperlink>
    </w:p>
  </w:footnote>
  <w:footnote w:id="7">
    <w:p w14:paraId="1B5C7182" w14:textId="189450DF" w:rsidR="006F22F5" w:rsidRDefault="006F22F5" w:rsidP="000D1AFE">
      <w:pPr>
        <w:spacing w:after="0"/>
      </w:pPr>
      <w:r>
        <w:rPr>
          <w:rStyle w:val="FootnoteReference"/>
        </w:rPr>
        <w:footnoteRef/>
      </w:r>
      <w:r>
        <w:t xml:space="preserve"> </w:t>
      </w:r>
      <w:r w:rsidRPr="006F22F5">
        <w:rPr>
          <w:sz w:val="18"/>
          <w:szCs w:val="18"/>
        </w:rPr>
        <w:t>Chan, WL., Chong, V.C.L., Wee, I.J.Y. </w:t>
      </w:r>
      <w:r w:rsidRPr="006F22F5">
        <w:rPr>
          <w:i/>
          <w:iCs/>
          <w:sz w:val="18"/>
          <w:szCs w:val="18"/>
        </w:rPr>
        <w:t>et al.</w:t>
      </w:r>
      <w:r w:rsidRPr="006F22F5">
        <w:rPr>
          <w:sz w:val="18"/>
          <w:szCs w:val="18"/>
        </w:rPr>
        <w:t> Efficacy and safety of front-line treatment regimens for Waldenstrom macroglobulinaemia: a systematic review and meta-analysis. </w:t>
      </w:r>
      <w:r w:rsidRPr="006F22F5">
        <w:rPr>
          <w:i/>
          <w:iCs/>
          <w:sz w:val="18"/>
          <w:szCs w:val="18"/>
        </w:rPr>
        <w:t>Blood Cancer J.</w:t>
      </w:r>
      <w:r w:rsidRPr="006F22F5">
        <w:rPr>
          <w:sz w:val="18"/>
          <w:szCs w:val="18"/>
        </w:rPr>
        <w:t> </w:t>
      </w:r>
      <w:r w:rsidRPr="006F22F5">
        <w:rPr>
          <w:b/>
          <w:bCs/>
          <w:sz w:val="18"/>
          <w:szCs w:val="18"/>
        </w:rPr>
        <w:t>13</w:t>
      </w:r>
      <w:r w:rsidRPr="006F22F5">
        <w:rPr>
          <w:sz w:val="18"/>
          <w:szCs w:val="18"/>
        </w:rPr>
        <w:t>, 140 (2023). https://doi.org/10.1038/s41408-023-00916-5</w:t>
      </w:r>
    </w:p>
  </w:footnote>
  <w:footnote w:id="8">
    <w:p w14:paraId="34AD671A" w14:textId="29293D40" w:rsidR="00BE2D07" w:rsidRDefault="00BE2D07">
      <w:pPr>
        <w:pStyle w:val="FootnoteText"/>
      </w:pPr>
      <w:r>
        <w:rPr>
          <w:rStyle w:val="FootnoteReference"/>
        </w:rPr>
        <w:footnoteRef/>
      </w:r>
      <w:r>
        <w:t xml:space="preserve"> </w:t>
      </w:r>
      <w:r w:rsidR="000D1AFE">
        <w:t xml:space="preserve">Consensus clinical practice guidelines for the treatment of patients with Waldenström Macroglobulinaemia (June 2022), Myeloma Australia. Accessed 22 October 2024. </w:t>
      </w:r>
      <w:hyperlink r:id="rId4" w:history="1">
        <w:r w:rsidR="000D1AFE" w:rsidRPr="002B0610">
          <w:rPr>
            <w:rStyle w:val="Hyperlink"/>
          </w:rPr>
          <w:t>MSAG-waldenstrom-guidelines-jun22.pdf</w:t>
        </w:r>
      </w:hyperlink>
      <w:r w:rsidR="000D1AFE">
        <w:t>.</w:t>
      </w:r>
    </w:p>
  </w:footnote>
  <w:footnote w:id="9">
    <w:p w14:paraId="3FF8742A" w14:textId="540C6476" w:rsidR="00A864C0" w:rsidRDefault="00A864C0">
      <w:pPr>
        <w:pStyle w:val="FootnoteText"/>
      </w:pPr>
      <w:r>
        <w:rPr>
          <w:rStyle w:val="FootnoteReference"/>
        </w:rPr>
        <w:footnoteRef/>
      </w:r>
      <w:r>
        <w:t xml:space="preserve"> </w:t>
      </w:r>
      <w:r w:rsidRPr="00A864C0">
        <w:t>Waldenstrom macroglobulinaemia DRC (dexamethasone rituximab CYCLOPHOSPHamide)</w:t>
      </w:r>
      <w:r>
        <w:t xml:space="preserve"> treatment </w:t>
      </w:r>
      <w:r w:rsidR="00F4768C">
        <w:t xml:space="preserve">protocol – eviQ, accessed 29 October 2024, </w:t>
      </w:r>
      <w:hyperlink r:id="rId5" w:history="1">
        <w:r w:rsidR="00433F61" w:rsidRPr="00433F61">
          <w:rPr>
            <w:rStyle w:val="Hyperlink"/>
          </w:rPr>
          <w:t>1654-Waldenstrom macroglobulinaemia DRC (dexamethasone rituximab CYCLOPHOSPHamide) | eviQ</w:t>
        </w:r>
      </w:hyperlink>
    </w:p>
  </w:footnote>
  <w:footnote w:id="10">
    <w:p w14:paraId="2E44778C" w14:textId="77777777" w:rsidR="00E207EF" w:rsidRDefault="00E207EF" w:rsidP="00E207EF">
      <w:pPr>
        <w:pStyle w:val="FootnoteText"/>
      </w:pPr>
      <w:r>
        <w:rPr>
          <w:rStyle w:val="FootnoteReference"/>
        </w:rPr>
        <w:footnoteRef/>
      </w:r>
      <w:r>
        <w:t xml:space="preserve"> </w:t>
      </w:r>
      <w:r w:rsidRPr="00A864C0">
        <w:t>Waldenstrom macroglobulinaemia DRC (dexamethasone rituximab CYCLOPHOSPHamide)</w:t>
      </w:r>
      <w:r>
        <w:t xml:space="preserve"> treatment protocol – eviQ, accessed 29 October 2024, </w:t>
      </w:r>
      <w:hyperlink r:id="rId6" w:history="1">
        <w:r w:rsidRPr="00433F61">
          <w:rPr>
            <w:rStyle w:val="Hyperlink"/>
          </w:rPr>
          <w:t>1654-Waldenstrom macroglobulinaemia DRC (dexamethasone rituximab CYCLOPHOSPHamide) | eviQ</w:t>
        </w:r>
      </w:hyperlink>
    </w:p>
    <w:p w14:paraId="584B0F84" w14:textId="13AB08E2" w:rsidR="00E207EF" w:rsidRDefault="00E207EF">
      <w:pPr>
        <w:pStyle w:val="FootnoteText"/>
      </w:pPr>
    </w:p>
  </w:footnote>
  <w:footnote w:id="11">
    <w:p w14:paraId="546EAAA3" w14:textId="451ECB07" w:rsidR="00E765BB" w:rsidRDefault="00E765BB" w:rsidP="00E765BB">
      <w:pPr>
        <w:pStyle w:val="FootnoteText"/>
      </w:pPr>
      <w:r>
        <w:rPr>
          <w:rStyle w:val="FootnoteReference"/>
        </w:rPr>
        <w:footnoteRef/>
      </w:r>
      <w:r>
        <w:t xml:space="preserve"> Source – </w:t>
      </w:r>
      <w:r w:rsidRPr="00B42566">
        <w:t>Australian Institute of Health and Welfar</w:t>
      </w:r>
      <w:r>
        <w:t xml:space="preserve">e, </w:t>
      </w:r>
      <w:r w:rsidRPr="00384442">
        <w:t>Cancer data in Australia</w:t>
      </w:r>
      <w:r>
        <w:t xml:space="preserve">, </w:t>
      </w:r>
      <w:hyperlink r:id="rId7" w:history="1">
        <w:r w:rsidR="00911B40" w:rsidRPr="00911B40">
          <w:rPr>
            <w:rStyle w:val="Hyperlink"/>
          </w:rPr>
          <w:t>Cancer data in Australia, Blood cancer incidence and survival by histology (experimental data) - Australian Institute of Health and Welfare</w:t>
        </w:r>
      </w:hyperlink>
      <w:r>
        <w:t xml:space="preserve">, accessed </w:t>
      </w:r>
      <w:r w:rsidR="00BC3E16">
        <w:t>6 November</w:t>
      </w:r>
      <w:r>
        <w:t xml:space="preserve"> 2024.</w:t>
      </w:r>
    </w:p>
  </w:footnote>
  <w:footnote w:id="12">
    <w:p w14:paraId="56B820E8" w14:textId="77777777" w:rsidR="009E2E31" w:rsidRDefault="00110CD3" w:rsidP="009E2E31">
      <w:pPr>
        <w:pStyle w:val="FootnoteText"/>
      </w:pPr>
      <w:r>
        <w:rPr>
          <w:rStyle w:val="FootnoteReference"/>
        </w:rPr>
        <w:footnoteRef/>
      </w:r>
      <w:r>
        <w:t xml:space="preserve"> </w:t>
      </w:r>
      <w:r w:rsidR="009E2E31">
        <w:t xml:space="preserve">Source – </w:t>
      </w:r>
      <w:r w:rsidR="009E2E31" w:rsidRPr="00B42566">
        <w:t>Australian Institute of Health and Welfar</w:t>
      </w:r>
      <w:r w:rsidR="009E2E31">
        <w:t xml:space="preserve">e, </w:t>
      </w:r>
      <w:r w:rsidR="009E2E31" w:rsidRPr="00384442">
        <w:t>Cancer data in Australia</w:t>
      </w:r>
      <w:r w:rsidR="009E2E31">
        <w:t xml:space="preserve">, </w:t>
      </w:r>
      <w:hyperlink r:id="rId8" w:history="1">
        <w:r w:rsidR="009E2E31" w:rsidRPr="00911B40">
          <w:rPr>
            <w:rStyle w:val="Hyperlink"/>
          </w:rPr>
          <w:t>Cancer data in Australia, Blood cancer incidence and survival by histology (experimental data) - Australian Institute of Health and Welfare</w:t>
        </w:r>
      </w:hyperlink>
      <w:r w:rsidR="009E2E31">
        <w:t>, accessed 6 November 2024.</w:t>
      </w:r>
    </w:p>
    <w:p w14:paraId="32A9153C" w14:textId="70D34F47" w:rsidR="00110CD3" w:rsidRDefault="00110CD3">
      <w:pPr>
        <w:pStyle w:val="FootnoteText"/>
      </w:pPr>
    </w:p>
    <w:p w14:paraId="7B6E3F10" w14:textId="77777777" w:rsidR="009E2E31" w:rsidRDefault="009E2E31">
      <w:pPr>
        <w:pStyle w:val="FootnoteText"/>
      </w:pPr>
    </w:p>
  </w:footnote>
  <w:footnote w:id="13">
    <w:p w14:paraId="7093B220" w14:textId="77777777" w:rsidR="00FB05CC" w:rsidRDefault="00FB05CC" w:rsidP="00FB05CC">
      <w:pPr>
        <w:pStyle w:val="FootnoteText"/>
      </w:pPr>
      <w:r>
        <w:rPr>
          <w:rStyle w:val="FootnoteReference"/>
        </w:rPr>
        <w:footnoteRef/>
      </w:r>
      <w:r>
        <w:t xml:space="preserve"> Source – </w:t>
      </w:r>
      <w:r w:rsidRPr="00B42566">
        <w:t>Australian Institute of Health and Welfar</w:t>
      </w:r>
      <w:r>
        <w:t xml:space="preserve">e, </w:t>
      </w:r>
      <w:r w:rsidRPr="00384442">
        <w:t>Cancer data in Australia</w:t>
      </w:r>
      <w:r>
        <w:t xml:space="preserve">, </w:t>
      </w:r>
      <w:hyperlink r:id="rId9" w:history="1">
        <w:r w:rsidRPr="00911B40">
          <w:rPr>
            <w:rStyle w:val="Hyperlink"/>
          </w:rPr>
          <w:t>Cancer data in Australia, Blood cancer incidence and survival by histology (experimental data) - Australian Institute of Health and Welfare</w:t>
        </w:r>
      </w:hyperlink>
      <w:r>
        <w:t>, accessed 6 November 2024.</w:t>
      </w:r>
    </w:p>
    <w:p w14:paraId="2681C84C" w14:textId="6D25680A" w:rsidR="00FB05CC" w:rsidRDefault="00FB05C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A082C" w14:textId="6D3ED276" w:rsidR="00B74D72" w:rsidRDefault="00E96EE6">
    <w:pPr>
      <w:pStyle w:val="Header"/>
    </w:pPr>
    <w:r>
      <w:rPr>
        <w:noProof/>
      </w:rPr>
      <mc:AlternateContent>
        <mc:Choice Requires="wps">
          <w:drawing>
            <wp:anchor distT="0" distB="0" distL="0" distR="0" simplePos="0" relativeHeight="251671552" behindDoc="0" locked="0" layoutInCell="1" allowOverlap="1" wp14:anchorId="1E1CDBA0" wp14:editId="3DB99E3A">
              <wp:simplePos x="635" y="635"/>
              <wp:positionH relativeFrom="page">
                <wp:align>center</wp:align>
              </wp:positionH>
              <wp:positionV relativeFrom="page">
                <wp:align>top</wp:align>
              </wp:positionV>
              <wp:extent cx="748030" cy="376555"/>
              <wp:effectExtent l="0" t="0" r="13970" b="4445"/>
              <wp:wrapNone/>
              <wp:docPr id="970725128"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42D196B8" w14:textId="7D8FDD0B" w:rsidR="00E96EE6" w:rsidRPr="00E96EE6" w:rsidRDefault="00E96EE6" w:rsidP="00E96EE6">
                          <w:pPr>
                            <w:spacing w:after="0"/>
                            <w:rPr>
                              <w:rFonts w:ascii="Calibri" w:eastAsia="Calibri" w:hAnsi="Calibri" w:cs="Calibri"/>
                              <w:noProof/>
                              <w:color w:val="FF0000"/>
                            </w:rPr>
                          </w:pPr>
                          <w:r w:rsidRPr="00E96EE6">
                            <w:rPr>
                              <w:rFonts w:ascii="Calibri" w:eastAsia="Calibri" w:hAnsi="Calibri" w:cs="Calibri"/>
                              <w:noProof/>
                              <w:color w:val="FF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1CDBA0" id="_x0000_t202" coordsize="21600,21600" o:spt="202" path="m,l,21600r21600,l21600,xe">
              <v:stroke joinstyle="miter"/>
              <v:path gradientshapeok="t" o:connecttype="rect"/>
            </v:shapetype>
            <v:shape id="Text Box 2" o:spid="_x0000_s1026" type="#_x0000_t202" alt="UNOFFICIAL" style="position:absolute;margin-left:0;margin-top:0;width:58.9pt;height:29.65pt;z-index:251671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o5aCgIAABUEAAAOAAAAZHJzL2Uyb0RvYy54bWysU8Fu2zAMvQ/YPwi6L3bape2MOEXWIsOA&#10;oC2QFj0rshQbkERBUmJnXz9KtpOu62nYRaZI+pF8fJrfdlqRg3C+AVPS6SSnRBgOVWN2JX15Xn25&#10;ocQHZiqmwIiSHoWnt4vPn+atLcQF1KAq4QiCGF+0tqR1CLbIMs9roZmfgBUGgxKcZgGvbpdVjrWI&#10;rlV2kedXWQuusg648B69932QLhK+lIKHRym9CESVFHsL6XTp3MYzW8xZsXPM1g0f2mD/0IVmjcGi&#10;J6h7FhjZu+YvKN1wBx5kmHDQGUjZcJFmwGmm+btpNjWzIs2C5Hh7osn/P1j+cNjYJ0dC9x06XGAk&#10;pLW+8OiM83TS6fjFTgnGkcLjiTbRBcLRef31Jr/ECMfQ5fXVbDaLKNn5Z+t8+CFAk2iU1OFWElns&#10;sPahTx1TYi0Dq0aptBll/nAgZvRk5w6jFbptN7S9heqI0zjoF+0tXzVYc818eGION4ttolrDIx5S&#10;QVtSGCxKanC/PvLHfCQco5S0qJSSGpQyJeqnwUVEUSVj+i2f5Xhzo3s7Gmav7wD1N8WnYHkyY15Q&#10;oykd6FfU8TIWwhAzHMuVNIzmXegli++Ai+UyJaF+LAtrs7E8QkeeIonP3StzdmA64IoeYJQRK94R&#10;3ufGP71d7gPSnrYROe2JHKhG7aV9Du8kivvtPWWdX/PiNwAAAP//AwBQSwMEFAAGAAgAAAAhAFtf&#10;f1naAAAABAEAAA8AAABkcnMvZG93bnJldi54bWxMj0tPwzAQhO9I/AdrkbhRx6DwCHGqCqmH3kp5&#10;nN14SQLxOoq3beivZ8sFLiOtZjXzTTmfQq/2OKYukgUzy0Ah1dF31Fh4fVle3YNK7Mi7PhJa+MYE&#10;8+r8rHSFjwd6xv2GGyUhlApnoWUeCq1T3WJwaRYHJPE+4hgcyzk22o/uIOGh19dZdquD60gaWjfg&#10;U4v112YXLHT5IrLBt9Xy8z2YaI7rVX5cW3t5MS0eQTFO/PcMJ3xBh0qYtnFHPqneggzhXz155k5m&#10;bC3kDzegq1L/h69+AAAA//8DAFBLAQItABQABgAIAAAAIQC2gziS/gAAAOEBAAATAAAAAAAAAAAA&#10;AAAAAAAAAABbQ29udGVudF9UeXBlc10ueG1sUEsBAi0AFAAGAAgAAAAhADj9If/WAAAAlAEAAAsA&#10;AAAAAAAAAAAAAAAALwEAAF9yZWxzLy5yZWxzUEsBAi0AFAAGAAgAAAAhAMlmjloKAgAAFQQAAA4A&#10;AAAAAAAAAAAAAAAALgIAAGRycy9lMm9Eb2MueG1sUEsBAi0AFAAGAAgAAAAhAFtff1naAAAABAEA&#10;AA8AAAAAAAAAAAAAAAAAZAQAAGRycy9kb3ducmV2LnhtbFBLBQYAAAAABAAEAPMAAABrBQAAAAA=&#10;" filled="f" stroked="f">
              <v:fill o:detectmouseclick="t"/>
              <v:textbox style="mso-fit-shape-to-text:t" inset="0,15pt,0,0">
                <w:txbxContent>
                  <w:p w14:paraId="42D196B8" w14:textId="7D8FDD0B" w:rsidR="00E96EE6" w:rsidRPr="00E96EE6" w:rsidRDefault="00E96EE6" w:rsidP="00E96EE6">
                    <w:pPr>
                      <w:spacing w:after="0"/>
                      <w:rPr>
                        <w:rFonts w:ascii="Calibri" w:eastAsia="Calibri" w:hAnsi="Calibri" w:cs="Calibri"/>
                        <w:noProof/>
                        <w:color w:val="FF0000"/>
                      </w:rPr>
                    </w:pPr>
                    <w:r w:rsidRPr="00E96EE6">
                      <w:rPr>
                        <w:rFonts w:ascii="Calibri" w:eastAsia="Calibri" w:hAnsi="Calibri" w:cs="Calibri"/>
                        <w:noProof/>
                        <w:color w:val="FF0000"/>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B26C0" w14:textId="07CDA1B7" w:rsidR="00B74D72" w:rsidRDefault="00E96EE6">
    <w:pPr>
      <w:pStyle w:val="Header"/>
    </w:pPr>
    <w:r>
      <w:rPr>
        <w:noProof/>
      </w:rPr>
      <mc:AlternateContent>
        <mc:Choice Requires="wps">
          <w:drawing>
            <wp:anchor distT="0" distB="0" distL="0" distR="0" simplePos="0" relativeHeight="251672576" behindDoc="0" locked="0" layoutInCell="1" allowOverlap="1" wp14:anchorId="76C1A3D9" wp14:editId="2493B4C8">
              <wp:simplePos x="1009767" y="448785"/>
              <wp:positionH relativeFrom="page">
                <wp:align>center</wp:align>
              </wp:positionH>
              <wp:positionV relativeFrom="page">
                <wp:align>top</wp:align>
              </wp:positionV>
              <wp:extent cx="748030" cy="376555"/>
              <wp:effectExtent l="0" t="0" r="13970" b="4445"/>
              <wp:wrapNone/>
              <wp:docPr id="1882163664" name="Text Box 3"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09D2B855" w14:textId="73F646DA" w:rsidR="00E96EE6" w:rsidRPr="00E96EE6" w:rsidRDefault="00E96EE6" w:rsidP="00E96EE6">
                          <w:pPr>
                            <w:spacing w:after="0"/>
                            <w:rPr>
                              <w:rFonts w:ascii="Calibri" w:eastAsia="Calibri" w:hAnsi="Calibri" w:cs="Calibri"/>
                              <w:noProof/>
                              <w:color w:val="FF0000"/>
                            </w:rPr>
                          </w:pPr>
                          <w:r w:rsidRPr="00E96EE6">
                            <w:rPr>
                              <w:rFonts w:ascii="Calibri" w:eastAsia="Calibri" w:hAnsi="Calibri" w:cs="Calibri"/>
                              <w:noProof/>
                              <w:color w:val="FF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C1A3D9" id="_x0000_t202" coordsize="21600,21600" o:spt="202" path="m,l,21600r21600,l21600,xe">
              <v:stroke joinstyle="miter"/>
              <v:path gradientshapeok="t" o:connecttype="rect"/>
            </v:shapetype>
            <v:shape id="Text Box 3" o:spid="_x0000_s1027" type="#_x0000_t202" alt="UNOFFICIAL" style="position:absolute;margin-left:0;margin-top:0;width:58.9pt;height:29.65pt;z-index:251672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jzdDAIAABwEAAAOAAAAZHJzL2Uyb0RvYy54bWysU8Fu2zAMvQ/YPwi6L3bape2MOEXWIsOA&#10;oC2QDj0rshQbkEVBYmJnXz9Kjpuu22nYRaZI+pF8fJrf9q1hB+VDA7bk00nOmbISqsbuSv7jefXp&#10;hrOAwlbCgFUlP6rAbxcfP8w7V6gLqMFUyjMCsaHoXMlrRFdkWZC1akWYgFOWghp8K5CufpdVXnSE&#10;3prsIs+vsg585TxIFQJ574cgXyR8rZXER62DQmZKTr1hOn06t/HMFnNR7LxwdSNPbYh/6KIVjaWi&#10;r1D3AgXb++YPqLaRHgJonEhoM9C6kSrNQNNM83fTbGrhVJqFyAnulabw/2Dlw2HjnjzD/iv0tMBI&#10;SOdCEcgZ5+m1b+OXOmUUJwqPr7SpHpkk5/Xnm/ySIpJCl9dXs9ksomTnn50P+E1By6JRck9bSWSJ&#10;wzrgkDqmxFoWVo0xaTPG/uYgzOjJzh1GC/ttz5rqTfdbqI40lIdh38HJVUOl1yLgk/C0YOqWRIuP&#10;dGgDXcnhZHFWg//5N3/MJ94pyllHgim5JUVzZr5b2kfUVjKmX/JZTjc/urejYfftHZAMp/QinExm&#10;zEMzmtpD+0JyXsZCFBJWUrmS42je4aBceg5SLZcpiWTkBK7txskIHemKXD73L8K7E+FIm3qAUU2i&#10;eMf7kBv/DG65R2I/LSVSOxB5YpwkmNZ6ei5R42/vKev8qBe/AAAA//8DAFBLAwQUAAYACAAAACEA&#10;W19/WdoAAAAEAQAADwAAAGRycy9kb3ducmV2LnhtbEyPS0/DMBCE70j8B2uRuFHHoPAIcaoKqYfe&#10;Snmc3XhJAvE6irdt6K9nywUuI61mNfNNOZ9Cr/Y4pi6SBTPLQCHV0XfUWHh9WV7dg0rsyLs+Elr4&#10;xgTz6vysdIWPB3rG/YYbJSGUCmehZR4KrVPdYnBpFgck8T7iGBzLOTbaj+4g4aHX11l2q4PrSBpa&#10;N+BTi/XXZhcsdPkissG31fLzPZhojutVflxbe3kxLR5BMU789wwnfEGHSpi2cUc+qd6CDOFfPXnm&#10;TmZsLeQPN6CrUv+Hr34AAAD//wMAUEsBAi0AFAAGAAgAAAAhALaDOJL+AAAA4QEAABMAAAAAAAAA&#10;AAAAAAAAAAAAAFtDb250ZW50X1R5cGVzXS54bWxQSwECLQAUAAYACAAAACEAOP0h/9YAAACUAQAA&#10;CwAAAAAAAAAAAAAAAAAvAQAAX3JlbHMvLnJlbHNQSwECLQAUAAYACAAAACEAwJY83QwCAAAcBAAA&#10;DgAAAAAAAAAAAAAAAAAuAgAAZHJzL2Uyb0RvYy54bWxQSwECLQAUAAYACAAAACEAW19/WdoAAAAE&#10;AQAADwAAAAAAAAAAAAAAAABmBAAAZHJzL2Rvd25yZXYueG1sUEsFBgAAAAAEAAQA8wAAAG0FAAAA&#10;AA==&#10;" filled="f" stroked="f">
              <v:fill o:detectmouseclick="t"/>
              <v:textbox style="mso-fit-shape-to-text:t" inset="0,15pt,0,0">
                <w:txbxContent>
                  <w:p w14:paraId="09D2B855" w14:textId="73F646DA" w:rsidR="00E96EE6" w:rsidRPr="00E96EE6" w:rsidRDefault="00E96EE6" w:rsidP="00E96EE6">
                    <w:pPr>
                      <w:spacing w:after="0"/>
                      <w:rPr>
                        <w:rFonts w:ascii="Calibri" w:eastAsia="Calibri" w:hAnsi="Calibri" w:cs="Calibri"/>
                        <w:noProof/>
                        <w:color w:val="FF0000"/>
                      </w:rPr>
                    </w:pPr>
                    <w:r w:rsidRPr="00E96EE6">
                      <w:rPr>
                        <w:rFonts w:ascii="Calibri" w:eastAsia="Calibri" w:hAnsi="Calibri" w:cs="Calibri"/>
                        <w:noProof/>
                        <w:color w:val="FF0000"/>
                      </w:rPr>
                      <w:t>UNOFFICIAL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EF87E" w14:textId="48B55404" w:rsidR="00B74D72" w:rsidRDefault="00E96EE6">
    <w:pPr>
      <w:pStyle w:val="Header"/>
    </w:pPr>
    <w:r>
      <w:rPr>
        <w:noProof/>
      </w:rPr>
      <mc:AlternateContent>
        <mc:Choice Requires="wps">
          <w:drawing>
            <wp:anchor distT="0" distB="0" distL="0" distR="0" simplePos="0" relativeHeight="251670528" behindDoc="0" locked="0" layoutInCell="1" allowOverlap="1" wp14:anchorId="6F64EA67" wp14:editId="4F2A9472">
              <wp:simplePos x="635" y="635"/>
              <wp:positionH relativeFrom="page">
                <wp:align>center</wp:align>
              </wp:positionH>
              <wp:positionV relativeFrom="page">
                <wp:align>top</wp:align>
              </wp:positionV>
              <wp:extent cx="748030" cy="376555"/>
              <wp:effectExtent l="0" t="0" r="13970" b="4445"/>
              <wp:wrapNone/>
              <wp:docPr id="326793287"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3752F0B8" w14:textId="03E984EF" w:rsidR="00E96EE6" w:rsidRPr="00E96EE6" w:rsidRDefault="00E96EE6" w:rsidP="00E96EE6">
                          <w:pPr>
                            <w:spacing w:after="0"/>
                            <w:rPr>
                              <w:rFonts w:ascii="Calibri" w:eastAsia="Calibri" w:hAnsi="Calibri" w:cs="Calibri"/>
                              <w:noProof/>
                              <w:color w:val="FF0000"/>
                            </w:rPr>
                          </w:pPr>
                          <w:r w:rsidRPr="00E96EE6">
                            <w:rPr>
                              <w:rFonts w:ascii="Calibri" w:eastAsia="Calibri" w:hAnsi="Calibri" w:cs="Calibri"/>
                              <w:noProof/>
                              <w:color w:val="FF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64EA67" id="_x0000_t202" coordsize="21600,21600" o:spt="202" path="m,l,21600r21600,l21600,xe">
              <v:stroke joinstyle="miter"/>
              <v:path gradientshapeok="t" o:connecttype="rect"/>
            </v:shapetype>
            <v:shape id="Text Box 1" o:spid="_x0000_s1030" type="#_x0000_t202" alt="UNOFFICIAL" style="position:absolute;margin-left:0;margin-top:0;width:58.9pt;height:29.6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EQWDgIAABwEAAAOAAAAZHJzL2Uyb0RvYy54bWysU8Fu2zAMvQ/YPwi6L3bapu2MOEXWIsOA&#10;oi2QDj0rshQbkEVBYmJnXz9KjpOt22nYRaZI+pF8fJrf9a1he+VDA7bk00nOmbISqsZuS/79dfXp&#10;lrOAwlbCgFUlP6jA7xYfP8w7V6gLqMFUyjMCsaHoXMlrRFdkWZC1akWYgFOWghp8K5CufptVXnSE&#10;3prsIs+vsw585TxIFQJ5H4YgXyR8rZXEZ62DQmZKTr1hOn06N/HMFnNRbL1wdSOPbYh/6KIVjaWi&#10;J6gHgYLtfPMHVNtIDwE0TiS0GWjdSJVmoGmm+btp1rVwKs1C5AR3oin8P1j5tF+7F8+w/wI9LTAS&#10;0rlQBHLGeXrt2/ilThnFicLDiTbVI5PkvLm6zS8pIil0eXM9m80iSnb+2fmAXxW0LBol97SVRJbY&#10;PwYcUseUWMvCqjEmbcbY3xyEGT3ZucNoYb/pWVOV/GrsfgPVgYbyMOw7OLlqqPSjCPgiPC2YuiXR&#10;4jMd2kBXcjhanNXgf/zNH/OJd4py1pFgSm5J0ZyZb5b2EbWVjOnnfJbTzY/uzWjYXXsPJMMpvQgn&#10;kxnz0Iym9tC+kZyXsRCFhJVUruQ4mvc4KJeeg1TLZUoiGTmBj3btZISOdEUuX/s34d2RcKRNPcGo&#10;JlG8433IjX8Gt9whsZ+WEqkdiDwyThJMaz0+l6jxX+8p6/yoFz8BAAD//wMAUEsDBBQABgAIAAAA&#10;IQBbX39Z2gAAAAQBAAAPAAAAZHJzL2Rvd25yZXYueG1sTI9LT8MwEITvSPwHa5G4Uceg8Ahxqgqp&#10;h95KeZzdeEkC8TqKt23or2fLBS4jrWY18005n0Kv9jimLpIFM8tAIdXRd9RYeH1ZXt2DSuzIuz4S&#10;WvjGBPPq/Kx0hY8Hesb9hhslIZQKZ6FlHgqtU91icGkWByTxPuIYHMs5NtqP7iDhodfXWXarg+tI&#10;Glo34FOL9ddmFyx0+SKywbfV8vM9mGiO61V+XFt7eTEtHkExTvz3DCd8QYdKmLZxRz6p3oIM4V89&#10;eeZOZmwt5A83oKtS/4evfgAAAP//AwBQSwECLQAUAAYACAAAACEAtoM4kv4AAADhAQAAEwAAAAAA&#10;AAAAAAAAAAAAAAAAW0NvbnRlbnRfVHlwZXNdLnhtbFBLAQItABQABgAIAAAAIQA4/SH/1gAAAJQB&#10;AAALAAAAAAAAAAAAAAAAAC8BAABfcmVscy8ucmVsc1BLAQItABQABgAIAAAAIQAZ1EQWDgIAABwE&#10;AAAOAAAAAAAAAAAAAAAAAC4CAABkcnMvZTJvRG9jLnhtbFBLAQItABQABgAIAAAAIQBbX39Z2gAA&#10;AAQBAAAPAAAAAAAAAAAAAAAAAGgEAABkcnMvZG93bnJldi54bWxQSwUGAAAAAAQABADzAAAAbwUA&#10;AAAA&#10;" filled="f" stroked="f">
              <v:fill o:detectmouseclick="t"/>
              <v:textbox style="mso-fit-shape-to-text:t" inset="0,15pt,0,0">
                <w:txbxContent>
                  <w:p w14:paraId="3752F0B8" w14:textId="03E984EF" w:rsidR="00E96EE6" w:rsidRPr="00E96EE6" w:rsidRDefault="00E96EE6" w:rsidP="00E96EE6">
                    <w:pPr>
                      <w:spacing w:after="0"/>
                      <w:rPr>
                        <w:rFonts w:ascii="Calibri" w:eastAsia="Calibri" w:hAnsi="Calibri" w:cs="Calibri"/>
                        <w:noProof/>
                        <w:color w:val="FF0000"/>
                      </w:rPr>
                    </w:pPr>
                    <w:r w:rsidRPr="00E96EE6">
                      <w:rPr>
                        <w:rFonts w:ascii="Calibri" w:eastAsia="Calibri" w:hAnsi="Calibri" w:cs="Calibri"/>
                        <w:noProof/>
                        <w:color w:val="FF0000"/>
                      </w:rPr>
                      <w:t>UNOFFICIAL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44236"/>
    <w:multiLevelType w:val="hybridMultilevel"/>
    <w:tmpl w:val="829C3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06E20D7"/>
    <w:multiLevelType w:val="hybridMultilevel"/>
    <w:tmpl w:val="323CB4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0E90BBE"/>
    <w:multiLevelType w:val="hybridMultilevel"/>
    <w:tmpl w:val="5B82ED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66785208"/>
    <w:multiLevelType w:val="hybridMultilevel"/>
    <w:tmpl w:val="979E10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2880EB7"/>
    <w:multiLevelType w:val="hybridMultilevel"/>
    <w:tmpl w:val="811C8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852914269">
    <w:abstractNumId w:val="4"/>
  </w:num>
  <w:num w:numId="2" w16cid:durableId="547954275">
    <w:abstractNumId w:val="2"/>
  </w:num>
  <w:num w:numId="3" w16cid:durableId="1204559720">
    <w:abstractNumId w:val="0"/>
  </w:num>
  <w:num w:numId="4" w16cid:durableId="2010402266">
    <w:abstractNumId w:val="3"/>
  </w:num>
  <w:num w:numId="5" w16cid:durableId="593439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041"/>
    <w:rsid w:val="00000C4F"/>
    <w:rsid w:val="00001BFB"/>
    <w:rsid w:val="00005B4A"/>
    <w:rsid w:val="00007E85"/>
    <w:rsid w:val="00011C7B"/>
    <w:rsid w:val="00012AEB"/>
    <w:rsid w:val="00013465"/>
    <w:rsid w:val="000142B6"/>
    <w:rsid w:val="0002027B"/>
    <w:rsid w:val="00020D89"/>
    <w:rsid w:val="0002227A"/>
    <w:rsid w:val="000226B3"/>
    <w:rsid w:val="00022DE1"/>
    <w:rsid w:val="00023665"/>
    <w:rsid w:val="00024549"/>
    <w:rsid w:val="00024FAF"/>
    <w:rsid w:val="00027664"/>
    <w:rsid w:val="00030122"/>
    <w:rsid w:val="00030415"/>
    <w:rsid w:val="00030C15"/>
    <w:rsid w:val="00036C92"/>
    <w:rsid w:val="00037126"/>
    <w:rsid w:val="00043107"/>
    <w:rsid w:val="00043476"/>
    <w:rsid w:val="000450E9"/>
    <w:rsid w:val="00045274"/>
    <w:rsid w:val="00046262"/>
    <w:rsid w:val="00050494"/>
    <w:rsid w:val="0005327D"/>
    <w:rsid w:val="000544B6"/>
    <w:rsid w:val="000544EF"/>
    <w:rsid w:val="000551A3"/>
    <w:rsid w:val="000604AF"/>
    <w:rsid w:val="00060D9F"/>
    <w:rsid w:val="00061741"/>
    <w:rsid w:val="00063F10"/>
    <w:rsid w:val="00065DA7"/>
    <w:rsid w:val="00070798"/>
    <w:rsid w:val="000777EB"/>
    <w:rsid w:val="00080992"/>
    <w:rsid w:val="00081163"/>
    <w:rsid w:val="00083EBD"/>
    <w:rsid w:val="00086C11"/>
    <w:rsid w:val="000879B0"/>
    <w:rsid w:val="00090939"/>
    <w:rsid w:val="0009469A"/>
    <w:rsid w:val="00094DCF"/>
    <w:rsid w:val="000A05C8"/>
    <w:rsid w:val="000A0760"/>
    <w:rsid w:val="000A2C46"/>
    <w:rsid w:val="000A5E0B"/>
    <w:rsid w:val="000A6CFD"/>
    <w:rsid w:val="000B0327"/>
    <w:rsid w:val="000B0982"/>
    <w:rsid w:val="000B2BD1"/>
    <w:rsid w:val="000B3ED0"/>
    <w:rsid w:val="000B4F3D"/>
    <w:rsid w:val="000B796C"/>
    <w:rsid w:val="000C46BB"/>
    <w:rsid w:val="000C4D9D"/>
    <w:rsid w:val="000C4EF7"/>
    <w:rsid w:val="000C5ADC"/>
    <w:rsid w:val="000C6FCF"/>
    <w:rsid w:val="000C7A25"/>
    <w:rsid w:val="000C7B3F"/>
    <w:rsid w:val="000C7C4B"/>
    <w:rsid w:val="000C7D8B"/>
    <w:rsid w:val="000D1AFE"/>
    <w:rsid w:val="000D4C6A"/>
    <w:rsid w:val="000E485D"/>
    <w:rsid w:val="000E5B23"/>
    <w:rsid w:val="000E72C6"/>
    <w:rsid w:val="000E78D9"/>
    <w:rsid w:val="000F17D2"/>
    <w:rsid w:val="000F1893"/>
    <w:rsid w:val="000F1C8A"/>
    <w:rsid w:val="000F2F51"/>
    <w:rsid w:val="000F4897"/>
    <w:rsid w:val="000F5A1F"/>
    <w:rsid w:val="00100283"/>
    <w:rsid w:val="0010163F"/>
    <w:rsid w:val="001022E2"/>
    <w:rsid w:val="00102D02"/>
    <w:rsid w:val="00104764"/>
    <w:rsid w:val="00105A56"/>
    <w:rsid w:val="00106584"/>
    <w:rsid w:val="001074CF"/>
    <w:rsid w:val="00110967"/>
    <w:rsid w:val="00110CD3"/>
    <w:rsid w:val="00111B3A"/>
    <w:rsid w:val="00113B8C"/>
    <w:rsid w:val="00113CF8"/>
    <w:rsid w:val="00113D74"/>
    <w:rsid w:val="00117C5C"/>
    <w:rsid w:val="00125F0E"/>
    <w:rsid w:val="00130D77"/>
    <w:rsid w:val="001310AE"/>
    <w:rsid w:val="0013201E"/>
    <w:rsid w:val="0013341D"/>
    <w:rsid w:val="001411FF"/>
    <w:rsid w:val="001420B3"/>
    <w:rsid w:val="001442B9"/>
    <w:rsid w:val="00144373"/>
    <w:rsid w:val="001460C4"/>
    <w:rsid w:val="00151AE8"/>
    <w:rsid w:val="00152A41"/>
    <w:rsid w:val="0015691C"/>
    <w:rsid w:val="00157A64"/>
    <w:rsid w:val="001621F7"/>
    <w:rsid w:val="001624D7"/>
    <w:rsid w:val="00163FF9"/>
    <w:rsid w:val="00165557"/>
    <w:rsid w:val="00166A68"/>
    <w:rsid w:val="001751EA"/>
    <w:rsid w:val="00177545"/>
    <w:rsid w:val="00177B86"/>
    <w:rsid w:val="00180D54"/>
    <w:rsid w:val="00182585"/>
    <w:rsid w:val="001905A9"/>
    <w:rsid w:val="00191182"/>
    <w:rsid w:val="00193F8E"/>
    <w:rsid w:val="0019664D"/>
    <w:rsid w:val="00197F80"/>
    <w:rsid w:val="001A6103"/>
    <w:rsid w:val="001B1E31"/>
    <w:rsid w:val="001B1EC4"/>
    <w:rsid w:val="001B2063"/>
    <w:rsid w:val="001B538D"/>
    <w:rsid w:val="001B55BF"/>
    <w:rsid w:val="001B5D37"/>
    <w:rsid w:val="001B6360"/>
    <w:rsid w:val="001C1641"/>
    <w:rsid w:val="001C2940"/>
    <w:rsid w:val="001C2A9E"/>
    <w:rsid w:val="001C4016"/>
    <w:rsid w:val="001C4FF5"/>
    <w:rsid w:val="001C548D"/>
    <w:rsid w:val="001C6A5D"/>
    <w:rsid w:val="001D2F0F"/>
    <w:rsid w:val="001D544B"/>
    <w:rsid w:val="001D6656"/>
    <w:rsid w:val="001D73CC"/>
    <w:rsid w:val="001E0A36"/>
    <w:rsid w:val="001E31A6"/>
    <w:rsid w:val="001E42C7"/>
    <w:rsid w:val="001E4CAB"/>
    <w:rsid w:val="001E6DFA"/>
    <w:rsid w:val="001E7296"/>
    <w:rsid w:val="001E75BE"/>
    <w:rsid w:val="001F0A4E"/>
    <w:rsid w:val="001F1246"/>
    <w:rsid w:val="001F2F3E"/>
    <w:rsid w:val="001F43FF"/>
    <w:rsid w:val="001F4906"/>
    <w:rsid w:val="001F5E91"/>
    <w:rsid w:val="001F7C4A"/>
    <w:rsid w:val="00205428"/>
    <w:rsid w:val="0020578A"/>
    <w:rsid w:val="00207631"/>
    <w:rsid w:val="00212458"/>
    <w:rsid w:val="00212499"/>
    <w:rsid w:val="00212A52"/>
    <w:rsid w:val="00214013"/>
    <w:rsid w:val="002203C2"/>
    <w:rsid w:val="00220FC1"/>
    <w:rsid w:val="0022147A"/>
    <w:rsid w:val="00222E9A"/>
    <w:rsid w:val="00223DBA"/>
    <w:rsid w:val="00225245"/>
    <w:rsid w:val="00225626"/>
    <w:rsid w:val="0022613D"/>
    <w:rsid w:val="00226539"/>
    <w:rsid w:val="002273EE"/>
    <w:rsid w:val="0023135A"/>
    <w:rsid w:val="0023179D"/>
    <w:rsid w:val="00233CFB"/>
    <w:rsid w:val="0023433A"/>
    <w:rsid w:val="00236BB5"/>
    <w:rsid w:val="002400B3"/>
    <w:rsid w:val="002521C9"/>
    <w:rsid w:val="0025389D"/>
    <w:rsid w:val="00254E02"/>
    <w:rsid w:val="00261531"/>
    <w:rsid w:val="0026265F"/>
    <w:rsid w:val="00263FD4"/>
    <w:rsid w:val="0027581C"/>
    <w:rsid w:val="00280B9F"/>
    <w:rsid w:val="002818C2"/>
    <w:rsid w:val="00283FFC"/>
    <w:rsid w:val="002865C8"/>
    <w:rsid w:val="00286C3A"/>
    <w:rsid w:val="002930F5"/>
    <w:rsid w:val="0029472A"/>
    <w:rsid w:val="002A06B7"/>
    <w:rsid w:val="002B0610"/>
    <w:rsid w:val="002B2681"/>
    <w:rsid w:val="002B7EDF"/>
    <w:rsid w:val="002C19DB"/>
    <w:rsid w:val="002C6E0C"/>
    <w:rsid w:val="002D127D"/>
    <w:rsid w:val="002D144A"/>
    <w:rsid w:val="002D4B42"/>
    <w:rsid w:val="002D5B33"/>
    <w:rsid w:val="002E0641"/>
    <w:rsid w:val="002E19A3"/>
    <w:rsid w:val="002E1FC8"/>
    <w:rsid w:val="002E212B"/>
    <w:rsid w:val="002E3337"/>
    <w:rsid w:val="002E6D03"/>
    <w:rsid w:val="002F0A0E"/>
    <w:rsid w:val="002F2322"/>
    <w:rsid w:val="002F47C1"/>
    <w:rsid w:val="002F49A8"/>
    <w:rsid w:val="002F5540"/>
    <w:rsid w:val="002F5863"/>
    <w:rsid w:val="002F5E66"/>
    <w:rsid w:val="002F61CA"/>
    <w:rsid w:val="002F66A8"/>
    <w:rsid w:val="002F738F"/>
    <w:rsid w:val="0030010D"/>
    <w:rsid w:val="003006CE"/>
    <w:rsid w:val="0030206A"/>
    <w:rsid w:val="00316728"/>
    <w:rsid w:val="00321185"/>
    <w:rsid w:val="00321ED7"/>
    <w:rsid w:val="00321F68"/>
    <w:rsid w:val="003337EA"/>
    <w:rsid w:val="00333818"/>
    <w:rsid w:val="00333E64"/>
    <w:rsid w:val="003347CD"/>
    <w:rsid w:val="00334ABC"/>
    <w:rsid w:val="0033504C"/>
    <w:rsid w:val="00336816"/>
    <w:rsid w:val="003370D0"/>
    <w:rsid w:val="00337355"/>
    <w:rsid w:val="003378CF"/>
    <w:rsid w:val="003402E4"/>
    <w:rsid w:val="00340F95"/>
    <w:rsid w:val="00342855"/>
    <w:rsid w:val="00346762"/>
    <w:rsid w:val="00352F2B"/>
    <w:rsid w:val="003531ED"/>
    <w:rsid w:val="00354139"/>
    <w:rsid w:val="00354337"/>
    <w:rsid w:val="0035545D"/>
    <w:rsid w:val="0035779C"/>
    <w:rsid w:val="00360B9A"/>
    <w:rsid w:val="00361049"/>
    <w:rsid w:val="00363892"/>
    <w:rsid w:val="00365B8C"/>
    <w:rsid w:val="00367638"/>
    <w:rsid w:val="0037043A"/>
    <w:rsid w:val="00373449"/>
    <w:rsid w:val="0037670F"/>
    <w:rsid w:val="00376C7D"/>
    <w:rsid w:val="00384DBE"/>
    <w:rsid w:val="00387613"/>
    <w:rsid w:val="00387CD8"/>
    <w:rsid w:val="0039017F"/>
    <w:rsid w:val="00390A24"/>
    <w:rsid w:val="00391222"/>
    <w:rsid w:val="00394AEE"/>
    <w:rsid w:val="003A1631"/>
    <w:rsid w:val="003B10E6"/>
    <w:rsid w:val="003B5EE8"/>
    <w:rsid w:val="003C0256"/>
    <w:rsid w:val="003C231F"/>
    <w:rsid w:val="003C2D98"/>
    <w:rsid w:val="003C36AD"/>
    <w:rsid w:val="003C3879"/>
    <w:rsid w:val="003C57F0"/>
    <w:rsid w:val="003C64B4"/>
    <w:rsid w:val="003C6793"/>
    <w:rsid w:val="003D056A"/>
    <w:rsid w:val="003D2F9C"/>
    <w:rsid w:val="003D3548"/>
    <w:rsid w:val="003D3A96"/>
    <w:rsid w:val="003D3B9C"/>
    <w:rsid w:val="003D41BD"/>
    <w:rsid w:val="003E1D08"/>
    <w:rsid w:val="003E2E79"/>
    <w:rsid w:val="003E34A1"/>
    <w:rsid w:val="003E48D6"/>
    <w:rsid w:val="003E4D95"/>
    <w:rsid w:val="003E664F"/>
    <w:rsid w:val="003E6C75"/>
    <w:rsid w:val="003F1C18"/>
    <w:rsid w:val="003F426D"/>
    <w:rsid w:val="00400A1C"/>
    <w:rsid w:val="00404F03"/>
    <w:rsid w:val="004107CA"/>
    <w:rsid w:val="00412051"/>
    <w:rsid w:val="0041616B"/>
    <w:rsid w:val="00423B94"/>
    <w:rsid w:val="00426838"/>
    <w:rsid w:val="00426FB2"/>
    <w:rsid w:val="004273E8"/>
    <w:rsid w:val="00433F61"/>
    <w:rsid w:val="00436C07"/>
    <w:rsid w:val="00441D74"/>
    <w:rsid w:val="004423A1"/>
    <w:rsid w:val="00445C07"/>
    <w:rsid w:val="00447833"/>
    <w:rsid w:val="00450BBC"/>
    <w:rsid w:val="0045695E"/>
    <w:rsid w:val="0046027A"/>
    <w:rsid w:val="00460ADC"/>
    <w:rsid w:val="00463731"/>
    <w:rsid w:val="00463BB2"/>
    <w:rsid w:val="0046400A"/>
    <w:rsid w:val="00464284"/>
    <w:rsid w:val="00467B25"/>
    <w:rsid w:val="004724EE"/>
    <w:rsid w:val="00473329"/>
    <w:rsid w:val="00476CB5"/>
    <w:rsid w:val="00481108"/>
    <w:rsid w:val="004819E8"/>
    <w:rsid w:val="00482F98"/>
    <w:rsid w:val="004878E5"/>
    <w:rsid w:val="0049042B"/>
    <w:rsid w:val="00491CAE"/>
    <w:rsid w:val="004931E5"/>
    <w:rsid w:val="00495473"/>
    <w:rsid w:val="004954FB"/>
    <w:rsid w:val="00495F6A"/>
    <w:rsid w:val="004A0F6D"/>
    <w:rsid w:val="004A16E5"/>
    <w:rsid w:val="004A458E"/>
    <w:rsid w:val="004B0C8C"/>
    <w:rsid w:val="004B0D12"/>
    <w:rsid w:val="004B23E7"/>
    <w:rsid w:val="004B306F"/>
    <w:rsid w:val="004B6C6C"/>
    <w:rsid w:val="004B7047"/>
    <w:rsid w:val="004C2B9A"/>
    <w:rsid w:val="004C2DA8"/>
    <w:rsid w:val="004C3186"/>
    <w:rsid w:val="004C4AC6"/>
    <w:rsid w:val="004C5042"/>
    <w:rsid w:val="004D03AE"/>
    <w:rsid w:val="004D169B"/>
    <w:rsid w:val="004D491A"/>
    <w:rsid w:val="004E03E8"/>
    <w:rsid w:val="004E0E2D"/>
    <w:rsid w:val="004E4422"/>
    <w:rsid w:val="004E78C5"/>
    <w:rsid w:val="004F2230"/>
    <w:rsid w:val="004F29F9"/>
    <w:rsid w:val="004F338F"/>
    <w:rsid w:val="004F57B6"/>
    <w:rsid w:val="005025A4"/>
    <w:rsid w:val="00503998"/>
    <w:rsid w:val="005045A7"/>
    <w:rsid w:val="0050623B"/>
    <w:rsid w:val="00510442"/>
    <w:rsid w:val="00513D88"/>
    <w:rsid w:val="005152CE"/>
    <w:rsid w:val="005168E9"/>
    <w:rsid w:val="00516AC5"/>
    <w:rsid w:val="005212D1"/>
    <w:rsid w:val="00521FB6"/>
    <w:rsid w:val="005224F1"/>
    <w:rsid w:val="00522608"/>
    <w:rsid w:val="00522D0E"/>
    <w:rsid w:val="00523181"/>
    <w:rsid w:val="0052481F"/>
    <w:rsid w:val="00524D13"/>
    <w:rsid w:val="005323FE"/>
    <w:rsid w:val="005325F6"/>
    <w:rsid w:val="005332FC"/>
    <w:rsid w:val="005339F6"/>
    <w:rsid w:val="00533CAE"/>
    <w:rsid w:val="00536C2D"/>
    <w:rsid w:val="0054394C"/>
    <w:rsid w:val="00551A7E"/>
    <w:rsid w:val="005564A4"/>
    <w:rsid w:val="00557914"/>
    <w:rsid w:val="00561CF7"/>
    <w:rsid w:val="00576B18"/>
    <w:rsid w:val="00576D33"/>
    <w:rsid w:val="00580007"/>
    <w:rsid w:val="005854C3"/>
    <w:rsid w:val="00585739"/>
    <w:rsid w:val="00586E76"/>
    <w:rsid w:val="00587724"/>
    <w:rsid w:val="00591512"/>
    <w:rsid w:val="005915C8"/>
    <w:rsid w:val="005A2BC3"/>
    <w:rsid w:val="005A3F1D"/>
    <w:rsid w:val="005A4278"/>
    <w:rsid w:val="005B2D91"/>
    <w:rsid w:val="005B48B4"/>
    <w:rsid w:val="005B5E7B"/>
    <w:rsid w:val="005B61EF"/>
    <w:rsid w:val="005B6BB7"/>
    <w:rsid w:val="005C35D1"/>
    <w:rsid w:val="005C6661"/>
    <w:rsid w:val="005C6E3B"/>
    <w:rsid w:val="005C701A"/>
    <w:rsid w:val="005C7587"/>
    <w:rsid w:val="005D474B"/>
    <w:rsid w:val="005D5E63"/>
    <w:rsid w:val="005E07CE"/>
    <w:rsid w:val="005E085C"/>
    <w:rsid w:val="005E147D"/>
    <w:rsid w:val="005E22C2"/>
    <w:rsid w:val="005E57BB"/>
    <w:rsid w:val="005F0017"/>
    <w:rsid w:val="005F208B"/>
    <w:rsid w:val="005F2E16"/>
    <w:rsid w:val="005F3BCD"/>
    <w:rsid w:val="005F56D5"/>
    <w:rsid w:val="006014F1"/>
    <w:rsid w:val="00603E49"/>
    <w:rsid w:val="00607716"/>
    <w:rsid w:val="0061357B"/>
    <w:rsid w:val="00614335"/>
    <w:rsid w:val="00614A7D"/>
    <w:rsid w:val="00614D95"/>
    <w:rsid w:val="00615F8F"/>
    <w:rsid w:val="0062247D"/>
    <w:rsid w:val="00622ACA"/>
    <w:rsid w:val="006308C5"/>
    <w:rsid w:val="00632AA6"/>
    <w:rsid w:val="00634274"/>
    <w:rsid w:val="0063631C"/>
    <w:rsid w:val="0063757B"/>
    <w:rsid w:val="006377CE"/>
    <w:rsid w:val="00640471"/>
    <w:rsid w:val="00641379"/>
    <w:rsid w:val="00644A6C"/>
    <w:rsid w:val="0064558D"/>
    <w:rsid w:val="00647114"/>
    <w:rsid w:val="006477D1"/>
    <w:rsid w:val="006537D9"/>
    <w:rsid w:val="00656855"/>
    <w:rsid w:val="006646BB"/>
    <w:rsid w:val="00664A48"/>
    <w:rsid w:val="0066553B"/>
    <w:rsid w:val="00665DEF"/>
    <w:rsid w:val="006679CD"/>
    <w:rsid w:val="006733B6"/>
    <w:rsid w:val="00675BB1"/>
    <w:rsid w:val="006775F1"/>
    <w:rsid w:val="00677A19"/>
    <w:rsid w:val="00680288"/>
    <w:rsid w:val="00681B32"/>
    <w:rsid w:val="0069000D"/>
    <w:rsid w:val="00692AA7"/>
    <w:rsid w:val="0069431D"/>
    <w:rsid w:val="0069693B"/>
    <w:rsid w:val="00697FEC"/>
    <w:rsid w:val="006A13A5"/>
    <w:rsid w:val="006A175F"/>
    <w:rsid w:val="006A27CE"/>
    <w:rsid w:val="006A33AE"/>
    <w:rsid w:val="006A44F5"/>
    <w:rsid w:val="006A562D"/>
    <w:rsid w:val="006A7DCE"/>
    <w:rsid w:val="006B0405"/>
    <w:rsid w:val="006B0BC4"/>
    <w:rsid w:val="006B1CB7"/>
    <w:rsid w:val="006B217F"/>
    <w:rsid w:val="006B4537"/>
    <w:rsid w:val="006B55F8"/>
    <w:rsid w:val="006B5F85"/>
    <w:rsid w:val="006B67BE"/>
    <w:rsid w:val="006B6929"/>
    <w:rsid w:val="006B709B"/>
    <w:rsid w:val="006C15B7"/>
    <w:rsid w:val="006C2347"/>
    <w:rsid w:val="006C54AF"/>
    <w:rsid w:val="006D1EDC"/>
    <w:rsid w:val="006D4558"/>
    <w:rsid w:val="006D7FF8"/>
    <w:rsid w:val="006E0181"/>
    <w:rsid w:val="006E42E5"/>
    <w:rsid w:val="006E57D2"/>
    <w:rsid w:val="006E793F"/>
    <w:rsid w:val="006F22F5"/>
    <w:rsid w:val="006F564E"/>
    <w:rsid w:val="006F5756"/>
    <w:rsid w:val="006F5C05"/>
    <w:rsid w:val="006F7153"/>
    <w:rsid w:val="00700C0E"/>
    <w:rsid w:val="00702BC1"/>
    <w:rsid w:val="00703979"/>
    <w:rsid w:val="00705135"/>
    <w:rsid w:val="00705DAD"/>
    <w:rsid w:val="00710412"/>
    <w:rsid w:val="00711935"/>
    <w:rsid w:val="0071568A"/>
    <w:rsid w:val="007208B8"/>
    <w:rsid w:val="00720F30"/>
    <w:rsid w:val="00722499"/>
    <w:rsid w:val="0072308A"/>
    <w:rsid w:val="007247B9"/>
    <w:rsid w:val="007251C4"/>
    <w:rsid w:val="00727D85"/>
    <w:rsid w:val="00730B63"/>
    <w:rsid w:val="00733E7C"/>
    <w:rsid w:val="007346C7"/>
    <w:rsid w:val="0073496F"/>
    <w:rsid w:val="00736041"/>
    <w:rsid w:val="00740453"/>
    <w:rsid w:val="007408C7"/>
    <w:rsid w:val="00742508"/>
    <w:rsid w:val="00743196"/>
    <w:rsid w:val="007449AF"/>
    <w:rsid w:val="007465DA"/>
    <w:rsid w:val="007478A7"/>
    <w:rsid w:val="00750269"/>
    <w:rsid w:val="00750BBF"/>
    <w:rsid w:val="00752C7F"/>
    <w:rsid w:val="00755723"/>
    <w:rsid w:val="00776598"/>
    <w:rsid w:val="00792948"/>
    <w:rsid w:val="00793AC0"/>
    <w:rsid w:val="00795A4C"/>
    <w:rsid w:val="00796111"/>
    <w:rsid w:val="00796E84"/>
    <w:rsid w:val="007A1323"/>
    <w:rsid w:val="007A3213"/>
    <w:rsid w:val="007A3ADE"/>
    <w:rsid w:val="007A4903"/>
    <w:rsid w:val="007A5733"/>
    <w:rsid w:val="007A5774"/>
    <w:rsid w:val="007A5CF6"/>
    <w:rsid w:val="007A7703"/>
    <w:rsid w:val="007B33D4"/>
    <w:rsid w:val="007B59E0"/>
    <w:rsid w:val="007B637F"/>
    <w:rsid w:val="007B65A6"/>
    <w:rsid w:val="007B7E0D"/>
    <w:rsid w:val="007C12B3"/>
    <w:rsid w:val="007C1DC9"/>
    <w:rsid w:val="007C25A7"/>
    <w:rsid w:val="007C3C0C"/>
    <w:rsid w:val="007C5610"/>
    <w:rsid w:val="007C6089"/>
    <w:rsid w:val="007C6D48"/>
    <w:rsid w:val="007D03CD"/>
    <w:rsid w:val="007D0408"/>
    <w:rsid w:val="007D12E3"/>
    <w:rsid w:val="007D5113"/>
    <w:rsid w:val="007D7F12"/>
    <w:rsid w:val="007E3038"/>
    <w:rsid w:val="007E3F71"/>
    <w:rsid w:val="007E5850"/>
    <w:rsid w:val="007F67EC"/>
    <w:rsid w:val="00801E74"/>
    <w:rsid w:val="00802612"/>
    <w:rsid w:val="008034ED"/>
    <w:rsid w:val="0080485E"/>
    <w:rsid w:val="0080497F"/>
    <w:rsid w:val="00806518"/>
    <w:rsid w:val="008142B4"/>
    <w:rsid w:val="0081540C"/>
    <w:rsid w:val="008170BF"/>
    <w:rsid w:val="00820160"/>
    <w:rsid w:val="00821436"/>
    <w:rsid w:val="00824920"/>
    <w:rsid w:val="008274FF"/>
    <w:rsid w:val="008315E5"/>
    <w:rsid w:val="00832324"/>
    <w:rsid w:val="00834E64"/>
    <w:rsid w:val="00835337"/>
    <w:rsid w:val="00835F1B"/>
    <w:rsid w:val="008422F3"/>
    <w:rsid w:val="00846DCD"/>
    <w:rsid w:val="00851D85"/>
    <w:rsid w:val="008548CA"/>
    <w:rsid w:val="00860CCB"/>
    <w:rsid w:val="00860D73"/>
    <w:rsid w:val="008610EA"/>
    <w:rsid w:val="00863641"/>
    <w:rsid w:val="008649BF"/>
    <w:rsid w:val="0086569E"/>
    <w:rsid w:val="008662D3"/>
    <w:rsid w:val="0087137C"/>
    <w:rsid w:val="008740A3"/>
    <w:rsid w:val="00877CAC"/>
    <w:rsid w:val="00884EC7"/>
    <w:rsid w:val="00887C05"/>
    <w:rsid w:val="008919DE"/>
    <w:rsid w:val="008924E4"/>
    <w:rsid w:val="0089297B"/>
    <w:rsid w:val="00894111"/>
    <w:rsid w:val="008A5AC6"/>
    <w:rsid w:val="008A7B93"/>
    <w:rsid w:val="008B27CD"/>
    <w:rsid w:val="008B5862"/>
    <w:rsid w:val="008B6469"/>
    <w:rsid w:val="008B793A"/>
    <w:rsid w:val="008C15B9"/>
    <w:rsid w:val="008C36CA"/>
    <w:rsid w:val="008C6633"/>
    <w:rsid w:val="008D0F96"/>
    <w:rsid w:val="008D1397"/>
    <w:rsid w:val="008D1C08"/>
    <w:rsid w:val="008D392F"/>
    <w:rsid w:val="008D780E"/>
    <w:rsid w:val="008E0F81"/>
    <w:rsid w:val="008E1DBB"/>
    <w:rsid w:val="008E3F8C"/>
    <w:rsid w:val="008E48F0"/>
    <w:rsid w:val="008E60C6"/>
    <w:rsid w:val="008E6641"/>
    <w:rsid w:val="008F0A45"/>
    <w:rsid w:val="008F2775"/>
    <w:rsid w:val="008F34F9"/>
    <w:rsid w:val="008F671F"/>
    <w:rsid w:val="0090299A"/>
    <w:rsid w:val="00902FD0"/>
    <w:rsid w:val="0090483C"/>
    <w:rsid w:val="009053D3"/>
    <w:rsid w:val="00905EC5"/>
    <w:rsid w:val="0090691F"/>
    <w:rsid w:val="00907A0E"/>
    <w:rsid w:val="00911B40"/>
    <w:rsid w:val="009231C6"/>
    <w:rsid w:val="0093111F"/>
    <w:rsid w:val="00931B6A"/>
    <w:rsid w:val="00935689"/>
    <w:rsid w:val="00935BB0"/>
    <w:rsid w:val="00936662"/>
    <w:rsid w:val="009406C5"/>
    <w:rsid w:val="00940869"/>
    <w:rsid w:val="00943A97"/>
    <w:rsid w:val="00951E6F"/>
    <w:rsid w:val="00952166"/>
    <w:rsid w:val="009523FC"/>
    <w:rsid w:val="0095303B"/>
    <w:rsid w:val="00955A1B"/>
    <w:rsid w:val="00955AB3"/>
    <w:rsid w:val="009563D4"/>
    <w:rsid w:val="00956D24"/>
    <w:rsid w:val="009628AE"/>
    <w:rsid w:val="0096334A"/>
    <w:rsid w:val="00963C04"/>
    <w:rsid w:val="00965B80"/>
    <w:rsid w:val="00965FE1"/>
    <w:rsid w:val="009663B6"/>
    <w:rsid w:val="00972586"/>
    <w:rsid w:val="00972764"/>
    <w:rsid w:val="00974A47"/>
    <w:rsid w:val="00977D69"/>
    <w:rsid w:val="00980286"/>
    <w:rsid w:val="00986E40"/>
    <w:rsid w:val="009908B7"/>
    <w:rsid w:val="00990B03"/>
    <w:rsid w:val="00990DCF"/>
    <w:rsid w:val="009931D6"/>
    <w:rsid w:val="00995A0C"/>
    <w:rsid w:val="009A0F5D"/>
    <w:rsid w:val="009A1AAA"/>
    <w:rsid w:val="009A4C0C"/>
    <w:rsid w:val="009A4CD6"/>
    <w:rsid w:val="009A537C"/>
    <w:rsid w:val="009A710E"/>
    <w:rsid w:val="009A721F"/>
    <w:rsid w:val="009A7AFB"/>
    <w:rsid w:val="009B079D"/>
    <w:rsid w:val="009B0EB3"/>
    <w:rsid w:val="009B0F7C"/>
    <w:rsid w:val="009B4241"/>
    <w:rsid w:val="009B4D10"/>
    <w:rsid w:val="009B5735"/>
    <w:rsid w:val="009B68DE"/>
    <w:rsid w:val="009B7C4E"/>
    <w:rsid w:val="009C0886"/>
    <w:rsid w:val="009C19EE"/>
    <w:rsid w:val="009C28D0"/>
    <w:rsid w:val="009C35F2"/>
    <w:rsid w:val="009C503F"/>
    <w:rsid w:val="009C51A8"/>
    <w:rsid w:val="009C7782"/>
    <w:rsid w:val="009D1ED5"/>
    <w:rsid w:val="009D3CF7"/>
    <w:rsid w:val="009D4C13"/>
    <w:rsid w:val="009D697D"/>
    <w:rsid w:val="009D79C7"/>
    <w:rsid w:val="009E21A7"/>
    <w:rsid w:val="009E2E31"/>
    <w:rsid w:val="009E310B"/>
    <w:rsid w:val="009E53A0"/>
    <w:rsid w:val="009E6288"/>
    <w:rsid w:val="009F3475"/>
    <w:rsid w:val="009F3DCF"/>
    <w:rsid w:val="009F5212"/>
    <w:rsid w:val="009F54AD"/>
    <w:rsid w:val="00A007F0"/>
    <w:rsid w:val="00A00862"/>
    <w:rsid w:val="00A016CB"/>
    <w:rsid w:val="00A02D62"/>
    <w:rsid w:val="00A06C64"/>
    <w:rsid w:val="00A103ED"/>
    <w:rsid w:val="00A117B6"/>
    <w:rsid w:val="00A13C60"/>
    <w:rsid w:val="00A13E46"/>
    <w:rsid w:val="00A15134"/>
    <w:rsid w:val="00A21461"/>
    <w:rsid w:val="00A22382"/>
    <w:rsid w:val="00A23523"/>
    <w:rsid w:val="00A24983"/>
    <w:rsid w:val="00A272A9"/>
    <w:rsid w:val="00A31FE3"/>
    <w:rsid w:val="00A341A3"/>
    <w:rsid w:val="00A35800"/>
    <w:rsid w:val="00A40E11"/>
    <w:rsid w:val="00A41851"/>
    <w:rsid w:val="00A52918"/>
    <w:rsid w:val="00A53F09"/>
    <w:rsid w:val="00A547B3"/>
    <w:rsid w:val="00A54A88"/>
    <w:rsid w:val="00A62448"/>
    <w:rsid w:val="00A6399E"/>
    <w:rsid w:val="00A66A9B"/>
    <w:rsid w:val="00A70E82"/>
    <w:rsid w:val="00A71FD7"/>
    <w:rsid w:val="00A72198"/>
    <w:rsid w:val="00A725F0"/>
    <w:rsid w:val="00A74C9C"/>
    <w:rsid w:val="00A80A34"/>
    <w:rsid w:val="00A826B7"/>
    <w:rsid w:val="00A8299D"/>
    <w:rsid w:val="00A84B1A"/>
    <w:rsid w:val="00A84CAD"/>
    <w:rsid w:val="00A864C0"/>
    <w:rsid w:val="00A8750A"/>
    <w:rsid w:val="00A90E50"/>
    <w:rsid w:val="00A95DFF"/>
    <w:rsid w:val="00A95FA5"/>
    <w:rsid w:val="00A96D92"/>
    <w:rsid w:val="00A97BA5"/>
    <w:rsid w:val="00AA5D01"/>
    <w:rsid w:val="00AB199C"/>
    <w:rsid w:val="00AB3733"/>
    <w:rsid w:val="00AB3DF5"/>
    <w:rsid w:val="00AB540F"/>
    <w:rsid w:val="00AB588C"/>
    <w:rsid w:val="00AB7897"/>
    <w:rsid w:val="00AC2186"/>
    <w:rsid w:val="00AC5054"/>
    <w:rsid w:val="00AD3131"/>
    <w:rsid w:val="00AD5B96"/>
    <w:rsid w:val="00AE096E"/>
    <w:rsid w:val="00AE29B8"/>
    <w:rsid w:val="00AE389A"/>
    <w:rsid w:val="00AE4BAC"/>
    <w:rsid w:val="00AE55C0"/>
    <w:rsid w:val="00AF2EF3"/>
    <w:rsid w:val="00AF4A6E"/>
    <w:rsid w:val="00AF697A"/>
    <w:rsid w:val="00B02BF6"/>
    <w:rsid w:val="00B034FC"/>
    <w:rsid w:val="00B03CDA"/>
    <w:rsid w:val="00B04F63"/>
    <w:rsid w:val="00B05260"/>
    <w:rsid w:val="00B05310"/>
    <w:rsid w:val="00B069FF"/>
    <w:rsid w:val="00B10A0B"/>
    <w:rsid w:val="00B13734"/>
    <w:rsid w:val="00B2146C"/>
    <w:rsid w:val="00B22974"/>
    <w:rsid w:val="00B23D03"/>
    <w:rsid w:val="00B256F6"/>
    <w:rsid w:val="00B27DB8"/>
    <w:rsid w:val="00B30D85"/>
    <w:rsid w:val="00B3566A"/>
    <w:rsid w:val="00B35784"/>
    <w:rsid w:val="00B35A4A"/>
    <w:rsid w:val="00B3753F"/>
    <w:rsid w:val="00B41FE3"/>
    <w:rsid w:val="00B42A93"/>
    <w:rsid w:val="00B43C24"/>
    <w:rsid w:val="00B453CF"/>
    <w:rsid w:val="00B45BD0"/>
    <w:rsid w:val="00B46640"/>
    <w:rsid w:val="00B47BF0"/>
    <w:rsid w:val="00B503EA"/>
    <w:rsid w:val="00B5083C"/>
    <w:rsid w:val="00B54FEE"/>
    <w:rsid w:val="00B55134"/>
    <w:rsid w:val="00B57549"/>
    <w:rsid w:val="00B57EDE"/>
    <w:rsid w:val="00B634CE"/>
    <w:rsid w:val="00B63FD7"/>
    <w:rsid w:val="00B6598C"/>
    <w:rsid w:val="00B6773D"/>
    <w:rsid w:val="00B67B3F"/>
    <w:rsid w:val="00B726BC"/>
    <w:rsid w:val="00B72DDB"/>
    <w:rsid w:val="00B72E18"/>
    <w:rsid w:val="00B74D72"/>
    <w:rsid w:val="00B76560"/>
    <w:rsid w:val="00B8079A"/>
    <w:rsid w:val="00B81621"/>
    <w:rsid w:val="00B816D9"/>
    <w:rsid w:val="00B8454E"/>
    <w:rsid w:val="00B85681"/>
    <w:rsid w:val="00B9049C"/>
    <w:rsid w:val="00B9120F"/>
    <w:rsid w:val="00B9216C"/>
    <w:rsid w:val="00B924A4"/>
    <w:rsid w:val="00B928FA"/>
    <w:rsid w:val="00B92BE0"/>
    <w:rsid w:val="00B956E2"/>
    <w:rsid w:val="00B96C4D"/>
    <w:rsid w:val="00BA1A7D"/>
    <w:rsid w:val="00BA6424"/>
    <w:rsid w:val="00BA6C07"/>
    <w:rsid w:val="00BB0D1A"/>
    <w:rsid w:val="00BB1D3B"/>
    <w:rsid w:val="00BB2775"/>
    <w:rsid w:val="00BB478F"/>
    <w:rsid w:val="00BB639E"/>
    <w:rsid w:val="00BC06AF"/>
    <w:rsid w:val="00BC1F05"/>
    <w:rsid w:val="00BC35ED"/>
    <w:rsid w:val="00BC37A4"/>
    <w:rsid w:val="00BC3E16"/>
    <w:rsid w:val="00BC7642"/>
    <w:rsid w:val="00BD1B81"/>
    <w:rsid w:val="00BD6C8A"/>
    <w:rsid w:val="00BE205A"/>
    <w:rsid w:val="00BE2D07"/>
    <w:rsid w:val="00BE3802"/>
    <w:rsid w:val="00BE4595"/>
    <w:rsid w:val="00BE48F8"/>
    <w:rsid w:val="00BF12BE"/>
    <w:rsid w:val="00BF1A9E"/>
    <w:rsid w:val="00BF238E"/>
    <w:rsid w:val="00BF2F4A"/>
    <w:rsid w:val="00BF3C9B"/>
    <w:rsid w:val="00BF3CAF"/>
    <w:rsid w:val="00BF544D"/>
    <w:rsid w:val="00BF6B12"/>
    <w:rsid w:val="00BF6C6B"/>
    <w:rsid w:val="00BF6E2B"/>
    <w:rsid w:val="00BF6F3B"/>
    <w:rsid w:val="00C0076F"/>
    <w:rsid w:val="00C01817"/>
    <w:rsid w:val="00C0301C"/>
    <w:rsid w:val="00C050B6"/>
    <w:rsid w:val="00C052CD"/>
    <w:rsid w:val="00C05D67"/>
    <w:rsid w:val="00C05DCA"/>
    <w:rsid w:val="00C063BD"/>
    <w:rsid w:val="00C068CC"/>
    <w:rsid w:val="00C10506"/>
    <w:rsid w:val="00C10C51"/>
    <w:rsid w:val="00C10F12"/>
    <w:rsid w:val="00C11806"/>
    <w:rsid w:val="00C11885"/>
    <w:rsid w:val="00C21CB7"/>
    <w:rsid w:val="00C2217E"/>
    <w:rsid w:val="00C245EA"/>
    <w:rsid w:val="00C256F6"/>
    <w:rsid w:val="00C274A4"/>
    <w:rsid w:val="00C3097E"/>
    <w:rsid w:val="00C317EE"/>
    <w:rsid w:val="00C35ECC"/>
    <w:rsid w:val="00C361A8"/>
    <w:rsid w:val="00C37CD5"/>
    <w:rsid w:val="00C41246"/>
    <w:rsid w:val="00C42739"/>
    <w:rsid w:val="00C42C2E"/>
    <w:rsid w:val="00C43992"/>
    <w:rsid w:val="00C45E5F"/>
    <w:rsid w:val="00C46291"/>
    <w:rsid w:val="00C505A0"/>
    <w:rsid w:val="00C5130F"/>
    <w:rsid w:val="00C51880"/>
    <w:rsid w:val="00C518AE"/>
    <w:rsid w:val="00C5323E"/>
    <w:rsid w:val="00C549BB"/>
    <w:rsid w:val="00C57369"/>
    <w:rsid w:val="00C57A53"/>
    <w:rsid w:val="00C57B06"/>
    <w:rsid w:val="00C611E7"/>
    <w:rsid w:val="00C631D0"/>
    <w:rsid w:val="00C63412"/>
    <w:rsid w:val="00C65467"/>
    <w:rsid w:val="00C70063"/>
    <w:rsid w:val="00C7136D"/>
    <w:rsid w:val="00C714D0"/>
    <w:rsid w:val="00C73077"/>
    <w:rsid w:val="00C8314A"/>
    <w:rsid w:val="00C833A3"/>
    <w:rsid w:val="00C835C1"/>
    <w:rsid w:val="00C84AEF"/>
    <w:rsid w:val="00C84E83"/>
    <w:rsid w:val="00C85479"/>
    <w:rsid w:val="00C87087"/>
    <w:rsid w:val="00C90ABA"/>
    <w:rsid w:val="00C90EF4"/>
    <w:rsid w:val="00C91D6E"/>
    <w:rsid w:val="00C95086"/>
    <w:rsid w:val="00CA015A"/>
    <w:rsid w:val="00CA0D36"/>
    <w:rsid w:val="00CA2724"/>
    <w:rsid w:val="00CB15F3"/>
    <w:rsid w:val="00CB19D5"/>
    <w:rsid w:val="00CC14E3"/>
    <w:rsid w:val="00CC1AA3"/>
    <w:rsid w:val="00CC3713"/>
    <w:rsid w:val="00CC3DEB"/>
    <w:rsid w:val="00CC7291"/>
    <w:rsid w:val="00CC771A"/>
    <w:rsid w:val="00CD01DE"/>
    <w:rsid w:val="00CD228B"/>
    <w:rsid w:val="00CD2724"/>
    <w:rsid w:val="00CD4486"/>
    <w:rsid w:val="00CD66D4"/>
    <w:rsid w:val="00CD75C2"/>
    <w:rsid w:val="00CE2FAF"/>
    <w:rsid w:val="00CE3D0F"/>
    <w:rsid w:val="00CE468A"/>
    <w:rsid w:val="00CE5066"/>
    <w:rsid w:val="00CE5D88"/>
    <w:rsid w:val="00CE5D9C"/>
    <w:rsid w:val="00CE7872"/>
    <w:rsid w:val="00CF2B8B"/>
    <w:rsid w:val="00CF46F4"/>
    <w:rsid w:val="00CF4C28"/>
    <w:rsid w:val="00CF52C1"/>
    <w:rsid w:val="00CF5E22"/>
    <w:rsid w:val="00D01051"/>
    <w:rsid w:val="00D02D3B"/>
    <w:rsid w:val="00D05033"/>
    <w:rsid w:val="00D056AB"/>
    <w:rsid w:val="00D056E2"/>
    <w:rsid w:val="00D06959"/>
    <w:rsid w:val="00D06A44"/>
    <w:rsid w:val="00D12D57"/>
    <w:rsid w:val="00D151EB"/>
    <w:rsid w:val="00D152A8"/>
    <w:rsid w:val="00D17E57"/>
    <w:rsid w:val="00D207FE"/>
    <w:rsid w:val="00D2268F"/>
    <w:rsid w:val="00D22B5C"/>
    <w:rsid w:val="00D246BA"/>
    <w:rsid w:val="00D2710D"/>
    <w:rsid w:val="00D300E0"/>
    <w:rsid w:val="00D34662"/>
    <w:rsid w:val="00D374CD"/>
    <w:rsid w:val="00D410C2"/>
    <w:rsid w:val="00D41EA5"/>
    <w:rsid w:val="00D4216B"/>
    <w:rsid w:val="00D43C42"/>
    <w:rsid w:val="00D447B8"/>
    <w:rsid w:val="00D44830"/>
    <w:rsid w:val="00D47256"/>
    <w:rsid w:val="00D50768"/>
    <w:rsid w:val="00D519B8"/>
    <w:rsid w:val="00D534C2"/>
    <w:rsid w:val="00D54279"/>
    <w:rsid w:val="00D5518B"/>
    <w:rsid w:val="00D63334"/>
    <w:rsid w:val="00D6472D"/>
    <w:rsid w:val="00D650CE"/>
    <w:rsid w:val="00D654B8"/>
    <w:rsid w:val="00D71719"/>
    <w:rsid w:val="00D7216C"/>
    <w:rsid w:val="00D776DA"/>
    <w:rsid w:val="00D8068C"/>
    <w:rsid w:val="00D80CAB"/>
    <w:rsid w:val="00D8148A"/>
    <w:rsid w:val="00D817BF"/>
    <w:rsid w:val="00D8213B"/>
    <w:rsid w:val="00D83353"/>
    <w:rsid w:val="00D8753A"/>
    <w:rsid w:val="00D8758B"/>
    <w:rsid w:val="00D9035A"/>
    <w:rsid w:val="00D91431"/>
    <w:rsid w:val="00D916D2"/>
    <w:rsid w:val="00D942B3"/>
    <w:rsid w:val="00D94863"/>
    <w:rsid w:val="00DA0981"/>
    <w:rsid w:val="00DA1436"/>
    <w:rsid w:val="00DA1E9A"/>
    <w:rsid w:val="00DA7D09"/>
    <w:rsid w:val="00DB3F63"/>
    <w:rsid w:val="00DB4866"/>
    <w:rsid w:val="00DB5707"/>
    <w:rsid w:val="00DB5F91"/>
    <w:rsid w:val="00DB6435"/>
    <w:rsid w:val="00DB6FFF"/>
    <w:rsid w:val="00DB75AF"/>
    <w:rsid w:val="00DC1ED8"/>
    <w:rsid w:val="00DC1FE0"/>
    <w:rsid w:val="00DC2630"/>
    <w:rsid w:val="00DC49E9"/>
    <w:rsid w:val="00DC55E4"/>
    <w:rsid w:val="00DC5EFD"/>
    <w:rsid w:val="00DC7D71"/>
    <w:rsid w:val="00DD066A"/>
    <w:rsid w:val="00DD188C"/>
    <w:rsid w:val="00DD1A27"/>
    <w:rsid w:val="00DD2659"/>
    <w:rsid w:val="00DD29A3"/>
    <w:rsid w:val="00DD48EE"/>
    <w:rsid w:val="00DD6044"/>
    <w:rsid w:val="00DE0B96"/>
    <w:rsid w:val="00DE10B9"/>
    <w:rsid w:val="00DE3576"/>
    <w:rsid w:val="00DE4402"/>
    <w:rsid w:val="00DE4496"/>
    <w:rsid w:val="00DE5521"/>
    <w:rsid w:val="00DE6E27"/>
    <w:rsid w:val="00DF0B13"/>
    <w:rsid w:val="00DF2484"/>
    <w:rsid w:val="00DF2EB8"/>
    <w:rsid w:val="00DF48F8"/>
    <w:rsid w:val="00DF4A94"/>
    <w:rsid w:val="00DF6003"/>
    <w:rsid w:val="00DF65FD"/>
    <w:rsid w:val="00DF7306"/>
    <w:rsid w:val="00DF7B48"/>
    <w:rsid w:val="00E00095"/>
    <w:rsid w:val="00E01003"/>
    <w:rsid w:val="00E066C3"/>
    <w:rsid w:val="00E10D8C"/>
    <w:rsid w:val="00E130A9"/>
    <w:rsid w:val="00E1353A"/>
    <w:rsid w:val="00E1564B"/>
    <w:rsid w:val="00E207EF"/>
    <w:rsid w:val="00E208A0"/>
    <w:rsid w:val="00E24F9E"/>
    <w:rsid w:val="00E25B49"/>
    <w:rsid w:val="00E317D8"/>
    <w:rsid w:val="00E32C4C"/>
    <w:rsid w:val="00E32C6A"/>
    <w:rsid w:val="00E371EA"/>
    <w:rsid w:val="00E4085B"/>
    <w:rsid w:val="00E414E2"/>
    <w:rsid w:val="00E417A3"/>
    <w:rsid w:val="00E45ACD"/>
    <w:rsid w:val="00E465E0"/>
    <w:rsid w:val="00E47E23"/>
    <w:rsid w:val="00E50383"/>
    <w:rsid w:val="00E571F4"/>
    <w:rsid w:val="00E57299"/>
    <w:rsid w:val="00E57316"/>
    <w:rsid w:val="00E6290C"/>
    <w:rsid w:val="00E63123"/>
    <w:rsid w:val="00E64429"/>
    <w:rsid w:val="00E65FEA"/>
    <w:rsid w:val="00E66219"/>
    <w:rsid w:val="00E677DD"/>
    <w:rsid w:val="00E67836"/>
    <w:rsid w:val="00E67D0B"/>
    <w:rsid w:val="00E714C1"/>
    <w:rsid w:val="00E72818"/>
    <w:rsid w:val="00E7496E"/>
    <w:rsid w:val="00E7594B"/>
    <w:rsid w:val="00E765BB"/>
    <w:rsid w:val="00E774A2"/>
    <w:rsid w:val="00E815BA"/>
    <w:rsid w:val="00E81DC3"/>
    <w:rsid w:val="00E84AFE"/>
    <w:rsid w:val="00E84D69"/>
    <w:rsid w:val="00E865E0"/>
    <w:rsid w:val="00E916EC"/>
    <w:rsid w:val="00E94894"/>
    <w:rsid w:val="00E96EE6"/>
    <w:rsid w:val="00E97D4E"/>
    <w:rsid w:val="00EA214E"/>
    <w:rsid w:val="00EA64A4"/>
    <w:rsid w:val="00EB1876"/>
    <w:rsid w:val="00EB1BBB"/>
    <w:rsid w:val="00EB20CD"/>
    <w:rsid w:val="00EB31E8"/>
    <w:rsid w:val="00EB32AA"/>
    <w:rsid w:val="00EB3792"/>
    <w:rsid w:val="00EB39F0"/>
    <w:rsid w:val="00EB4688"/>
    <w:rsid w:val="00EB6C07"/>
    <w:rsid w:val="00EB7E8E"/>
    <w:rsid w:val="00EC028D"/>
    <w:rsid w:val="00EC2699"/>
    <w:rsid w:val="00EC2AC7"/>
    <w:rsid w:val="00EC5606"/>
    <w:rsid w:val="00ED1D1A"/>
    <w:rsid w:val="00ED3795"/>
    <w:rsid w:val="00ED633B"/>
    <w:rsid w:val="00ED6AF8"/>
    <w:rsid w:val="00ED6C6D"/>
    <w:rsid w:val="00EE0B29"/>
    <w:rsid w:val="00EE2532"/>
    <w:rsid w:val="00EE2BBB"/>
    <w:rsid w:val="00EE345D"/>
    <w:rsid w:val="00EE370C"/>
    <w:rsid w:val="00EE478C"/>
    <w:rsid w:val="00EE5A16"/>
    <w:rsid w:val="00EF04F2"/>
    <w:rsid w:val="00EF5B17"/>
    <w:rsid w:val="00EF7911"/>
    <w:rsid w:val="00EF7DF8"/>
    <w:rsid w:val="00F01004"/>
    <w:rsid w:val="00F02320"/>
    <w:rsid w:val="00F02BD8"/>
    <w:rsid w:val="00F03F2F"/>
    <w:rsid w:val="00F04160"/>
    <w:rsid w:val="00F05CC8"/>
    <w:rsid w:val="00F1132C"/>
    <w:rsid w:val="00F15DD5"/>
    <w:rsid w:val="00F17D4B"/>
    <w:rsid w:val="00F23139"/>
    <w:rsid w:val="00F26437"/>
    <w:rsid w:val="00F2745B"/>
    <w:rsid w:val="00F30C8C"/>
    <w:rsid w:val="00F37242"/>
    <w:rsid w:val="00F430B2"/>
    <w:rsid w:val="00F46562"/>
    <w:rsid w:val="00F4768C"/>
    <w:rsid w:val="00F5302C"/>
    <w:rsid w:val="00F549A4"/>
    <w:rsid w:val="00F54A6A"/>
    <w:rsid w:val="00F54D23"/>
    <w:rsid w:val="00F56E7C"/>
    <w:rsid w:val="00F6034D"/>
    <w:rsid w:val="00F628F1"/>
    <w:rsid w:val="00F64060"/>
    <w:rsid w:val="00F66CD5"/>
    <w:rsid w:val="00F67380"/>
    <w:rsid w:val="00F67A9A"/>
    <w:rsid w:val="00F67C2B"/>
    <w:rsid w:val="00F70F4E"/>
    <w:rsid w:val="00F730E3"/>
    <w:rsid w:val="00F73113"/>
    <w:rsid w:val="00F732C6"/>
    <w:rsid w:val="00F75FC4"/>
    <w:rsid w:val="00F8124F"/>
    <w:rsid w:val="00F8348B"/>
    <w:rsid w:val="00F84C52"/>
    <w:rsid w:val="00F85981"/>
    <w:rsid w:val="00F85B16"/>
    <w:rsid w:val="00F86B83"/>
    <w:rsid w:val="00F87263"/>
    <w:rsid w:val="00F9157D"/>
    <w:rsid w:val="00F92BDA"/>
    <w:rsid w:val="00F93528"/>
    <w:rsid w:val="00F93725"/>
    <w:rsid w:val="00F95615"/>
    <w:rsid w:val="00F9692C"/>
    <w:rsid w:val="00F97D1F"/>
    <w:rsid w:val="00FA1BA3"/>
    <w:rsid w:val="00FA3459"/>
    <w:rsid w:val="00FA37CC"/>
    <w:rsid w:val="00FA4890"/>
    <w:rsid w:val="00FB05CC"/>
    <w:rsid w:val="00FB0D39"/>
    <w:rsid w:val="00FB29AE"/>
    <w:rsid w:val="00FB2DEC"/>
    <w:rsid w:val="00FB4369"/>
    <w:rsid w:val="00FB4F40"/>
    <w:rsid w:val="00FB6422"/>
    <w:rsid w:val="00FB77FA"/>
    <w:rsid w:val="00FC3C70"/>
    <w:rsid w:val="00FC4A73"/>
    <w:rsid w:val="00FC559C"/>
    <w:rsid w:val="00FC5E39"/>
    <w:rsid w:val="00FC7F0D"/>
    <w:rsid w:val="00FD377E"/>
    <w:rsid w:val="00FD5F1D"/>
    <w:rsid w:val="00FD637E"/>
    <w:rsid w:val="00FD6436"/>
    <w:rsid w:val="00FD6DAA"/>
    <w:rsid w:val="00FD7409"/>
    <w:rsid w:val="00FE645A"/>
    <w:rsid w:val="00FF1DE1"/>
    <w:rsid w:val="00FF418E"/>
    <w:rsid w:val="00FF4DDB"/>
    <w:rsid w:val="00FF6102"/>
    <w:rsid w:val="01379A81"/>
    <w:rsid w:val="0156CEFC"/>
    <w:rsid w:val="034DF5A8"/>
    <w:rsid w:val="0659BEB1"/>
    <w:rsid w:val="09CAFB0D"/>
    <w:rsid w:val="0B40190F"/>
    <w:rsid w:val="0C63B2D0"/>
    <w:rsid w:val="0F03F8FD"/>
    <w:rsid w:val="154239CF"/>
    <w:rsid w:val="1BC6FDB4"/>
    <w:rsid w:val="1CC3B7FC"/>
    <w:rsid w:val="245F37AD"/>
    <w:rsid w:val="287F3F0E"/>
    <w:rsid w:val="28BF85AE"/>
    <w:rsid w:val="2B269E1A"/>
    <w:rsid w:val="31E44A6F"/>
    <w:rsid w:val="3D35942A"/>
    <w:rsid w:val="3FC21F21"/>
    <w:rsid w:val="43AB1F4F"/>
    <w:rsid w:val="46BEE703"/>
    <w:rsid w:val="50FE0B51"/>
    <w:rsid w:val="587A9D08"/>
    <w:rsid w:val="5A6C55CD"/>
    <w:rsid w:val="6926E2A7"/>
    <w:rsid w:val="6C1D87F2"/>
    <w:rsid w:val="6C3B7373"/>
    <w:rsid w:val="72FB8BB3"/>
    <w:rsid w:val="7583CB7A"/>
    <w:rsid w:val="7F90310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C01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CF5E22"/>
    <w:pPr>
      <w:keepNext/>
      <w:keepLines/>
      <w:spacing w:before="480" w:after="240"/>
      <w:outlineLvl w:val="0"/>
    </w:pPr>
    <w:rPr>
      <w:rFonts w:eastAsiaTheme="majorEastAsia" w:cstheme="majorBidi"/>
      <w:b/>
      <w:bCs/>
      <w:sz w:val="32"/>
      <w:szCs w:val="32"/>
    </w:rPr>
  </w:style>
  <w:style w:type="paragraph" w:styleId="Heading2">
    <w:name w:val="heading 2"/>
    <w:basedOn w:val="Heading4"/>
    <w:next w:val="Normal"/>
    <w:link w:val="Heading2Char"/>
    <w:uiPriority w:val="9"/>
    <w:unhideWhenUsed/>
    <w:qFormat/>
    <w:rsid w:val="00CF5E22"/>
    <w:pPr>
      <w:outlineLvl w:val="1"/>
    </w:pPr>
    <w:rPr>
      <w:i w:val="0"/>
      <w:sz w:val="28"/>
      <w:szCs w:val="24"/>
    </w:rPr>
  </w:style>
  <w:style w:type="paragraph" w:styleId="Heading3">
    <w:name w:val="heading 3"/>
    <w:basedOn w:val="Normal"/>
    <w:next w:val="Normal"/>
    <w:link w:val="Heading3Char"/>
    <w:uiPriority w:val="9"/>
    <w:unhideWhenUsed/>
    <w:qFormat/>
    <w:rsid w:val="00CF5E22"/>
    <w:pPr>
      <w:spacing w:before="240"/>
      <w:outlineLvl w:val="2"/>
    </w:pPr>
    <w:rPr>
      <w:b/>
      <w:i/>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22"/>
    <w:rPr>
      <w:rFonts w:eastAsiaTheme="majorEastAsia" w:cstheme="majorBidi"/>
      <w:b/>
      <w:bCs/>
      <w:sz w:val="32"/>
      <w:szCs w:val="32"/>
    </w:rPr>
  </w:style>
  <w:style w:type="character" w:customStyle="1" w:styleId="Heading2Char">
    <w:name w:val="Heading 2 Char"/>
    <w:basedOn w:val="DefaultParagraphFont"/>
    <w:link w:val="Heading2"/>
    <w:uiPriority w:val="9"/>
    <w:rsid w:val="00CF5E22"/>
    <w:rPr>
      <w:b/>
      <w:sz w:val="28"/>
      <w:szCs w:val="24"/>
    </w:rPr>
  </w:style>
  <w:style w:type="character" w:customStyle="1" w:styleId="Heading3Char">
    <w:name w:val="Heading 3 Char"/>
    <w:basedOn w:val="DefaultParagraphFont"/>
    <w:link w:val="Heading3"/>
    <w:uiPriority w:val="9"/>
    <w:rsid w:val="00CF5E22"/>
    <w:rPr>
      <w:b/>
      <w:i/>
      <w:sz w:val="24"/>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unhideWhenUsed/>
    <w:rsid w:val="00E677DD"/>
    <w:rPr>
      <w:sz w:val="20"/>
      <w:szCs w:val="20"/>
    </w:rPr>
  </w:style>
  <w:style w:type="character" w:customStyle="1" w:styleId="CommentTextChar">
    <w:name w:val="Comment Text Char"/>
    <w:basedOn w:val="DefaultParagraphFont"/>
    <w:link w:val="CommentText"/>
    <w:uiPriority w:val="99"/>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F5E22"/>
    <w:pPr>
      <w:spacing w:after="20"/>
    </w:pPr>
    <w:rPr>
      <w:i w:val="0"/>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unhideWhenUsed/>
    <w:rsid w:val="008142B4"/>
    <w:pPr>
      <w:spacing w:after="0"/>
    </w:pPr>
    <w:rPr>
      <w:sz w:val="18"/>
      <w:szCs w:val="20"/>
    </w:rPr>
  </w:style>
  <w:style w:type="character" w:customStyle="1" w:styleId="FootnoteTextChar">
    <w:name w:val="Footnote Text Char"/>
    <w:basedOn w:val="DefaultParagraphFont"/>
    <w:link w:val="FootnoteText"/>
    <w:uiPriority w:val="99"/>
    <w:rsid w:val="008142B4"/>
    <w:rPr>
      <w:sz w:val="18"/>
      <w:szCs w:val="20"/>
    </w:rPr>
  </w:style>
  <w:style w:type="character" w:styleId="FootnoteReference">
    <w:name w:val="footnote reference"/>
    <w:basedOn w:val="DefaultParagraphFont"/>
    <w:uiPriority w:val="99"/>
    <w:semiHidden/>
    <w:unhideWhenUsed/>
    <w:rsid w:val="008142B4"/>
    <w:rPr>
      <w:vertAlign w:val="superscript"/>
    </w:rPr>
  </w:style>
  <w:style w:type="character" w:customStyle="1" w:styleId="TabletitleChar">
    <w:name w:val="Table title Char"/>
    <w:basedOn w:val="Heading4Char"/>
    <w:link w:val="Tabletitle"/>
    <w:rsid w:val="00CF5E22"/>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basedOn w:val="Normal"/>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customStyle="1" w:styleId="Title2">
    <w:name w:val="Title 2"/>
    <w:basedOn w:val="Heading1"/>
    <w:link w:val="Title2Char"/>
    <w:qFormat/>
    <w:rsid w:val="00F73113"/>
    <w:rPr>
      <w:sz w:val="40"/>
    </w:rPr>
  </w:style>
  <w:style w:type="paragraph" w:customStyle="1" w:styleId="Meetingdate">
    <w:name w:val="Meeting date"/>
    <w:basedOn w:val="Heading4"/>
    <w:link w:val="MeetingdateChar"/>
    <w:qFormat/>
    <w:rsid w:val="00F73113"/>
    <w:rPr>
      <w:sz w:val="24"/>
    </w:rPr>
  </w:style>
  <w:style w:type="character" w:customStyle="1" w:styleId="Title2Char">
    <w:name w:val="Title 2 Char"/>
    <w:basedOn w:val="Heading1Char"/>
    <w:link w:val="Title2"/>
    <w:rsid w:val="00F73113"/>
    <w:rPr>
      <w:rFonts w:eastAsiaTheme="majorEastAsia" w:cstheme="majorBidi"/>
      <w:b/>
      <w:bCs/>
      <w:sz w:val="40"/>
      <w:szCs w:val="32"/>
    </w:rPr>
  </w:style>
  <w:style w:type="character" w:customStyle="1" w:styleId="MeetingdateChar">
    <w:name w:val="Meeting date Char"/>
    <w:basedOn w:val="Heading4Char"/>
    <w:link w:val="Meetingdate"/>
    <w:rsid w:val="00F73113"/>
    <w:rPr>
      <w:b/>
      <w:i/>
      <w:sz w:val="24"/>
      <w:szCs w:val="32"/>
    </w:rPr>
  </w:style>
  <w:style w:type="paragraph" w:customStyle="1" w:styleId="Default">
    <w:name w:val="Default"/>
    <w:basedOn w:val="Normal"/>
    <w:rsid w:val="001460C4"/>
    <w:pPr>
      <w:autoSpaceDE w:val="0"/>
      <w:autoSpaceDN w:val="0"/>
      <w:spacing w:after="0"/>
    </w:pPr>
    <w:rPr>
      <w:rFonts w:ascii="Calibri" w:eastAsiaTheme="minorHAnsi" w:hAnsi="Calibri" w:cs="Times New Roman"/>
      <w:color w:val="000000"/>
      <w:lang w:eastAsia="en-US"/>
    </w:rPr>
  </w:style>
  <w:style w:type="paragraph" w:styleId="Revision">
    <w:name w:val="Revision"/>
    <w:hidden/>
    <w:uiPriority w:val="99"/>
    <w:semiHidden/>
    <w:rsid w:val="009F3475"/>
    <w:pPr>
      <w:spacing w:after="0" w:line="240" w:lineRule="auto"/>
    </w:pPr>
    <w:rPr>
      <w:sz w:val="24"/>
      <w:szCs w:val="24"/>
    </w:rPr>
  </w:style>
  <w:style w:type="character" w:styleId="UnresolvedMention">
    <w:name w:val="Unresolved Mention"/>
    <w:basedOn w:val="DefaultParagraphFont"/>
    <w:uiPriority w:val="99"/>
    <w:semiHidden/>
    <w:unhideWhenUsed/>
    <w:rsid w:val="008E1DBB"/>
    <w:rPr>
      <w:color w:val="605E5C"/>
      <w:shd w:val="clear" w:color="auto" w:fill="E1DFDD"/>
    </w:rPr>
  </w:style>
  <w:style w:type="character" w:styleId="FollowedHyperlink">
    <w:name w:val="FollowedHyperlink"/>
    <w:basedOn w:val="DefaultParagraphFont"/>
    <w:uiPriority w:val="99"/>
    <w:semiHidden/>
    <w:unhideWhenUsed/>
    <w:rsid w:val="00EE5A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462430">
      <w:bodyDiv w:val="1"/>
      <w:marLeft w:val="0"/>
      <w:marRight w:val="0"/>
      <w:marTop w:val="0"/>
      <w:marBottom w:val="0"/>
      <w:divBdr>
        <w:top w:val="none" w:sz="0" w:space="0" w:color="auto"/>
        <w:left w:val="none" w:sz="0" w:space="0" w:color="auto"/>
        <w:bottom w:val="none" w:sz="0" w:space="0" w:color="auto"/>
        <w:right w:val="none" w:sz="0" w:space="0" w:color="auto"/>
      </w:divBdr>
    </w:div>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398479483">
      <w:bodyDiv w:val="1"/>
      <w:marLeft w:val="0"/>
      <w:marRight w:val="0"/>
      <w:marTop w:val="0"/>
      <w:marBottom w:val="0"/>
      <w:divBdr>
        <w:top w:val="none" w:sz="0" w:space="0" w:color="auto"/>
        <w:left w:val="none" w:sz="0" w:space="0" w:color="auto"/>
        <w:bottom w:val="none" w:sz="0" w:space="0" w:color="auto"/>
        <w:right w:val="none" w:sz="0" w:space="0" w:color="auto"/>
      </w:divBdr>
    </w:div>
    <w:div w:id="612397894">
      <w:bodyDiv w:val="1"/>
      <w:marLeft w:val="0"/>
      <w:marRight w:val="0"/>
      <w:marTop w:val="0"/>
      <w:marBottom w:val="0"/>
      <w:divBdr>
        <w:top w:val="none" w:sz="0" w:space="0" w:color="auto"/>
        <w:left w:val="none" w:sz="0" w:space="0" w:color="auto"/>
        <w:bottom w:val="none" w:sz="0" w:space="0" w:color="auto"/>
        <w:right w:val="none" w:sz="0" w:space="0" w:color="auto"/>
      </w:divBdr>
    </w:div>
    <w:div w:id="631403898">
      <w:bodyDiv w:val="1"/>
      <w:marLeft w:val="0"/>
      <w:marRight w:val="0"/>
      <w:marTop w:val="0"/>
      <w:marBottom w:val="0"/>
      <w:divBdr>
        <w:top w:val="none" w:sz="0" w:space="0" w:color="auto"/>
        <w:left w:val="none" w:sz="0" w:space="0" w:color="auto"/>
        <w:bottom w:val="none" w:sz="0" w:space="0" w:color="auto"/>
        <w:right w:val="none" w:sz="0" w:space="0" w:color="auto"/>
      </w:divBdr>
    </w:div>
    <w:div w:id="1111436557">
      <w:bodyDiv w:val="1"/>
      <w:marLeft w:val="0"/>
      <w:marRight w:val="0"/>
      <w:marTop w:val="0"/>
      <w:marBottom w:val="0"/>
      <w:divBdr>
        <w:top w:val="none" w:sz="0" w:space="0" w:color="auto"/>
        <w:left w:val="none" w:sz="0" w:space="0" w:color="auto"/>
        <w:bottom w:val="none" w:sz="0" w:space="0" w:color="auto"/>
        <w:right w:val="none" w:sz="0" w:space="0" w:color="auto"/>
      </w:divBdr>
    </w:div>
    <w:div w:id="1268349490">
      <w:bodyDiv w:val="1"/>
      <w:marLeft w:val="0"/>
      <w:marRight w:val="0"/>
      <w:marTop w:val="0"/>
      <w:marBottom w:val="0"/>
      <w:divBdr>
        <w:top w:val="none" w:sz="0" w:space="0" w:color="auto"/>
        <w:left w:val="none" w:sz="0" w:space="0" w:color="auto"/>
        <w:bottom w:val="none" w:sz="0" w:space="0" w:color="auto"/>
        <w:right w:val="none" w:sz="0" w:space="0" w:color="auto"/>
      </w:divBdr>
    </w:div>
    <w:div w:id="193989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bs.tga.gov.au/ebs/picmi/picmirepository.nsf/PICMI?OpenForm&amp;t=&amp;q=zanubrutinib" TargetMode="External"/><Relationship Id="rId13" Type="http://schemas.openxmlformats.org/officeDocument/2006/relationships/hyperlink" Target="https://www.pbs.gov.au/pbs/home" TargetMode="External"/><Relationship Id="rId18" Type="http://schemas.openxmlformats.org/officeDocument/2006/relationships/chart" Target="charts/chart1.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chart" Target="charts/chart3.xml"/><Relationship Id="rId7" Type="http://schemas.openxmlformats.org/officeDocument/2006/relationships/endnotes" Target="endnotes.xml"/><Relationship Id="rId12" Type="http://schemas.openxmlformats.org/officeDocument/2006/relationships/hyperlink" Target="http://www.pbs.gov.au/pbs/home" TargetMode="External"/><Relationship Id="rId17" Type="http://schemas.openxmlformats.org/officeDocument/2006/relationships/hyperlink" Target="https://www.pbs.gov.au/info/industry/listing/elements/pbac-meetings/pbac-outcomes/recommendations-made-by-the-pbac-july-2024"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pbs.gov.au/info/industry/listing/elements/pbac-meetings/psd/2022-03/zanubrutinib-capsule-80-mg-brukinsa" TargetMode="External"/><Relationship Id="rId20" Type="http://schemas.openxmlformats.org/officeDocument/2006/relationships/chart" Target="charts/chart2.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bs.tga.gov.au/ebs/picmi/picmirepository.nsf/PICMI?OpenForm&amp;t=&amp;q=zanubrutinib"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pbs.gov.au/info/industry/listing/elements/pbac-meetings/psd/2021-07/zanubrutinib-wm-capsule-80-mg-brukinsa" TargetMode="External"/><Relationship Id="rId23" Type="http://schemas.openxmlformats.org/officeDocument/2006/relationships/image" Target="media/image3.png"/><Relationship Id="rId28" Type="http://schemas.openxmlformats.org/officeDocument/2006/relationships/header" Target="header3.xml"/><Relationship Id="rId10" Type="http://schemas.openxmlformats.org/officeDocument/2006/relationships/hyperlink" Target="https://www.ebs.tga.gov.au/ebs/picmi/picmirepository.nsf/PICMI?OpenForm&amp;t=&amp;q=zanubrutinib" TargetMode="External"/><Relationship Id="rId19" Type="http://schemas.openxmlformats.org/officeDocument/2006/relationships/image" Target="media/image1.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bs.tga.gov.au/ebs/picmi/picmirepository.nsf/PICMI?OpenForm&amp;t=&amp;q=zanubrutinib" TargetMode="External"/><Relationship Id="rId14" Type="http://schemas.openxmlformats.org/officeDocument/2006/relationships/hyperlink" Target="https://www.pbs.gov.au/pbs/home" TargetMode="External"/><Relationship Id="rId22" Type="http://schemas.openxmlformats.org/officeDocument/2006/relationships/image" Target="media/image2.png"/><Relationship Id="rId27" Type="http://schemas.openxmlformats.org/officeDocument/2006/relationships/footer" Target="footer2.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aihw.gov.au/reports/cancer/cancer-data-in-australia/contents/blood-cancer-incidence-and-survival-by-histology-e" TargetMode="External"/><Relationship Id="rId3" Type="http://schemas.openxmlformats.org/officeDocument/2006/relationships/hyperlink" Target="https://www.ebs.tga.gov.au/ebs/picmi/picmirepository.nsf/pdf?OpenAgent&amp;id=CP-2021-PI-02239-1&amp;d=20241023172310101" TargetMode="External"/><Relationship Id="rId7" Type="http://schemas.openxmlformats.org/officeDocument/2006/relationships/hyperlink" Target="https://www.aihw.gov.au/reports/cancer/cancer-data-in-australia/contents/blood-cancer-incidence-and-survival-by-histology-e" TargetMode="External"/><Relationship Id="rId2" Type="http://schemas.openxmlformats.org/officeDocument/2006/relationships/hyperlink" Target="https://www.ebs.tga.gov.au/ebs/picmi/picmirepository.nsf/pdf?OpenAgent&amp;id=CP-2021-PI-02239-1&amp;d=20241023172310101" TargetMode="External"/><Relationship Id="rId1" Type="http://schemas.openxmlformats.org/officeDocument/2006/relationships/hyperlink" Target="https://myeloma.org.au/wp-content/uploads/2022/06/MSAG-waldenstrom-guidelines-jun22.pdf" TargetMode="External"/><Relationship Id="rId6" Type="http://schemas.openxmlformats.org/officeDocument/2006/relationships/hyperlink" Target="https://www.eviq.org.au/haematology-and-bmt/lymphoma/waldenstrom-macroglobulinaemia/1654-waldenstrom-macroglobulinaemia-drc-dexametha" TargetMode="External"/><Relationship Id="rId5" Type="http://schemas.openxmlformats.org/officeDocument/2006/relationships/hyperlink" Target="https://www.eviq.org.au/haematology-and-bmt/lymphoma/waldenstrom-macroglobulinaemia/1654-waldenstrom-macroglobulinaemia-drc-dexametha" TargetMode="External"/><Relationship Id="rId4" Type="http://schemas.openxmlformats.org/officeDocument/2006/relationships/hyperlink" Target="https://myeloma.org.au/wp-content/uploads/2022/06/MSAG-waldenstrom-guidelines-jun22.pdf" TargetMode="External"/><Relationship Id="rId9" Type="http://schemas.openxmlformats.org/officeDocument/2006/relationships/hyperlink" Target="https://www.aihw.gov.au/reports/cancer/cancer-data-in-australia/contents/blood-cancer-incidence-and-survival-by-histology-e"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24\D1637%20-%20Zanubrutinib%20for%20Waldenstrom%20macroglobulinaemia%20PvA\Patients%20and%20scrip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24\D1637%20-%20Zanubrutinib%20for%20Waldenstrom%20macroglobulinaemia%20PvA\AIHW%20ag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24\D1637%20-%20Zanubrutinib%20for%20Waldenstrom%20macroglobulinaemia%20PvA\AIHW%20age.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Patients</a:t>
            </a:r>
            <a:r>
              <a:rPr lang="en-AU" baseline="0"/>
              <a:t> and scripts</a:t>
            </a:r>
            <a:endParaRPr lang="en-A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AU"/>
        </a:p>
      </c:txPr>
    </c:title>
    <c:autoTitleDeleted val="0"/>
    <c:plotArea>
      <c:layout/>
      <c:lineChart>
        <c:grouping val="standard"/>
        <c:varyColors val="0"/>
        <c:ser>
          <c:idx val="2"/>
          <c:order val="2"/>
          <c:tx>
            <c:strRef>
              <c:f>Month!$C$1</c:f>
              <c:strCache>
                <c:ptCount val="1"/>
                <c:pt idx="0">
                  <c:v>Prevelant patients</c:v>
                </c:pt>
              </c:strCache>
            </c:strRef>
          </c:tx>
          <c:spPr>
            <a:ln w="28575" cap="rnd">
              <a:solidFill>
                <a:schemeClr val="accent3"/>
              </a:solidFill>
              <a:round/>
            </a:ln>
            <a:effectLst/>
          </c:spPr>
          <c:marker>
            <c:symbol val="none"/>
          </c:marker>
          <c:cat>
            <c:numRef>
              <c:f>Month!$A$1:$A$25</c:f>
              <c:numCache>
                <c:formatCode>General</c:formatCode>
                <c:ptCount val="25"/>
                <c:pt idx="1">
                  <c:v>202207</c:v>
                </c:pt>
                <c:pt idx="2">
                  <c:v>202208</c:v>
                </c:pt>
                <c:pt idx="3">
                  <c:v>202209</c:v>
                </c:pt>
                <c:pt idx="4">
                  <c:v>202210</c:v>
                </c:pt>
                <c:pt idx="5">
                  <c:v>202211</c:v>
                </c:pt>
                <c:pt idx="6">
                  <c:v>202212</c:v>
                </c:pt>
                <c:pt idx="7">
                  <c:v>202301</c:v>
                </c:pt>
                <c:pt idx="8">
                  <c:v>202302</c:v>
                </c:pt>
                <c:pt idx="9">
                  <c:v>202303</c:v>
                </c:pt>
                <c:pt idx="10">
                  <c:v>202304</c:v>
                </c:pt>
                <c:pt idx="11">
                  <c:v>202305</c:v>
                </c:pt>
                <c:pt idx="12">
                  <c:v>202306</c:v>
                </c:pt>
                <c:pt idx="13">
                  <c:v>202307</c:v>
                </c:pt>
                <c:pt idx="14">
                  <c:v>202308</c:v>
                </c:pt>
                <c:pt idx="15">
                  <c:v>202309</c:v>
                </c:pt>
                <c:pt idx="16">
                  <c:v>202310</c:v>
                </c:pt>
                <c:pt idx="17">
                  <c:v>202311</c:v>
                </c:pt>
                <c:pt idx="18">
                  <c:v>202312</c:v>
                </c:pt>
                <c:pt idx="19">
                  <c:v>202401</c:v>
                </c:pt>
                <c:pt idx="20">
                  <c:v>202402</c:v>
                </c:pt>
                <c:pt idx="21">
                  <c:v>202403</c:v>
                </c:pt>
                <c:pt idx="22">
                  <c:v>202404</c:v>
                </c:pt>
                <c:pt idx="23">
                  <c:v>202405</c:v>
                </c:pt>
                <c:pt idx="24">
                  <c:v>202406</c:v>
                </c:pt>
              </c:numCache>
            </c:numRef>
          </c:cat>
          <c:val>
            <c:numRef>
              <c:f>Month!$C$2:$C$25</c:f>
              <c:numCache>
                <c:formatCode>General</c:formatCode>
                <c:ptCount val="24"/>
                <c:pt idx="0">
                  <c:v>51</c:v>
                </c:pt>
                <c:pt idx="1">
                  <c:v>87</c:v>
                </c:pt>
                <c:pt idx="2">
                  <c:v>113</c:v>
                </c:pt>
                <c:pt idx="3">
                  <c:v>138</c:v>
                </c:pt>
                <c:pt idx="4">
                  <c:v>158</c:v>
                </c:pt>
                <c:pt idx="5">
                  <c:v>173</c:v>
                </c:pt>
                <c:pt idx="6">
                  <c:v>192</c:v>
                </c:pt>
                <c:pt idx="7">
                  <c:v>206</c:v>
                </c:pt>
                <c:pt idx="8">
                  <c:v>237</c:v>
                </c:pt>
                <c:pt idx="9">
                  <c:v>230</c:v>
                </c:pt>
                <c:pt idx="10">
                  <c:v>265</c:v>
                </c:pt>
                <c:pt idx="11">
                  <c:v>290</c:v>
                </c:pt>
                <c:pt idx="12">
                  <c:v>293</c:v>
                </c:pt>
                <c:pt idx="13">
                  <c:v>318</c:v>
                </c:pt>
                <c:pt idx="14">
                  <c:v>314</c:v>
                </c:pt>
                <c:pt idx="15">
                  <c:v>311</c:v>
                </c:pt>
                <c:pt idx="16">
                  <c:v>345</c:v>
                </c:pt>
                <c:pt idx="17">
                  <c:v>351</c:v>
                </c:pt>
                <c:pt idx="18">
                  <c:v>369</c:v>
                </c:pt>
                <c:pt idx="19">
                  <c:v>371</c:v>
                </c:pt>
                <c:pt idx="20">
                  <c:v>386</c:v>
                </c:pt>
                <c:pt idx="21">
                  <c:v>417</c:v>
                </c:pt>
                <c:pt idx="22">
                  <c:v>445</c:v>
                </c:pt>
                <c:pt idx="23">
                  <c:v>421</c:v>
                </c:pt>
              </c:numCache>
            </c:numRef>
          </c:val>
          <c:smooth val="0"/>
          <c:extLst>
            <c:ext xmlns:c16="http://schemas.microsoft.com/office/drawing/2014/chart" uri="{C3380CC4-5D6E-409C-BE32-E72D297353CC}">
              <c16:uniqueId val="{00000000-66EB-4B12-A458-0BAFB0B44500}"/>
            </c:ext>
          </c:extLst>
        </c:ser>
        <c:ser>
          <c:idx val="3"/>
          <c:order val="3"/>
          <c:tx>
            <c:strRef>
              <c:f>Month!$D$1</c:f>
              <c:strCache>
                <c:ptCount val="1"/>
                <c:pt idx="0">
                  <c:v>Scripts patients</c:v>
                </c:pt>
              </c:strCache>
            </c:strRef>
          </c:tx>
          <c:spPr>
            <a:ln w="28575" cap="rnd">
              <a:solidFill>
                <a:schemeClr val="accent4"/>
              </a:solidFill>
              <a:round/>
            </a:ln>
            <a:effectLst/>
          </c:spPr>
          <c:marker>
            <c:symbol val="none"/>
          </c:marker>
          <c:cat>
            <c:numRef>
              <c:f>Month!$A$1:$A$25</c:f>
              <c:numCache>
                <c:formatCode>General</c:formatCode>
                <c:ptCount val="25"/>
                <c:pt idx="1">
                  <c:v>202207</c:v>
                </c:pt>
                <c:pt idx="2">
                  <c:v>202208</c:v>
                </c:pt>
                <c:pt idx="3">
                  <c:v>202209</c:v>
                </c:pt>
                <c:pt idx="4">
                  <c:v>202210</c:v>
                </c:pt>
                <c:pt idx="5">
                  <c:v>202211</c:v>
                </c:pt>
                <c:pt idx="6">
                  <c:v>202212</c:v>
                </c:pt>
                <c:pt idx="7">
                  <c:v>202301</c:v>
                </c:pt>
                <c:pt idx="8">
                  <c:v>202302</c:v>
                </c:pt>
                <c:pt idx="9">
                  <c:v>202303</c:v>
                </c:pt>
                <c:pt idx="10">
                  <c:v>202304</c:v>
                </c:pt>
                <c:pt idx="11">
                  <c:v>202305</c:v>
                </c:pt>
                <c:pt idx="12">
                  <c:v>202306</c:v>
                </c:pt>
                <c:pt idx="13">
                  <c:v>202307</c:v>
                </c:pt>
                <c:pt idx="14">
                  <c:v>202308</c:v>
                </c:pt>
                <c:pt idx="15">
                  <c:v>202309</c:v>
                </c:pt>
                <c:pt idx="16">
                  <c:v>202310</c:v>
                </c:pt>
                <c:pt idx="17">
                  <c:v>202311</c:v>
                </c:pt>
                <c:pt idx="18">
                  <c:v>202312</c:v>
                </c:pt>
                <c:pt idx="19">
                  <c:v>202401</c:v>
                </c:pt>
                <c:pt idx="20">
                  <c:v>202402</c:v>
                </c:pt>
                <c:pt idx="21">
                  <c:v>202403</c:v>
                </c:pt>
                <c:pt idx="22">
                  <c:v>202404</c:v>
                </c:pt>
                <c:pt idx="23">
                  <c:v>202405</c:v>
                </c:pt>
                <c:pt idx="24">
                  <c:v>202406</c:v>
                </c:pt>
              </c:numCache>
            </c:numRef>
          </c:cat>
          <c:val>
            <c:numRef>
              <c:f>Month!$D$2:$D$25</c:f>
              <c:numCache>
                <c:formatCode>General</c:formatCode>
                <c:ptCount val="24"/>
                <c:pt idx="0">
                  <c:v>62</c:v>
                </c:pt>
                <c:pt idx="1">
                  <c:v>106</c:v>
                </c:pt>
                <c:pt idx="2">
                  <c:v>128</c:v>
                </c:pt>
                <c:pt idx="3">
                  <c:v>160</c:v>
                </c:pt>
                <c:pt idx="4">
                  <c:v>178</c:v>
                </c:pt>
                <c:pt idx="5">
                  <c:v>208</c:v>
                </c:pt>
                <c:pt idx="6">
                  <c:v>223</c:v>
                </c:pt>
                <c:pt idx="7">
                  <c:v>227</c:v>
                </c:pt>
                <c:pt idx="8">
                  <c:v>279</c:v>
                </c:pt>
                <c:pt idx="9">
                  <c:v>252</c:v>
                </c:pt>
                <c:pt idx="10">
                  <c:v>309</c:v>
                </c:pt>
                <c:pt idx="11">
                  <c:v>331</c:v>
                </c:pt>
                <c:pt idx="12">
                  <c:v>342</c:v>
                </c:pt>
                <c:pt idx="13">
                  <c:v>359</c:v>
                </c:pt>
                <c:pt idx="14">
                  <c:v>369</c:v>
                </c:pt>
                <c:pt idx="15">
                  <c:v>345</c:v>
                </c:pt>
                <c:pt idx="16">
                  <c:v>401</c:v>
                </c:pt>
                <c:pt idx="17">
                  <c:v>403</c:v>
                </c:pt>
                <c:pt idx="18">
                  <c:v>425</c:v>
                </c:pt>
                <c:pt idx="19">
                  <c:v>418</c:v>
                </c:pt>
                <c:pt idx="20">
                  <c:v>430</c:v>
                </c:pt>
                <c:pt idx="21">
                  <c:v>482</c:v>
                </c:pt>
                <c:pt idx="22">
                  <c:v>525</c:v>
                </c:pt>
                <c:pt idx="23">
                  <c:v>463</c:v>
                </c:pt>
              </c:numCache>
            </c:numRef>
          </c:val>
          <c:smooth val="0"/>
          <c:extLst>
            <c:ext xmlns:c16="http://schemas.microsoft.com/office/drawing/2014/chart" uri="{C3380CC4-5D6E-409C-BE32-E72D297353CC}">
              <c16:uniqueId val="{00000001-66EB-4B12-A458-0BAFB0B44500}"/>
            </c:ext>
          </c:extLst>
        </c:ser>
        <c:dLbls>
          <c:showLegendKey val="0"/>
          <c:showVal val="0"/>
          <c:showCatName val="0"/>
          <c:showSerName val="0"/>
          <c:showPercent val="0"/>
          <c:showBubbleSize val="0"/>
        </c:dLbls>
        <c:marker val="1"/>
        <c:smooth val="0"/>
        <c:axId val="455336656"/>
        <c:axId val="572450800"/>
        <c:extLst>
          <c:ext xmlns:c15="http://schemas.microsoft.com/office/drawing/2012/chart" uri="{02D57815-91ED-43cb-92C2-25804820EDAC}">
            <c15:filteredLineSeries>
              <c15:ser>
                <c:idx val="0"/>
                <c:order val="0"/>
                <c:tx>
                  <c:strRef>
                    <c:extLst>
                      <c:ext uri="{02D57815-91ED-43cb-92C2-25804820EDAC}">
                        <c15:formulaRef>
                          <c15:sqref>Month!$A$1</c15:sqref>
                        </c15:formulaRef>
                      </c:ext>
                    </c:extLst>
                    <c:strCache>
                      <c:ptCount val="1"/>
                    </c:strCache>
                  </c:strRef>
                </c:tx>
                <c:spPr>
                  <a:ln w="28575" cap="rnd">
                    <a:solidFill>
                      <a:schemeClr val="accent1"/>
                    </a:solidFill>
                    <a:round/>
                  </a:ln>
                  <a:effectLst/>
                </c:spPr>
                <c:marker>
                  <c:symbol val="none"/>
                </c:marker>
                <c:cat>
                  <c:numRef>
                    <c:extLst>
                      <c:ext uri="{02D57815-91ED-43cb-92C2-25804820EDAC}">
                        <c15:formulaRef>
                          <c15:sqref>Month!$A$1:$A$25</c15:sqref>
                        </c15:formulaRef>
                      </c:ext>
                    </c:extLst>
                    <c:numCache>
                      <c:formatCode>General</c:formatCode>
                      <c:ptCount val="25"/>
                      <c:pt idx="1">
                        <c:v>202207</c:v>
                      </c:pt>
                      <c:pt idx="2">
                        <c:v>202208</c:v>
                      </c:pt>
                      <c:pt idx="3">
                        <c:v>202209</c:v>
                      </c:pt>
                      <c:pt idx="4">
                        <c:v>202210</c:v>
                      </c:pt>
                      <c:pt idx="5">
                        <c:v>202211</c:v>
                      </c:pt>
                      <c:pt idx="6">
                        <c:v>202212</c:v>
                      </c:pt>
                      <c:pt idx="7">
                        <c:v>202301</c:v>
                      </c:pt>
                      <c:pt idx="8">
                        <c:v>202302</c:v>
                      </c:pt>
                      <c:pt idx="9">
                        <c:v>202303</c:v>
                      </c:pt>
                      <c:pt idx="10">
                        <c:v>202304</c:v>
                      </c:pt>
                      <c:pt idx="11">
                        <c:v>202305</c:v>
                      </c:pt>
                      <c:pt idx="12">
                        <c:v>202306</c:v>
                      </c:pt>
                      <c:pt idx="13">
                        <c:v>202307</c:v>
                      </c:pt>
                      <c:pt idx="14">
                        <c:v>202308</c:v>
                      </c:pt>
                      <c:pt idx="15">
                        <c:v>202309</c:v>
                      </c:pt>
                      <c:pt idx="16">
                        <c:v>202310</c:v>
                      </c:pt>
                      <c:pt idx="17">
                        <c:v>202311</c:v>
                      </c:pt>
                      <c:pt idx="18">
                        <c:v>202312</c:v>
                      </c:pt>
                      <c:pt idx="19">
                        <c:v>202401</c:v>
                      </c:pt>
                      <c:pt idx="20">
                        <c:v>202402</c:v>
                      </c:pt>
                      <c:pt idx="21">
                        <c:v>202403</c:v>
                      </c:pt>
                      <c:pt idx="22">
                        <c:v>202404</c:v>
                      </c:pt>
                      <c:pt idx="23">
                        <c:v>202405</c:v>
                      </c:pt>
                      <c:pt idx="24">
                        <c:v>202406</c:v>
                      </c:pt>
                    </c:numCache>
                  </c:numRef>
                </c:cat>
                <c:val>
                  <c:numRef>
                    <c:extLst>
                      <c:ext uri="{02D57815-91ED-43cb-92C2-25804820EDAC}">
                        <c15:formulaRef>
                          <c15:sqref>Month!$A$2:$A$25</c15:sqref>
                        </c15:formulaRef>
                      </c:ext>
                    </c:extLst>
                    <c:numCache>
                      <c:formatCode>General</c:formatCode>
                      <c:ptCount val="24"/>
                      <c:pt idx="0">
                        <c:v>202207</c:v>
                      </c:pt>
                      <c:pt idx="1">
                        <c:v>202208</c:v>
                      </c:pt>
                      <c:pt idx="2">
                        <c:v>202209</c:v>
                      </c:pt>
                      <c:pt idx="3">
                        <c:v>202210</c:v>
                      </c:pt>
                      <c:pt idx="4">
                        <c:v>202211</c:v>
                      </c:pt>
                      <c:pt idx="5">
                        <c:v>202212</c:v>
                      </c:pt>
                      <c:pt idx="6">
                        <c:v>202301</c:v>
                      </c:pt>
                      <c:pt idx="7">
                        <c:v>202302</c:v>
                      </c:pt>
                      <c:pt idx="8">
                        <c:v>202303</c:v>
                      </c:pt>
                      <c:pt idx="9">
                        <c:v>202304</c:v>
                      </c:pt>
                      <c:pt idx="10">
                        <c:v>202305</c:v>
                      </c:pt>
                      <c:pt idx="11">
                        <c:v>202306</c:v>
                      </c:pt>
                      <c:pt idx="12">
                        <c:v>202307</c:v>
                      </c:pt>
                      <c:pt idx="13">
                        <c:v>202308</c:v>
                      </c:pt>
                      <c:pt idx="14">
                        <c:v>202309</c:v>
                      </c:pt>
                      <c:pt idx="15">
                        <c:v>202310</c:v>
                      </c:pt>
                      <c:pt idx="16">
                        <c:v>202311</c:v>
                      </c:pt>
                      <c:pt idx="17">
                        <c:v>202312</c:v>
                      </c:pt>
                      <c:pt idx="18">
                        <c:v>202401</c:v>
                      </c:pt>
                      <c:pt idx="19">
                        <c:v>202402</c:v>
                      </c:pt>
                      <c:pt idx="20">
                        <c:v>202403</c:v>
                      </c:pt>
                      <c:pt idx="21">
                        <c:v>202404</c:v>
                      </c:pt>
                      <c:pt idx="22">
                        <c:v>202405</c:v>
                      </c:pt>
                      <c:pt idx="23">
                        <c:v>202406</c:v>
                      </c:pt>
                    </c:numCache>
                  </c:numRef>
                </c:val>
                <c:smooth val="0"/>
                <c:extLst>
                  <c:ext xmlns:c16="http://schemas.microsoft.com/office/drawing/2014/chart" uri="{C3380CC4-5D6E-409C-BE32-E72D297353CC}">
                    <c16:uniqueId val="{00000003-66EB-4B12-A458-0BAFB0B44500}"/>
                  </c:ext>
                </c:extLst>
              </c15:ser>
            </c15:filteredLineSeries>
          </c:ext>
        </c:extLst>
      </c:lineChart>
      <c:lineChart>
        <c:grouping val="standard"/>
        <c:varyColors val="0"/>
        <c:ser>
          <c:idx val="1"/>
          <c:order val="1"/>
          <c:tx>
            <c:strRef>
              <c:f>Month!$B$1</c:f>
              <c:strCache>
                <c:ptCount val="1"/>
                <c:pt idx="0">
                  <c:v>Incident patients</c:v>
                </c:pt>
              </c:strCache>
            </c:strRef>
          </c:tx>
          <c:spPr>
            <a:ln w="28575" cap="rnd">
              <a:solidFill>
                <a:schemeClr val="accent2"/>
              </a:solidFill>
              <a:prstDash val="sysDot"/>
              <a:round/>
            </a:ln>
            <a:effectLst/>
          </c:spPr>
          <c:marker>
            <c:symbol val="none"/>
          </c:marker>
          <c:cat>
            <c:numRef>
              <c:f>Month!$A$1:$A$25</c:f>
              <c:numCache>
                <c:formatCode>General</c:formatCode>
                <c:ptCount val="25"/>
                <c:pt idx="1">
                  <c:v>202207</c:v>
                </c:pt>
                <c:pt idx="2">
                  <c:v>202208</c:v>
                </c:pt>
                <c:pt idx="3">
                  <c:v>202209</c:v>
                </c:pt>
                <c:pt idx="4">
                  <c:v>202210</c:v>
                </c:pt>
                <c:pt idx="5">
                  <c:v>202211</c:v>
                </c:pt>
                <c:pt idx="6">
                  <c:v>202212</c:v>
                </c:pt>
                <c:pt idx="7">
                  <c:v>202301</c:v>
                </c:pt>
                <c:pt idx="8">
                  <c:v>202302</c:v>
                </c:pt>
                <c:pt idx="9">
                  <c:v>202303</c:v>
                </c:pt>
                <c:pt idx="10">
                  <c:v>202304</c:v>
                </c:pt>
                <c:pt idx="11">
                  <c:v>202305</c:v>
                </c:pt>
                <c:pt idx="12">
                  <c:v>202306</c:v>
                </c:pt>
                <c:pt idx="13">
                  <c:v>202307</c:v>
                </c:pt>
                <c:pt idx="14">
                  <c:v>202308</c:v>
                </c:pt>
                <c:pt idx="15">
                  <c:v>202309</c:v>
                </c:pt>
                <c:pt idx="16">
                  <c:v>202310</c:v>
                </c:pt>
                <c:pt idx="17">
                  <c:v>202311</c:v>
                </c:pt>
                <c:pt idx="18">
                  <c:v>202312</c:v>
                </c:pt>
                <c:pt idx="19">
                  <c:v>202401</c:v>
                </c:pt>
                <c:pt idx="20">
                  <c:v>202402</c:v>
                </c:pt>
                <c:pt idx="21">
                  <c:v>202403</c:v>
                </c:pt>
                <c:pt idx="22">
                  <c:v>202404</c:v>
                </c:pt>
                <c:pt idx="23">
                  <c:v>202405</c:v>
                </c:pt>
                <c:pt idx="24">
                  <c:v>202406</c:v>
                </c:pt>
              </c:numCache>
            </c:numRef>
          </c:cat>
          <c:val>
            <c:numRef>
              <c:f>Month!$B$2:$B$25</c:f>
              <c:numCache>
                <c:formatCode>General</c:formatCode>
                <c:ptCount val="24"/>
                <c:pt idx="0">
                  <c:v>51</c:v>
                </c:pt>
                <c:pt idx="1">
                  <c:v>46</c:v>
                </c:pt>
                <c:pt idx="2">
                  <c:v>37</c:v>
                </c:pt>
                <c:pt idx="3">
                  <c:v>33</c:v>
                </c:pt>
                <c:pt idx="4">
                  <c:v>36</c:v>
                </c:pt>
                <c:pt idx="5">
                  <c:v>24</c:v>
                </c:pt>
                <c:pt idx="6">
                  <c:v>35</c:v>
                </c:pt>
                <c:pt idx="7">
                  <c:v>29</c:v>
                </c:pt>
                <c:pt idx="8">
                  <c:v>27</c:v>
                </c:pt>
                <c:pt idx="9">
                  <c:v>22</c:v>
                </c:pt>
                <c:pt idx="10">
                  <c:v>37</c:v>
                </c:pt>
                <c:pt idx="11">
                  <c:v>36</c:v>
                </c:pt>
                <c:pt idx="12">
                  <c:v>28</c:v>
                </c:pt>
                <c:pt idx="13">
                  <c:v>31</c:v>
                </c:pt>
                <c:pt idx="14">
                  <c:v>24</c:v>
                </c:pt>
                <c:pt idx="15">
                  <c:v>23</c:v>
                </c:pt>
                <c:pt idx="16">
                  <c:v>35</c:v>
                </c:pt>
                <c:pt idx="17">
                  <c:v>25</c:v>
                </c:pt>
                <c:pt idx="18">
                  <c:v>23</c:v>
                </c:pt>
                <c:pt idx="19">
                  <c:v>48</c:v>
                </c:pt>
                <c:pt idx="20">
                  <c:v>38</c:v>
                </c:pt>
                <c:pt idx="21">
                  <c:v>30</c:v>
                </c:pt>
                <c:pt idx="22">
                  <c:v>27</c:v>
                </c:pt>
                <c:pt idx="23">
                  <c:v>40</c:v>
                </c:pt>
              </c:numCache>
            </c:numRef>
          </c:val>
          <c:smooth val="0"/>
          <c:extLst>
            <c:ext xmlns:c16="http://schemas.microsoft.com/office/drawing/2014/chart" uri="{C3380CC4-5D6E-409C-BE32-E72D297353CC}">
              <c16:uniqueId val="{00000002-66EB-4B12-A458-0BAFB0B44500}"/>
            </c:ext>
          </c:extLst>
        </c:ser>
        <c:dLbls>
          <c:showLegendKey val="0"/>
          <c:showVal val="0"/>
          <c:showCatName val="0"/>
          <c:showSerName val="0"/>
          <c:showPercent val="0"/>
          <c:showBubbleSize val="0"/>
        </c:dLbls>
        <c:marker val="1"/>
        <c:smooth val="0"/>
        <c:axId val="752955408"/>
        <c:axId val="752958288"/>
      </c:lineChart>
      <c:catAx>
        <c:axId val="4553366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Month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7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2450800"/>
        <c:crosses val="autoZero"/>
        <c:auto val="1"/>
        <c:lblAlgn val="ctr"/>
        <c:lblOffset val="100"/>
        <c:noMultiLvlLbl val="0"/>
      </c:catAx>
      <c:valAx>
        <c:axId val="5724508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Prevelant patients and scripts</a:t>
                </a:r>
              </a:p>
            </c:rich>
          </c:tx>
          <c:layout>
            <c:manualLayout>
              <c:xMode val="edge"/>
              <c:yMode val="edge"/>
              <c:x val="3.0555555555555555E-2"/>
              <c:y val="7.9120370370370396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5336656"/>
        <c:crosses val="autoZero"/>
        <c:crossBetween val="between"/>
      </c:valAx>
      <c:valAx>
        <c:axId val="752958288"/>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Incident 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2955408"/>
        <c:crosses val="max"/>
        <c:crossBetween val="between"/>
      </c:valAx>
      <c:catAx>
        <c:axId val="752955408"/>
        <c:scaling>
          <c:orientation val="minMax"/>
        </c:scaling>
        <c:delete val="1"/>
        <c:axPos val="b"/>
        <c:numFmt formatCode="General" sourceLinked="1"/>
        <c:majorTickMark val="out"/>
        <c:minorTickMark val="none"/>
        <c:tickLblPos val="nextTo"/>
        <c:crossAx val="75295828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Sheet2!$B$43</c:f>
              <c:strCache>
                <c:ptCount val="1"/>
                <c:pt idx="0">
                  <c:v>Incident patients on treatment </c:v>
                </c:pt>
              </c:strCache>
            </c:strRef>
          </c:tx>
          <c:spPr>
            <a:solidFill>
              <a:schemeClr val="accent1"/>
            </a:solidFill>
            <a:ln>
              <a:noFill/>
            </a:ln>
            <a:effectLst/>
          </c:spPr>
          <c:invertIfNegative val="0"/>
          <c:cat>
            <c:strRef>
              <c:f>Sheet2!$A$44:$A$48</c:f>
              <c:strCache>
                <c:ptCount val="5"/>
                <c:pt idx="0">
                  <c:v>54 - yrs</c:v>
                </c:pt>
                <c:pt idx="1">
                  <c:v>55-64 yrs</c:v>
                </c:pt>
                <c:pt idx="2">
                  <c:v>65-74 yrs</c:v>
                </c:pt>
                <c:pt idx="3">
                  <c:v>75-84 yrs</c:v>
                </c:pt>
                <c:pt idx="4">
                  <c:v>85+   yrs</c:v>
                </c:pt>
              </c:strCache>
            </c:strRef>
          </c:cat>
          <c:val>
            <c:numRef>
              <c:f>Sheet2!$B$44:$B$48</c:f>
              <c:numCache>
                <c:formatCode>0.0</c:formatCode>
                <c:ptCount val="5"/>
                <c:pt idx="0">
                  <c:v>2.4296675191815855</c:v>
                </c:pt>
                <c:pt idx="1">
                  <c:v>8.9514066496163682</c:v>
                </c:pt>
                <c:pt idx="2">
                  <c:v>26.982097186700766</c:v>
                </c:pt>
                <c:pt idx="3">
                  <c:v>43.222506393861892</c:v>
                </c:pt>
                <c:pt idx="4">
                  <c:v>18.414322250639387</c:v>
                </c:pt>
              </c:numCache>
            </c:numRef>
          </c:val>
          <c:extLst>
            <c:ext xmlns:c16="http://schemas.microsoft.com/office/drawing/2014/chart" uri="{C3380CC4-5D6E-409C-BE32-E72D297353CC}">
              <c16:uniqueId val="{00000000-B8A4-4E89-B37B-086F5C1AB3AF}"/>
            </c:ext>
          </c:extLst>
        </c:ser>
        <c:dLbls>
          <c:showLegendKey val="0"/>
          <c:showVal val="0"/>
          <c:showCatName val="0"/>
          <c:showSerName val="0"/>
          <c:showPercent val="0"/>
          <c:showBubbleSize val="0"/>
        </c:dLbls>
        <c:gapWidth val="219"/>
        <c:overlap val="-27"/>
        <c:axId val="694204776"/>
        <c:axId val="694207656"/>
      </c:barChart>
      <c:catAx>
        <c:axId val="6942047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Age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4207656"/>
        <c:crosses val="autoZero"/>
        <c:auto val="1"/>
        <c:lblAlgn val="ctr"/>
        <c:lblOffset val="100"/>
        <c:noMultiLvlLbl val="0"/>
      </c:catAx>
      <c:valAx>
        <c:axId val="6942076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420477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Sheet2!$B$52</c:f>
              <c:strCache>
                <c:ptCount val="1"/>
                <c:pt idx="0">
                  <c:v>Incident cases of disease</c:v>
                </c:pt>
              </c:strCache>
            </c:strRef>
          </c:tx>
          <c:spPr>
            <a:solidFill>
              <a:schemeClr val="accent1"/>
            </a:solidFill>
            <a:ln>
              <a:noFill/>
            </a:ln>
            <a:effectLst/>
          </c:spPr>
          <c:invertIfNegative val="0"/>
          <c:cat>
            <c:strRef>
              <c:f>Sheet2!$A$53:$A$57</c:f>
              <c:strCache>
                <c:ptCount val="5"/>
                <c:pt idx="0">
                  <c:v>54- yrs</c:v>
                </c:pt>
                <c:pt idx="1">
                  <c:v>55-64 yrs</c:v>
                </c:pt>
                <c:pt idx="2">
                  <c:v>65-74 yrs</c:v>
                </c:pt>
                <c:pt idx="3">
                  <c:v>75-84 yrs</c:v>
                </c:pt>
                <c:pt idx="4">
                  <c:v>85+ yrs</c:v>
                </c:pt>
              </c:strCache>
            </c:strRef>
          </c:cat>
          <c:val>
            <c:numRef>
              <c:f>Sheet2!$B$53:$B$57</c:f>
              <c:numCache>
                <c:formatCode>0.0</c:formatCode>
                <c:ptCount val="5"/>
                <c:pt idx="0">
                  <c:v>6.7484662576687118</c:v>
                </c:pt>
                <c:pt idx="1">
                  <c:v>17.791411042944784</c:v>
                </c:pt>
                <c:pt idx="2">
                  <c:v>30.061349693251532</c:v>
                </c:pt>
                <c:pt idx="3">
                  <c:v>31.901840490797547</c:v>
                </c:pt>
                <c:pt idx="4">
                  <c:v>13.496932515337424</c:v>
                </c:pt>
              </c:numCache>
            </c:numRef>
          </c:val>
          <c:extLst>
            <c:ext xmlns:c16="http://schemas.microsoft.com/office/drawing/2014/chart" uri="{C3380CC4-5D6E-409C-BE32-E72D297353CC}">
              <c16:uniqueId val="{00000000-8037-45E6-B15D-57C69A9DB6E2}"/>
            </c:ext>
          </c:extLst>
        </c:ser>
        <c:dLbls>
          <c:showLegendKey val="0"/>
          <c:showVal val="0"/>
          <c:showCatName val="0"/>
          <c:showSerName val="0"/>
          <c:showPercent val="0"/>
          <c:showBubbleSize val="0"/>
        </c:dLbls>
        <c:gapWidth val="219"/>
        <c:overlap val="-27"/>
        <c:axId val="694350760"/>
        <c:axId val="694353280"/>
      </c:barChart>
      <c:catAx>
        <c:axId val="6943507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Age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4353280"/>
        <c:crosses val="autoZero"/>
        <c:auto val="1"/>
        <c:lblAlgn val="ctr"/>
        <c:lblOffset val="100"/>
        <c:noMultiLvlLbl val="0"/>
      </c:catAx>
      <c:valAx>
        <c:axId val="6943532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435076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E5B47-A335-4C95-B55D-022B0F0D3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4437</Words>
  <Characters>24321</Characters>
  <Application>Microsoft Office Word</Application>
  <DocSecurity>0</DocSecurity>
  <Lines>623</Lines>
  <Paragraphs>302</Paragraphs>
  <ScaleCrop>false</ScaleCrop>
  <Company/>
  <LinksUpToDate>false</LinksUpToDate>
  <CharactersWithSpaces>28498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2025-10-06T23:11:00Z</dcterms:created>
  <dcterms:modified xsi:type="dcterms:W3CDTF">2025-10-06T23:14:00Z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137a7847,39dc1708,702f89d0</vt:lpwstr>
  </property>
  <property fmtid="{D5CDD505-2E9C-101B-9397-08002B2CF9AE}" pid="3" name="ClassificationContentMarkingHeaderFontProps">
    <vt:lpwstr>#ff0000,12,Calibri</vt:lpwstr>
  </property>
  <property fmtid="{D5CDD505-2E9C-101B-9397-08002B2CF9AE}" pid="4" name="ClassificationContentMarkingHeaderText">
    <vt:lpwstr>UNOFFICIAL</vt:lpwstr>
  </property>
  <property fmtid="{D5CDD505-2E9C-101B-9397-08002B2CF9AE}" pid="5" name="ClassificationContentMarkingFooterShapeIds">
    <vt:lpwstr>797fcc41,a163e03,40c438bf</vt:lpwstr>
  </property>
  <property fmtid="{D5CDD505-2E9C-101B-9397-08002B2CF9AE}" pid="6" name="ClassificationContentMarkingFooterFontProps">
    <vt:lpwstr>#ff0000,12,Calibri</vt:lpwstr>
  </property>
  <property fmtid="{D5CDD505-2E9C-101B-9397-08002B2CF9AE}" pid="7" name="ClassificationContentMarkingFooterText">
    <vt:lpwstr>UNOFFICIAL</vt:lpwstr>
  </property>
  <property fmtid="{D5CDD505-2E9C-101B-9397-08002B2CF9AE}" pid="8" name="MSIP_Label_edd204cd-6aa2-46a1-bfaf-a0d9bcf7e7ca_Enabled">
    <vt:lpwstr>true</vt:lpwstr>
  </property>
  <property fmtid="{D5CDD505-2E9C-101B-9397-08002B2CF9AE}" pid="9" name="MSIP_Label_edd204cd-6aa2-46a1-bfaf-a0d9bcf7e7ca_SetDate">
    <vt:lpwstr>2025-10-06T23:11:32Z</vt:lpwstr>
  </property>
  <property fmtid="{D5CDD505-2E9C-101B-9397-08002B2CF9AE}" pid="10" name="MSIP_Label_edd204cd-6aa2-46a1-bfaf-a0d9bcf7e7ca_Method">
    <vt:lpwstr>Privileged</vt:lpwstr>
  </property>
  <property fmtid="{D5CDD505-2E9C-101B-9397-08002B2CF9AE}" pid="11" name="MSIP_Label_edd204cd-6aa2-46a1-bfaf-a0d9bcf7e7ca_Name">
    <vt:lpwstr>U</vt:lpwstr>
  </property>
  <property fmtid="{D5CDD505-2E9C-101B-9397-08002B2CF9AE}" pid="12" name="MSIP_Label_edd204cd-6aa2-46a1-bfaf-a0d9bcf7e7ca_SiteId">
    <vt:lpwstr>34a3929c-73cf-4954-abfe-147dc3517892</vt:lpwstr>
  </property>
  <property fmtid="{D5CDD505-2E9C-101B-9397-08002B2CF9AE}" pid="13" name="MSIP_Label_edd204cd-6aa2-46a1-bfaf-a0d9bcf7e7ca_ActionId">
    <vt:lpwstr>3f3775e3-0c7d-4b74-8f4f-656e2f253113</vt:lpwstr>
  </property>
  <property fmtid="{D5CDD505-2E9C-101B-9397-08002B2CF9AE}" pid="14" name="MSIP_Label_edd204cd-6aa2-46a1-bfaf-a0d9bcf7e7ca_ContentBits">
    <vt:lpwstr>3</vt:lpwstr>
  </property>
  <property fmtid="{D5CDD505-2E9C-101B-9397-08002B2CF9AE}" pid="15" name="MSIP_Label_edd204cd-6aa2-46a1-bfaf-a0d9bcf7e7ca_Tag">
    <vt:lpwstr>10, 0, 1, 1</vt:lpwstr>
  </property>
</Properties>
</file>