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224834BD" w:rsidR="00832324" w:rsidRDefault="008F5736" w:rsidP="00F73113">
      <w:pPr>
        <w:pStyle w:val="Title"/>
      </w:pPr>
      <w:r>
        <w:t xml:space="preserve">Medicines for </w:t>
      </w:r>
      <w:r w:rsidR="007223FB">
        <w:t xml:space="preserve">the treatment of </w:t>
      </w:r>
      <w:r w:rsidR="00AA45C8">
        <w:t>g</w:t>
      </w:r>
      <w:r w:rsidR="00434D3D">
        <w:t xml:space="preserve">astrointestinal stromal tumours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466581B2" w:rsidR="009053D3" w:rsidRPr="00F73113" w:rsidRDefault="003A2B95" w:rsidP="00F73113">
      <w:pPr>
        <w:pStyle w:val="Meetingdate"/>
      </w:pPr>
      <w:r>
        <w:t>April</w:t>
      </w:r>
      <w:r w:rsidR="00434D3D">
        <w:t xml:space="preserve"> 2025</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552F8B78" w:rsidR="005C6661" w:rsidRDefault="00D41E59" w:rsidP="00D41E59">
      <w:pPr>
        <w:pStyle w:val="NoSpacing"/>
      </w:pPr>
      <w:r>
        <w:t xml:space="preserve">To review the utilisation of medicines for </w:t>
      </w:r>
      <w:r w:rsidR="00D13C71">
        <w:t xml:space="preserve">the treatment of </w:t>
      </w:r>
      <w:r>
        <w:t>gastrointestinal stromal tumours</w:t>
      </w:r>
      <w:r w:rsidR="00842372">
        <w:t xml:space="preserve"> (GIST)</w:t>
      </w:r>
      <w:r>
        <w:t xml:space="preserve"> as requested by DUSC at its October 2024 meeting.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56413A51" w:rsidR="002D144A" w:rsidRDefault="00D41E59" w:rsidP="00F30840">
      <w:pPr>
        <w:pStyle w:val="ListParagraph"/>
        <w:numPr>
          <w:ilvl w:val="0"/>
          <w:numId w:val="36"/>
        </w:numPr>
      </w:pPr>
      <w:r>
        <w:t xml:space="preserve">Imatinib was </w:t>
      </w:r>
      <w:r w:rsidR="00D10E56">
        <w:t xml:space="preserve">PBS </w:t>
      </w:r>
      <w:r w:rsidR="00F30840">
        <w:t xml:space="preserve">listed </w:t>
      </w:r>
      <w:r w:rsidR="00D10E56">
        <w:t xml:space="preserve">for </w:t>
      </w:r>
      <w:r w:rsidR="00F30840">
        <w:t xml:space="preserve">the </w:t>
      </w:r>
      <w:r w:rsidR="00D10E56" w:rsidRPr="00F5048B">
        <w:t>treatment of metastatic or unresectable malignant GIST</w:t>
      </w:r>
      <w:r w:rsidR="00F30840">
        <w:t xml:space="preserve"> on</w:t>
      </w:r>
      <w:r w:rsidR="00D10E56">
        <w:t xml:space="preserve"> </w:t>
      </w:r>
      <w:r w:rsidR="00D10E56" w:rsidRPr="00F5048B">
        <w:t>1 February 2004</w:t>
      </w:r>
      <w:r w:rsidR="00D10E56">
        <w:t xml:space="preserve">. </w:t>
      </w:r>
      <w:r w:rsidR="00CD3756">
        <w:t xml:space="preserve">Its listing was extended to include </w:t>
      </w:r>
      <w:r w:rsidR="00F30840">
        <w:t xml:space="preserve">adjuvant GIST on 1 September 2011. </w:t>
      </w:r>
    </w:p>
    <w:p w14:paraId="58AB3B6B" w14:textId="3D3A3C14" w:rsidR="00D10E56" w:rsidRDefault="00D10E56" w:rsidP="00F30840">
      <w:pPr>
        <w:pStyle w:val="ListParagraph"/>
        <w:numPr>
          <w:ilvl w:val="0"/>
          <w:numId w:val="36"/>
        </w:numPr>
      </w:pPr>
      <w:r>
        <w:t xml:space="preserve">Sunitinib was PBS listed for the treatment of metastatic GIST on 1 December 2009. </w:t>
      </w:r>
    </w:p>
    <w:p w14:paraId="498EB92D" w14:textId="4E910E86" w:rsidR="00D10E56" w:rsidRDefault="00D10E56" w:rsidP="00F30840">
      <w:pPr>
        <w:pStyle w:val="ListParagraph"/>
        <w:numPr>
          <w:ilvl w:val="0"/>
          <w:numId w:val="36"/>
        </w:numPr>
      </w:pPr>
      <w:r>
        <w:t xml:space="preserve">Ripretinib was PBS listed for the treatment of metastatic GIST on 1 December 2021.  </w:t>
      </w:r>
    </w:p>
    <w:p w14:paraId="5E9E2FBA" w14:textId="2DB2092A" w:rsidR="005C6661" w:rsidRDefault="005C6661" w:rsidP="00CF0D38">
      <w:pPr>
        <w:pStyle w:val="Heading3"/>
      </w:pPr>
      <w:r>
        <w:t>Data Source / methodology</w:t>
      </w:r>
    </w:p>
    <w:p w14:paraId="3C74AB36" w14:textId="0AFCF762" w:rsidR="006804E0" w:rsidRDefault="006804E0" w:rsidP="005C6661">
      <w:pPr>
        <w:pStyle w:val="NoSpacing"/>
      </w:pPr>
      <w:r w:rsidRPr="006804E0">
        <w:t xml:space="preserve">Data extracted from the PBS database maintained by </w:t>
      </w:r>
      <w:r w:rsidR="00B037F5">
        <w:t>Department of Health, Disability and Ageing</w:t>
      </w:r>
      <w:r w:rsidRPr="006804E0">
        <w:t>, processed by Services Australia were used for the analyses.</w:t>
      </w:r>
    </w:p>
    <w:p w14:paraId="2D6FDE19" w14:textId="52E0B006" w:rsidR="00326904" w:rsidRDefault="005C6661" w:rsidP="00F30840">
      <w:pPr>
        <w:pStyle w:val="Heading3"/>
      </w:pPr>
      <w:r>
        <w:t>Key Findings</w:t>
      </w:r>
    </w:p>
    <w:p w14:paraId="4C73A80E" w14:textId="79790552" w:rsidR="00EC288E" w:rsidRDefault="009D25F1" w:rsidP="00D95CF1">
      <w:pPr>
        <w:pStyle w:val="ListParagraph"/>
        <w:numPr>
          <w:ilvl w:val="0"/>
          <w:numId w:val="46"/>
        </w:numPr>
      </w:pPr>
      <w:r>
        <w:t>T</w:t>
      </w:r>
      <w:r w:rsidR="00EC288E" w:rsidRPr="00EC288E">
        <w:t xml:space="preserve">he utilisation of the adjuvant and metastatic </w:t>
      </w:r>
      <w:r w:rsidR="00216DA5">
        <w:t xml:space="preserve">GIST </w:t>
      </w:r>
      <w:r w:rsidR="00EC288E" w:rsidRPr="00EC288E">
        <w:t xml:space="preserve">listings has been stabilising since </w:t>
      </w:r>
      <w:r w:rsidR="00691A10">
        <w:t>the second quarter of</w:t>
      </w:r>
      <w:r w:rsidR="00EC288E" w:rsidRPr="00EC288E">
        <w:t xml:space="preserve"> 2022. </w:t>
      </w:r>
    </w:p>
    <w:p w14:paraId="7BE95F5A" w14:textId="77777777" w:rsidR="00216DA5" w:rsidRDefault="00781F38" w:rsidP="00D95CF1">
      <w:pPr>
        <w:pStyle w:val="ListParagraph"/>
        <w:numPr>
          <w:ilvl w:val="0"/>
          <w:numId w:val="46"/>
        </w:numPr>
      </w:pPr>
      <w:r>
        <w:t xml:space="preserve">In 2023, </w:t>
      </w:r>
      <w:r w:rsidR="00885ACF">
        <w:t>1,431</w:t>
      </w:r>
      <w:r>
        <w:t xml:space="preserve"> patients were supplied </w:t>
      </w:r>
      <w:r w:rsidR="00885ACF">
        <w:t>9,940</w:t>
      </w:r>
      <w:r>
        <w:t xml:space="preserve"> prescriptions for the treatment of GIST. </w:t>
      </w:r>
      <w:r w:rsidR="00885ACF">
        <w:t>In 2022, 1,371 patients were supplied 9,406 prescriptions for the treatment of GIST.</w:t>
      </w:r>
    </w:p>
    <w:p w14:paraId="2D6C8825" w14:textId="77777777" w:rsidR="00DA79E5" w:rsidRDefault="00DA79E5" w:rsidP="00DA79E5">
      <w:pPr>
        <w:pStyle w:val="ListParagraph"/>
        <w:numPr>
          <w:ilvl w:val="0"/>
          <w:numId w:val="46"/>
        </w:numPr>
      </w:pPr>
      <w:r>
        <w:t xml:space="preserve">Overall, a greater number of patients were treated with PBS listed medicines for metastatic GIST compared to adjuvant GIST. </w:t>
      </w:r>
    </w:p>
    <w:p w14:paraId="4DD6202C" w14:textId="6467902B" w:rsidR="00216DA5" w:rsidRDefault="00216DA5" w:rsidP="00216DA5">
      <w:pPr>
        <w:pStyle w:val="ListParagraph"/>
        <w:numPr>
          <w:ilvl w:val="0"/>
          <w:numId w:val="46"/>
        </w:numPr>
      </w:pPr>
      <w:r>
        <w:t xml:space="preserve">Most metastatic GIST patients were treated with imatinib and have remained on imatinib as first-line therapy. </w:t>
      </w:r>
    </w:p>
    <w:p w14:paraId="38B57ECC" w14:textId="67D2B109" w:rsidR="00BB0D1A" w:rsidRPr="004625D9" w:rsidRDefault="00BB0D1A" w:rsidP="004625D9">
      <w:pPr>
        <w:spacing w:line="276" w:lineRule="auto"/>
        <w:rPr>
          <w:rFonts w:eastAsiaTheme="majorEastAsia" w:cstheme="majorBidi"/>
          <w:b/>
          <w:bCs/>
          <w:sz w:val="32"/>
          <w:szCs w:val="26"/>
        </w:rPr>
      </w:pP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29B1088A" w14:textId="299ACFBB" w:rsidR="00525789" w:rsidRDefault="00A95C0A" w:rsidP="00A95C0A">
      <w:pPr>
        <w:pStyle w:val="NoSpacing"/>
      </w:pPr>
      <w:r>
        <w:t xml:space="preserve">To review the utilisation of medicines for </w:t>
      </w:r>
      <w:r w:rsidR="00F67A9B">
        <w:t xml:space="preserve">the treatment of </w:t>
      </w:r>
      <w:r>
        <w:t xml:space="preserve">gastrointestinal stromal tumours as requested by DUSC at its October 2024 meeting. </w:t>
      </w:r>
    </w:p>
    <w:p w14:paraId="27631378" w14:textId="1579B376" w:rsidR="002118E3" w:rsidRDefault="002118E3" w:rsidP="002118E3">
      <w:pPr>
        <w:pStyle w:val="Heading1"/>
      </w:pPr>
      <w:r w:rsidRPr="005E22C2">
        <w:t>Background</w:t>
      </w:r>
    </w:p>
    <w:p w14:paraId="2C748275" w14:textId="7D61AE27" w:rsidR="00EE2BBB" w:rsidRPr="007247B9" w:rsidRDefault="00EE2BBB" w:rsidP="00EE2BBB">
      <w:pPr>
        <w:pStyle w:val="Heading2"/>
      </w:pPr>
      <w:r w:rsidRPr="007247B9">
        <w:t>Clinical situation</w:t>
      </w:r>
    </w:p>
    <w:p w14:paraId="5EA0403E" w14:textId="09DF41C4" w:rsidR="000413C9" w:rsidRDefault="004A0E86" w:rsidP="00EE2BBB">
      <w:r w:rsidRPr="00AC6D4E">
        <w:t>GIST</w:t>
      </w:r>
      <w:r w:rsidR="007D00F0">
        <w:t xml:space="preserve"> </w:t>
      </w:r>
      <w:r w:rsidRPr="00AC6D4E">
        <w:t xml:space="preserve">is a </w:t>
      </w:r>
      <w:r w:rsidR="00FC2656">
        <w:t xml:space="preserve">rare </w:t>
      </w:r>
      <w:r w:rsidRPr="00AC6D4E">
        <w:t>cancer of the stomach and bowels.</w:t>
      </w:r>
      <w:r w:rsidR="005F0791">
        <w:rPr>
          <w:rStyle w:val="FootnoteReference"/>
        </w:rPr>
        <w:footnoteReference w:id="2"/>
      </w:r>
      <w:r w:rsidRPr="00AC6D4E">
        <w:t xml:space="preserve"> </w:t>
      </w:r>
      <w:r w:rsidR="000413C9" w:rsidRPr="000413C9">
        <w:t xml:space="preserve">Most GIST are caused by activation of the KIT proto-oncogene, which encodes a tyrosine-kinase receptor. GIST can be readily identified by testing for a specific marker, the expression of KIT (CD117), with immunohistochemical staining. </w:t>
      </w:r>
    </w:p>
    <w:p w14:paraId="5E46716D" w14:textId="630A0AC8" w:rsidR="000413C9" w:rsidRDefault="000413C9" w:rsidP="00EE2BBB">
      <w:r w:rsidRPr="000413C9">
        <w:t>Surgery is the sole treatment for primary localised GIST. Patients at high risk of recurrence and who have resectable GIST may be offered imatinib adjuvant therapy. Patients remain on imatinib therapy unless they experience a recurrence, at which time the cancer is considered metastatic</w:t>
      </w:r>
      <w:r w:rsidR="003D3689">
        <w:t xml:space="preserve">. </w:t>
      </w:r>
      <w:r w:rsidR="00514611">
        <w:t xml:space="preserve">Patients who have metastatic or unresectable GIST </w:t>
      </w:r>
      <w:r w:rsidR="00514611" w:rsidRPr="000413C9">
        <w:t>are</w:t>
      </w:r>
      <w:r w:rsidR="00514611">
        <w:t xml:space="preserve"> treated with imatinib </w:t>
      </w:r>
      <w:r w:rsidRPr="000413C9">
        <w:t xml:space="preserve">and failing this, </w:t>
      </w:r>
      <w:r w:rsidR="00514611">
        <w:t xml:space="preserve">treated with </w:t>
      </w:r>
      <w:r w:rsidRPr="000413C9">
        <w:t>sunitini</w:t>
      </w:r>
      <w:r w:rsidR="00F04737">
        <w:t>b followed by ripretinib</w:t>
      </w:r>
      <w:r w:rsidR="00995E07">
        <w:t>.</w:t>
      </w:r>
      <w:r w:rsidR="008A4D1A">
        <w:t xml:space="preserve"> Ripretinib is</w:t>
      </w:r>
      <w:r w:rsidR="00ED6A15">
        <w:t xml:space="preserve"> available on the PBS for patients with metastatic or unresectable malignant GIST</w:t>
      </w:r>
      <w:r w:rsidR="00A731D8">
        <w:t xml:space="preserve"> who have </w:t>
      </w:r>
      <w:r w:rsidR="00D1294D">
        <w:t xml:space="preserve">progressed </w:t>
      </w:r>
      <w:r w:rsidR="00D1294D" w:rsidRPr="00A731D8">
        <w:t>on</w:t>
      </w:r>
      <w:r w:rsidR="00A731D8">
        <w:t xml:space="preserve"> </w:t>
      </w:r>
      <w:r w:rsidR="00A731D8" w:rsidRPr="00A731D8">
        <w:t>all</w:t>
      </w:r>
      <w:r w:rsidR="00D6442A">
        <w:t xml:space="preserve"> other</w:t>
      </w:r>
      <w:r w:rsidR="00A731D8" w:rsidRPr="00A731D8">
        <w:t xml:space="preserve"> PBS-listed</w:t>
      </w:r>
      <w:r w:rsidR="00A731D8">
        <w:t xml:space="preserve"> drugs for this indication.</w:t>
      </w:r>
    </w:p>
    <w:p w14:paraId="0183A567" w14:textId="413DF87B" w:rsidR="007247B9" w:rsidRDefault="007247B9" w:rsidP="00CF5E22">
      <w:pPr>
        <w:pStyle w:val="Heading2"/>
      </w:pPr>
      <w:r>
        <w:t>Pharmacology</w:t>
      </w:r>
    </w:p>
    <w:p w14:paraId="38CF9DB3" w14:textId="50C9A7D3" w:rsidR="00511949" w:rsidRDefault="00056A33" w:rsidP="00AE4BAC">
      <w:pPr>
        <w:rPr>
          <w:vertAlign w:val="superscript"/>
        </w:rPr>
      </w:pPr>
      <w:r>
        <w:t>Imatinib</w:t>
      </w:r>
      <w:r w:rsidR="00EB67B3">
        <w:t xml:space="preserve">, ripretinib and </w:t>
      </w:r>
      <w:r w:rsidR="00F7279D">
        <w:t>sunitinib</w:t>
      </w:r>
      <w:r w:rsidR="00EB67B3">
        <w:t xml:space="preserve"> </w:t>
      </w:r>
      <w:r w:rsidR="00035B8F">
        <w:t xml:space="preserve">belong to a group of </w:t>
      </w:r>
      <w:r w:rsidR="00F7279D">
        <w:t>anti-cancer medicines known as tyrosine kinase inhibitors which slow down the growth or spread of tumour cells.</w:t>
      </w:r>
      <w:bookmarkStart w:id="0" w:name="_Ref185329916"/>
      <w:r w:rsidR="00F7279D">
        <w:rPr>
          <w:rStyle w:val="FootnoteReference"/>
        </w:rPr>
        <w:footnoteReference w:id="3"/>
      </w:r>
      <w:bookmarkEnd w:id="0"/>
      <w:r w:rsidR="00B432CF">
        <w:rPr>
          <w:vertAlign w:val="superscript"/>
        </w:rPr>
        <w:t>,</w:t>
      </w:r>
      <w:bookmarkStart w:id="1" w:name="_Ref185329969"/>
      <w:r w:rsidR="005B37EE">
        <w:rPr>
          <w:rStyle w:val="FootnoteReference"/>
        </w:rPr>
        <w:footnoteReference w:id="4"/>
      </w:r>
      <w:bookmarkEnd w:id="1"/>
      <w:r w:rsidR="00B432CF">
        <w:rPr>
          <w:vertAlign w:val="superscript"/>
        </w:rPr>
        <w:t>,</w:t>
      </w:r>
      <w:bookmarkStart w:id="2" w:name="_Ref185329985"/>
      <w:r w:rsidR="00E37F0A">
        <w:rPr>
          <w:rStyle w:val="FootnoteReference"/>
        </w:rPr>
        <w:footnoteReference w:id="5"/>
      </w:r>
      <w:bookmarkEnd w:id="2"/>
    </w:p>
    <w:p w14:paraId="7806D354" w14:textId="77777777" w:rsidR="00DA79E5" w:rsidRPr="00F7279D" w:rsidRDefault="00DA79E5" w:rsidP="00AE4BAC"/>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057B20CB" w14:textId="454EA459" w:rsidR="00534C85" w:rsidRPr="00534C85" w:rsidRDefault="00534C85" w:rsidP="00A35800">
      <w:pPr>
        <w:rPr>
          <w:b/>
          <w:bCs/>
        </w:rPr>
      </w:pPr>
      <w:r w:rsidRPr="00534C85">
        <w:rPr>
          <w:b/>
          <w:bCs/>
        </w:rPr>
        <w:t>Imatinib</w:t>
      </w:r>
      <w:r w:rsidR="00FC50B2" w:rsidRPr="00FC50B2">
        <w:rPr>
          <w:b/>
          <w:bCs/>
          <w:vertAlign w:val="superscript"/>
        </w:rPr>
        <w:fldChar w:fldCharType="begin"/>
      </w:r>
      <w:r w:rsidR="00FC50B2" w:rsidRPr="00FC50B2">
        <w:rPr>
          <w:b/>
          <w:bCs/>
          <w:vertAlign w:val="superscript"/>
        </w:rPr>
        <w:instrText xml:space="preserve"> NOTEREF _Ref185329916 \h </w:instrText>
      </w:r>
      <w:r w:rsidR="00FC50B2">
        <w:rPr>
          <w:b/>
          <w:bCs/>
          <w:vertAlign w:val="superscript"/>
        </w:rPr>
        <w:instrText xml:space="preserve"> \* MERGEFORMAT </w:instrText>
      </w:r>
      <w:r w:rsidR="00FC50B2" w:rsidRPr="00FC50B2">
        <w:rPr>
          <w:b/>
          <w:bCs/>
          <w:vertAlign w:val="superscript"/>
        </w:rPr>
      </w:r>
      <w:r w:rsidR="00FC50B2" w:rsidRPr="00FC50B2">
        <w:rPr>
          <w:b/>
          <w:bCs/>
          <w:vertAlign w:val="superscript"/>
        </w:rPr>
        <w:fldChar w:fldCharType="separate"/>
      </w:r>
      <w:r w:rsidR="00E11813">
        <w:rPr>
          <w:b/>
          <w:bCs/>
          <w:vertAlign w:val="superscript"/>
        </w:rPr>
        <w:t>2</w:t>
      </w:r>
      <w:r w:rsidR="00FC50B2" w:rsidRPr="00FC50B2">
        <w:rPr>
          <w:b/>
          <w:bCs/>
          <w:vertAlign w:val="superscript"/>
        </w:rPr>
        <w:fldChar w:fldCharType="end"/>
      </w:r>
    </w:p>
    <w:p w14:paraId="3726118F" w14:textId="77777777" w:rsidR="0052012F" w:rsidRDefault="007A3D5E" w:rsidP="0052012F">
      <w:r>
        <w:t>Imatinib is TGA indicated for</w:t>
      </w:r>
      <w:r w:rsidR="0052012F">
        <w:t>:</w:t>
      </w:r>
    </w:p>
    <w:p w14:paraId="2FE1E05B" w14:textId="4A7C7CF5" w:rsidR="0052012F" w:rsidRDefault="0052012F" w:rsidP="0052012F">
      <w:pPr>
        <w:pStyle w:val="ListParagraph"/>
        <w:numPr>
          <w:ilvl w:val="0"/>
          <w:numId w:val="40"/>
        </w:numPr>
      </w:pPr>
      <w:r>
        <w:t xml:space="preserve">the </w:t>
      </w:r>
      <w:r w:rsidRPr="00407B78">
        <w:t>treatment of patients with KIT (CD117) positive unresectable and/or metastatic malignant GIST</w:t>
      </w:r>
      <w:r>
        <w:t>.</w:t>
      </w:r>
    </w:p>
    <w:p w14:paraId="0768CBE5" w14:textId="77777777" w:rsidR="0052012F" w:rsidRDefault="0052012F" w:rsidP="0052012F">
      <w:pPr>
        <w:pStyle w:val="ListParagraph"/>
        <w:numPr>
          <w:ilvl w:val="0"/>
          <w:numId w:val="6"/>
        </w:numPr>
      </w:pPr>
      <w:r w:rsidRPr="00407B78">
        <w:lastRenderedPageBreak/>
        <w:t>adjuvant treatment of adult patients at high risk of recurrence following complete gross resection of KIT (CD117)-positive primary GIST</w:t>
      </w:r>
      <w:r>
        <w:t>.</w:t>
      </w:r>
    </w:p>
    <w:p w14:paraId="7CB0CBBD" w14:textId="238C0FDA" w:rsidR="0052012F" w:rsidRDefault="0052012F" w:rsidP="0052012F">
      <w:r>
        <w:t xml:space="preserve">Imatinib is also TGA indicated for: </w:t>
      </w:r>
    </w:p>
    <w:p w14:paraId="493B8B78" w14:textId="77777777" w:rsidR="00407B78" w:rsidRDefault="00407B78" w:rsidP="00407B78">
      <w:pPr>
        <w:pStyle w:val="ListParagraph"/>
        <w:numPr>
          <w:ilvl w:val="0"/>
          <w:numId w:val="6"/>
        </w:numPr>
      </w:pPr>
      <w:r w:rsidRPr="00407B78">
        <w:t xml:space="preserve">treatment of patients with chronic myeloid leukaemia (CML). </w:t>
      </w:r>
    </w:p>
    <w:p w14:paraId="227AB13C" w14:textId="77777777" w:rsidR="00407B78" w:rsidRDefault="00407B78" w:rsidP="00407B78">
      <w:pPr>
        <w:pStyle w:val="ListParagraph"/>
        <w:numPr>
          <w:ilvl w:val="0"/>
          <w:numId w:val="6"/>
        </w:numPr>
      </w:pPr>
      <w:r w:rsidRPr="00407B78">
        <w:t xml:space="preserve">treatment of adult patients with newly diagnosed Philadelphia chromosome positive acute lymphoblastic leukaemia (Ph+ ALL) integrated with chemotherapy. </w:t>
      </w:r>
    </w:p>
    <w:p w14:paraId="3A269FD1" w14:textId="77777777" w:rsidR="00407B78" w:rsidRDefault="00407B78" w:rsidP="00407B78">
      <w:pPr>
        <w:pStyle w:val="ListParagraph"/>
        <w:numPr>
          <w:ilvl w:val="0"/>
          <w:numId w:val="6"/>
        </w:numPr>
      </w:pPr>
      <w:r w:rsidRPr="00407B78">
        <w:t xml:space="preserve">treatment of adult patients with relapsed or refractory Ph+ ALL as monotherapy. </w:t>
      </w:r>
    </w:p>
    <w:p w14:paraId="7E74B4F2" w14:textId="77777777" w:rsidR="00407B78" w:rsidRDefault="00407B78" w:rsidP="00407B78">
      <w:pPr>
        <w:pStyle w:val="ListParagraph"/>
        <w:numPr>
          <w:ilvl w:val="0"/>
          <w:numId w:val="6"/>
        </w:numPr>
      </w:pPr>
      <w:r w:rsidRPr="00407B78">
        <w:t xml:space="preserve">treatment of adult patients with myelodysplastic/myeloproliferative diseases (MDS/MPD) associated with platelet‐derived growth factor receptor (PDGFR) gene re‐ arrangements, where conventional therapies have failed. </w:t>
      </w:r>
    </w:p>
    <w:p w14:paraId="75B02556" w14:textId="77777777" w:rsidR="00407B78" w:rsidRDefault="00407B78" w:rsidP="00407B78">
      <w:pPr>
        <w:pStyle w:val="ListParagraph"/>
        <w:numPr>
          <w:ilvl w:val="0"/>
          <w:numId w:val="6"/>
        </w:numPr>
      </w:pPr>
      <w:r w:rsidRPr="00407B78">
        <w:t xml:space="preserve">treatment of adult patients with aggressive systemic mastocytosis (ASM), where conventional therapies have failed. </w:t>
      </w:r>
    </w:p>
    <w:p w14:paraId="4B6E70A6" w14:textId="77777777" w:rsidR="00407B78" w:rsidRDefault="00407B78" w:rsidP="00407B78">
      <w:pPr>
        <w:pStyle w:val="ListParagraph"/>
        <w:numPr>
          <w:ilvl w:val="0"/>
          <w:numId w:val="6"/>
        </w:numPr>
      </w:pPr>
      <w:r w:rsidRPr="00407B78">
        <w:t xml:space="preserve">treatment of adult patients with hypereosinophilic syndrome (HES) and/or chronic eosinophilic leukaemia (CEL). </w:t>
      </w:r>
    </w:p>
    <w:p w14:paraId="4C3D5E8E" w14:textId="7D1EC00F" w:rsidR="007A3D5E" w:rsidRDefault="00407B78" w:rsidP="00407B78">
      <w:pPr>
        <w:pStyle w:val="ListParagraph"/>
        <w:numPr>
          <w:ilvl w:val="0"/>
          <w:numId w:val="6"/>
        </w:numPr>
      </w:pPr>
      <w:r w:rsidRPr="00407B78">
        <w:t>treatment of adult patients with unresectable, recurrent and/or metastatic dermatofibrosarcoma protuberans (DFSP).</w:t>
      </w:r>
    </w:p>
    <w:p w14:paraId="1C78E5DD" w14:textId="2BF70441" w:rsidR="002F3974" w:rsidRPr="002F3974" w:rsidRDefault="002F3974" w:rsidP="00A35800">
      <w:pPr>
        <w:rPr>
          <w:b/>
          <w:bCs/>
        </w:rPr>
      </w:pPr>
      <w:r w:rsidRPr="002F3974">
        <w:rPr>
          <w:b/>
          <w:bCs/>
        </w:rPr>
        <w:t>Sunitinib</w:t>
      </w:r>
      <w:r w:rsidR="00AF488A" w:rsidRPr="00AF488A">
        <w:rPr>
          <w:b/>
          <w:bCs/>
          <w:vertAlign w:val="superscript"/>
        </w:rPr>
        <w:fldChar w:fldCharType="begin"/>
      </w:r>
      <w:r w:rsidR="00AF488A" w:rsidRPr="00AF488A">
        <w:rPr>
          <w:b/>
          <w:bCs/>
          <w:vertAlign w:val="superscript"/>
        </w:rPr>
        <w:instrText xml:space="preserve"> NOTEREF _Ref185329969 \h </w:instrText>
      </w:r>
      <w:r w:rsidR="00AF488A">
        <w:rPr>
          <w:b/>
          <w:bCs/>
          <w:vertAlign w:val="superscript"/>
        </w:rPr>
        <w:instrText xml:space="preserve"> \* MERGEFORMAT </w:instrText>
      </w:r>
      <w:r w:rsidR="00AF488A" w:rsidRPr="00AF488A">
        <w:rPr>
          <w:b/>
          <w:bCs/>
          <w:vertAlign w:val="superscript"/>
        </w:rPr>
      </w:r>
      <w:r w:rsidR="00AF488A" w:rsidRPr="00AF488A">
        <w:rPr>
          <w:b/>
          <w:bCs/>
          <w:vertAlign w:val="superscript"/>
        </w:rPr>
        <w:fldChar w:fldCharType="separate"/>
      </w:r>
      <w:r w:rsidR="00E11813">
        <w:rPr>
          <w:b/>
          <w:bCs/>
          <w:vertAlign w:val="superscript"/>
        </w:rPr>
        <w:t>3</w:t>
      </w:r>
      <w:r w:rsidR="00AF488A" w:rsidRPr="00AF488A">
        <w:rPr>
          <w:b/>
          <w:bCs/>
          <w:vertAlign w:val="superscript"/>
        </w:rPr>
        <w:fldChar w:fldCharType="end"/>
      </w:r>
    </w:p>
    <w:p w14:paraId="50156764" w14:textId="67FD3B14" w:rsidR="00616CD1" w:rsidRDefault="00616CD1" w:rsidP="00A35800">
      <w:r w:rsidRPr="00616CD1">
        <w:t xml:space="preserve">Sunitinib </w:t>
      </w:r>
      <w:r w:rsidR="00174950">
        <w:t xml:space="preserve">is TGA </w:t>
      </w:r>
      <w:r w:rsidR="007A3D5E">
        <w:t>indicated</w:t>
      </w:r>
      <w:r w:rsidR="00174950">
        <w:t xml:space="preserve"> for</w:t>
      </w:r>
      <w:r w:rsidR="0052012F">
        <w:t xml:space="preserve"> the </w:t>
      </w:r>
      <w:r w:rsidR="0052012F" w:rsidRPr="00616CD1">
        <w:t>treatment of GIST after failure of imatinib mesilate treatment due to resistance or intolerance</w:t>
      </w:r>
      <w:r w:rsidR="00F352D4">
        <w:t xml:space="preserve">. </w:t>
      </w:r>
    </w:p>
    <w:p w14:paraId="62528893" w14:textId="311A3D93" w:rsidR="00511949" w:rsidRDefault="0052012F" w:rsidP="0052012F">
      <w:r>
        <w:t xml:space="preserve">Sunitinib is also TGA indicated for the </w:t>
      </w:r>
      <w:r w:rsidR="00616CD1" w:rsidRPr="00616CD1">
        <w:t xml:space="preserve">treatment of advanced renal cell carcinoma (RCC) </w:t>
      </w:r>
      <w:r>
        <w:t xml:space="preserve">and the </w:t>
      </w:r>
      <w:r w:rsidR="00616CD1" w:rsidRPr="00616CD1">
        <w:t xml:space="preserve">treatment of unresectable, well-differentiated pancreatic neuroendocrine tumours (pancreatic NET). </w:t>
      </w:r>
    </w:p>
    <w:p w14:paraId="2FBAF225" w14:textId="289555FE" w:rsidR="00FC50B2" w:rsidRPr="00634963" w:rsidRDefault="00FC50B2" w:rsidP="00FC50B2">
      <w:pPr>
        <w:rPr>
          <w:b/>
          <w:bCs/>
        </w:rPr>
      </w:pPr>
      <w:r w:rsidRPr="00634963">
        <w:rPr>
          <w:b/>
          <w:bCs/>
        </w:rPr>
        <w:t>Ripretinib</w:t>
      </w:r>
      <w:r w:rsidR="00AF488A" w:rsidRPr="00AF488A">
        <w:rPr>
          <w:b/>
          <w:bCs/>
          <w:vertAlign w:val="superscript"/>
        </w:rPr>
        <w:fldChar w:fldCharType="begin"/>
      </w:r>
      <w:r w:rsidR="00AF488A" w:rsidRPr="00AF488A">
        <w:rPr>
          <w:b/>
          <w:bCs/>
          <w:vertAlign w:val="superscript"/>
        </w:rPr>
        <w:instrText xml:space="preserve"> NOTEREF _Ref185329985 \h </w:instrText>
      </w:r>
      <w:r w:rsidR="00AF488A">
        <w:rPr>
          <w:b/>
          <w:bCs/>
          <w:vertAlign w:val="superscript"/>
        </w:rPr>
        <w:instrText xml:space="preserve"> \* MERGEFORMAT </w:instrText>
      </w:r>
      <w:r w:rsidR="00AF488A" w:rsidRPr="00AF488A">
        <w:rPr>
          <w:b/>
          <w:bCs/>
          <w:vertAlign w:val="superscript"/>
        </w:rPr>
      </w:r>
      <w:r w:rsidR="00AF488A" w:rsidRPr="00AF488A">
        <w:rPr>
          <w:b/>
          <w:bCs/>
          <w:vertAlign w:val="superscript"/>
        </w:rPr>
        <w:fldChar w:fldCharType="separate"/>
      </w:r>
      <w:r w:rsidR="00E11813">
        <w:rPr>
          <w:b/>
          <w:bCs/>
          <w:vertAlign w:val="superscript"/>
        </w:rPr>
        <w:t>4</w:t>
      </w:r>
      <w:r w:rsidR="00AF488A" w:rsidRPr="00AF488A">
        <w:rPr>
          <w:b/>
          <w:bCs/>
          <w:vertAlign w:val="superscript"/>
        </w:rPr>
        <w:fldChar w:fldCharType="end"/>
      </w:r>
    </w:p>
    <w:p w14:paraId="31E84504" w14:textId="77777777" w:rsidR="00FC50B2" w:rsidRDefault="00FC50B2" w:rsidP="00FC50B2">
      <w:r>
        <w:t xml:space="preserve">Ripretinib is TGA indicated for </w:t>
      </w:r>
      <w:r w:rsidRPr="006C316B">
        <w:t xml:space="preserve">the treatment of adult patients with </w:t>
      </w:r>
      <w:r>
        <w:t xml:space="preserve">advanced </w:t>
      </w:r>
      <w:r w:rsidRPr="006C316B">
        <w:t>GIST who have received prior treatment with 3 or more kinase inhibitors, including imatinib.</w:t>
      </w:r>
    </w:p>
    <w:p w14:paraId="2DF4C522" w14:textId="33200C2E" w:rsidR="003259B0" w:rsidRDefault="00FC50B2" w:rsidP="00FC50B2">
      <w:r>
        <w:t xml:space="preserve">Ripretinib is subject </w:t>
      </w:r>
      <w:r w:rsidRPr="00DE2FDB">
        <w:t xml:space="preserve">to additional monitoring in Australia. Healthcare professionals are asked to report any suspected adverse events </w:t>
      </w:r>
      <w:r>
        <w:t xml:space="preserve">to the TGA. </w:t>
      </w:r>
    </w:p>
    <w:p w14:paraId="15E919C1" w14:textId="1B3BA560" w:rsidR="006B709B" w:rsidRDefault="006B709B" w:rsidP="00CF5E22">
      <w:pPr>
        <w:pStyle w:val="Heading2"/>
      </w:pPr>
      <w:r>
        <w:t>Dosage and administration</w:t>
      </w:r>
    </w:p>
    <w:p w14:paraId="51E22FB7" w14:textId="71EF3243" w:rsidR="003370D0" w:rsidRPr="00CF5E22" w:rsidRDefault="003370D0" w:rsidP="00CF5E22">
      <w:pPr>
        <w:pStyle w:val="Tabletitle"/>
        <w:rPr>
          <w:highlight w:val="yellow"/>
        </w:rPr>
      </w:pPr>
      <w:r w:rsidRPr="00E12DBD">
        <w:t xml:space="preserve">Table </w:t>
      </w:r>
      <w:r w:rsidR="003A2B95">
        <w:t>1</w:t>
      </w:r>
      <w:r w:rsidRPr="00E12DBD">
        <w:t xml:space="preserve">: </w:t>
      </w:r>
      <w:r w:rsidR="009663B6" w:rsidRPr="00E12DBD">
        <w:t xml:space="preserve">Dosage and administration of </w:t>
      </w:r>
      <w:r w:rsidR="00E12DBD" w:rsidRPr="00E12DBD">
        <w:t xml:space="preserve">PBS listed medicines for GIST </w:t>
      </w:r>
    </w:p>
    <w:tbl>
      <w:tblPr>
        <w:tblStyle w:val="TableGrid"/>
        <w:tblW w:w="5000" w:type="pct"/>
        <w:tblLook w:val="04A0" w:firstRow="1" w:lastRow="0" w:firstColumn="1" w:lastColumn="0" w:noHBand="0" w:noVBand="1"/>
      </w:tblPr>
      <w:tblGrid>
        <w:gridCol w:w="2405"/>
        <w:gridCol w:w="6542"/>
      </w:tblGrid>
      <w:tr w:rsidR="00154315" w:rsidRPr="00A35800" w14:paraId="17C962C4" w14:textId="77777777" w:rsidTr="00E12DBD">
        <w:trPr>
          <w:tblHeader/>
        </w:trPr>
        <w:tc>
          <w:tcPr>
            <w:tcW w:w="1344" w:type="pct"/>
            <w:shd w:val="clear" w:color="auto" w:fill="BFBFBF" w:themeFill="background1" w:themeFillShade="BF"/>
          </w:tcPr>
          <w:p w14:paraId="2A01F4BF" w14:textId="77777777" w:rsidR="00154315" w:rsidRPr="00A35800" w:rsidRDefault="00154315" w:rsidP="007B38BA">
            <w:pPr>
              <w:pStyle w:val="Tableheading"/>
              <w:rPr>
                <w:sz w:val="20"/>
                <w:szCs w:val="20"/>
              </w:rPr>
            </w:pPr>
            <w:r w:rsidRPr="00A35800">
              <w:rPr>
                <w:sz w:val="20"/>
                <w:szCs w:val="20"/>
              </w:rPr>
              <w:t>Product</w:t>
            </w:r>
          </w:p>
        </w:tc>
        <w:tc>
          <w:tcPr>
            <w:tcW w:w="3656" w:type="pct"/>
            <w:shd w:val="clear" w:color="auto" w:fill="BFBFBF" w:themeFill="background1" w:themeFillShade="BF"/>
          </w:tcPr>
          <w:p w14:paraId="28170FE4" w14:textId="77777777" w:rsidR="00154315" w:rsidRPr="00A35800" w:rsidRDefault="00154315" w:rsidP="007B38BA">
            <w:pPr>
              <w:pStyle w:val="Tableheading"/>
              <w:rPr>
                <w:sz w:val="20"/>
                <w:szCs w:val="20"/>
              </w:rPr>
            </w:pPr>
            <w:r w:rsidRPr="00A35800">
              <w:rPr>
                <w:sz w:val="20"/>
                <w:szCs w:val="20"/>
              </w:rPr>
              <w:t xml:space="preserve">Dose and frequency of administration </w:t>
            </w:r>
          </w:p>
        </w:tc>
      </w:tr>
      <w:tr w:rsidR="00154315" w:rsidRPr="00A35800" w14:paraId="05C18F7D" w14:textId="77777777" w:rsidTr="00E12DBD">
        <w:tc>
          <w:tcPr>
            <w:tcW w:w="1344" w:type="pct"/>
          </w:tcPr>
          <w:p w14:paraId="0A457530" w14:textId="5360CB56" w:rsidR="00154315" w:rsidRDefault="00154315" w:rsidP="007B38BA">
            <w:pPr>
              <w:pStyle w:val="Tablewriting"/>
            </w:pPr>
            <w:r>
              <w:t xml:space="preserve">Imatinib </w:t>
            </w:r>
          </w:p>
        </w:tc>
        <w:tc>
          <w:tcPr>
            <w:tcW w:w="3656" w:type="pct"/>
          </w:tcPr>
          <w:p w14:paraId="25AD55CE" w14:textId="26D6CCB7" w:rsidR="00154315" w:rsidRDefault="00154315" w:rsidP="007B38BA">
            <w:pPr>
              <w:pStyle w:val="Tablewriting"/>
            </w:pPr>
            <w:r>
              <w:t>Doses of 400 mg or 600 mg should be administered orally once daily</w:t>
            </w:r>
            <w:r w:rsidR="00326DC7">
              <w:t xml:space="preserve">. </w:t>
            </w:r>
          </w:p>
        </w:tc>
      </w:tr>
      <w:tr w:rsidR="00154315" w:rsidRPr="00A35800" w14:paraId="348A165B" w14:textId="77777777" w:rsidTr="00E12DBD">
        <w:tc>
          <w:tcPr>
            <w:tcW w:w="1344" w:type="pct"/>
          </w:tcPr>
          <w:p w14:paraId="3AD26B04" w14:textId="18799E5B" w:rsidR="00154315" w:rsidRDefault="00154315" w:rsidP="007B38BA">
            <w:pPr>
              <w:pStyle w:val="Tablewriting"/>
            </w:pPr>
            <w:r>
              <w:t xml:space="preserve">Ripretinib </w:t>
            </w:r>
          </w:p>
          <w:p w14:paraId="313459A4" w14:textId="7BF43CD9" w:rsidR="00154315" w:rsidRPr="00A35800" w:rsidRDefault="00154315" w:rsidP="007B38BA">
            <w:pPr>
              <w:pStyle w:val="Tablewriting"/>
            </w:pPr>
          </w:p>
        </w:tc>
        <w:tc>
          <w:tcPr>
            <w:tcW w:w="3656" w:type="pct"/>
          </w:tcPr>
          <w:p w14:paraId="405FC15E" w14:textId="6C802E2A" w:rsidR="00154315" w:rsidRPr="00A35800" w:rsidRDefault="00154315" w:rsidP="007B38BA">
            <w:pPr>
              <w:pStyle w:val="Tablewriting"/>
            </w:pPr>
            <w:r>
              <w:t>Three 50 mg tablets orally once daily with or without food until disease progression or unacceptable toxicity</w:t>
            </w:r>
            <w:r w:rsidR="00485B9C">
              <w:t>.</w:t>
            </w:r>
          </w:p>
        </w:tc>
      </w:tr>
      <w:tr w:rsidR="00154315" w:rsidRPr="00A35800" w14:paraId="13EE5958" w14:textId="77777777" w:rsidTr="00E12DBD">
        <w:tc>
          <w:tcPr>
            <w:tcW w:w="1344" w:type="pct"/>
          </w:tcPr>
          <w:p w14:paraId="4BFD3947" w14:textId="54B9B026" w:rsidR="00154315" w:rsidRDefault="00154315" w:rsidP="007B38BA">
            <w:pPr>
              <w:pStyle w:val="Tablewriting"/>
            </w:pPr>
            <w:r>
              <w:t xml:space="preserve">Sunitinib </w:t>
            </w:r>
          </w:p>
        </w:tc>
        <w:tc>
          <w:tcPr>
            <w:tcW w:w="3656" w:type="pct"/>
          </w:tcPr>
          <w:p w14:paraId="4C8B37F4" w14:textId="48A31697" w:rsidR="00154315" w:rsidRDefault="00154315" w:rsidP="007B38BA">
            <w:pPr>
              <w:pStyle w:val="Tablewriting"/>
            </w:pPr>
            <w:r>
              <w:t xml:space="preserve">50 mg taken orally once daily for 4 consecutive weeks followed by a 2 week rest period to comprise a complete cycle of 6 weeks. </w:t>
            </w:r>
          </w:p>
        </w:tc>
      </w:tr>
    </w:tbl>
    <w:p w14:paraId="08559CD9" w14:textId="0011C6E1" w:rsidR="00A35800" w:rsidRPr="008B56C5" w:rsidRDefault="003370D0" w:rsidP="00A35800">
      <w:pPr>
        <w:pStyle w:val="Notes"/>
      </w:pPr>
      <w:r w:rsidRPr="008B56C5">
        <w:t>Source:</w:t>
      </w:r>
      <w:r w:rsidR="008B56C5" w:rsidRPr="008B56C5">
        <w:t xml:space="preserve"> TGA Product Information. </w:t>
      </w:r>
    </w:p>
    <w:p w14:paraId="6682A05C" w14:textId="77777777" w:rsidR="00F17D4B" w:rsidRPr="002F61CA" w:rsidRDefault="00F17D4B" w:rsidP="00F17D4B">
      <w:r w:rsidRPr="002F61CA">
        <w:lastRenderedPageBreak/>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553B63F3" w:rsidR="00DF0B13" w:rsidRDefault="00DF0B13" w:rsidP="00CF5E22">
      <w:pPr>
        <w:pStyle w:val="Heading2"/>
      </w:pPr>
      <w:r w:rsidRPr="007247B9" w:rsidDel="00EE2BBB">
        <w:t>PBS listing details</w:t>
      </w:r>
      <w:r w:rsidR="00D151EB" w:rsidDel="00EE2BBB">
        <w:t xml:space="preserve"> (as at </w:t>
      </w:r>
      <w:r w:rsidR="00A4320D">
        <w:t>December</w:t>
      </w:r>
      <w:r w:rsidR="00E27C14">
        <w:t xml:space="preserve"> 2024)</w:t>
      </w:r>
    </w:p>
    <w:p w14:paraId="5ED80CF5" w14:textId="37C48C4F" w:rsidR="00D42B19" w:rsidRPr="00D42B19" w:rsidDel="00EE2BBB" w:rsidRDefault="00026F3C" w:rsidP="00D42B19">
      <w:r>
        <w:t xml:space="preserve">Brand name and manufacturer details can be found in Appendix A. </w:t>
      </w:r>
    </w:p>
    <w:p w14:paraId="1C33131A" w14:textId="5352A957" w:rsidR="003F58B2" w:rsidRDefault="003F58B2" w:rsidP="00A35800">
      <w:pPr>
        <w:rPr>
          <w:b/>
          <w:bCs/>
          <w:u w:val="single"/>
        </w:rPr>
      </w:pPr>
      <w:r>
        <w:rPr>
          <w:b/>
          <w:bCs/>
          <w:u w:val="single"/>
        </w:rPr>
        <w:t xml:space="preserve">Adjuvant GIST </w:t>
      </w:r>
    </w:p>
    <w:p w14:paraId="300AF0DC" w14:textId="0BFE5A9F" w:rsidR="003F58B2" w:rsidRPr="003F58B2" w:rsidRDefault="003F58B2" w:rsidP="003F58B2">
      <w:pPr>
        <w:pStyle w:val="Notes"/>
        <w:rPr>
          <w:sz w:val="24"/>
          <w:szCs w:val="24"/>
        </w:rPr>
      </w:pPr>
      <w:r w:rsidRPr="00CE7F9C">
        <w:rPr>
          <w:sz w:val="24"/>
          <w:szCs w:val="24"/>
        </w:rPr>
        <w:t xml:space="preserve">Imatinib is the only </w:t>
      </w:r>
      <w:r w:rsidR="00502AE5">
        <w:rPr>
          <w:sz w:val="24"/>
          <w:szCs w:val="24"/>
        </w:rPr>
        <w:t>PBS list</w:t>
      </w:r>
      <w:r w:rsidRPr="00CE7F9C">
        <w:rPr>
          <w:sz w:val="24"/>
          <w:szCs w:val="24"/>
        </w:rPr>
        <w:t xml:space="preserve">ed medicine for the treatment of adjuvant GIST. </w:t>
      </w:r>
    </w:p>
    <w:p w14:paraId="2EC6E4D7" w14:textId="6459430B" w:rsidR="003F58B2" w:rsidRDefault="003F58B2" w:rsidP="003F58B2">
      <w:pPr>
        <w:pStyle w:val="Tabletitle"/>
      </w:pPr>
      <w:r w:rsidRPr="001420B3" w:rsidDel="00EE2BBB">
        <w:t xml:space="preserve">Table </w:t>
      </w:r>
      <w:r w:rsidR="007B38BA">
        <w:t>2</w:t>
      </w:r>
      <w:r w:rsidRPr="001420B3" w:rsidDel="00EE2BBB">
        <w:t xml:space="preserve">: </w:t>
      </w:r>
      <w:r w:rsidDel="00EE2BBB">
        <w:t xml:space="preserve">PBS listing of </w:t>
      </w:r>
      <w:r>
        <w:t>imatinib for adjuvant GIST</w:t>
      </w:r>
    </w:p>
    <w:tbl>
      <w:tblPr>
        <w:tblStyle w:val="TableGrid"/>
        <w:tblW w:w="5000" w:type="pct"/>
        <w:tblLook w:val="04A0" w:firstRow="1" w:lastRow="0" w:firstColumn="1" w:lastColumn="0" w:noHBand="0" w:noVBand="1"/>
      </w:tblPr>
      <w:tblGrid>
        <w:gridCol w:w="1493"/>
        <w:gridCol w:w="3742"/>
        <w:gridCol w:w="1092"/>
        <w:gridCol w:w="1092"/>
        <w:gridCol w:w="1528"/>
      </w:tblGrid>
      <w:tr w:rsidR="00D42B19" w:rsidRPr="00853D7C" w:rsidDel="00EE2BBB" w14:paraId="08ABC316" w14:textId="77777777" w:rsidTr="00D42B19">
        <w:trPr>
          <w:trHeight w:val="694"/>
          <w:tblHeader/>
        </w:trPr>
        <w:tc>
          <w:tcPr>
            <w:tcW w:w="834" w:type="pct"/>
            <w:shd w:val="clear" w:color="auto" w:fill="BFBFBF"/>
          </w:tcPr>
          <w:p w14:paraId="7D6BF5B4" w14:textId="77777777" w:rsidR="00D42B19" w:rsidRDefault="00D42B19" w:rsidP="00925AAC">
            <w:pPr>
              <w:autoSpaceDE w:val="0"/>
              <w:autoSpaceDN w:val="0"/>
              <w:adjustRightInd w:val="0"/>
              <w:spacing w:before="60" w:after="60"/>
              <w:rPr>
                <w:rFonts w:cstheme="minorHAnsi"/>
                <w:b/>
                <w:sz w:val="20"/>
                <w:szCs w:val="20"/>
              </w:rPr>
            </w:pPr>
            <w:r w:rsidRPr="005B57CA" w:rsidDel="00EE2BBB">
              <w:rPr>
                <w:rFonts w:cstheme="minorHAnsi"/>
                <w:b/>
                <w:sz w:val="20"/>
                <w:szCs w:val="20"/>
              </w:rPr>
              <w:t>Item</w:t>
            </w:r>
          </w:p>
          <w:p w14:paraId="1F45D96F" w14:textId="6155D8A6" w:rsidR="00026F3C" w:rsidRPr="005B57CA" w:rsidDel="00EE2BBB" w:rsidRDefault="00026F3C" w:rsidP="00925AAC">
            <w:pPr>
              <w:autoSpaceDE w:val="0"/>
              <w:autoSpaceDN w:val="0"/>
              <w:adjustRightInd w:val="0"/>
              <w:spacing w:before="60" w:after="60"/>
              <w:rPr>
                <w:rFonts w:cstheme="minorHAnsi"/>
                <w:b/>
                <w:sz w:val="20"/>
                <w:szCs w:val="20"/>
              </w:rPr>
            </w:pPr>
            <w:r>
              <w:rPr>
                <w:rFonts w:cstheme="minorHAnsi"/>
                <w:b/>
                <w:sz w:val="20"/>
                <w:szCs w:val="20"/>
              </w:rPr>
              <w:t>code</w:t>
            </w:r>
          </w:p>
        </w:tc>
        <w:tc>
          <w:tcPr>
            <w:tcW w:w="2091" w:type="pct"/>
            <w:shd w:val="clear" w:color="auto" w:fill="BFBFBF"/>
          </w:tcPr>
          <w:p w14:paraId="55B33C2F" w14:textId="77777777" w:rsidR="00D42B19" w:rsidRPr="005B57CA" w:rsidDel="00EE2BBB" w:rsidRDefault="00D42B19" w:rsidP="007115DF">
            <w:pPr>
              <w:autoSpaceDE w:val="0"/>
              <w:autoSpaceDN w:val="0"/>
              <w:adjustRightInd w:val="0"/>
              <w:spacing w:before="60" w:after="60"/>
              <w:rPr>
                <w:rFonts w:cstheme="minorHAnsi"/>
                <w:b/>
                <w:sz w:val="20"/>
                <w:szCs w:val="20"/>
              </w:rPr>
            </w:pPr>
            <w:r w:rsidRPr="005B57CA" w:rsidDel="00EE2BBB">
              <w:rPr>
                <w:rFonts w:cstheme="minorHAnsi"/>
                <w:b/>
                <w:sz w:val="20"/>
                <w:szCs w:val="20"/>
              </w:rPr>
              <w:t>Name, form &amp; strength, pack size</w:t>
            </w:r>
          </w:p>
        </w:tc>
        <w:tc>
          <w:tcPr>
            <w:tcW w:w="610" w:type="pct"/>
            <w:shd w:val="clear" w:color="auto" w:fill="BFBFBF"/>
          </w:tcPr>
          <w:p w14:paraId="5818AE24" w14:textId="77777777" w:rsidR="00D42B19" w:rsidRPr="005B57CA" w:rsidDel="00EE2BBB" w:rsidRDefault="00D42B19" w:rsidP="00026F3C">
            <w:pPr>
              <w:autoSpaceDE w:val="0"/>
              <w:autoSpaceDN w:val="0"/>
              <w:adjustRightInd w:val="0"/>
              <w:spacing w:before="60" w:after="60"/>
              <w:jc w:val="center"/>
              <w:rPr>
                <w:rFonts w:cstheme="minorHAnsi"/>
                <w:b/>
                <w:sz w:val="20"/>
                <w:szCs w:val="20"/>
              </w:rPr>
            </w:pPr>
            <w:r w:rsidRPr="005B57CA" w:rsidDel="00EE2BBB">
              <w:rPr>
                <w:rFonts w:cstheme="minorHAnsi"/>
                <w:b/>
                <w:sz w:val="20"/>
                <w:szCs w:val="20"/>
              </w:rPr>
              <w:t xml:space="preserve">Max. </w:t>
            </w:r>
            <w:r>
              <w:rPr>
                <w:rFonts w:cstheme="minorHAnsi"/>
                <w:b/>
                <w:sz w:val="20"/>
                <w:szCs w:val="20"/>
              </w:rPr>
              <w:t>qty</w:t>
            </w:r>
            <w:r w:rsidRPr="005B57CA" w:rsidDel="00EE2BBB">
              <w:rPr>
                <w:rFonts w:cstheme="minorHAnsi"/>
                <w:b/>
                <w:sz w:val="20"/>
                <w:szCs w:val="20"/>
              </w:rPr>
              <w:t xml:space="preserve">. </w:t>
            </w:r>
          </w:p>
        </w:tc>
        <w:tc>
          <w:tcPr>
            <w:tcW w:w="610" w:type="pct"/>
            <w:shd w:val="clear" w:color="auto" w:fill="BFBFBF"/>
          </w:tcPr>
          <w:p w14:paraId="45DD7777" w14:textId="77777777" w:rsidR="00D42B19" w:rsidRPr="005B57CA" w:rsidDel="00EE2BBB" w:rsidRDefault="00D42B19" w:rsidP="00026F3C">
            <w:pPr>
              <w:autoSpaceDE w:val="0"/>
              <w:autoSpaceDN w:val="0"/>
              <w:adjustRightInd w:val="0"/>
              <w:spacing w:before="60" w:after="60"/>
              <w:jc w:val="center"/>
              <w:rPr>
                <w:rFonts w:cstheme="minorHAnsi"/>
                <w:b/>
                <w:sz w:val="20"/>
                <w:szCs w:val="20"/>
              </w:rPr>
            </w:pPr>
            <w:r w:rsidRPr="005B57CA" w:rsidDel="00EE2BBB">
              <w:rPr>
                <w:rFonts w:cstheme="minorHAnsi"/>
                <w:b/>
                <w:sz w:val="20"/>
                <w:szCs w:val="20"/>
              </w:rPr>
              <w:t xml:space="preserve">Rpts </w:t>
            </w:r>
          </w:p>
        </w:tc>
        <w:tc>
          <w:tcPr>
            <w:tcW w:w="854" w:type="pct"/>
            <w:shd w:val="clear" w:color="auto" w:fill="BFBFBF"/>
          </w:tcPr>
          <w:p w14:paraId="5C3CE8A5" w14:textId="77777777" w:rsidR="00D42B19" w:rsidRPr="005B57CA" w:rsidDel="00EE2BBB" w:rsidRDefault="00D42B19" w:rsidP="00026F3C">
            <w:pPr>
              <w:autoSpaceDE w:val="0"/>
              <w:autoSpaceDN w:val="0"/>
              <w:adjustRightInd w:val="0"/>
              <w:spacing w:before="60" w:after="60"/>
              <w:jc w:val="center"/>
              <w:rPr>
                <w:rFonts w:cstheme="minorHAnsi"/>
                <w:b/>
                <w:sz w:val="20"/>
                <w:szCs w:val="20"/>
              </w:rPr>
            </w:pPr>
            <w:r w:rsidRPr="005B57CA" w:rsidDel="00EE2BBB">
              <w:rPr>
                <w:rFonts w:cstheme="minorHAnsi"/>
                <w:b/>
                <w:sz w:val="20"/>
                <w:szCs w:val="20"/>
              </w:rPr>
              <w:t>DPMQ</w:t>
            </w:r>
          </w:p>
        </w:tc>
      </w:tr>
      <w:tr w:rsidR="00D42B19" w:rsidRPr="00853D7C" w:rsidDel="00EE2BBB" w14:paraId="4BC158A3" w14:textId="77777777" w:rsidTr="00D42B19">
        <w:trPr>
          <w:trHeight w:val="546"/>
          <w:tblHeader/>
        </w:trPr>
        <w:tc>
          <w:tcPr>
            <w:tcW w:w="834" w:type="pct"/>
            <w:shd w:val="clear" w:color="auto" w:fill="auto"/>
          </w:tcPr>
          <w:p w14:paraId="4067EA19" w14:textId="77777777" w:rsidR="00D42B19" w:rsidRPr="00A12858" w:rsidRDefault="00D42B19" w:rsidP="00925AAC">
            <w:pPr>
              <w:autoSpaceDE w:val="0"/>
              <w:autoSpaceDN w:val="0"/>
              <w:adjustRightInd w:val="0"/>
              <w:spacing w:before="60" w:after="60"/>
              <w:rPr>
                <w:rFonts w:cstheme="minorHAnsi"/>
                <w:color w:val="000000"/>
                <w:sz w:val="20"/>
                <w:szCs w:val="20"/>
              </w:rPr>
            </w:pPr>
            <w:r w:rsidRPr="00A12858">
              <w:rPr>
                <w:rFonts w:cstheme="minorHAnsi"/>
                <w:color w:val="000000"/>
                <w:sz w:val="20"/>
                <w:szCs w:val="20"/>
              </w:rPr>
              <w:t>5443L</w:t>
            </w:r>
          </w:p>
          <w:p w14:paraId="1003F938" w14:textId="70ABB672" w:rsidR="00D42B19" w:rsidRPr="00A12858" w:rsidDel="00EE2BBB" w:rsidRDefault="00D42B19" w:rsidP="00925AAC">
            <w:pPr>
              <w:autoSpaceDE w:val="0"/>
              <w:autoSpaceDN w:val="0"/>
              <w:adjustRightInd w:val="0"/>
              <w:spacing w:before="60" w:after="60"/>
              <w:rPr>
                <w:rFonts w:cstheme="minorHAnsi"/>
                <w:color w:val="000000"/>
                <w:sz w:val="20"/>
                <w:szCs w:val="20"/>
              </w:rPr>
            </w:pPr>
            <w:r w:rsidRPr="00A12858">
              <w:rPr>
                <w:rFonts w:cstheme="minorHAnsi"/>
                <w:color w:val="000000"/>
                <w:sz w:val="20"/>
                <w:szCs w:val="20"/>
              </w:rPr>
              <w:t>11784F</w:t>
            </w:r>
          </w:p>
        </w:tc>
        <w:tc>
          <w:tcPr>
            <w:tcW w:w="2091" w:type="pct"/>
            <w:shd w:val="clear" w:color="auto" w:fill="auto"/>
          </w:tcPr>
          <w:p w14:paraId="037C85A1" w14:textId="77777777" w:rsidR="00D42B19" w:rsidRPr="00853D7C" w:rsidRDefault="00D42B19" w:rsidP="00026F3C">
            <w:pPr>
              <w:autoSpaceDE w:val="0"/>
              <w:autoSpaceDN w:val="0"/>
              <w:adjustRightInd w:val="0"/>
              <w:spacing w:before="60" w:after="60"/>
              <w:rPr>
                <w:rFonts w:cstheme="minorHAnsi"/>
                <w:color w:val="000000"/>
                <w:sz w:val="20"/>
                <w:szCs w:val="20"/>
              </w:rPr>
            </w:pPr>
            <w:r w:rsidRPr="00853D7C">
              <w:rPr>
                <w:rFonts w:cstheme="minorHAnsi"/>
                <w:color w:val="222222"/>
                <w:sz w:val="20"/>
                <w:szCs w:val="20"/>
                <w:shd w:val="clear" w:color="auto" w:fill="FFFFFF"/>
              </w:rPr>
              <w:t>imatinib 100 mg tablet, 60</w:t>
            </w:r>
          </w:p>
        </w:tc>
        <w:tc>
          <w:tcPr>
            <w:tcW w:w="610" w:type="pct"/>
            <w:shd w:val="clear" w:color="auto" w:fill="auto"/>
          </w:tcPr>
          <w:p w14:paraId="5B1F3260" w14:textId="77777777" w:rsidR="00D42B19" w:rsidRPr="00853D7C" w:rsidDel="00EE2BBB" w:rsidRDefault="00D42B19" w:rsidP="00026F3C">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60</w:t>
            </w:r>
          </w:p>
        </w:tc>
        <w:tc>
          <w:tcPr>
            <w:tcW w:w="610" w:type="pct"/>
            <w:shd w:val="clear" w:color="auto" w:fill="auto"/>
          </w:tcPr>
          <w:p w14:paraId="56DC7240" w14:textId="77777777" w:rsidR="00D42B19" w:rsidRPr="00853D7C" w:rsidDel="00EE2BBB" w:rsidRDefault="00D42B19" w:rsidP="00026F3C">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5</w:t>
            </w:r>
          </w:p>
        </w:tc>
        <w:tc>
          <w:tcPr>
            <w:tcW w:w="854" w:type="pct"/>
            <w:shd w:val="clear" w:color="auto" w:fill="auto"/>
          </w:tcPr>
          <w:p w14:paraId="6217F83C" w14:textId="77777777" w:rsidR="00D42B19" w:rsidRPr="00853D7C" w:rsidDel="00EE2BBB" w:rsidRDefault="00D42B19" w:rsidP="00026F3C">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$149.09</w:t>
            </w:r>
          </w:p>
        </w:tc>
      </w:tr>
      <w:tr w:rsidR="00D42B19" w:rsidRPr="00853D7C" w:rsidDel="00EE2BBB" w14:paraId="073FA8D4" w14:textId="77777777" w:rsidTr="00D42B19">
        <w:trPr>
          <w:trHeight w:val="546"/>
          <w:tblHeader/>
        </w:trPr>
        <w:tc>
          <w:tcPr>
            <w:tcW w:w="834" w:type="pct"/>
            <w:shd w:val="clear" w:color="auto" w:fill="auto"/>
          </w:tcPr>
          <w:p w14:paraId="5CFA623C" w14:textId="58281EE4" w:rsidR="00D42B19" w:rsidRPr="00A12858" w:rsidRDefault="00D42B19" w:rsidP="00925AAC">
            <w:pPr>
              <w:autoSpaceDE w:val="0"/>
              <w:autoSpaceDN w:val="0"/>
              <w:adjustRightInd w:val="0"/>
              <w:spacing w:before="60" w:after="60"/>
              <w:rPr>
                <w:rFonts w:cstheme="minorHAnsi"/>
                <w:color w:val="000000"/>
                <w:sz w:val="20"/>
                <w:szCs w:val="20"/>
              </w:rPr>
            </w:pPr>
            <w:r w:rsidRPr="00A12858">
              <w:rPr>
                <w:rFonts w:cstheme="minorHAnsi"/>
                <w:color w:val="000000"/>
                <w:sz w:val="20"/>
                <w:szCs w:val="20"/>
              </w:rPr>
              <w:t>127</w:t>
            </w:r>
            <w:r w:rsidR="00A12858" w:rsidRPr="00A12858">
              <w:rPr>
                <w:rFonts w:cstheme="minorHAnsi"/>
                <w:color w:val="000000"/>
                <w:sz w:val="20"/>
                <w:szCs w:val="20"/>
              </w:rPr>
              <w:t>5</w:t>
            </w:r>
            <w:r w:rsidRPr="00A12858">
              <w:rPr>
                <w:rFonts w:cstheme="minorHAnsi"/>
                <w:color w:val="000000"/>
                <w:sz w:val="20"/>
                <w:szCs w:val="20"/>
              </w:rPr>
              <w:t>9M</w:t>
            </w:r>
          </w:p>
          <w:p w14:paraId="575DDC4C" w14:textId="06832828" w:rsidR="00D42B19" w:rsidRPr="00A12858" w:rsidRDefault="00D42B19" w:rsidP="00925AAC">
            <w:pPr>
              <w:autoSpaceDE w:val="0"/>
              <w:autoSpaceDN w:val="0"/>
              <w:adjustRightInd w:val="0"/>
              <w:spacing w:before="60" w:after="60"/>
              <w:rPr>
                <w:rFonts w:cstheme="minorHAnsi"/>
                <w:color w:val="000000"/>
                <w:sz w:val="20"/>
                <w:szCs w:val="20"/>
              </w:rPr>
            </w:pPr>
            <w:r w:rsidRPr="00A12858">
              <w:rPr>
                <w:rFonts w:cstheme="minorHAnsi"/>
                <w:color w:val="000000"/>
                <w:sz w:val="20"/>
                <w:szCs w:val="20"/>
              </w:rPr>
              <w:t>12710Y</w:t>
            </w:r>
          </w:p>
        </w:tc>
        <w:tc>
          <w:tcPr>
            <w:tcW w:w="2091" w:type="pct"/>
            <w:shd w:val="clear" w:color="auto" w:fill="auto"/>
          </w:tcPr>
          <w:p w14:paraId="46D923AE" w14:textId="1146A75B" w:rsidR="00D42B19" w:rsidRPr="00853D7C" w:rsidRDefault="00CB2780" w:rsidP="00026F3C">
            <w:pPr>
              <w:autoSpaceDE w:val="0"/>
              <w:autoSpaceDN w:val="0"/>
              <w:adjustRightInd w:val="0"/>
              <w:spacing w:before="60" w:after="60"/>
              <w:rPr>
                <w:rFonts w:cstheme="minorHAnsi"/>
                <w:color w:val="222222"/>
                <w:sz w:val="20"/>
                <w:szCs w:val="20"/>
                <w:shd w:val="clear" w:color="auto" w:fill="FFFFFF"/>
              </w:rPr>
            </w:pPr>
            <w:r>
              <w:rPr>
                <w:rFonts w:cstheme="minorHAnsi"/>
                <w:color w:val="222222"/>
                <w:sz w:val="20"/>
                <w:szCs w:val="20"/>
                <w:shd w:val="clear" w:color="auto" w:fill="FFFFFF"/>
              </w:rPr>
              <w:t>i</w:t>
            </w:r>
            <w:r w:rsidR="00D42B19">
              <w:rPr>
                <w:rFonts w:cstheme="minorHAnsi"/>
                <w:color w:val="222222"/>
                <w:sz w:val="20"/>
                <w:szCs w:val="20"/>
                <w:shd w:val="clear" w:color="auto" w:fill="FFFFFF"/>
              </w:rPr>
              <w:t>matinib 100 mg capsule, 60</w:t>
            </w:r>
          </w:p>
        </w:tc>
        <w:tc>
          <w:tcPr>
            <w:tcW w:w="610" w:type="pct"/>
            <w:shd w:val="clear" w:color="auto" w:fill="auto"/>
          </w:tcPr>
          <w:p w14:paraId="133A9C69" w14:textId="64ADDF53" w:rsidR="00D42B19" w:rsidRPr="00853D7C" w:rsidRDefault="006D1968" w:rsidP="00026F3C">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60</w:t>
            </w:r>
          </w:p>
        </w:tc>
        <w:tc>
          <w:tcPr>
            <w:tcW w:w="610" w:type="pct"/>
            <w:shd w:val="clear" w:color="auto" w:fill="auto"/>
          </w:tcPr>
          <w:p w14:paraId="4A8F2596" w14:textId="7D5D6CFB" w:rsidR="00D42B19" w:rsidRPr="00853D7C" w:rsidRDefault="006D1968" w:rsidP="00026F3C">
            <w:pPr>
              <w:autoSpaceDE w:val="0"/>
              <w:autoSpaceDN w:val="0"/>
              <w:adjustRightInd w:val="0"/>
              <w:spacing w:before="60" w:after="60"/>
              <w:jc w:val="center"/>
              <w:rPr>
                <w:rFonts w:cstheme="minorHAnsi"/>
                <w:color w:val="000000"/>
                <w:sz w:val="20"/>
                <w:szCs w:val="20"/>
              </w:rPr>
            </w:pPr>
            <w:r>
              <w:rPr>
                <w:rFonts w:cstheme="minorHAnsi"/>
                <w:color w:val="000000"/>
                <w:sz w:val="20"/>
                <w:szCs w:val="20"/>
              </w:rPr>
              <w:t>5</w:t>
            </w:r>
          </w:p>
        </w:tc>
        <w:tc>
          <w:tcPr>
            <w:tcW w:w="854" w:type="pct"/>
            <w:shd w:val="clear" w:color="auto" w:fill="auto"/>
          </w:tcPr>
          <w:p w14:paraId="70A1C33B" w14:textId="0ACCD304" w:rsidR="00D42B19" w:rsidRPr="00853D7C" w:rsidRDefault="006D1968" w:rsidP="00026F3C">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$149.09</w:t>
            </w:r>
          </w:p>
        </w:tc>
      </w:tr>
      <w:tr w:rsidR="00D42B19" w:rsidRPr="00853D7C" w:rsidDel="00EE2BBB" w14:paraId="081D67C5" w14:textId="77777777" w:rsidTr="00D42B19">
        <w:trPr>
          <w:trHeight w:val="546"/>
          <w:tblHeader/>
        </w:trPr>
        <w:tc>
          <w:tcPr>
            <w:tcW w:w="834" w:type="pct"/>
            <w:shd w:val="clear" w:color="auto" w:fill="auto"/>
          </w:tcPr>
          <w:p w14:paraId="0A1CF3F4" w14:textId="0B84C948" w:rsidR="00D42B19" w:rsidRPr="00A12858" w:rsidRDefault="00D42B19" w:rsidP="00925AAC">
            <w:pPr>
              <w:autoSpaceDE w:val="0"/>
              <w:autoSpaceDN w:val="0"/>
              <w:adjustRightInd w:val="0"/>
              <w:spacing w:before="60" w:after="60"/>
              <w:rPr>
                <w:rFonts w:cstheme="minorHAnsi"/>
                <w:color w:val="000000"/>
                <w:sz w:val="20"/>
                <w:szCs w:val="20"/>
              </w:rPr>
            </w:pPr>
            <w:r w:rsidRPr="00A12858">
              <w:rPr>
                <w:rFonts w:cstheme="minorHAnsi"/>
                <w:color w:val="000000"/>
                <w:sz w:val="20"/>
                <w:szCs w:val="20"/>
              </w:rPr>
              <w:t>5444M</w:t>
            </w:r>
          </w:p>
          <w:p w14:paraId="6B69F5F6" w14:textId="70A83A01" w:rsidR="00D42B19" w:rsidRPr="00A12858" w:rsidRDefault="00D42B19" w:rsidP="00925AAC">
            <w:pPr>
              <w:autoSpaceDE w:val="0"/>
              <w:autoSpaceDN w:val="0"/>
              <w:adjustRightInd w:val="0"/>
              <w:spacing w:before="60" w:after="60"/>
              <w:rPr>
                <w:rFonts w:cstheme="minorHAnsi"/>
                <w:color w:val="000000"/>
                <w:sz w:val="20"/>
                <w:szCs w:val="20"/>
              </w:rPr>
            </w:pPr>
            <w:r w:rsidRPr="00A12858">
              <w:rPr>
                <w:rFonts w:cstheme="minorHAnsi"/>
                <w:color w:val="000000"/>
                <w:sz w:val="20"/>
                <w:szCs w:val="20"/>
              </w:rPr>
              <w:t>11788K</w:t>
            </w:r>
          </w:p>
        </w:tc>
        <w:tc>
          <w:tcPr>
            <w:tcW w:w="2091" w:type="pct"/>
            <w:shd w:val="clear" w:color="auto" w:fill="auto"/>
          </w:tcPr>
          <w:p w14:paraId="5B0DD3C7" w14:textId="77777777" w:rsidR="00D42B19" w:rsidRPr="00A12858" w:rsidRDefault="00D42B19" w:rsidP="00026F3C">
            <w:pPr>
              <w:autoSpaceDE w:val="0"/>
              <w:autoSpaceDN w:val="0"/>
              <w:adjustRightInd w:val="0"/>
              <w:spacing w:before="60" w:after="60"/>
              <w:rPr>
                <w:rFonts w:cstheme="minorHAnsi"/>
                <w:color w:val="222222"/>
                <w:sz w:val="20"/>
                <w:szCs w:val="20"/>
                <w:shd w:val="clear" w:color="auto" w:fill="FFFFFF"/>
              </w:rPr>
            </w:pPr>
            <w:r w:rsidRPr="00A12858">
              <w:rPr>
                <w:rFonts w:cstheme="minorHAnsi"/>
                <w:color w:val="222222"/>
                <w:sz w:val="20"/>
                <w:szCs w:val="20"/>
                <w:shd w:val="clear" w:color="auto" w:fill="FFFFFF"/>
              </w:rPr>
              <w:t>imatinib 400 mg tablet, 30</w:t>
            </w:r>
          </w:p>
        </w:tc>
        <w:tc>
          <w:tcPr>
            <w:tcW w:w="610" w:type="pct"/>
            <w:shd w:val="clear" w:color="auto" w:fill="auto"/>
          </w:tcPr>
          <w:p w14:paraId="3C826B69" w14:textId="77777777" w:rsidR="00D42B19" w:rsidRPr="00853D7C" w:rsidRDefault="00D42B19" w:rsidP="00026F3C">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30</w:t>
            </w:r>
          </w:p>
        </w:tc>
        <w:tc>
          <w:tcPr>
            <w:tcW w:w="610" w:type="pct"/>
            <w:shd w:val="clear" w:color="auto" w:fill="auto"/>
          </w:tcPr>
          <w:p w14:paraId="725F671E" w14:textId="77777777" w:rsidR="00D42B19" w:rsidRPr="00853D7C" w:rsidRDefault="00D42B19" w:rsidP="00026F3C">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5</w:t>
            </w:r>
          </w:p>
        </w:tc>
        <w:tc>
          <w:tcPr>
            <w:tcW w:w="854" w:type="pct"/>
            <w:shd w:val="clear" w:color="auto" w:fill="auto"/>
          </w:tcPr>
          <w:p w14:paraId="5103F125" w14:textId="77777777" w:rsidR="00D42B19" w:rsidRPr="00853D7C" w:rsidRDefault="00D42B19" w:rsidP="00026F3C">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$289.69</w:t>
            </w:r>
          </w:p>
        </w:tc>
      </w:tr>
      <w:tr w:rsidR="00AA6815" w:rsidRPr="00853D7C" w:rsidDel="00EE2BBB" w14:paraId="762DE310" w14:textId="77777777" w:rsidTr="00D42B19">
        <w:trPr>
          <w:trHeight w:val="546"/>
          <w:tblHeader/>
        </w:trPr>
        <w:tc>
          <w:tcPr>
            <w:tcW w:w="834" w:type="pct"/>
            <w:shd w:val="clear" w:color="auto" w:fill="auto"/>
          </w:tcPr>
          <w:p w14:paraId="1F244AB4" w14:textId="77777777" w:rsidR="00AA6815" w:rsidRDefault="00AA6815" w:rsidP="00AA6815">
            <w:pPr>
              <w:autoSpaceDE w:val="0"/>
              <w:autoSpaceDN w:val="0"/>
              <w:adjustRightInd w:val="0"/>
              <w:spacing w:before="60" w:after="60"/>
              <w:rPr>
                <w:rFonts w:cstheme="minorHAnsi"/>
                <w:color w:val="000000"/>
                <w:sz w:val="20"/>
                <w:szCs w:val="20"/>
              </w:rPr>
            </w:pPr>
            <w:r w:rsidRPr="00853D7C">
              <w:rPr>
                <w:rFonts w:cstheme="minorHAnsi"/>
                <w:color w:val="000000"/>
                <w:sz w:val="20"/>
                <w:szCs w:val="20"/>
              </w:rPr>
              <w:t>12681K</w:t>
            </w:r>
          </w:p>
          <w:p w14:paraId="0AD935A8" w14:textId="00C63067" w:rsidR="00AA6815" w:rsidRPr="00853D7C" w:rsidRDefault="00AA6815" w:rsidP="00AA6815">
            <w:pPr>
              <w:autoSpaceDE w:val="0"/>
              <w:autoSpaceDN w:val="0"/>
              <w:adjustRightInd w:val="0"/>
              <w:spacing w:before="60" w:after="60"/>
              <w:rPr>
                <w:rFonts w:cstheme="minorHAnsi"/>
                <w:color w:val="000000"/>
                <w:sz w:val="20"/>
                <w:szCs w:val="20"/>
              </w:rPr>
            </w:pPr>
            <w:r w:rsidRPr="00853D7C">
              <w:rPr>
                <w:rFonts w:cstheme="minorHAnsi"/>
                <w:color w:val="000000"/>
                <w:sz w:val="20"/>
                <w:szCs w:val="20"/>
              </w:rPr>
              <w:t>12711B</w:t>
            </w:r>
          </w:p>
        </w:tc>
        <w:tc>
          <w:tcPr>
            <w:tcW w:w="2091" w:type="pct"/>
            <w:shd w:val="clear" w:color="auto" w:fill="auto"/>
          </w:tcPr>
          <w:p w14:paraId="49EC3690" w14:textId="0C9C35F4" w:rsidR="00AA6815" w:rsidRPr="00853D7C" w:rsidRDefault="00AA6815" w:rsidP="00AA6815">
            <w:pPr>
              <w:autoSpaceDE w:val="0"/>
              <w:autoSpaceDN w:val="0"/>
              <w:adjustRightInd w:val="0"/>
              <w:spacing w:before="60" w:after="60"/>
              <w:rPr>
                <w:rFonts w:cstheme="minorHAnsi"/>
                <w:color w:val="222222"/>
                <w:sz w:val="20"/>
                <w:szCs w:val="20"/>
                <w:shd w:val="clear" w:color="auto" w:fill="FFFFFF"/>
              </w:rPr>
            </w:pPr>
            <w:r>
              <w:rPr>
                <w:rFonts w:cstheme="minorHAnsi"/>
                <w:color w:val="222222"/>
                <w:sz w:val="20"/>
                <w:szCs w:val="20"/>
                <w:shd w:val="clear" w:color="auto" w:fill="FFFFFF"/>
              </w:rPr>
              <w:t>imatinib 400 mg capsule, 30</w:t>
            </w:r>
          </w:p>
        </w:tc>
        <w:tc>
          <w:tcPr>
            <w:tcW w:w="610" w:type="pct"/>
            <w:shd w:val="clear" w:color="auto" w:fill="auto"/>
          </w:tcPr>
          <w:p w14:paraId="05F60590" w14:textId="58EA67D0" w:rsidR="00AA6815" w:rsidRPr="00853D7C" w:rsidRDefault="00AA6815" w:rsidP="00AA6815">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30</w:t>
            </w:r>
          </w:p>
        </w:tc>
        <w:tc>
          <w:tcPr>
            <w:tcW w:w="610" w:type="pct"/>
            <w:shd w:val="clear" w:color="auto" w:fill="auto"/>
          </w:tcPr>
          <w:p w14:paraId="4A401138" w14:textId="339D8BE7" w:rsidR="00AA6815" w:rsidRPr="00853D7C" w:rsidRDefault="00AA6815" w:rsidP="00AA6815">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5</w:t>
            </w:r>
          </w:p>
        </w:tc>
        <w:tc>
          <w:tcPr>
            <w:tcW w:w="854" w:type="pct"/>
            <w:shd w:val="clear" w:color="auto" w:fill="auto"/>
          </w:tcPr>
          <w:p w14:paraId="16E17C1F" w14:textId="3E0CE1A1" w:rsidR="00AA6815" w:rsidRPr="00853D7C" w:rsidRDefault="00AA6815" w:rsidP="00AA6815">
            <w:pPr>
              <w:autoSpaceDE w:val="0"/>
              <w:autoSpaceDN w:val="0"/>
              <w:adjustRightInd w:val="0"/>
              <w:spacing w:before="60" w:after="60"/>
              <w:jc w:val="center"/>
              <w:rPr>
                <w:rFonts w:cstheme="minorHAnsi"/>
                <w:color w:val="000000"/>
                <w:sz w:val="20"/>
                <w:szCs w:val="20"/>
              </w:rPr>
            </w:pPr>
            <w:r w:rsidRPr="00853D7C">
              <w:rPr>
                <w:rFonts w:cstheme="minorHAnsi"/>
                <w:color w:val="000000"/>
                <w:sz w:val="20"/>
                <w:szCs w:val="20"/>
              </w:rPr>
              <w:t>$289.69</w:t>
            </w:r>
          </w:p>
        </w:tc>
      </w:tr>
    </w:tbl>
    <w:p w14:paraId="4B9FA7D5" w14:textId="574CD5A0" w:rsidR="0099612A" w:rsidRDefault="0099612A" w:rsidP="0099612A">
      <w:pPr>
        <w:pStyle w:val="Notes"/>
      </w:pPr>
      <w:r w:rsidRPr="00A35800" w:rsidDel="00EE2BBB">
        <w:t xml:space="preserve">Source: </w:t>
      </w:r>
      <w:r w:rsidDel="00EE2BBB">
        <w:t xml:space="preserve">the </w:t>
      </w:r>
      <w:hyperlink r:id="rId10" w:history="1">
        <w:r w:rsidRPr="001624D7" w:rsidDel="00EE2BBB">
          <w:rPr>
            <w:rStyle w:val="Hyperlink"/>
          </w:rPr>
          <w:t>PBS website</w:t>
        </w:r>
      </w:hyperlink>
      <w:r w:rsidDel="00EE2BBB">
        <w:t xml:space="preserve">. </w:t>
      </w:r>
    </w:p>
    <w:p w14:paraId="2EA6D7E0" w14:textId="32170E84" w:rsidR="00511949" w:rsidRPr="0099612A" w:rsidRDefault="001A72F1" w:rsidP="0099612A">
      <w:pPr>
        <w:pStyle w:val="Notes"/>
      </w:pPr>
      <w:r>
        <w:t xml:space="preserve">Note: </w:t>
      </w:r>
      <w:r w:rsidRPr="001A72F1">
        <w:t>Pharmaceutical benefits that have the form imatinib tablet and imatinib capsule are equivalent for the purposes of substitution.</w:t>
      </w:r>
    </w:p>
    <w:p w14:paraId="4FE51A32" w14:textId="096A3C80" w:rsidR="00EA046E" w:rsidRDefault="00EA046E" w:rsidP="00A35800">
      <w:pPr>
        <w:rPr>
          <w:b/>
          <w:bCs/>
          <w:u w:val="single"/>
        </w:rPr>
      </w:pPr>
      <w:r w:rsidRPr="00E27C14">
        <w:rPr>
          <w:b/>
          <w:bCs/>
          <w:u w:val="single"/>
        </w:rPr>
        <w:t>Metast</w:t>
      </w:r>
      <w:r w:rsidR="00E27C14" w:rsidRPr="00E27C14">
        <w:rPr>
          <w:b/>
          <w:bCs/>
          <w:u w:val="single"/>
        </w:rPr>
        <w:t>atic GIST</w:t>
      </w:r>
    </w:p>
    <w:p w14:paraId="57649C4E" w14:textId="3E68D55D" w:rsidR="007E38F2" w:rsidRDefault="007E38F2" w:rsidP="00A35800">
      <w:r>
        <w:t xml:space="preserve">There are currently three </w:t>
      </w:r>
      <w:r w:rsidR="00502AE5">
        <w:t>PBS list</w:t>
      </w:r>
      <w:r>
        <w:t xml:space="preserve">ed medicines for the treatment of metastatic GIST: </w:t>
      </w:r>
    </w:p>
    <w:p w14:paraId="63A9961C" w14:textId="10DB6A83" w:rsidR="004C61F4" w:rsidRDefault="004C61F4" w:rsidP="004C61F4">
      <w:pPr>
        <w:pStyle w:val="ListParagraph"/>
        <w:numPr>
          <w:ilvl w:val="0"/>
          <w:numId w:val="37"/>
        </w:numPr>
      </w:pPr>
      <w:r>
        <w:t>imatinib (first-line)</w:t>
      </w:r>
    </w:p>
    <w:p w14:paraId="6D90F817" w14:textId="48C48A89" w:rsidR="004C61F4" w:rsidRDefault="004C61F4" w:rsidP="004C61F4">
      <w:pPr>
        <w:pStyle w:val="ListParagraph"/>
        <w:numPr>
          <w:ilvl w:val="0"/>
          <w:numId w:val="37"/>
        </w:numPr>
      </w:pPr>
      <w:r>
        <w:t>sunit</w:t>
      </w:r>
      <w:r w:rsidR="007D0EEA">
        <w:t>i</w:t>
      </w:r>
      <w:r>
        <w:t>nib (second-line)</w:t>
      </w:r>
      <w:r w:rsidR="003F58B2">
        <w:t xml:space="preserve"> </w:t>
      </w:r>
    </w:p>
    <w:p w14:paraId="4296FC12" w14:textId="694F073E" w:rsidR="004C61F4" w:rsidRPr="007E38F2" w:rsidDel="00EE2BBB" w:rsidRDefault="004C61F4" w:rsidP="004C61F4">
      <w:pPr>
        <w:pStyle w:val="ListParagraph"/>
        <w:numPr>
          <w:ilvl w:val="0"/>
          <w:numId w:val="37"/>
        </w:numPr>
      </w:pPr>
      <w:r>
        <w:t>ripret</w:t>
      </w:r>
      <w:r w:rsidR="00DA7BA3">
        <w:t>i</w:t>
      </w:r>
      <w:r>
        <w:t xml:space="preserve">nib (later-line). </w:t>
      </w:r>
    </w:p>
    <w:p w14:paraId="1D47784A" w14:textId="467E02E5" w:rsidR="001420B3" w:rsidRDefault="001420B3" w:rsidP="00CF5E22">
      <w:pPr>
        <w:pStyle w:val="Tabletitle"/>
      </w:pPr>
      <w:r w:rsidRPr="001420B3" w:rsidDel="00EE2BBB">
        <w:t xml:space="preserve">Table </w:t>
      </w:r>
      <w:r w:rsidR="007B38BA">
        <w:t>3</w:t>
      </w:r>
      <w:r w:rsidRPr="001420B3" w:rsidDel="00EE2BBB">
        <w:t xml:space="preserve">: </w:t>
      </w:r>
      <w:r w:rsidR="009663B6" w:rsidDel="00EE2BBB">
        <w:t>PB</w:t>
      </w:r>
      <w:r w:rsidR="00D151EB" w:rsidDel="00EE2BBB">
        <w:t xml:space="preserve">S listing of </w:t>
      </w:r>
      <w:r w:rsidR="00D671E8">
        <w:t xml:space="preserve">imatinib for metastatic GIST </w:t>
      </w:r>
      <w:r w:rsidR="00D151EB" w:rsidDel="00EE2BBB">
        <w:t xml:space="preserve"> </w:t>
      </w:r>
    </w:p>
    <w:tbl>
      <w:tblPr>
        <w:tblStyle w:val="TableGrid"/>
        <w:tblW w:w="5000" w:type="pct"/>
        <w:tblLook w:val="04A0" w:firstRow="1" w:lastRow="0" w:firstColumn="1" w:lastColumn="0" w:noHBand="0" w:noVBand="1"/>
      </w:tblPr>
      <w:tblGrid>
        <w:gridCol w:w="1493"/>
        <w:gridCol w:w="3742"/>
        <w:gridCol w:w="1092"/>
        <w:gridCol w:w="1092"/>
        <w:gridCol w:w="1528"/>
      </w:tblGrid>
      <w:tr w:rsidR="00D42B19" w:rsidRPr="00853D7C" w:rsidDel="00EE2BBB" w14:paraId="69664820" w14:textId="77777777" w:rsidTr="00D42B19">
        <w:trPr>
          <w:trHeight w:val="694"/>
          <w:tblHeader/>
        </w:trPr>
        <w:tc>
          <w:tcPr>
            <w:tcW w:w="834" w:type="pct"/>
            <w:shd w:val="clear" w:color="auto" w:fill="BFBFBF" w:themeFill="background1" w:themeFillShade="BF"/>
          </w:tcPr>
          <w:p w14:paraId="10122A5E" w14:textId="77777777" w:rsidR="00D42B19" w:rsidRDefault="00D42B19" w:rsidP="00925AAC">
            <w:pPr>
              <w:autoSpaceDE w:val="0"/>
              <w:autoSpaceDN w:val="0"/>
              <w:adjustRightInd w:val="0"/>
              <w:spacing w:before="60" w:after="60"/>
              <w:rPr>
                <w:rFonts w:cstheme="minorHAnsi"/>
                <w:b/>
                <w:sz w:val="20"/>
                <w:szCs w:val="20"/>
              </w:rPr>
            </w:pPr>
            <w:r w:rsidRPr="005B57CA" w:rsidDel="00EE2BBB">
              <w:rPr>
                <w:rFonts w:cstheme="minorHAnsi"/>
                <w:b/>
                <w:sz w:val="20"/>
                <w:szCs w:val="20"/>
              </w:rPr>
              <w:t>Item</w:t>
            </w:r>
          </w:p>
          <w:p w14:paraId="3AB0BE62" w14:textId="16897425" w:rsidR="00026F3C" w:rsidRPr="005B57CA" w:rsidDel="00EE2BBB" w:rsidRDefault="00026F3C" w:rsidP="00925AAC">
            <w:pPr>
              <w:autoSpaceDE w:val="0"/>
              <w:autoSpaceDN w:val="0"/>
              <w:adjustRightInd w:val="0"/>
              <w:spacing w:before="60" w:after="60"/>
              <w:rPr>
                <w:rFonts w:cstheme="minorHAnsi"/>
                <w:b/>
                <w:sz w:val="20"/>
                <w:szCs w:val="20"/>
              </w:rPr>
            </w:pPr>
            <w:r>
              <w:rPr>
                <w:rFonts w:cstheme="minorHAnsi"/>
                <w:b/>
                <w:sz w:val="20"/>
                <w:szCs w:val="20"/>
              </w:rPr>
              <w:t>code</w:t>
            </w:r>
          </w:p>
        </w:tc>
        <w:tc>
          <w:tcPr>
            <w:tcW w:w="2091" w:type="pct"/>
            <w:shd w:val="clear" w:color="auto" w:fill="BFBFBF" w:themeFill="background1" w:themeFillShade="BF"/>
          </w:tcPr>
          <w:p w14:paraId="2984930A" w14:textId="77777777" w:rsidR="00D42B19" w:rsidRPr="005B57CA" w:rsidDel="00EE2BBB" w:rsidRDefault="00D42B19" w:rsidP="00925AAC">
            <w:pPr>
              <w:autoSpaceDE w:val="0"/>
              <w:autoSpaceDN w:val="0"/>
              <w:adjustRightInd w:val="0"/>
              <w:spacing w:before="60" w:after="60"/>
              <w:rPr>
                <w:rFonts w:cstheme="minorHAnsi"/>
                <w:b/>
                <w:sz w:val="20"/>
                <w:szCs w:val="20"/>
              </w:rPr>
            </w:pPr>
            <w:r w:rsidRPr="005B57CA" w:rsidDel="00EE2BBB">
              <w:rPr>
                <w:rFonts w:cstheme="minorHAnsi"/>
                <w:b/>
                <w:sz w:val="20"/>
                <w:szCs w:val="20"/>
              </w:rPr>
              <w:t>Name, form &amp; strength, pack size</w:t>
            </w:r>
          </w:p>
        </w:tc>
        <w:tc>
          <w:tcPr>
            <w:tcW w:w="610" w:type="pct"/>
            <w:shd w:val="clear" w:color="auto" w:fill="BFBFBF" w:themeFill="background1" w:themeFillShade="BF"/>
          </w:tcPr>
          <w:p w14:paraId="5E09AD83" w14:textId="77777777" w:rsidR="00D42B19" w:rsidRPr="005B57CA" w:rsidDel="00EE2BBB" w:rsidRDefault="00D42B19" w:rsidP="00F87B9F">
            <w:pPr>
              <w:autoSpaceDE w:val="0"/>
              <w:autoSpaceDN w:val="0"/>
              <w:adjustRightInd w:val="0"/>
              <w:spacing w:before="60" w:after="60"/>
              <w:rPr>
                <w:rFonts w:cstheme="minorHAnsi"/>
                <w:b/>
                <w:sz w:val="20"/>
                <w:szCs w:val="20"/>
              </w:rPr>
            </w:pPr>
            <w:r w:rsidRPr="005B57CA" w:rsidDel="00EE2BBB">
              <w:rPr>
                <w:rFonts w:cstheme="minorHAnsi"/>
                <w:b/>
                <w:sz w:val="20"/>
                <w:szCs w:val="20"/>
              </w:rPr>
              <w:t>Max. q</w:t>
            </w:r>
            <w:r>
              <w:rPr>
                <w:rFonts w:cstheme="minorHAnsi"/>
                <w:b/>
                <w:sz w:val="20"/>
                <w:szCs w:val="20"/>
              </w:rPr>
              <w:t>ty</w:t>
            </w:r>
            <w:r w:rsidRPr="005B57CA" w:rsidDel="00EE2BBB">
              <w:rPr>
                <w:rFonts w:cstheme="minorHAnsi"/>
                <w:b/>
                <w:sz w:val="20"/>
                <w:szCs w:val="20"/>
              </w:rPr>
              <w:t xml:space="preserve">. </w:t>
            </w:r>
          </w:p>
        </w:tc>
        <w:tc>
          <w:tcPr>
            <w:tcW w:w="610" w:type="pct"/>
            <w:shd w:val="clear" w:color="auto" w:fill="BFBFBF" w:themeFill="background1" w:themeFillShade="BF"/>
          </w:tcPr>
          <w:p w14:paraId="34527459" w14:textId="77777777" w:rsidR="00D42B19" w:rsidRPr="005B57CA" w:rsidDel="00EE2BBB" w:rsidRDefault="00D42B19" w:rsidP="00F87B9F">
            <w:pPr>
              <w:autoSpaceDE w:val="0"/>
              <w:autoSpaceDN w:val="0"/>
              <w:adjustRightInd w:val="0"/>
              <w:spacing w:before="60" w:after="60"/>
              <w:rPr>
                <w:rFonts w:cstheme="minorHAnsi"/>
                <w:b/>
                <w:sz w:val="20"/>
                <w:szCs w:val="20"/>
              </w:rPr>
            </w:pPr>
            <w:r w:rsidRPr="005B57CA" w:rsidDel="00EE2BBB">
              <w:rPr>
                <w:rFonts w:cstheme="minorHAnsi"/>
                <w:b/>
                <w:sz w:val="20"/>
                <w:szCs w:val="20"/>
              </w:rPr>
              <w:t xml:space="preserve">Rpts </w:t>
            </w:r>
          </w:p>
        </w:tc>
        <w:tc>
          <w:tcPr>
            <w:tcW w:w="854" w:type="pct"/>
            <w:shd w:val="clear" w:color="auto" w:fill="BFBFBF" w:themeFill="background1" w:themeFillShade="BF"/>
          </w:tcPr>
          <w:p w14:paraId="5A465A8A" w14:textId="77777777" w:rsidR="00D42B19" w:rsidRPr="005B57CA" w:rsidDel="00EE2BBB" w:rsidRDefault="00D42B19" w:rsidP="00F87B9F">
            <w:pPr>
              <w:autoSpaceDE w:val="0"/>
              <w:autoSpaceDN w:val="0"/>
              <w:adjustRightInd w:val="0"/>
              <w:spacing w:before="60" w:after="60"/>
              <w:rPr>
                <w:rFonts w:cstheme="minorHAnsi"/>
                <w:b/>
                <w:sz w:val="20"/>
                <w:szCs w:val="20"/>
              </w:rPr>
            </w:pPr>
            <w:r w:rsidRPr="005B57CA" w:rsidDel="00EE2BBB">
              <w:rPr>
                <w:rFonts w:cstheme="minorHAnsi"/>
                <w:b/>
                <w:sz w:val="20"/>
                <w:szCs w:val="20"/>
              </w:rPr>
              <w:t>DPMQ</w:t>
            </w:r>
          </w:p>
        </w:tc>
      </w:tr>
      <w:tr w:rsidR="00D42B19" w:rsidRPr="005B57CA" w:rsidDel="00EE2BBB" w14:paraId="4DD953F1" w14:textId="77777777" w:rsidTr="00D42B19">
        <w:trPr>
          <w:trHeight w:val="552"/>
        </w:trPr>
        <w:tc>
          <w:tcPr>
            <w:tcW w:w="834" w:type="pct"/>
          </w:tcPr>
          <w:p w14:paraId="022468CA" w14:textId="468EA534" w:rsidR="00D42B19" w:rsidRPr="006B592F" w:rsidRDefault="00D42B19" w:rsidP="00925AAC">
            <w:pPr>
              <w:autoSpaceDE w:val="0"/>
              <w:autoSpaceDN w:val="0"/>
              <w:adjustRightInd w:val="0"/>
              <w:spacing w:before="60" w:after="60"/>
              <w:rPr>
                <w:rFonts w:cstheme="minorHAnsi"/>
                <w:color w:val="000000"/>
                <w:sz w:val="20"/>
                <w:szCs w:val="20"/>
              </w:rPr>
            </w:pPr>
            <w:r w:rsidRPr="006B592F">
              <w:rPr>
                <w:rFonts w:cstheme="minorHAnsi"/>
                <w:color w:val="000000"/>
                <w:sz w:val="20"/>
                <w:szCs w:val="20"/>
              </w:rPr>
              <w:t>9111M</w:t>
            </w:r>
          </w:p>
          <w:p w14:paraId="03E3137C" w14:textId="13B4BC2A" w:rsidR="00D42B19" w:rsidRPr="006B592F" w:rsidRDefault="00D42B19" w:rsidP="00925AAC">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11787J</w:t>
            </w:r>
          </w:p>
        </w:tc>
        <w:tc>
          <w:tcPr>
            <w:tcW w:w="2091" w:type="pct"/>
          </w:tcPr>
          <w:p w14:paraId="396F37EA" w14:textId="77777777" w:rsidR="00D42B19" w:rsidRPr="006B592F" w:rsidRDefault="00D42B19" w:rsidP="00925AAC">
            <w:pPr>
              <w:autoSpaceDE w:val="0"/>
              <w:autoSpaceDN w:val="0"/>
              <w:adjustRightInd w:val="0"/>
              <w:spacing w:before="60" w:after="60"/>
              <w:rPr>
                <w:rFonts w:cstheme="minorHAnsi"/>
                <w:color w:val="000000"/>
                <w:sz w:val="20"/>
                <w:szCs w:val="20"/>
              </w:rPr>
            </w:pPr>
            <w:r w:rsidRPr="006B592F">
              <w:rPr>
                <w:rFonts w:cstheme="minorHAnsi"/>
                <w:sz w:val="20"/>
                <w:szCs w:val="20"/>
                <w:shd w:val="clear" w:color="auto" w:fill="FFFFFF"/>
              </w:rPr>
              <w:t>imatinib 100 mg tablet, 60</w:t>
            </w:r>
          </w:p>
        </w:tc>
        <w:tc>
          <w:tcPr>
            <w:tcW w:w="610" w:type="pct"/>
          </w:tcPr>
          <w:p w14:paraId="7AC0EADD" w14:textId="77777777" w:rsidR="00D42B19" w:rsidRPr="006B592F" w:rsidRDefault="00D42B19"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60</w:t>
            </w:r>
          </w:p>
        </w:tc>
        <w:tc>
          <w:tcPr>
            <w:tcW w:w="610" w:type="pct"/>
          </w:tcPr>
          <w:p w14:paraId="55FF1ED7" w14:textId="77777777" w:rsidR="00D42B19" w:rsidRPr="006B592F" w:rsidRDefault="00D42B19"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2</w:t>
            </w:r>
          </w:p>
        </w:tc>
        <w:tc>
          <w:tcPr>
            <w:tcW w:w="854" w:type="pct"/>
          </w:tcPr>
          <w:p w14:paraId="374EF001" w14:textId="6BDB0A2C" w:rsidR="00D42B19" w:rsidRPr="006B592F" w:rsidRDefault="00D42B19"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$149.0</w:t>
            </w:r>
            <w:r w:rsidR="00A4320D">
              <w:rPr>
                <w:rFonts w:cstheme="minorHAnsi"/>
                <w:color w:val="000000"/>
                <w:sz w:val="20"/>
                <w:szCs w:val="20"/>
              </w:rPr>
              <w:t>9</w:t>
            </w:r>
          </w:p>
        </w:tc>
      </w:tr>
      <w:tr w:rsidR="00A4320D" w:rsidRPr="005B57CA" w:rsidDel="00EE2BBB" w14:paraId="23A075AA" w14:textId="77777777" w:rsidTr="00D42B19">
        <w:trPr>
          <w:trHeight w:val="552"/>
        </w:trPr>
        <w:tc>
          <w:tcPr>
            <w:tcW w:w="834" w:type="pct"/>
          </w:tcPr>
          <w:p w14:paraId="2EE76862" w14:textId="77777777" w:rsidR="00A4320D" w:rsidRPr="006B592F" w:rsidRDefault="00A4320D" w:rsidP="00A4320D">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12709X</w:t>
            </w:r>
          </w:p>
          <w:p w14:paraId="2009BD15" w14:textId="17A35992" w:rsidR="00A4320D" w:rsidRPr="006B592F" w:rsidRDefault="00A4320D" w:rsidP="00A4320D">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12722N</w:t>
            </w:r>
          </w:p>
        </w:tc>
        <w:tc>
          <w:tcPr>
            <w:tcW w:w="2091" w:type="pct"/>
          </w:tcPr>
          <w:p w14:paraId="30A790CB" w14:textId="44B3D7C5" w:rsidR="00A4320D" w:rsidRPr="006B592F" w:rsidRDefault="00A4320D" w:rsidP="00A4320D">
            <w:pPr>
              <w:autoSpaceDE w:val="0"/>
              <w:autoSpaceDN w:val="0"/>
              <w:adjustRightInd w:val="0"/>
              <w:spacing w:before="60" w:after="60"/>
              <w:rPr>
                <w:rFonts w:cstheme="minorHAnsi"/>
                <w:sz w:val="20"/>
                <w:szCs w:val="20"/>
                <w:shd w:val="clear" w:color="auto" w:fill="FFFFFF"/>
              </w:rPr>
            </w:pPr>
            <w:r>
              <w:rPr>
                <w:rFonts w:cstheme="minorHAnsi"/>
                <w:sz w:val="20"/>
                <w:szCs w:val="20"/>
                <w:shd w:val="clear" w:color="auto" w:fill="FFFFFF"/>
              </w:rPr>
              <w:t>Imatinib 100 mg capsule, 60</w:t>
            </w:r>
          </w:p>
        </w:tc>
        <w:tc>
          <w:tcPr>
            <w:tcW w:w="610" w:type="pct"/>
          </w:tcPr>
          <w:p w14:paraId="276A7E22" w14:textId="1068735E" w:rsidR="00A4320D" w:rsidRPr="006B592F" w:rsidRDefault="00A4320D"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60</w:t>
            </w:r>
          </w:p>
        </w:tc>
        <w:tc>
          <w:tcPr>
            <w:tcW w:w="610" w:type="pct"/>
          </w:tcPr>
          <w:p w14:paraId="3B75B5A5" w14:textId="121E9499" w:rsidR="00A4320D" w:rsidRPr="006B592F" w:rsidRDefault="00A4320D"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2</w:t>
            </w:r>
          </w:p>
        </w:tc>
        <w:tc>
          <w:tcPr>
            <w:tcW w:w="854" w:type="pct"/>
          </w:tcPr>
          <w:p w14:paraId="2DC645DF" w14:textId="3A3774F1" w:rsidR="00A4320D" w:rsidRPr="006B592F" w:rsidRDefault="00A4320D"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$149.0</w:t>
            </w:r>
            <w:r>
              <w:rPr>
                <w:rFonts w:cstheme="minorHAnsi"/>
                <w:color w:val="000000"/>
                <w:sz w:val="20"/>
                <w:szCs w:val="20"/>
              </w:rPr>
              <w:t>9</w:t>
            </w:r>
          </w:p>
        </w:tc>
      </w:tr>
      <w:tr w:rsidR="00A4320D" w:rsidRPr="005B57CA" w:rsidDel="00EE2BBB" w14:paraId="43EE96AA" w14:textId="77777777" w:rsidTr="00D42B19">
        <w:trPr>
          <w:trHeight w:val="552"/>
        </w:trPr>
        <w:tc>
          <w:tcPr>
            <w:tcW w:w="834" w:type="pct"/>
          </w:tcPr>
          <w:p w14:paraId="257612ED" w14:textId="77777777" w:rsidR="00A4320D" w:rsidRPr="006B592F" w:rsidRDefault="00A4320D" w:rsidP="00A4320D">
            <w:pPr>
              <w:autoSpaceDE w:val="0"/>
              <w:autoSpaceDN w:val="0"/>
              <w:adjustRightInd w:val="0"/>
              <w:spacing w:before="60" w:after="60"/>
              <w:rPr>
                <w:rFonts w:cstheme="minorHAnsi"/>
                <w:color w:val="000000"/>
                <w:sz w:val="20"/>
                <w:szCs w:val="20"/>
              </w:rPr>
            </w:pPr>
            <w:r w:rsidRPr="005B57CA">
              <w:rPr>
                <w:rFonts w:cstheme="minorHAnsi"/>
                <w:color w:val="000000"/>
                <w:sz w:val="20"/>
                <w:szCs w:val="20"/>
              </w:rPr>
              <w:t>9112N</w:t>
            </w:r>
          </w:p>
          <w:p w14:paraId="245CA2E2" w14:textId="70B0065C" w:rsidR="00A4320D" w:rsidRPr="005B57CA" w:rsidDel="00EE2BBB" w:rsidRDefault="00A4320D" w:rsidP="00A4320D">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11778X</w:t>
            </w:r>
          </w:p>
        </w:tc>
        <w:tc>
          <w:tcPr>
            <w:tcW w:w="2091" w:type="pct"/>
          </w:tcPr>
          <w:p w14:paraId="10E18AE7" w14:textId="51324F84" w:rsidR="00A4320D" w:rsidRPr="005B57CA" w:rsidDel="00EE2BBB" w:rsidRDefault="00A4320D" w:rsidP="00A4320D">
            <w:pPr>
              <w:autoSpaceDE w:val="0"/>
              <w:autoSpaceDN w:val="0"/>
              <w:adjustRightInd w:val="0"/>
              <w:spacing w:before="60" w:after="60"/>
              <w:rPr>
                <w:rFonts w:cstheme="minorHAnsi"/>
                <w:color w:val="000000"/>
                <w:sz w:val="20"/>
                <w:szCs w:val="20"/>
              </w:rPr>
            </w:pPr>
            <w:r w:rsidRPr="006B592F">
              <w:rPr>
                <w:rFonts w:cstheme="minorHAnsi"/>
                <w:color w:val="000000"/>
                <w:sz w:val="20"/>
                <w:szCs w:val="20"/>
              </w:rPr>
              <w:t>imatinib 400 mg tablet, 30</w:t>
            </w:r>
          </w:p>
        </w:tc>
        <w:tc>
          <w:tcPr>
            <w:tcW w:w="610" w:type="pct"/>
          </w:tcPr>
          <w:p w14:paraId="379A6861" w14:textId="77777777" w:rsidR="00A4320D" w:rsidRPr="005B57CA" w:rsidDel="00EE2BBB" w:rsidRDefault="00A4320D"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30</w:t>
            </w:r>
          </w:p>
        </w:tc>
        <w:tc>
          <w:tcPr>
            <w:tcW w:w="610" w:type="pct"/>
          </w:tcPr>
          <w:p w14:paraId="39A32E60" w14:textId="77777777" w:rsidR="00A4320D" w:rsidRPr="005B57CA" w:rsidDel="00EE2BBB" w:rsidRDefault="00A4320D"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2</w:t>
            </w:r>
          </w:p>
        </w:tc>
        <w:tc>
          <w:tcPr>
            <w:tcW w:w="854" w:type="pct"/>
          </w:tcPr>
          <w:p w14:paraId="4436EA3F" w14:textId="77777777" w:rsidR="00A4320D" w:rsidRPr="005B57CA" w:rsidDel="00EE2BBB" w:rsidRDefault="00A4320D"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$289.69</w:t>
            </w:r>
          </w:p>
        </w:tc>
      </w:tr>
      <w:tr w:rsidR="007115DF" w:rsidRPr="00853D7C" w:rsidDel="00EE2BBB" w14:paraId="5F4A035E" w14:textId="77777777" w:rsidTr="00D42B19">
        <w:trPr>
          <w:trHeight w:val="546"/>
        </w:trPr>
        <w:tc>
          <w:tcPr>
            <w:tcW w:w="834" w:type="pct"/>
          </w:tcPr>
          <w:p w14:paraId="3ABC50BB" w14:textId="77777777" w:rsidR="007115DF" w:rsidRPr="006B592F" w:rsidRDefault="007115DF" w:rsidP="007115DF">
            <w:pPr>
              <w:autoSpaceDE w:val="0"/>
              <w:autoSpaceDN w:val="0"/>
              <w:adjustRightInd w:val="0"/>
              <w:spacing w:before="60" w:after="60"/>
              <w:rPr>
                <w:rFonts w:cstheme="minorHAnsi"/>
                <w:color w:val="000000"/>
                <w:sz w:val="20"/>
                <w:szCs w:val="20"/>
              </w:rPr>
            </w:pPr>
            <w:r w:rsidRPr="006B592F">
              <w:rPr>
                <w:rFonts w:cstheme="minorHAnsi"/>
                <w:color w:val="000000"/>
                <w:sz w:val="20"/>
                <w:szCs w:val="20"/>
              </w:rPr>
              <w:lastRenderedPageBreak/>
              <w:t>12754G</w:t>
            </w:r>
          </w:p>
          <w:p w14:paraId="4E3BBD32" w14:textId="2BF0ECD6" w:rsidR="007115DF" w:rsidRPr="006B592F" w:rsidRDefault="007115DF" w:rsidP="007115D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12723P</w:t>
            </w:r>
          </w:p>
        </w:tc>
        <w:tc>
          <w:tcPr>
            <w:tcW w:w="2091" w:type="pct"/>
          </w:tcPr>
          <w:p w14:paraId="64D5FBFB" w14:textId="1221691A" w:rsidR="007115DF" w:rsidRPr="006B592F" w:rsidRDefault="007115DF" w:rsidP="007115DF">
            <w:pPr>
              <w:autoSpaceDE w:val="0"/>
              <w:autoSpaceDN w:val="0"/>
              <w:adjustRightInd w:val="0"/>
              <w:spacing w:before="60" w:after="60"/>
              <w:rPr>
                <w:rFonts w:cstheme="minorHAnsi"/>
                <w:color w:val="222222"/>
                <w:sz w:val="20"/>
                <w:szCs w:val="20"/>
                <w:shd w:val="clear" w:color="auto" w:fill="FFFFFF"/>
              </w:rPr>
            </w:pPr>
            <w:r w:rsidRPr="006B592F">
              <w:rPr>
                <w:rFonts w:cstheme="minorHAnsi"/>
                <w:color w:val="000000"/>
                <w:sz w:val="20"/>
                <w:szCs w:val="20"/>
              </w:rPr>
              <w:t xml:space="preserve">imatinib 400 mg </w:t>
            </w:r>
            <w:r>
              <w:rPr>
                <w:rFonts w:cstheme="minorHAnsi"/>
                <w:color w:val="000000"/>
                <w:sz w:val="20"/>
                <w:szCs w:val="20"/>
              </w:rPr>
              <w:t>capsule</w:t>
            </w:r>
            <w:r w:rsidRPr="006B592F">
              <w:rPr>
                <w:rFonts w:cstheme="minorHAnsi"/>
                <w:color w:val="000000"/>
                <w:sz w:val="20"/>
                <w:szCs w:val="20"/>
              </w:rPr>
              <w:t>, 30</w:t>
            </w:r>
          </w:p>
        </w:tc>
        <w:tc>
          <w:tcPr>
            <w:tcW w:w="610" w:type="pct"/>
          </w:tcPr>
          <w:p w14:paraId="0030BDB4" w14:textId="48C0F63F" w:rsidR="007115DF" w:rsidRPr="006B592F" w:rsidRDefault="007115DF"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30</w:t>
            </w:r>
          </w:p>
        </w:tc>
        <w:tc>
          <w:tcPr>
            <w:tcW w:w="610" w:type="pct"/>
          </w:tcPr>
          <w:p w14:paraId="68EA5CFB" w14:textId="2DB3A14F" w:rsidR="007115DF" w:rsidRPr="006B592F" w:rsidRDefault="007115DF"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2</w:t>
            </w:r>
          </w:p>
        </w:tc>
        <w:tc>
          <w:tcPr>
            <w:tcW w:w="854" w:type="pct"/>
          </w:tcPr>
          <w:p w14:paraId="01FE0B0A" w14:textId="5F40260B" w:rsidR="007115DF" w:rsidRPr="006B592F" w:rsidRDefault="007115DF"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$289.69</w:t>
            </w:r>
          </w:p>
        </w:tc>
      </w:tr>
      <w:tr w:rsidR="007115DF" w:rsidRPr="00853D7C" w:rsidDel="00EE2BBB" w14:paraId="13D912E0" w14:textId="77777777" w:rsidTr="00D42B19">
        <w:trPr>
          <w:trHeight w:val="546"/>
        </w:trPr>
        <w:tc>
          <w:tcPr>
            <w:tcW w:w="834" w:type="pct"/>
          </w:tcPr>
          <w:p w14:paraId="00FCBA2B" w14:textId="3C3E4C2F" w:rsidR="007115DF" w:rsidRPr="006B592F" w:rsidRDefault="007115DF" w:rsidP="007115D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12926H</w:t>
            </w:r>
          </w:p>
          <w:p w14:paraId="0F621603" w14:textId="54BA997E" w:rsidR="007115DF" w:rsidRPr="006B592F" w:rsidRDefault="007115DF" w:rsidP="007115D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12919Y</w:t>
            </w:r>
          </w:p>
        </w:tc>
        <w:tc>
          <w:tcPr>
            <w:tcW w:w="2091" w:type="pct"/>
          </w:tcPr>
          <w:p w14:paraId="40F33832" w14:textId="77777777" w:rsidR="007115DF" w:rsidRPr="006B592F" w:rsidRDefault="007115DF" w:rsidP="007115DF">
            <w:pPr>
              <w:autoSpaceDE w:val="0"/>
              <w:autoSpaceDN w:val="0"/>
              <w:adjustRightInd w:val="0"/>
              <w:spacing w:before="60" w:after="60"/>
              <w:rPr>
                <w:rFonts w:cstheme="minorHAnsi"/>
                <w:sz w:val="20"/>
                <w:szCs w:val="20"/>
                <w:shd w:val="clear" w:color="auto" w:fill="FFFFFF"/>
              </w:rPr>
            </w:pPr>
            <w:r w:rsidRPr="006B592F">
              <w:rPr>
                <w:rFonts w:cstheme="minorHAnsi"/>
                <w:color w:val="222222"/>
                <w:sz w:val="20"/>
                <w:szCs w:val="20"/>
                <w:shd w:val="clear" w:color="auto" w:fill="FFFFFF"/>
              </w:rPr>
              <w:t>imatinib 600 mg tablet, 30</w:t>
            </w:r>
          </w:p>
        </w:tc>
        <w:tc>
          <w:tcPr>
            <w:tcW w:w="610" w:type="pct"/>
          </w:tcPr>
          <w:p w14:paraId="4DBFBE77" w14:textId="77777777" w:rsidR="007115DF" w:rsidRPr="006B592F" w:rsidRDefault="007115DF"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30</w:t>
            </w:r>
          </w:p>
        </w:tc>
        <w:tc>
          <w:tcPr>
            <w:tcW w:w="610" w:type="pct"/>
          </w:tcPr>
          <w:p w14:paraId="4FFAAF13" w14:textId="77777777" w:rsidR="007115DF" w:rsidRPr="006B592F" w:rsidRDefault="007115DF"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2</w:t>
            </w:r>
          </w:p>
        </w:tc>
        <w:tc>
          <w:tcPr>
            <w:tcW w:w="854" w:type="pct"/>
          </w:tcPr>
          <w:p w14:paraId="5F1B4F8E" w14:textId="77777777" w:rsidR="007115DF" w:rsidRPr="006B592F" w:rsidRDefault="007115DF" w:rsidP="00F87B9F">
            <w:pPr>
              <w:autoSpaceDE w:val="0"/>
              <w:autoSpaceDN w:val="0"/>
              <w:adjustRightInd w:val="0"/>
              <w:spacing w:before="60" w:after="60"/>
              <w:rPr>
                <w:rFonts w:cstheme="minorHAnsi"/>
                <w:color w:val="000000"/>
                <w:sz w:val="20"/>
                <w:szCs w:val="20"/>
              </w:rPr>
            </w:pPr>
            <w:r w:rsidRPr="006B592F">
              <w:rPr>
                <w:rFonts w:cstheme="minorHAnsi"/>
                <w:color w:val="000000"/>
                <w:sz w:val="20"/>
                <w:szCs w:val="20"/>
              </w:rPr>
              <w:t>$560.09</w:t>
            </w:r>
          </w:p>
        </w:tc>
      </w:tr>
    </w:tbl>
    <w:p w14:paraId="14991A96" w14:textId="79583AE5" w:rsidR="00BC6256" w:rsidRDefault="007408C7" w:rsidP="00BB1D3B">
      <w:pPr>
        <w:pStyle w:val="Notes"/>
      </w:pPr>
      <w:r w:rsidRPr="00A35800" w:rsidDel="00EE2BBB">
        <w:t xml:space="preserve">Source: </w:t>
      </w:r>
      <w:r w:rsidR="001624D7" w:rsidDel="00EE2BBB">
        <w:t xml:space="preserve">the </w:t>
      </w:r>
      <w:hyperlink r:id="rId11" w:history="1">
        <w:r w:rsidR="001624D7" w:rsidRPr="001624D7" w:rsidDel="00EE2BBB">
          <w:rPr>
            <w:rStyle w:val="Hyperlink"/>
          </w:rPr>
          <w:t>PBS website</w:t>
        </w:r>
      </w:hyperlink>
      <w:r w:rsidR="001624D7" w:rsidDel="00EE2BBB">
        <w:t>.</w:t>
      </w:r>
      <w:r w:rsidR="0080485E" w:rsidDel="00EE2BBB">
        <w:t xml:space="preserve"> </w:t>
      </w:r>
    </w:p>
    <w:p w14:paraId="10C61D70" w14:textId="2AB0DE13" w:rsidR="009A6E85" w:rsidRDefault="009A6E85" w:rsidP="00BB1D3B">
      <w:pPr>
        <w:pStyle w:val="Notes"/>
      </w:pPr>
      <w:r>
        <w:t xml:space="preserve">Notes: </w:t>
      </w:r>
    </w:p>
    <w:p w14:paraId="35FD77A3" w14:textId="153EF96A" w:rsidR="00CE18FE" w:rsidRDefault="00CE18FE" w:rsidP="003F58B2">
      <w:pPr>
        <w:pStyle w:val="Notes"/>
        <w:numPr>
          <w:ilvl w:val="0"/>
          <w:numId w:val="38"/>
        </w:numPr>
        <w:spacing w:after="0"/>
      </w:pPr>
      <w:r w:rsidRPr="00CE18FE">
        <w:t xml:space="preserve">Applications for authorisation under this restriction may be made in real time using the Online PBS Authorities </w:t>
      </w:r>
      <w:r w:rsidR="009465EE" w:rsidRPr="00CE18FE">
        <w:t>system.</w:t>
      </w:r>
      <w:r w:rsidR="003F58B2">
        <w:t xml:space="preserve"> </w:t>
      </w:r>
    </w:p>
    <w:p w14:paraId="61F32A54" w14:textId="77777777" w:rsidR="00CE18FE" w:rsidRDefault="00CE18FE" w:rsidP="003F58B2">
      <w:pPr>
        <w:pStyle w:val="Notes"/>
        <w:numPr>
          <w:ilvl w:val="0"/>
          <w:numId w:val="38"/>
        </w:numPr>
        <w:spacing w:after="0"/>
      </w:pPr>
      <w:r w:rsidRPr="00CE18FE">
        <w:t>No increase in the maximum number of repeats may be authorised.</w:t>
      </w:r>
    </w:p>
    <w:p w14:paraId="7D2328BE" w14:textId="782E33C3" w:rsidR="009A6E85" w:rsidRDefault="00CE18FE" w:rsidP="003F58B2">
      <w:pPr>
        <w:pStyle w:val="Notes"/>
        <w:numPr>
          <w:ilvl w:val="0"/>
          <w:numId w:val="38"/>
        </w:numPr>
        <w:spacing w:after="0"/>
      </w:pPr>
      <w:r w:rsidRPr="00CE18FE">
        <w:t>Pharmaceutical benefits that have the form imatinib tablet and imatinib capsule are equivalent for the purposes of substitution.</w:t>
      </w:r>
    </w:p>
    <w:p w14:paraId="7E571486" w14:textId="77777777" w:rsidR="003F58B2" w:rsidRDefault="003F58B2" w:rsidP="0099612A">
      <w:pPr>
        <w:pStyle w:val="Notes"/>
        <w:spacing w:after="0"/>
        <w:ind w:left="720"/>
      </w:pPr>
    </w:p>
    <w:p w14:paraId="7C0EAB9D" w14:textId="7B227C37" w:rsidR="00266E7E" w:rsidRDefault="00D56194" w:rsidP="00D56194">
      <w:pPr>
        <w:pStyle w:val="Tabletitle"/>
      </w:pPr>
      <w:r w:rsidRPr="001420B3" w:rsidDel="00EE2BBB">
        <w:t xml:space="preserve">Table </w:t>
      </w:r>
      <w:r w:rsidR="008911F4">
        <w:t>4</w:t>
      </w:r>
      <w:r w:rsidRPr="001420B3" w:rsidDel="00EE2BBB">
        <w:t xml:space="preserve">: </w:t>
      </w:r>
      <w:r w:rsidDel="00EE2BBB">
        <w:t xml:space="preserve">PBS listing of </w:t>
      </w:r>
      <w:r>
        <w:t xml:space="preserve">sunitinib for metastatic GIST </w:t>
      </w:r>
      <w:r w:rsidDel="00EE2BBB">
        <w:t xml:space="preserve"> </w:t>
      </w:r>
    </w:p>
    <w:tbl>
      <w:tblPr>
        <w:tblStyle w:val="TableGrid"/>
        <w:tblW w:w="5000" w:type="pct"/>
        <w:tblLook w:val="04A0" w:firstRow="1" w:lastRow="0" w:firstColumn="1" w:lastColumn="0" w:noHBand="0" w:noVBand="1"/>
      </w:tblPr>
      <w:tblGrid>
        <w:gridCol w:w="1493"/>
        <w:gridCol w:w="3742"/>
        <w:gridCol w:w="1092"/>
        <w:gridCol w:w="1092"/>
        <w:gridCol w:w="1528"/>
      </w:tblGrid>
      <w:tr w:rsidR="00D42B19" w:rsidRPr="005B57CA" w:rsidDel="00EE2BBB" w14:paraId="09F6E2D8" w14:textId="77777777" w:rsidTr="00F87B9F">
        <w:trPr>
          <w:trHeight w:val="694"/>
          <w:tblHeader/>
        </w:trPr>
        <w:tc>
          <w:tcPr>
            <w:tcW w:w="834" w:type="pct"/>
            <w:shd w:val="clear" w:color="auto" w:fill="BFBFBF" w:themeFill="background1" w:themeFillShade="BF"/>
          </w:tcPr>
          <w:p w14:paraId="1C2B397A" w14:textId="77777777" w:rsidR="00D42B19" w:rsidRDefault="00D42B19" w:rsidP="00F87B9F">
            <w:pPr>
              <w:autoSpaceDE w:val="0"/>
              <w:autoSpaceDN w:val="0"/>
              <w:adjustRightInd w:val="0"/>
              <w:spacing w:before="60" w:after="60"/>
              <w:rPr>
                <w:rFonts w:cstheme="minorHAnsi"/>
                <w:b/>
                <w:sz w:val="20"/>
                <w:szCs w:val="20"/>
              </w:rPr>
            </w:pPr>
            <w:r w:rsidRPr="005B57CA" w:rsidDel="00EE2BBB">
              <w:rPr>
                <w:rFonts w:cstheme="minorHAnsi"/>
                <w:b/>
                <w:sz w:val="20"/>
                <w:szCs w:val="20"/>
              </w:rPr>
              <w:t>Item</w:t>
            </w:r>
          </w:p>
          <w:p w14:paraId="56CA12C6" w14:textId="24A0ADA7" w:rsidR="00C93EB7" w:rsidRPr="005B57CA" w:rsidDel="00EE2BBB" w:rsidRDefault="00C93EB7" w:rsidP="00F87B9F">
            <w:pPr>
              <w:autoSpaceDE w:val="0"/>
              <w:autoSpaceDN w:val="0"/>
              <w:adjustRightInd w:val="0"/>
              <w:spacing w:before="60" w:after="60"/>
              <w:rPr>
                <w:rFonts w:cstheme="minorHAnsi"/>
                <w:b/>
                <w:sz w:val="20"/>
                <w:szCs w:val="20"/>
              </w:rPr>
            </w:pPr>
            <w:r>
              <w:rPr>
                <w:rFonts w:cstheme="minorHAnsi"/>
                <w:b/>
                <w:sz w:val="20"/>
                <w:szCs w:val="20"/>
              </w:rPr>
              <w:t>code</w:t>
            </w:r>
          </w:p>
        </w:tc>
        <w:tc>
          <w:tcPr>
            <w:tcW w:w="2091" w:type="pct"/>
            <w:shd w:val="clear" w:color="auto" w:fill="BFBFBF" w:themeFill="background1" w:themeFillShade="BF"/>
          </w:tcPr>
          <w:p w14:paraId="213F176A" w14:textId="77777777" w:rsidR="00D42B19" w:rsidRPr="005B57CA" w:rsidDel="00EE2BBB" w:rsidRDefault="00D42B19" w:rsidP="00F87B9F">
            <w:pPr>
              <w:autoSpaceDE w:val="0"/>
              <w:autoSpaceDN w:val="0"/>
              <w:adjustRightInd w:val="0"/>
              <w:spacing w:before="60" w:after="60"/>
              <w:rPr>
                <w:rFonts w:cstheme="minorHAnsi"/>
                <w:b/>
                <w:sz w:val="20"/>
                <w:szCs w:val="20"/>
              </w:rPr>
            </w:pPr>
            <w:r w:rsidRPr="005B57CA" w:rsidDel="00EE2BBB">
              <w:rPr>
                <w:rFonts w:cstheme="minorHAnsi"/>
                <w:b/>
                <w:sz w:val="20"/>
                <w:szCs w:val="20"/>
              </w:rPr>
              <w:t>Name, form &amp; strength, pack size</w:t>
            </w:r>
          </w:p>
        </w:tc>
        <w:tc>
          <w:tcPr>
            <w:tcW w:w="610" w:type="pct"/>
            <w:shd w:val="clear" w:color="auto" w:fill="BFBFBF" w:themeFill="background1" w:themeFillShade="BF"/>
          </w:tcPr>
          <w:p w14:paraId="0C71FD0D" w14:textId="77777777" w:rsidR="00D42B19" w:rsidRPr="005B57CA" w:rsidDel="00EE2BBB" w:rsidRDefault="00D42B19" w:rsidP="00F87B9F">
            <w:pPr>
              <w:autoSpaceDE w:val="0"/>
              <w:autoSpaceDN w:val="0"/>
              <w:adjustRightInd w:val="0"/>
              <w:spacing w:before="60" w:after="60"/>
              <w:rPr>
                <w:rFonts w:cstheme="minorHAnsi"/>
                <w:b/>
                <w:sz w:val="20"/>
                <w:szCs w:val="20"/>
              </w:rPr>
            </w:pPr>
            <w:r w:rsidRPr="005B57CA" w:rsidDel="00EE2BBB">
              <w:rPr>
                <w:rFonts w:cstheme="minorHAnsi"/>
                <w:b/>
                <w:sz w:val="20"/>
                <w:szCs w:val="20"/>
              </w:rPr>
              <w:t>Max. q</w:t>
            </w:r>
            <w:r>
              <w:rPr>
                <w:rFonts w:cstheme="minorHAnsi"/>
                <w:b/>
                <w:sz w:val="20"/>
                <w:szCs w:val="20"/>
              </w:rPr>
              <w:t>ty</w:t>
            </w:r>
            <w:r w:rsidRPr="005B57CA" w:rsidDel="00EE2BBB">
              <w:rPr>
                <w:rFonts w:cstheme="minorHAnsi"/>
                <w:b/>
                <w:sz w:val="20"/>
                <w:szCs w:val="20"/>
              </w:rPr>
              <w:t xml:space="preserve">. </w:t>
            </w:r>
          </w:p>
        </w:tc>
        <w:tc>
          <w:tcPr>
            <w:tcW w:w="610" w:type="pct"/>
            <w:shd w:val="clear" w:color="auto" w:fill="BFBFBF" w:themeFill="background1" w:themeFillShade="BF"/>
          </w:tcPr>
          <w:p w14:paraId="0C059067" w14:textId="77777777" w:rsidR="00D42B19" w:rsidRPr="005B57CA" w:rsidDel="00EE2BBB" w:rsidRDefault="00D42B19" w:rsidP="00F87B9F">
            <w:pPr>
              <w:autoSpaceDE w:val="0"/>
              <w:autoSpaceDN w:val="0"/>
              <w:adjustRightInd w:val="0"/>
              <w:spacing w:before="60" w:after="60"/>
              <w:rPr>
                <w:rFonts w:cstheme="minorHAnsi"/>
                <w:b/>
                <w:sz w:val="20"/>
                <w:szCs w:val="20"/>
              </w:rPr>
            </w:pPr>
            <w:r w:rsidRPr="005B57CA" w:rsidDel="00EE2BBB">
              <w:rPr>
                <w:rFonts w:cstheme="minorHAnsi"/>
                <w:b/>
                <w:sz w:val="20"/>
                <w:szCs w:val="20"/>
              </w:rPr>
              <w:t xml:space="preserve">Rpts </w:t>
            </w:r>
          </w:p>
        </w:tc>
        <w:tc>
          <w:tcPr>
            <w:tcW w:w="854" w:type="pct"/>
            <w:shd w:val="clear" w:color="auto" w:fill="BFBFBF" w:themeFill="background1" w:themeFillShade="BF"/>
          </w:tcPr>
          <w:p w14:paraId="4C816721" w14:textId="77777777" w:rsidR="00D42B19" w:rsidRPr="005B57CA" w:rsidDel="00EE2BBB" w:rsidRDefault="00D42B19" w:rsidP="00F87B9F">
            <w:pPr>
              <w:autoSpaceDE w:val="0"/>
              <w:autoSpaceDN w:val="0"/>
              <w:adjustRightInd w:val="0"/>
              <w:spacing w:before="60" w:after="60"/>
              <w:rPr>
                <w:rFonts w:cstheme="minorHAnsi"/>
                <w:b/>
                <w:sz w:val="20"/>
                <w:szCs w:val="20"/>
              </w:rPr>
            </w:pPr>
            <w:r w:rsidRPr="005B57CA" w:rsidDel="00EE2BBB">
              <w:rPr>
                <w:rFonts w:cstheme="minorHAnsi"/>
                <w:b/>
                <w:sz w:val="20"/>
                <w:szCs w:val="20"/>
              </w:rPr>
              <w:t>DPMQ</w:t>
            </w:r>
          </w:p>
        </w:tc>
      </w:tr>
      <w:tr w:rsidR="00D42B19" w:rsidRPr="006B592F" w14:paraId="221847AF" w14:textId="77777777" w:rsidTr="00F87B9F">
        <w:trPr>
          <w:trHeight w:val="552"/>
        </w:trPr>
        <w:tc>
          <w:tcPr>
            <w:tcW w:w="834" w:type="pct"/>
          </w:tcPr>
          <w:p w14:paraId="38BFBBBF" w14:textId="00830365" w:rsidR="00D42B19" w:rsidRPr="0002024F" w:rsidRDefault="00D42B19" w:rsidP="00D56194">
            <w:pPr>
              <w:autoSpaceDE w:val="0"/>
              <w:autoSpaceDN w:val="0"/>
              <w:adjustRightInd w:val="0"/>
              <w:spacing w:before="60" w:after="60"/>
              <w:rPr>
                <w:rFonts w:cstheme="minorHAnsi"/>
                <w:color w:val="000000"/>
                <w:sz w:val="20"/>
                <w:szCs w:val="20"/>
              </w:rPr>
            </w:pPr>
            <w:r w:rsidRPr="0002024F">
              <w:rPr>
                <w:rFonts w:cstheme="minorHAnsi"/>
                <w:color w:val="000000"/>
                <w:sz w:val="20"/>
                <w:szCs w:val="20"/>
              </w:rPr>
              <w:t>9488J</w:t>
            </w:r>
          </w:p>
          <w:p w14:paraId="418A637C" w14:textId="1F905E6B" w:rsidR="00D42B19" w:rsidRPr="0002024F" w:rsidRDefault="00D42B19" w:rsidP="00D56194">
            <w:pPr>
              <w:autoSpaceDE w:val="0"/>
              <w:autoSpaceDN w:val="0"/>
              <w:adjustRightInd w:val="0"/>
              <w:spacing w:before="60" w:after="60"/>
              <w:rPr>
                <w:rFonts w:cstheme="minorHAnsi"/>
                <w:color w:val="000000"/>
                <w:sz w:val="20"/>
                <w:szCs w:val="20"/>
              </w:rPr>
            </w:pPr>
            <w:r w:rsidRPr="0002024F">
              <w:rPr>
                <w:rFonts w:cstheme="minorHAnsi"/>
                <w:color w:val="000000"/>
                <w:sz w:val="20"/>
                <w:szCs w:val="20"/>
              </w:rPr>
              <w:t>11266</w:t>
            </w:r>
            <w:r w:rsidR="00D22ABA">
              <w:rPr>
                <w:rFonts w:cstheme="minorHAnsi"/>
                <w:color w:val="000000"/>
                <w:sz w:val="20"/>
                <w:szCs w:val="20"/>
              </w:rPr>
              <w:t>Y</w:t>
            </w:r>
          </w:p>
        </w:tc>
        <w:tc>
          <w:tcPr>
            <w:tcW w:w="2091" w:type="pct"/>
          </w:tcPr>
          <w:p w14:paraId="75176B21" w14:textId="419B6BE8" w:rsidR="00D42B19" w:rsidRPr="006B592F" w:rsidRDefault="00D42B19" w:rsidP="00D56194">
            <w:pPr>
              <w:autoSpaceDE w:val="0"/>
              <w:autoSpaceDN w:val="0"/>
              <w:adjustRightInd w:val="0"/>
              <w:spacing w:before="60" w:after="60"/>
              <w:rPr>
                <w:rFonts w:cstheme="minorHAnsi"/>
                <w:sz w:val="20"/>
                <w:szCs w:val="20"/>
                <w:shd w:val="clear" w:color="auto" w:fill="FFFFFF"/>
              </w:rPr>
            </w:pPr>
            <w:r w:rsidRPr="009361B3">
              <w:rPr>
                <w:rFonts w:cstheme="minorHAnsi"/>
                <w:color w:val="222222"/>
                <w:sz w:val="20"/>
                <w:szCs w:val="20"/>
                <w:shd w:val="clear" w:color="auto" w:fill="FFFFFF"/>
              </w:rPr>
              <w:t>sunitinib 12.5 mg capsule, 28</w:t>
            </w:r>
          </w:p>
        </w:tc>
        <w:tc>
          <w:tcPr>
            <w:tcW w:w="610" w:type="pct"/>
          </w:tcPr>
          <w:p w14:paraId="1E75BE16" w14:textId="02877B67" w:rsidR="00D42B19" w:rsidRPr="006B592F"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28</w:t>
            </w:r>
          </w:p>
        </w:tc>
        <w:tc>
          <w:tcPr>
            <w:tcW w:w="610" w:type="pct"/>
          </w:tcPr>
          <w:p w14:paraId="260A1774" w14:textId="2295C2E9" w:rsidR="00D42B19" w:rsidRPr="006B592F"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1</w:t>
            </w:r>
          </w:p>
        </w:tc>
        <w:tc>
          <w:tcPr>
            <w:tcW w:w="854" w:type="pct"/>
          </w:tcPr>
          <w:p w14:paraId="6C327F3A" w14:textId="666329BB" w:rsidR="00D42B19" w:rsidRPr="006B592F"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$665.21</w:t>
            </w:r>
          </w:p>
        </w:tc>
      </w:tr>
      <w:tr w:rsidR="00D42B19" w:rsidRPr="006B592F" w14:paraId="0817F161" w14:textId="77777777" w:rsidTr="00F87B9F">
        <w:trPr>
          <w:trHeight w:val="552"/>
        </w:trPr>
        <w:tc>
          <w:tcPr>
            <w:tcW w:w="834" w:type="pct"/>
          </w:tcPr>
          <w:p w14:paraId="1993D422" w14:textId="3D25E8F9" w:rsidR="00D42B19" w:rsidRPr="0002024F" w:rsidRDefault="00D42B19" w:rsidP="00D56194">
            <w:pPr>
              <w:autoSpaceDE w:val="0"/>
              <w:autoSpaceDN w:val="0"/>
              <w:adjustRightInd w:val="0"/>
              <w:spacing w:before="60" w:after="60"/>
              <w:rPr>
                <w:rFonts w:cstheme="minorHAnsi"/>
                <w:color w:val="000000"/>
                <w:sz w:val="20"/>
                <w:szCs w:val="20"/>
              </w:rPr>
            </w:pPr>
            <w:r w:rsidRPr="0002024F">
              <w:rPr>
                <w:rFonts w:cstheme="minorHAnsi"/>
                <w:color w:val="000000"/>
                <w:sz w:val="20"/>
                <w:szCs w:val="20"/>
              </w:rPr>
              <w:t>9489K</w:t>
            </w:r>
          </w:p>
          <w:p w14:paraId="64817545" w14:textId="573DD12D" w:rsidR="00D42B19" w:rsidRPr="0002024F" w:rsidRDefault="00D42B19" w:rsidP="00D56194">
            <w:pPr>
              <w:autoSpaceDE w:val="0"/>
              <w:autoSpaceDN w:val="0"/>
              <w:adjustRightInd w:val="0"/>
              <w:spacing w:before="60" w:after="60"/>
              <w:rPr>
                <w:rFonts w:cstheme="minorHAnsi"/>
                <w:color w:val="000000"/>
                <w:sz w:val="20"/>
                <w:szCs w:val="20"/>
              </w:rPr>
            </w:pPr>
            <w:r w:rsidRPr="0002024F">
              <w:rPr>
                <w:rFonts w:cstheme="minorHAnsi"/>
                <w:color w:val="000000"/>
                <w:sz w:val="20"/>
                <w:szCs w:val="20"/>
              </w:rPr>
              <w:t>11253G</w:t>
            </w:r>
          </w:p>
        </w:tc>
        <w:tc>
          <w:tcPr>
            <w:tcW w:w="2091" w:type="pct"/>
          </w:tcPr>
          <w:p w14:paraId="557CB7E6" w14:textId="798E875B" w:rsidR="00D42B19" w:rsidRPr="009361B3" w:rsidRDefault="00D42B19" w:rsidP="00D56194">
            <w:pPr>
              <w:autoSpaceDE w:val="0"/>
              <w:autoSpaceDN w:val="0"/>
              <w:adjustRightInd w:val="0"/>
              <w:spacing w:before="60" w:after="60"/>
              <w:rPr>
                <w:rFonts w:cstheme="minorHAnsi"/>
                <w:color w:val="222222"/>
                <w:sz w:val="20"/>
                <w:szCs w:val="20"/>
                <w:shd w:val="clear" w:color="auto" w:fill="FFFFFF"/>
              </w:rPr>
            </w:pPr>
            <w:r w:rsidRPr="009361B3">
              <w:rPr>
                <w:rFonts w:cstheme="minorHAnsi"/>
                <w:color w:val="222222"/>
                <w:sz w:val="20"/>
                <w:szCs w:val="20"/>
                <w:shd w:val="clear" w:color="auto" w:fill="FFFFFF"/>
              </w:rPr>
              <w:t>sunitinib 25 mg capsule, 28</w:t>
            </w:r>
          </w:p>
        </w:tc>
        <w:tc>
          <w:tcPr>
            <w:tcW w:w="610" w:type="pct"/>
          </w:tcPr>
          <w:p w14:paraId="2CA7D89C" w14:textId="6BEBB05B" w:rsidR="00D42B19" w:rsidRPr="009361B3"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28</w:t>
            </w:r>
          </w:p>
        </w:tc>
        <w:tc>
          <w:tcPr>
            <w:tcW w:w="610" w:type="pct"/>
          </w:tcPr>
          <w:p w14:paraId="3E2D9B49" w14:textId="4BD98E77" w:rsidR="00D42B19" w:rsidRPr="009361B3"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1</w:t>
            </w:r>
          </w:p>
        </w:tc>
        <w:tc>
          <w:tcPr>
            <w:tcW w:w="854" w:type="pct"/>
          </w:tcPr>
          <w:p w14:paraId="76AB055A" w14:textId="6D4C03E1" w:rsidR="00D42B19" w:rsidRPr="009361B3"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$1</w:t>
            </w:r>
            <w:r w:rsidR="00D22ABA">
              <w:rPr>
                <w:rFonts w:cstheme="minorHAnsi"/>
                <w:color w:val="000000"/>
                <w:sz w:val="20"/>
                <w:szCs w:val="20"/>
              </w:rPr>
              <w:t>,</w:t>
            </w:r>
            <w:r w:rsidRPr="009361B3">
              <w:rPr>
                <w:rFonts w:cstheme="minorHAnsi"/>
                <w:color w:val="000000"/>
                <w:sz w:val="20"/>
                <w:szCs w:val="20"/>
              </w:rPr>
              <w:t>294.65</w:t>
            </w:r>
          </w:p>
        </w:tc>
      </w:tr>
      <w:tr w:rsidR="00D42B19" w:rsidRPr="006B592F" w14:paraId="2D1D3D88" w14:textId="77777777" w:rsidTr="00F87B9F">
        <w:trPr>
          <w:trHeight w:val="552"/>
        </w:trPr>
        <w:tc>
          <w:tcPr>
            <w:tcW w:w="834" w:type="pct"/>
          </w:tcPr>
          <w:p w14:paraId="269F4C98" w14:textId="72676389" w:rsidR="00D42B19" w:rsidRPr="0002024F" w:rsidRDefault="00D42B19" w:rsidP="00D56194">
            <w:pPr>
              <w:autoSpaceDE w:val="0"/>
              <w:autoSpaceDN w:val="0"/>
              <w:adjustRightInd w:val="0"/>
              <w:spacing w:before="60" w:after="60"/>
              <w:rPr>
                <w:rFonts w:cstheme="minorHAnsi"/>
                <w:color w:val="000000"/>
                <w:sz w:val="20"/>
                <w:szCs w:val="20"/>
              </w:rPr>
            </w:pPr>
            <w:r w:rsidRPr="0002024F">
              <w:rPr>
                <w:rFonts w:cstheme="minorHAnsi"/>
                <w:color w:val="000000"/>
                <w:sz w:val="20"/>
                <w:szCs w:val="20"/>
              </w:rPr>
              <w:t>10503T</w:t>
            </w:r>
          </w:p>
          <w:p w14:paraId="0FEEBC93" w14:textId="0A3711CD" w:rsidR="00D42B19" w:rsidRPr="0002024F" w:rsidRDefault="00D42B19" w:rsidP="00D56194">
            <w:pPr>
              <w:autoSpaceDE w:val="0"/>
              <w:autoSpaceDN w:val="0"/>
              <w:adjustRightInd w:val="0"/>
              <w:spacing w:before="60" w:after="60"/>
              <w:rPr>
                <w:rFonts w:cstheme="minorHAnsi"/>
                <w:color w:val="000000"/>
                <w:sz w:val="20"/>
                <w:szCs w:val="20"/>
              </w:rPr>
            </w:pPr>
            <w:r w:rsidRPr="0002024F">
              <w:rPr>
                <w:rFonts w:cstheme="minorHAnsi"/>
                <w:color w:val="000000"/>
                <w:sz w:val="20"/>
                <w:szCs w:val="20"/>
              </w:rPr>
              <w:t>11256K</w:t>
            </w:r>
          </w:p>
        </w:tc>
        <w:tc>
          <w:tcPr>
            <w:tcW w:w="2091" w:type="pct"/>
          </w:tcPr>
          <w:p w14:paraId="54C50B13" w14:textId="5A2F8D85" w:rsidR="00D42B19" w:rsidRPr="009361B3" w:rsidRDefault="00D42B19" w:rsidP="00D56194">
            <w:pPr>
              <w:autoSpaceDE w:val="0"/>
              <w:autoSpaceDN w:val="0"/>
              <w:adjustRightInd w:val="0"/>
              <w:spacing w:before="60" w:after="60"/>
              <w:rPr>
                <w:rFonts w:cstheme="minorHAnsi"/>
                <w:color w:val="222222"/>
                <w:sz w:val="20"/>
                <w:szCs w:val="20"/>
                <w:shd w:val="clear" w:color="auto" w:fill="FFFFFF"/>
              </w:rPr>
            </w:pPr>
            <w:r w:rsidRPr="009361B3">
              <w:rPr>
                <w:rFonts w:cstheme="minorHAnsi"/>
                <w:color w:val="222222"/>
                <w:sz w:val="20"/>
                <w:szCs w:val="20"/>
                <w:shd w:val="clear" w:color="auto" w:fill="FFFFFF"/>
              </w:rPr>
              <w:t>sunitinib 37.5 mg capsule, 28</w:t>
            </w:r>
          </w:p>
        </w:tc>
        <w:tc>
          <w:tcPr>
            <w:tcW w:w="610" w:type="pct"/>
          </w:tcPr>
          <w:p w14:paraId="2646B02B" w14:textId="6D550AD2" w:rsidR="00D42B19" w:rsidRPr="009361B3"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28</w:t>
            </w:r>
          </w:p>
        </w:tc>
        <w:tc>
          <w:tcPr>
            <w:tcW w:w="610" w:type="pct"/>
          </w:tcPr>
          <w:p w14:paraId="00E13A6A" w14:textId="728CFC84" w:rsidR="00D42B19" w:rsidRPr="009361B3"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1</w:t>
            </w:r>
          </w:p>
        </w:tc>
        <w:tc>
          <w:tcPr>
            <w:tcW w:w="854" w:type="pct"/>
          </w:tcPr>
          <w:p w14:paraId="5B8AB159" w14:textId="183DB58B" w:rsidR="00D42B19" w:rsidRPr="009361B3" w:rsidRDefault="00D42B19" w:rsidP="00F87B9F">
            <w:pPr>
              <w:autoSpaceDE w:val="0"/>
              <w:autoSpaceDN w:val="0"/>
              <w:adjustRightInd w:val="0"/>
              <w:spacing w:before="60" w:after="60"/>
              <w:rPr>
                <w:rFonts w:cstheme="minorHAnsi"/>
                <w:color w:val="000000"/>
                <w:sz w:val="20"/>
                <w:szCs w:val="20"/>
              </w:rPr>
            </w:pPr>
            <w:r w:rsidRPr="009361B3">
              <w:rPr>
                <w:rFonts w:cstheme="minorHAnsi"/>
                <w:color w:val="000000"/>
                <w:sz w:val="20"/>
                <w:szCs w:val="20"/>
              </w:rPr>
              <w:t>$1</w:t>
            </w:r>
            <w:r w:rsidR="00D22ABA">
              <w:rPr>
                <w:rFonts w:cstheme="minorHAnsi"/>
                <w:color w:val="000000"/>
                <w:sz w:val="20"/>
                <w:szCs w:val="20"/>
              </w:rPr>
              <w:t>,</w:t>
            </w:r>
            <w:r w:rsidRPr="009361B3">
              <w:rPr>
                <w:rFonts w:cstheme="minorHAnsi"/>
                <w:color w:val="000000"/>
                <w:sz w:val="20"/>
                <w:szCs w:val="20"/>
              </w:rPr>
              <w:t>907.75</w:t>
            </w:r>
          </w:p>
        </w:tc>
      </w:tr>
      <w:tr w:rsidR="00D42B19" w:rsidRPr="006B592F" w14:paraId="3580D965" w14:textId="77777777" w:rsidTr="00F87B9F">
        <w:trPr>
          <w:trHeight w:val="552"/>
        </w:trPr>
        <w:tc>
          <w:tcPr>
            <w:tcW w:w="834" w:type="pct"/>
          </w:tcPr>
          <w:p w14:paraId="17EEA697" w14:textId="0362643A" w:rsidR="00D42B19" w:rsidRPr="0002024F" w:rsidRDefault="00D42B19" w:rsidP="00F43DA3">
            <w:pPr>
              <w:autoSpaceDE w:val="0"/>
              <w:autoSpaceDN w:val="0"/>
              <w:adjustRightInd w:val="0"/>
              <w:spacing w:before="60" w:after="60"/>
              <w:rPr>
                <w:rFonts w:cstheme="minorHAnsi"/>
                <w:color w:val="000000"/>
                <w:sz w:val="20"/>
                <w:szCs w:val="20"/>
              </w:rPr>
            </w:pPr>
            <w:r w:rsidRPr="0002024F">
              <w:rPr>
                <w:rFonts w:cstheme="minorHAnsi"/>
                <w:color w:val="000000"/>
                <w:sz w:val="20"/>
                <w:szCs w:val="20"/>
              </w:rPr>
              <w:t>9490L</w:t>
            </w:r>
          </w:p>
          <w:p w14:paraId="5962DB8F" w14:textId="05A13F3E" w:rsidR="00D42B19" w:rsidRPr="0002024F" w:rsidRDefault="00D42B19" w:rsidP="00D56194">
            <w:pPr>
              <w:autoSpaceDE w:val="0"/>
              <w:autoSpaceDN w:val="0"/>
              <w:adjustRightInd w:val="0"/>
              <w:spacing w:before="60" w:after="60"/>
              <w:rPr>
                <w:rFonts w:cstheme="minorHAnsi"/>
                <w:color w:val="000000"/>
                <w:sz w:val="20"/>
                <w:szCs w:val="20"/>
              </w:rPr>
            </w:pPr>
            <w:r w:rsidRPr="0002024F">
              <w:rPr>
                <w:rFonts w:cstheme="minorHAnsi"/>
                <w:color w:val="000000"/>
                <w:sz w:val="20"/>
                <w:szCs w:val="20"/>
              </w:rPr>
              <w:t>11250D</w:t>
            </w:r>
          </w:p>
        </w:tc>
        <w:tc>
          <w:tcPr>
            <w:tcW w:w="2091" w:type="pct"/>
          </w:tcPr>
          <w:p w14:paraId="408DF283" w14:textId="5D5E5398" w:rsidR="00D42B19" w:rsidRPr="009361B3" w:rsidRDefault="00D42B19" w:rsidP="00D56194">
            <w:pPr>
              <w:autoSpaceDE w:val="0"/>
              <w:autoSpaceDN w:val="0"/>
              <w:adjustRightInd w:val="0"/>
              <w:spacing w:before="60" w:after="60"/>
              <w:rPr>
                <w:rFonts w:cstheme="minorHAnsi"/>
                <w:color w:val="222222"/>
                <w:sz w:val="20"/>
                <w:szCs w:val="20"/>
                <w:shd w:val="clear" w:color="auto" w:fill="FFFFFF"/>
              </w:rPr>
            </w:pPr>
            <w:r>
              <w:rPr>
                <w:rFonts w:cstheme="minorHAnsi"/>
                <w:color w:val="222222"/>
                <w:sz w:val="20"/>
                <w:szCs w:val="20"/>
                <w:shd w:val="clear" w:color="auto" w:fill="FFFFFF"/>
              </w:rPr>
              <w:t xml:space="preserve">sunitinib 50 mg capsule, 28 </w:t>
            </w:r>
          </w:p>
        </w:tc>
        <w:tc>
          <w:tcPr>
            <w:tcW w:w="610" w:type="pct"/>
          </w:tcPr>
          <w:p w14:paraId="209D6535" w14:textId="0AC3AD37" w:rsidR="00D42B19" w:rsidRPr="009361B3" w:rsidRDefault="00D42B19" w:rsidP="00F87B9F">
            <w:pPr>
              <w:autoSpaceDE w:val="0"/>
              <w:autoSpaceDN w:val="0"/>
              <w:adjustRightInd w:val="0"/>
              <w:spacing w:before="60" w:after="60"/>
              <w:rPr>
                <w:rFonts w:cstheme="minorHAnsi"/>
                <w:color w:val="000000"/>
                <w:sz w:val="20"/>
                <w:szCs w:val="20"/>
              </w:rPr>
            </w:pPr>
            <w:r>
              <w:rPr>
                <w:rFonts w:cstheme="minorHAnsi"/>
                <w:color w:val="000000"/>
                <w:sz w:val="20"/>
                <w:szCs w:val="20"/>
              </w:rPr>
              <w:t>28</w:t>
            </w:r>
          </w:p>
        </w:tc>
        <w:tc>
          <w:tcPr>
            <w:tcW w:w="610" w:type="pct"/>
          </w:tcPr>
          <w:p w14:paraId="51405F05" w14:textId="0FD8C5F7" w:rsidR="00D42B19" w:rsidRPr="009361B3" w:rsidRDefault="00D42B19" w:rsidP="00F87B9F">
            <w:pPr>
              <w:autoSpaceDE w:val="0"/>
              <w:autoSpaceDN w:val="0"/>
              <w:adjustRightInd w:val="0"/>
              <w:spacing w:before="60" w:after="60"/>
              <w:rPr>
                <w:rFonts w:cstheme="minorHAnsi"/>
                <w:color w:val="000000"/>
                <w:sz w:val="20"/>
                <w:szCs w:val="20"/>
              </w:rPr>
            </w:pPr>
            <w:r>
              <w:rPr>
                <w:rFonts w:cstheme="minorHAnsi"/>
                <w:color w:val="000000"/>
                <w:sz w:val="20"/>
                <w:szCs w:val="20"/>
              </w:rPr>
              <w:t>1</w:t>
            </w:r>
          </w:p>
        </w:tc>
        <w:tc>
          <w:tcPr>
            <w:tcW w:w="854" w:type="pct"/>
          </w:tcPr>
          <w:p w14:paraId="2D8A2892" w14:textId="126A5111" w:rsidR="00D42B19" w:rsidRPr="009361B3" w:rsidRDefault="00D42B19" w:rsidP="00F87B9F">
            <w:pPr>
              <w:autoSpaceDE w:val="0"/>
              <w:autoSpaceDN w:val="0"/>
              <w:adjustRightInd w:val="0"/>
              <w:spacing w:before="60" w:after="60"/>
              <w:rPr>
                <w:rFonts w:cstheme="minorHAnsi"/>
                <w:color w:val="000000"/>
                <w:sz w:val="20"/>
                <w:szCs w:val="20"/>
              </w:rPr>
            </w:pPr>
            <w:r>
              <w:rPr>
                <w:rFonts w:cstheme="minorHAnsi"/>
                <w:color w:val="000000"/>
                <w:sz w:val="20"/>
                <w:szCs w:val="20"/>
              </w:rPr>
              <w:t>$2</w:t>
            </w:r>
            <w:r w:rsidR="00D22ABA">
              <w:rPr>
                <w:rFonts w:cstheme="minorHAnsi"/>
                <w:color w:val="000000"/>
                <w:sz w:val="20"/>
                <w:szCs w:val="20"/>
              </w:rPr>
              <w:t>,</w:t>
            </w:r>
            <w:r>
              <w:rPr>
                <w:rFonts w:cstheme="minorHAnsi"/>
                <w:color w:val="000000"/>
                <w:sz w:val="20"/>
                <w:szCs w:val="20"/>
              </w:rPr>
              <w:t>533.10</w:t>
            </w:r>
          </w:p>
        </w:tc>
      </w:tr>
    </w:tbl>
    <w:p w14:paraId="4B304E7C" w14:textId="77777777" w:rsidR="00605AB0" w:rsidRDefault="00605AB0" w:rsidP="00605AB0">
      <w:pPr>
        <w:pStyle w:val="Notes"/>
      </w:pPr>
      <w:r w:rsidRPr="00A35800" w:rsidDel="00EE2BBB">
        <w:t xml:space="preserve">Source: </w:t>
      </w:r>
      <w:r w:rsidDel="00EE2BBB">
        <w:t xml:space="preserve">the </w:t>
      </w:r>
      <w:hyperlink r:id="rId12" w:history="1">
        <w:r w:rsidRPr="001624D7" w:rsidDel="00EE2BBB">
          <w:rPr>
            <w:rStyle w:val="Hyperlink"/>
          </w:rPr>
          <w:t>PBS website</w:t>
        </w:r>
      </w:hyperlink>
      <w:r w:rsidDel="00EE2BBB">
        <w:t xml:space="preserve">. </w:t>
      </w:r>
    </w:p>
    <w:p w14:paraId="7FC5744D" w14:textId="410AEC60" w:rsidR="00605AB0" w:rsidRDefault="00605AB0" w:rsidP="00605AB0">
      <w:pPr>
        <w:pStyle w:val="Notes"/>
      </w:pPr>
      <w:r>
        <w:t xml:space="preserve">Notes: </w:t>
      </w:r>
    </w:p>
    <w:p w14:paraId="07F0D301" w14:textId="13A79330" w:rsidR="00605AB0" w:rsidRDefault="00605AB0" w:rsidP="0099612A">
      <w:pPr>
        <w:pStyle w:val="Notes"/>
        <w:numPr>
          <w:ilvl w:val="0"/>
          <w:numId w:val="41"/>
        </w:numPr>
        <w:spacing w:after="0"/>
      </w:pPr>
      <w:r w:rsidRPr="00605AB0">
        <w:t>Applications for authorisation under this restriction should be made in real time using the Online PBS Authorities system</w:t>
      </w:r>
      <w:r w:rsidR="0099612A">
        <w:t xml:space="preserve">. </w:t>
      </w:r>
      <w:r w:rsidRPr="00605AB0">
        <w:t xml:space="preserve">Alternatively, applications for authority to prescribe can be submitted online using the form upload facility in Health Professional Online Services (HPOS) </w:t>
      </w:r>
      <w:r w:rsidR="0099612A">
        <w:t>o</w:t>
      </w:r>
      <w:r w:rsidRPr="00605AB0">
        <w:t>r mailed to</w:t>
      </w:r>
      <w:r w:rsidR="0099612A">
        <w:t xml:space="preserve"> </w:t>
      </w:r>
      <w:r w:rsidRPr="00605AB0">
        <w:t>Services Australia</w:t>
      </w:r>
      <w:r w:rsidR="0099612A">
        <w:t xml:space="preserve">. </w:t>
      </w:r>
    </w:p>
    <w:p w14:paraId="1463ACAC" w14:textId="77777777" w:rsidR="00605AB0" w:rsidRDefault="00605AB0" w:rsidP="0099612A">
      <w:pPr>
        <w:pStyle w:val="Notes"/>
        <w:numPr>
          <w:ilvl w:val="0"/>
          <w:numId w:val="39"/>
        </w:numPr>
        <w:spacing w:after="0"/>
      </w:pPr>
      <w:r w:rsidRPr="00605AB0">
        <w:t>No increase in the maximum quantity or number of units may be authorised.</w:t>
      </w:r>
    </w:p>
    <w:p w14:paraId="46CAF3C6" w14:textId="134F79C1" w:rsidR="0099612A" w:rsidRDefault="00605AB0" w:rsidP="00C469EF">
      <w:pPr>
        <w:pStyle w:val="Notes"/>
        <w:numPr>
          <w:ilvl w:val="0"/>
          <w:numId w:val="39"/>
        </w:numPr>
        <w:spacing w:after="0"/>
      </w:pPr>
      <w:r w:rsidRPr="00605AB0">
        <w:t>No increase in the maximum number of repeats may be authorised.</w:t>
      </w:r>
    </w:p>
    <w:p w14:paraId="70896302" w14:textId="57E58DA2" w:rsidR="00CE7F9C" w:rsidRDefault="00CE7F9C" w:rsidP="00CE7F9C">
      <w:pPr>
        <w:pStyle w:val="Tabletitle"/>
      </w:pPr>
      <w:r w:rsidRPr="001420B3" w:rsidDel="00EE2BBB">
        <w:t xml:space="preserve">Table </w:t>
      </w:r>
      <w:r w:rsidR="007B38BA">
        <w:t>5</w:t>
      </w:r>
      <w:r w:rsidRPr="001420B3" w:rsidDel="00EE2BBB">
        <w:t xml:space="preserve">: </w:t>
      </w:r>
      <w:r w:rsidDel="00EE2BBB">
        <w:t xml:space="preserve">PBS listing of </w:t>
      </w:r>
      <w:r>
        <w:t xml:space="preserve">ripretinib for metastatic GIST </w:t>
      </w:r>
      <w:r w:rsidDel="00EE2BBB">
        <w:t xml:space="preserve"> </w:t>
      </w:r>
    </w:p>
    <w:tbl>
      <w:tblPr>
        <w:tblStyle w:val="TableGrid"/>
        <w:tblW w:w="5000" w:type="pct"/>
        <w:tblLook w:val="04A0" w:firstRow="1" w:lastRow="0" w:firstColumn="1" w:lastColumn="0" w:noHBand="0" w:noVBand="1"/>
      </w:tblPr>
      <w:tblGrid>
        <w:gridCol w:w="1423"/>
        <w:gridCol w:w="3566"/>
        <w:gridCol w:w="1251"/>
        <w:gridCol w:w="1041"/>
        <w:gridCol w:w="1666"/>
      </w:tblGrid>
      <w:tr w:rsidR="00D42B19" w:rsidRPr="005B57CA" w:rsidDel="00EE2BBB" w14:paraId="1DFB59C1" w14:textId="77777777" w:rsidTr="00D42B19">
        <w:trPr>
          <w:trHeight w:val="694"/>
          <w:tblHeader/>
        </w:trPr>
        <w:tc>
          <w:tcPr>
            <w:tcW w:w="795" w:type="pct"/>
            <w:shd w:val="clear" w:color="auto" w:fill="BFBFBF"/>
          </w:tcPr>
          <w:p w14:paraId="75811AA7" w14:textId="77777777" w:rsidR="00DA79E5" w:rsidRDefault="00D42B19" w:rsidP="00F87B9F">
            <w:pPr>
              <w:autoSpaceDE w:val="0"/>
              <w:autoSpaceDN w:val="0"/>
              <w:adjustRightInd w:val="0"/>
              <w:spacing w:before="60" w:after="60"/>
              <w:jc w:val="both"/>
              <w:rPr>
                <w:rFonts w:cstheme="minorHAnsi"/>
                <w:b/>
                <w:sz w:val="20"/>
                <w:szCs w:val="20"/>
              </w:rPr>
            </w:pPr>
            <w:r w:rsidRPr="005B57CA" w:rsidDel="00EE2BBB">
              <w:rPr>
                <w:rFonts w:cstheme="minorHAnsi"/>
                <w:b/>
                <w:sz w:val="20"/>
                <w:szCs w:val="20"/>
              </w:rPr>
              <w:t>Item</w:t>
            </w:r>
            <w:r w:rsidR="003259B0">
              <w:rPr>
                <w:rFonts w:cstheme="minorHAnsi"/>
                <w:b/>
                <w:sz w:val="20"/>
                <w:szCs w:val="20"/>
              </w:rPr>
              <w:t xml:space="preserve"> </w:t>
            </w:r>
          </w:p>
          <w:p w14:paraId="61A849EC" w14:textId="38E648BC" w:rsidR="00D42B19" w:rsidRPr="005B57CA" w:rsidDel="00EE2BBB" w:rsidRDefault="003259B0" w:rsidP="00F87B9F">
            <w:pPr>
              <w:autoSpaceDE w:val="0"/>
              <w:autoSpaceDN w:val="0"/>
              <w:adjustRightInd w:val="0"/>
              <w:spacing w:before="60" w:after="60"/>
              <w:jc w:val="both"/>
              <w:rPr>
                <w:rFonts w:cstheme="minorHAnsi"/>
                <w:b/>
                <w:sz w:val="20"/>
                <w:szCs w:val="20"/>
              </w:rPr>
            </w:pPr>
            <w:r>
              <w:rPr>
                <w:rFonts w:cstheme="minorHAnsi"/>
                <w:b/>
                <w:sz w:val="20"/>
                <w:szCs w:val="20"/>
              </w:rPr>
              <w:t>code</w:t>
            </w:r>
          </w:p>
        </w:tc>
        <w:tc>
          <w:tcPr>
            <w:tcW w:w="1993" w:type="pct"/>
            <w:shd w:val="clear" w:color="auto" w:fill="BFBFBF"/>
          </w:tcPr>
          <w:p w14:paraId="1028C8DD" w14:textId="77777777" w:rsidR="00D42B19" w:rsidRPr="005B57CA" w:rsidDel="00EE2BBB" w:rsidRDefault="00D42B19" w:rsidP="00F87B9F">
            <w:pPr>
              <w:autoSpaceDE w:val="0"/>
              <w:autoSpaceDN w:val="0"/>
              <w:adjustRightInd w:val="0"/>
              <w:spacing w:before="60" w:after="60"/>
              <w:jc w:val="both"/>
              <w:rPr>
                <w:rFonts w:cstheme="minorHAnsi"/>
                <w:b/>
                <w:sz w:val="20"/>
                <w:szCs w:val="20"/>
              </w:rPr>
            </w:pPr>
            <w:r w:rsidRPr="005B57CA" w:rsidDel="00EE2BBB">
              <w:rPr>
                <w:rFonts w:cstheme="minorHAnsi"/>
                <w:b/>
                <w:sz w:val="20"/>
                <w:szCs w:val="20"/>
              </w:rPr>
              <w:t>Name, form &amp; strength, pack size</w:t>
            </w:r>
          </w:p>
        </w:tc>
        <w:tc>
          <w:tcPr>
            <w:tcW w:w="699" w:type="pct"/>
            <w:shd w:val="clear" w:color="auto" w:fill="BFBFBF"/>
          </w:tcPr>
          <w:p w14:paraId="07AE8FDE" w14:textId="77777777" w:rsidR="00D42B19" w:rsidRPr="005B57CA" w:rsidDel="00EE2BBB" w:rsidRDefault="00D42B19" w:rsidP="00F87B9F">
            <w:pPr>
              <w:autoSpaceDE w:val="0"/>
              <w:autoSpaceDN w:val="0"/>
              <w:adjustRightInd w:val="0"/>
              <w:spacing w:before="60" w:after="60"/>
              <w:jc w:val="both"/>
              <w:rPr>
                <w:rFonts w:cstheme="minorHAnsi"/>
                <w:b/>
                <w:sz w:val="20"/>
                <w:szCs w:val="20"/>
              </w:rPr>
            </w:pPr>
            <w:r w:rsidRPr="005B57CA" w:rsidDel="00EE2BBB">
              <w:rPr>
                <w:rFonts w:cstheme="minorHAnsi"/>
                <w:b/>
                <w:sz w:val="20"/>
                <w:szCs w:val="20"/>
              </w:rPr>
              <w:t xml:space="preserve">Max. </w:t>
            </w:r>
            <w:r>
              <w:rPr>
                <w:rFonts w:cstheme="minorHAnsi"/>
                <w:b/>
                <w:sz w:val="20"/>
                <w:szCs w:val="20"/>
              </w:rPr>
              <w:t>qty</w:t>
            </w:r>
            <w:r w:rsidRPr="005B57CA" w:rsidDel="00EE2BBB">
              <w:rPr>
                <w:rFonts w:cstheme="minorHAnsi"/>
                <w:b/>
                <w:sz w:val="20"/>
                <w:szCs w:val="20"/>
              </w:rPr>
              <w:t>.</w:t>
            </w:r>
          </w:p>
        </w:tc>
        <w:tc>
          <w:tcPr>
            <w:tcW w:w="582" w:type="pct"/>
            <w:shd w:val="clear" w:color="auto" w:fill="BFBFBF"/>
          </w:tcPr>
          <w:p w14:paraId="4ED1F95C" w14:textId="77777777" w:rsidR="00D42B19" w:rsidRPr="005B57CA" w:rsidDel="00EE2BBB" w:rsidRDefault="00D42B19" w:rsidP="00F87B9F">
            <w:pPr>
              <w:autoSpaceDE w:val="0"/>
              <w:autoSpaceDN w:val="0"/>
              <w:adjustRightInd w:val="0"/>
              <w:spacing w:before="60" w:after="60"/>
              <w:jc w:val="both"/>
              <w:rPr>
                <w:rFonts w:cstheme="minorHAnsi"/>
                <w:b/>
                <w:sz w:val="20"/>
                <w:szCs w:val="20"/>
              </w:rPr>
            </w:pPr>
            <w:r w:rsidRPr="005B57CA" w:rsidDel="00EE2BBB">
              <w:rPr>
                <w:rFonts w:cstheme="minorHAnsi"/>
                <w:b/>
                <w:sz w:val="20"/>
                <w:szCs w:val="20"/>
              </w:rPr>
              <w:t>Rpts</w:t>
            </w:r>
          </w:p>
        </w:tc>
        <w:tc>
          <w:tcPr>
            <w:tcW w:w="931" w:type="pct"/>
            <w:shd w:val="clear" w:color="auto" w:fill="BFBFBF"/>
          </w:tcPr>
          <w:p w14:paraId="685823B9" w14:textId="77777777" w:rsidR="00D42B19" w:rsidRPr="005B57CA" w:rsidDel="00EE2BBB" w:rsidRDefault="00D42B19" w:rsidP="00F87B9F">
            <w:pPr>
              <w:autoSpaceDE w:val="0"/>
              <w:autoSpaceDN w:val="0"/>
              <w:adjustRightInd w:val="0"/>
              <w:spacing w:before="60" w:after="60"/>
              <w:jc w:val="both"/>
              <w:rPr>
                <w:rFonts w:cstheme="minorHAnsi"/>
                <w:b/>
                <w:sz w:val="20"/>
                <w:szCs w:val="20"/>
              </w:rPr>
            </w:pPr>
            <w:r w:rsidRPr="005B57CA" w:rsidDel="00EE2BBB">
              <w:rPr>
                <w:rFonts w:cstheme="minorHAnsi"/>
                <w:b/>
                <w:sz w:val="20"/>
                <w:szCs w:val="20"/>
              </w:rPr>
              <w:t>DPMQ</w:t>
            </w:r>
          </w:p>
        </w:tc>
      </w:tr>
      <w:tr w:rsidR="00D42B19" w:rsidRPr="00060EDE" w:rsidDel="00EE2BBB" w14:paraId="6297DDC7" w14:textId="77777777" w:rsidTr="00D42B19">
        <w:trPr>
          <w:trHeight w:val="546"/>
          <w:tblHeader/>
        </w:trPr>
        <w:tc>
          <w:tcPr>
            <w:tcW w:w="795" w:type="pct"/>
            <w:shd w:val="clear" w:color="auto" w:fill="auto"/>
          </w:tcPr>
          <w:p w14:paraId="4EAEFBEE" w14:textId="77777777" w:rsidR="00D42B19" w:rsidRPr="009361B3" w:rsidDel="00EE2BBB" w:rsidRDefault="00D42B19" w:rsidP="00F87B9F">
            <w:pPr>
              <w:autoSpaceDE w:val="0"/>
              <w:autoSpaceDN w:val="0"/>
              <w:adjustRightInd w:val="0"/>
              <w:spacing w:before="60" w:after="60"/>
              <w:jc w:val="both"/>
              <w:rPr>
                <w:rFonts w:cstheme="minorHAnsi"/>
                <w:color w:val="000000"/>
                <w:sz w:val="20"/>
                <w:szCs w:val="20"/>
              </w:rPr>
            </w:pPr>
            <w:r w:rsidRPr="009361B3">
              <w:rPr>
                <w:rFonts w:cstheme="minorHAnsi"/>
                <w:color w:val="000000"/>
                <w:sz w:val="20"/>
                <w:szCs w:val="20"/>
              </w:rPr>
              <w:t>12764T</w:t>
            </w:r>
          </w:p>
        </w:tc>
        <w:tc>
          <w:tcPr>
            <w:tcW w:w="1993" w:type="pct"/>
            <w:shd w:val="clear" w:color="auto" w:fill="auto"/>
          </w:tcPr>
          <w:p w14:paraId="2A03C9DB" w14:textId="77777777" w:rsidR="00D42B19" w:rsidRPr="009361B3" w:rsidRDefault="00D42B19" w:rsidP="00F87B9F">
            <w:pPr>
              <w:autoSpaceDE w:val="0"/>
              <w:autoSpaceDN w:val="0"/>
              <w:adjustRightInd w:val="0"/>
              <w:spacing w:before="60" w:after="60"/>
              <w:jc w:val="both"/>
              <w:rPr>
                <w:rFonts w:cstheme="minorHAnsi"/>
                <w:color w:val="000000"/>
                <w:sz w:val="20"/>
                <w:szCs w:val="20"/>
              </w:rPr>
            </w:pPr>
            <w:r w:rsidRPr="00944814">
              <w:rPr>
                <w:rFonts w:cstheme="minorHAnsi"/>
                <w:color w:val="222222"/>
                <w:sz w:val="20"/>
                <w:szCs w:val="20"/>
                <w:shd w:val="clear" w:color="auto" w:fill="FFFFFF"/>
              </w:rPr>
              <w:t>ripretinib 50 mg tablet, 90</w:t>
            </w:r>
          </w:p>
        </w:tc>
        <w:tc>
          <w:tcPr>
            <w:tcW w:w="699" w:type="pct"/>
            <w:shd w:val="clear" w:color="auto" w:fill="auto"/>
          </w:tcPr>
          <w:p w14:paraId="6E639BB7" w14:textId="77777777" w:rsidR="00D42B19" w:rsidRPr="009361B3" w:rsidDel="00EE2BBB" w:rsidRDefault="00D42B19" w:rsidP="00F87B9F">
            <w:pPr>
              <w:autoSpaceDE w:val="0"/>
              <w:autoSpaceDN w:val="0"/>
              <w:adjustRightInd w:val="0"/>
              <w:spacing w:before="60" w:after="60"/>
              <w:jc w:val="both"/>
              <w:rPr>
                <w:rFonts w:cstheme="minorHAnsi"/>
                <w:color w:val="000000"/>
                <w:sz w:val="20"/>
                <w:szCs w:val="20"/>
              </w:rPr>
            </w:pPr>
            <w:r w:rsidRPr="009361B3">
              <w:rPr>
                <w:rFonts w:cstheme="minorHAnsi"/>
                <w:color w:val="000000"/>
                <w:sz w:val="20"/>
                <w:szCs w:val="20"/>
              </w:rPr>
              <w:t>90</w:t>
            </w:r>
          </w:p>
        </w:tc>
        <w:tc>
          <w:tcPr>
            <w:tcW w:w="582" w:type="pct"/>
            <w:shd w:val="clear" w:color="auto" w:fill="auto"/>
          </w:tcPr>
          <w:p w14:paraId="7E59AE6B" w14:textId="77777777" w:rsidR="00D42B19" w:rsidRPr="009361B3" w:rsidDel="00EE2BBB" w:rsidRDefault="00D42B19" w:rsidP="00F87B9F">
            <w:pPr>
              <w:autoSpaceDE w:val="0"/>
              <w:autoSpaceDN w:val="0"/>
              <w:adjustRightInd w:val="0"/>
              <w:spacing w:before="60" w:after="60"/>
              <w:jc w:val="both"/>
              <w:rPr>
                <w:rFonts w:cstheme="minorHAnsi"/>
                <w:color w:val="000000"/>
                <w:sz w:val="20"/>
                <w:szCs w:val="20"/>
              </w:rPr>
            </w:pPr>
            <w:r w:rsidRPr="009361B3">
              <w:rPr>
                <w:rFonts w:cstheme="minorHAnsi"/>
                <w:color w:val="000000"/>
                <w:sz w:val="20"/>
                <w:szCs w:val="20"/>
              </w:rPr>
              <w:t>1</w:t>
            </w:r>
          </w:p>
        </w:tc>
        <w:tc>
          <w:tcPr>
            <w:tcW w:w="931" w:type="pct"/>
            <w:shd w:val="clear" w:color="auto" w:fill="auto"/>
          </w:tcPr>
          <w:p w14:paraId="51853149" w14:textId="77777777" w:rsidR="00D42B19" w:rsidRPr="009361B3" w:rsidDel="00EE2BBB" w:rsidRDefault="00D42B19" w:rsidP="00F87B9F">
            <w:pPr>
              <w:autoSpaceDE w:val="0"/>
              <w:autoSpaceDN w:val="0"/>
              <w:adjustRightInd w:val="0"/>
              <w:spacing w:before="60" w:after="60"/>
              <w:jc w:val="both"/>
              <w:rPr>
                <w:rFonts w:cstheme="minorHAnsi"/>
                <w:color w:val="000000"/>
                <w:sz w:val="20"/>
                <w:szCs w:val="20"/>
              </w:rPr>
            </w:pPr>
            <w:r w:rsidRPr="009361B3">
              <w:rPr>
                <w:rFonts w:cstheme="minorHAnsi"/>
                <w:color w:val="000000"/>
                <w:sz w:val="20"/>
                <w:szCs w:val="20"/>
              </w:rPr>
              <w:t>$16,304.54</w:t>
            </w:r>
          </w:p>
        </w:tc>
      </w:tr>
    </w:tbl>
    <w:p w14:paraId="7EAA71FA" w14:textId="209EDBFD" w:rsidR="0099612A" w:rsidRDefault="0099612A" w:rsidP="00CE7F9C">
      <w:pPr>
        <w:pStyle w:val="Notes"/>
      </w:pPr>
      <w:r w:rsidRPr="00A35800" w:rsidDel="00EE2BBB">
        <w:t xml:space="preserve">Source: </w:t>
      </w:r>
      <w:r w:rsidDel="00EE2BBB">
        <w:t xml:space="preserve">the </w:t>
      </w:r>
      <w:hyperlink r:id="rId13" w:history="1">
        <w:r w:rsidRPr="001624D7" w:rsidDel="00EE2BBB">
          <w:rPr>
            <w:rStyle w:val="Hyperlink"/>
          </w:rPr>
          <w:t>PBS website</w:t>
        </w:r>
      </w:hyperlink>
      <w:r w:rsidDel="00EE2BBB">
        <w:t xml:space="preserve">. </w:t>
      </w:r>
    </w:p>
    <w:p w14:paraId="772413B3" w14:textId="5ADD80FE" w:rsidR="00CE7F9C" w:rsidRDefault="00CE7F9C" w:rsidP="00CE7F9C">
      <w:pPr>
        <w:pStyle w:val="Notes"/>
      </w:pPr>
      <w:r>
        <w:t xml:space="preserve">Notes: </w:t>
      </w:r>
    </w:p>
    <w:p w14:paraId="3E14B642" w14:textId="77777777" w:rsidR="00CE7F9C" w:rsidRDefault="00CE7F9C" w:rsidP="00CE7F9C">
      <w:pPr>
        <w:pStyle w:val="Notes"/>
        <w:numPr>
          <w:ilvl w:val="0"/>
          <w:numId w:val="17"/>
        </w:numPr>
        <w:spacing w:after="0"/>
      </w:pPr>
      <w:r w:rsidRPr="00EC543D">
        <w:lastRenderedPageBreak/>
        <w:t>No increase in the maximum quantity or number of units may be authorised.</w:t>
      </w:r>
    </w:p>
    <w:p w14:paraId="3BA0E21C" w14:textId="77777777" w:rsidR="00CE7F9C" w:rsidRDefault="00CE7F9C" w:rsidP="00CE7F9C">
      <w:pPr>
        <w:pStyle w:val="Notes"/>
        <w:numPr>
          <w:ilvl w:val="0"/>
          <w:numId w:val="17"/>
        </w:numPr>
        <w:spacing w:after="0"/>
      </w:pPr>
      <w:r w:rsidRPr="00EC543D">
        <w:t>No increase in the maximum number of repeats may be authorised.</w:t>
      </w:r>
    </w:p>
    <w:p w14:paraId="260F27BC" w14:textId="3C462066" w:rsidR="00CE7F9C" w:rsidRDefault="00CE7F9C" w:rsidP="00CE7F9C">
      <w:pPr>
        <w:pStyle w:val="Notes"/>
        <w:numPr>
          <w:ilvl w:val="0"/>
          <w:numId w:val="17"/>
        </w:numPr>
        <w:spacing w:after="0"/>
      </w:pPr>
      <w:r w:rsidRPr="00EC543D">
        <w:t>Applications for authorisation under this restriction may be made in real time using the Online PBS Authorities system or by telephone by contacting Services Australia</w:t>
      </w:r>
      <w:r w:rsidR="0099612A">
        <w:t xml:space="preserve">. </w:t>
      </w:r>
    </w:p>
    <w:p w14:paraId="2E742FCA" w14:textId="77777777" w:rsidR="00CE7F9C" w:rsidRPr="00EC543D" w:rsidRDefault="00CE7F9C" w:rsidP="00CE7F9C">
      <w:pPr>
        <w:pStyle w:val="Notes"/>
        <w:numPr>
          <w:ilvl w:val="0"/>
          <w:numId w:val="17"/>
        </w:numPr>
        <w:spacing w:after="0"/>
      </w:pPr>
      <w:r w:rsidRPr="00EC543D">
        <w:t>Special Pricing Arrangements apply.</w:t>
      </w:r>
    </w:p>
    <w:p w14:paraId="357E5498" w14:textId="77777777" w:rsidR="00266E7E" w:rsidRPr="00A35800" w:rsidDel="00EE2BBB" w:rsidRDefault="00266E7E" w:rsidP="00BB1D3B">
      <w:pPr>
        <w:pStyle w:val="Notes"/>
      </w:pPr>
    </w:p>
    <w:p w14:paraId="1AFA1485" w14:textId="399FE81A" w:rsidR="004C3186" w:rsidRDefault="004C3186" w:rsidP="00CF5E22">
      <w:pPr>
        <w:pStyle w:val="Heading3"/>
      </w:pPr>
      <w:r w:rsidDel="00EE2BBB">
        <w:t>Restriction</w:t>
      </w:r>
      <w:r w:rsidR="00C25EF3">
        <w:t xml:space="preserve"> (abridged)</w:t>
      </w:r>
    </w:p>
    <w:p w14:paraId="2A43DB73" w14:textId="0D47B1B8" w:rsidR="007763A6" w:rsidRDefault="001C7F33" w:rsidP="001C7F33">
      <w:pPr>
        <w:rPr>
          <w:b/>
          <w:bCs/>
          <w:u w:val="single"/>
        </w:rPr>
      </w:pPr>
      <w:r w:rsidRPr="007763A6">
        <w:rPr>
          <w:b/>
          <w:bCs/>
          <w:u w:val="single"/>
        </w:rPr>
        <w:t xml:space="preserve">Adjuvant GIST </w:t>
      </w:r>
    </w:p>
    <w:p w14:paraId="1CF116D3" w14:textId="05670B1B" w:rsidR="00293AAC" w:rsidRDefault="000B7BB0" w:rsidP="00293AAC">
      <w:pPr>
        <w:pStyle w:val="Tabletitle"/>
      </w:pPr>
      <w:r>
        <w:t xml:space="preserve">Table </w:t>
      </w:r>
      <w:r w:rsidR="007B38BA">
        <w:t>6</w:t>
      </w:r>
      <w:r>
        <w:t xml:space="preserve">: PBS restriction of </w:t>
      </w:r>
      <w:r w:rsidR="00F476E7">
        <w:t xml:space="preserve">imatinib for </w:t>
      </w:r>
      <w:r w:rsidR="00865BBA">
        <w:t xml:space="preserve">the treatment of </w:t>
      </w:r>
      <w:r>
        <w:t xml:space="preserve">adjuvant GIST </w:t>
      </w:r>
    </w:p>
    <w:tbl>
      <w:tblPr>
        <w:tblStyle w:val="TableGrid"/>
        <w:tblW w:w="0" w:type="auto"/>
        <w:tblLook w:val="04A0" w:firstRow="1" w:lastRow="0" w:firstColumn="1" w:lastColumn="0" w:noHBand="0" w:noVBand="1"/>
      </w:tblPr>
      <w:tblGrid>
        <w:gridCol w:w="1129"/>
        <w:gridCol w:w="3909"/>
        <w:gridCol w:w="3909"/>
      </w:tblGrid>
      <w:tr w:rsidR="00293AAC" w14:paraId="14E44658" w14:textId="77777777" w:rsidTr="00A6012E">
        <w:tc>
          <w:tcPr>
            <w:tcW w:w="1129" w:type="dxa"/>
            <w:shd w:val="clear" w:color="auto" w:fill="BFBFBF" w:themeFill="background1" w:themeFillShade="BF"/>
          </w:tcPr>
          <w:p w14:paraId="69B876E4" w14:textId="64905C8B" w:rsidR="00293AAC" w:rsidRPr="00A6012E" w:rsidRDefault="00A6012E" w:rsidP="00293AAC">
            <w:pPr>
              <w:spacing w:before="60" w:after="60"/>
              <w:rPr>
                <w:b/>
                <w:bCs/>
                <w:sz w:val="20"/>
                <w:szCs w:val="20"/>
              </w:rPr>
            </w:pPr>
            <w:r w:rsidRPr="00A6012E">
              <w:rPr>
                <w:b/>
                <w:bCs/>
                <w:sz w:val="20"/>
                <w:szCs w:val="20"/>
              </w:rPr>
              <w:t>Medicine</w:t>
            </w:r>
          </w:p>
        </w:tc>
        <w:tc>
          <w:tcPr>
            <w:tcW w:w="3909" w:type="dxa"/>
            <w:shd w:val="clear" w:color="auto" w:fill="BFBFBF" w:themeFill="background1" w:themeFillShade="BF"/>
          </w:tcPr>
          <w:p w14:paraId="64B60788" w14:textId="371FDEE7" w:rsidR="00293AAC" w:rsidRDefault="00293AAC" w:rsidP="00293AAC">
            <w:pPr>
              <w:spacing w:before="60" w:after="60"/>
            </w:pPr>
            <w:r w:rsidRPr="000B7BB0">
              <w:rPr>
                <w:b/>
                <w:bCs/>
                <w:sz w:val="20"/>
                <w:szCs w:val="20"/>
              </w:rPr>
              <w:t>Initial treatment</w:t>
            </w:r>
          </w:p>
        </w:tc>
        <w:tc>
          <w:tcPr>
            <w:tcW w:w="3909" w:type="dxa"/>
            <w:shd w:val="clear" w:color="auto" w:fill="BFBFBF" w:themeFill="background1" w:themeFillShade="BF"/>
          </w:tcPr>
          <w:p w14:paraId="364BCC2A" w14:textId="34D09D01" w:rsidR="00293AAC" w:rsidRDefault="00293AAC" w:rsidP="00293AAC">
            <w:pPr>
              <w:spacing w:before="60" w:after="60"/>
            </w:pPr>
            <w:r w:rsidRPr="000B7BB0">
              <w:rPr>
                <w:b/>
                <w:bCs/>
                <w:sz w:val="20"/>
                <w:szCs w:val="20"/>
              </w:rPr>
              <w:t>Continuing treatment</w:t>
            </w:r>
          </w:p>
        </w:tc>
      </w:tr>
      <w:tr w:rsidR="00293AAC" w14:paraId="5C796716" w14:textId="77777777" w:rsidTr="00A6012E">
        <w:tc>
          <w:tcPr>
            <w:tcW w:w="1129" w:type="dxa"/>
          </w:tcPr>
          <w:p w14:paraId="146B64B4" w14:textId="1017DC13" w:rsidR="00293AAC" w:rsidRDefault="00293AAC" w:rsidP="00293AAC">
            <w:pPr>
              <w:spacing w:before="60" w:after="60"/>
            </w:pPr>
            <w:r w:rsidRPr="000B7BB0">
              <w:rPr>
                <w:sz w:val="20"/>
                <w:szCs w:val="20"/>
              </w:rPr>
              <w:t>Imatinib</w:t>
            </w:r>
          </w:p>
        </w:tc>
        <w:tc>
          <w:tcPr>
            <w:tcW w:w="3909" w:type="dxa"/>
          </w:tcPr>
          <w:p w14:paraId="75B1C615" w14:textId="77777777" w:rsidR="00293AAC" w:rsidRPr="002922CA" w:rsidRDefault="00293AAC" w:rsidP="00293AAC">
            <w:pPr>
              <w:spacing w:beforeLines="60" w:before="144" w:afterLines="60" w:after="144"/>
              <w:rPr>
                <w:rFonts w:ascii="Calibri" w:hAnsi="Calibri" w:cs="Calibri"/>
                <w:color w:val="000000"/>
                <w:sz w:val="20"/>
                <w:szCs w:val="20"/>
              </w:rPr>
            </w:pPr>
            <w:r w:rsidRPr="002922CA">
              <w:rPr>
                <w:rFonts w:ascii="Calibri" w:hAnsi="Calibri" w:cs="Calibri"/>
                <w:color w:val="000000"/>
                <w:sz w:val="20"/>
                <w:szCs w:val="20"/>
              </w:rPr>
              <w:t>Authority Required (online/telephone)</w:t>
            </w:r>
          </w:p>
          <w:p w14:paraId="400905F8" w14:textId="77777777" w:rsidR="00293AAC" w:rsidRPr="006F4736" w:rsidRDefault="00293AAC" w:rsidP="00293AAC">
            <w:pPr>
              <w:pStyle w:val="ListParagraph"/>
              <w:numPr>
                <w:ilvl w:val="0"/>
                <w:numId w:val="29"/>
              </w:numPr>
              <w:spacing w:beforeLines="60" w:before="144" w:afterLines="60" w:after="144"/>
              <w:ind w:left="317"/>
              <w:rPr>
                <w:rFonts w:ascii="Calibri" w:hAnsi="Calibri" w:cs="Calibri"/>
                <w:color w:val="000000"/>
                <w:sz w:val="20"/>
                <w:szCs w:val="20"/>
              </w:rPr>
            </w:pPr>
            <w:r w:rsidRPr="006F4736">
              <w:rPr>
                <w:rFonts w:ascii="Calibri" w:hAnsi="Calibri" w:cs="Calibri"/>
                <w:color w:val="000000"/>
                <w:sz w:val="20"/>
                <w:szCs w:val="20"/>
              </w:rPr>
              <w:t>adjuvant to complete surgical resection</w:t>
            </w:r>
          </w:p>
          <w:p w14:paraId="3536DC20" w14:textId="77777777" w:rsidR="00293AAC" w:rsidRPr="006F4736" w:rsidRDefault="00293AAC" w:rsidP="00293AAC">
            <w:pPr>
              <w:pStyle w:val="ListParagraph"/>
              <w:numPr>
                <w:ilvl w:val="0"/>
                <w:numId w:val="29"/>
              </w:numPr>
              <w:spacing w:beforeLines="60" w:before="144" w:afterLines="60" w:after="144"/>
              <w:ind w:left="317"/>
              <w:rPr>
                <w:rFonts w:ascii="Calibri" w:hAnsi="Calibri" w:cs="Calibri"/>
                <w:color w:val="000000"/>
                <w:sz w:val="20"/>
                <w:szCs w:val="20"/>
              </w:rPr>
            </w:pPr>
            <w:r w:rsidRPr="006F4736">
              <w:rPr>
                <w:rFonts w:ascii="Calibri" w:hAnsi="Calibri" w:cs="Calibri"/>
                <w:color w:val="000000"/>
                <w:sz w:val="20"/>
                <w:szCs w:val="20"/>
              </w:rPr>
              <w:t>at high risk of recurrence following resection</w:t>
            </w:r>
          </w:p>
          <w:p w14:paraId="14A79A15" w14:textId="77777777" w:rsidR="00293AAC" w:rsidRPr="006F4736" w:rsidRDefault="00293AAC" w:rsidP="00293AAC">
            <w:pPr>
              <w:pStyle w:val="ListParagraph"/>
              <w:numPr>
                <w:ilvl w:val="0"/>
                <w:numId w:val="29"/>
              </w:numPr>
              <w:spacing w:beforeLines="60" w:before="144" w:afterLines="60" w:after="144"/>
              <w:ind w:left="317"/>
              <w:rPr>
                <w:rFonts w:ascii="Calibri" w:hAnsi="Calibri" w:cs="Calibri"/>
                <w:color w:val="000000"/>
                <w:sz w:val="20"/>
                <w:szCs w:val="20"/>
              </w:rPr>
            </w:pPr>
            <w:r w:rsidRPr="006F4736">
              <w:rPr>
                <w:rFonts w:ascii="Calibri" w:hAnsi="Calibri" w:cs="Calibri"/>
                <w:color w:val="000000"/>
                <w:sz w:val="20"/>
                <w:szCs w:val="20"/>
              </w:rPr>
              <w:t>histological confirmation of CD117</w:t>
            </w:r>
          </w:p>
          <w:p w14:paraId="770312D9" w14:textId="77777777" w:rsidR="00293AAC" w:rsidRDefault="00293AAC" w:rsidP="00293AAC">
            <w:pPr>
              <w:spacing w:before="60" w:after="60"/>
            </w:pPr>
          </w:p>
        </w:tc>
        <w:tc>
          <w:tcPr>
            <w:tcW w:w="3909" w:type="dxa"/>
          </w:tcPr>
          <w:p w14:paraId="671915E1" w14:textId="77777777" w:rsidR="00293AAC" w:rsidRPr="00293AAC" w:rsidRDefault="00293AAC" w:rsidP="00293AAC">
            <w:pPr>
              <w:spacing w:beforeLines="60" w:before="144" w:afterLines="60" w:after="144"/>
              <w:rPr>
                <w:rFonts w:ascii="Calibri" w:hAnsi="Calibri" w:cs="Calibri"/>
                <w:iCs/>
                <w:color w:val="000000"/>
                <w:sz w:val="20"/>
                <w:szCs w:val="20"/>
              </w:rPr>
            </w:pPr>
            <w:r>
              <w:rPr>
                <w:rFonts w:ascii="Calibri" w:hAnsi="Calibri" w:cs="Calibri"/>
                <w:iCs/>
                <w:color w:val="000000"/>
                <w:sz w:val="20"/>
                <w:szCs w:val="20"/>
              </w:rPr>
              <w:t>Authority Required (STREAMLINED)</w:t>
            </w:r>
          </w:p>
          <w:p w14:paraId="48695771" w14:textId="77777777" w:rsidR="00293AAC" w:rsidRPr="006F4736" w:rsidRDefault="00293AAC" w:rsidP="00293AAC">
            <w:pPr>
              <w:pStyle w:val="ListParagraph"/>
              <w:numPr>
                <w:ilvl w:val="0"/>
                <w:numId w:val="29"/>
              </w:numPr>
              <w:spacing w:beforeLines="60" w:before="144" w:afterLines="60" w:after="144"/>
              <w:ind w:left="317"/>
              <w:rPr>
                <w:rFonts w:ascii="Calibri" w:hAnsi="Calibri" w:cs="Calibri"/>
                <w:color w:val="000000"/>
                <w:sz w:val="20"/>
                <w:szCs w:val="20"/>
              </w:rPr>
            </w:pPr>
            <w:r w:rsidRPr="006F4736">
              <w:rPr>
                <w:rFonts w:ascii="Calibri" w:hAnsi="Calibri" w:cs="Calibri"/>
                <w:color w:val="000000"/>
                <w:sz w:val="20"/>
                <w:szCs w:val="20"/>
              </w:rPr>
              <w:t>treatment adjuvant to resection (as initial prescription)</w:t>
            </w:r>
          </w:p>
          <w:p w14:paraId="0C4C69D0" w14:textId="77777777" w:rsidR="00293AAC" w:rsidRPr="006F4736" w:rsidRDefault="00293AAC" w:rsidP="00293AAC">
            <w:pPr>
              <w:pStyle w:val="ListParagraph"/>
              <w:numPr>
                <w:ilvl w:val="0"/>
                <w:numId w:val="29"/>
              </w:numPr>
              <w:spacing w:beforeLines="60" w:before="144" w:afterLines="60" w:after="144"/>
              <w:ind w:left="317"/>
              <w:rPr>
                <w:rFonts w:ascii="Calibri" w:hAnsi="Calibri" w:cs="Calibri"/>
                <w:color w:val="000000"/>
                <w:sz w:val="20"/>
                <w:szCs w:val="20"/>
              </w:rPr>
            </w:pPr>
            <w:r w:rsidRPr="006F4736">
              <w:rPr>
                <w:rFonts w:ascii="Calibri" w:hAnsi="Calibri" w:cs="Calibri"/>
                <w:color w:val="000000"/>
                <w:sz w:val="20"/>
                <w:szCs w:val="20"/>
              </w:rPr>
              <w:t>at high risk of recurrence (as initial script)</w:t>
            </w:r>
          </w:p>
          <w:p w14:paraId="6A840948" w14:textId="77777777" w:rsidR="00293AAC" w:rsidRPr="00363863" w:rsidRDefault="00293AAC" w:rsidP="00293AAC">
            <w:pPr>
              <w:pStyle w:val="ListParagraph"/>
              <w:numPr>
                <w:ilvl w:val="0"/>
                <w:numId w:val="29"/>
              </w:numPr>
              <w:spacing w:beforeLines="60" w:before="144" w:afterLines="60" w:after="144"/>
              <w:ind w:left="317"/>
              <w:rPr>
                <w:rFonts w:ascii="Calibri" w:hAnsi="Calibri" w:cs="Calibri"/>
                <w:color w:val="000000"/>
                <w:sz w:val="20"/>
                <w:szCs w:val="20"/>
              </w:rPr>
            </w:pPr>
            <w:r>
              <w:rPr>
                <w:rFonts w:ascii="Calibri" w:hAnsi="Calibri" w:cs="Calibri"/>
                <w:color w:val="000000"/>
                <w:sz w:val="20"/>
                <w:szCs w:val="20"/>
              </w:rPr>
              <w:t>initial</w:t>
            </w:r>
            <w:r w:rsidRPr="00363863">
              <w:rPr>
                <w:rFonts w:ascii="Calibri" w:hAnsi="Calibri" w:cs="Calibri"/>
                <w:color w:val="000000"/>
                <w:sz w:val="20"/>
                <w:szCs w:val="20"/>
              </w:rPr>
              <w:t xml:space="preserve"> PBS authority</w:t>
            </w:r>
            <w:r>
              <w:rPr>
                <w:rFonts w:ascii="Calibri" w:hAnsi="Calibri" w:cs="Calibri"/>
                <w:color w:val="000000"/>
                <w:sz w:val="20"/>
                <w:szCs w:val="20"/>
              </w:rPr>
              <w:t xml:space="preserve"> treatment approved</w:t>
            </w:r>
          </w:p>
          <w:p w14:paraId="6664FC40" w14:textId="77777777" w:rsidR="00293AAC" w:rsidRPr="00714A84" w:rsidRDefault="00293AAC" w:rsidP="00293AAC">
            <w:pPr>
              <w:pStyle w:val="ListParagraph"/>
              <w:numPr>
                <w:ilvl w:val="0"/>
                <w:numId w:val="29"/>
              </w:numPr>
              <w:spacing w:beforeLines="60" w:before="144" w:afterLines="60" w:after="144"/>
              <w:ind w:left="317"/>
              <w:rPr>
                <w:rFonts w:ascii="Calibri" w:hAnsi="Calibri" w:cs="Calibri"/>
                <w:color w:val="000000"/>
                <w:sz w:val="20"/>
                <w:szCs w:val="20"/>
              </w:rPr>
            </w:pPr>
            <w:r w:rsidRPr="006F4736">
              <w:rPr>
                <w:rFonts w:ascii="Calibri" w:hAnsi="Calibri" w:cs="Calibri"/>
                <w:color w:val="000000"/>
                <w:sz w:val="20"/>
                <w:szCs w:val="20"/>
              </w:rPr>
              <w:t>must not exceed 400</w:t>
            </w:r>
            <w:r>
              <w:rPr>
                <w:rFonts w:ascii="Calibri" w:hAnsi="Calibri" w:cs="Calibri"/>
                <w:color w:val="000000"/>
                <w:sz w:val="20"/>
                <w:szCs w:val="20"/>
              </w:rPr>
              <w:t xml:space="preserve"> </w:t>
            </w:r>
            <w:r w:rsidRPr="006F4736">
              <w:rPr>
                <w:rFonts w:ascii="Calibri" w:hAnsi="Calibri" w:cs="Calibri"/>
                <w:color w:val="000000"/>
                <w:sz w:val="20"/>
                <w:szCs w:val="20"/>
              </w:rPr>
              <w:t>mg/day and total time 36 months</w:t>
            </w:r>
          </w:p>
          <w:p w14:paraId="4BF6F748" w14:textId="108EEDBA" w:rsidR="00293AAC" w:rsidRDefault="00293AAC" w:rsidP="00293AAC">
            <w:pPr>
              <w:spacing w:before="60" w:after="60"/>
            </w:pPr>
            <w:r w:rsidRPr="006F4736">
              <w:rPr>
                <w:rFonts w:ascii="Calibri" w:hAnsi="Calibri" w:cs="Calibri"/>
                <w:color w:val="000000"/>
                <w:sz w:val="20"/>
                <w:szCs w:val="20"/>
              </w:rPr>
              <w:t xml:space="preserve">High risk criteria = GIST 5cm with mitotic count &gt;5/50 high power fields or GIST &gt;10cm or GIST &gt;10/50 </w:t>
            </w:r>
            <w:r w:rsidR="00F87BA2">
              <w:rPr>
                <w:rFonts w:ascii="Calibri" w:hAnsi="Calibri" w:cs="Calibri"/>
                <w:color w:val="000000"/>
                <w:sz w:val="20"/>
                <w:szCs w:val="20"/>
              </w:rPr>
              <w:t xml:space="preserve">high power fields </w:t>
            </w:r>
          </w:p>
        </w:tc>
      </w:tr>
    </w:tbl>
    <w:p w14:paraId="628BDFEF" w14:textId="77777777" w:rsidR="00293AAC" w:rsidRDefault="00293AAC" w:rsidP="001C7F33"/>
    <w:p w14:paraId="6C2B8804" w14:textId="638CBB78" w:rsidR="001C7F33" w:rsidRPr="007763A6" w:rsidRDefault="001C7F33" w:rsidP="001C7F33">
      <w:pPr>
        <w:rPr>
          <w:b/>
          <w:bCs/>
          <w:u w:val="single"/>
        </w:rPr>
      </w:pPr>
      <w:r w:rsidRPr="007763A6">
        <w:rPr>
          <w:b/>
          <w:bCs/>
          <w:u w:val="single"/>
        </w:rPr>
        <w:t xml:space="preserve">Metastatic GIST </w:t>
      </w:r>
    </w:p>
    <w:p w14:paraId="14EDBFB6" w14:textId="4697FFB7" w:rsidR="00707936" w:rsidRPr="00A96088" w:rsidRDefault="00707936" w:rsidP="00707936">
      <w:pPr>
        <w:pStyle w:val="Tabletitle"/>
      </w:pPr>
      <w:r>
        <w:t xml:space="preserve">Table </w:t>
      </w:r>
      <w:r w:rsidR="007B38BA">
        <w:t>7</w:t>
      </w:r>
      <w:r>
        <w:t xml:space="preserve">: </w:t>
      </w:r>
      <w:r w:rsidR="00220C2C">
        <w:t>PBS</w:t>
      </w:r>
      <w:r>
        <w:t xml:space="preserve"> restriction</w:t>
      </w:r>
      <w:r w:rsidR="00F476E7">
        <w:t>s</w:t>
      </w:r>
      <w:r>
        <w:t xml:space="preserve"> </w:t>
      </w:r>
      <w:r w:rsidR="00220C2C">
        <w:t xml:space="preserve">of </w:t>
      </w:r>
      <w:r w:rsidR="00F476E7">
        <w:t xml:space="preserve">medicines for the treatment of </w:t>
      </w:r>
      <w:r w:rsidR="00220C2C">
        <w:t>metastatic</w:t>
      </w:r>
      <w:r>
        <w:t xml:space="preserve"> GIST </w:t>
      </w:r>
    </w:p>
    <w:tbl>
      <w:tblPr>
        <w:tblStyle w:val="TableGrid"/>
        <w:tblW w:w="0" w:type="auto"/>
        <w:tblLook w:val="04A0" w:firstRow="1" w:lastRow="0" w:firstColumn="1" w:lastColumn="0" w:noHBand="0" w:noVBand="1"/>
      </w:tblPr>
      <w:tblGrid>
        <w:gridCol w:w="1129"/>
        <w:gridCol w:w="3909"/>
        <w:gridCol w:w="3909"/>
      </w:tblGrid>
      <w:tr w:rsidR="00624539" w:rsidRPr="00FA343B" w14:paraId="5B01E0F0" w14:textId="36E642B5" w:rsidTr="003421E1">
        <w:trPr>
          <w:tblHeader/>
        </w:trPr>
        <w:tc>
          <w:tcPr>
            <w:tcW w:w="1129" w:type="dxa"/>
            <w:shd w:val="clear" w:color="auto" w:fill="BFBFBF" w:themeFill="background1" w:themeFillShade="BF"/>
          </w:tcPr>
          <w:p w14:paraId="7FE05ED6" w14:textId="77777777" w:rsidR="00624539" w:rsidRPr="00AA08FC" w:rsidRDefault="00624539" w:rsidP="007B38BA">
            <w:pPr>
              <w:spacing w:before="60" w:after="60"/>
              <w:rPr>
                <w:b/>
                <w:sz w:val="20"/>
                <w:szCs w:val="20"/>
              </w:rPr>
            </w:pPr>
            <w:r w:rsidRPr="00AA08FC">
              <w:rPr>
                <w:b/>
                <w:sz w:val="20"/>
                <w:szCs w:val="20"/>
              </w:rPr>
              <w:t>Medicine</w:t>
            </w:r>
          </w:p>
        </w:tc>
        <w:tc>
          <w:tcPr>
            <w:tcW w:w="3909" w:type="dxa"/>
            <w:shd w:val="clear" w:color="auto" w:fill="BFBFBF" w:themeFill="background1" w:themeFillShade="BF"/>
          </w:tcPr>
          <w:p w14:paraId="5DA34102" w14:textId="4505D3EF" w:rsidR="00624539" w:rsidRPr="00BC40E8" w:rsidRDefault="00CE5F17" w:rsidP="007B38BA">
            <w:pPr>
              <w:spacing w:before="60" w:after="60"/>
              <w:rPr>
                <w:b/>
                <w:sz w:val="20"/>
                <w:szCs w:val="20"/>
              </w:rPr>
            </w:pPr>
            <w:r>
              <w:rPr>
                <w:b/>
                <w:sz w:val="20"/>
                <w:szCs w:val="20"/>
              </w:rPr>
              <w:t xml:space="preserve">Initial </w:t>
            </w:r>
            <w:r w:rsidR="004512E3">
              <w:rPr>
                <w:b/>
                <w:sz w:val="20"/>
                <w:szCs w:val="20"/>
              </w:rPr>
              <w:t>t</w:t>
            </w:r>
            <w:r>
              <w:rPr>
                <w:b/>
                <w:sz w:val="20"/>
                <w:szCs w:val="20"/>
              </w:rPr>
              <w:t xml:space="preserve">reatment </w:t>
            </w:r>
          </w:p>
        </w:tc>
        <w:tc>
          <w:tcPr>
            <w:tcW w:w="3909" w:type="dxa"/>
            <w:shd w:val="clear" w:color="auto" w:fill="BFBFBF" w:themeFill="background1" w:themeFillShade="BF"/>
          </w:tcPr>
          <w:p w14:paraId="3A99D8C5" w14:textId="2AEC9197" w:rsidR="00624539" w:rsidRPr="00BC40E8" w:rsidRDefault="00CE5F17" w:rsidP="007B38BA">
            <w:pPr>
              <w:spacing w:before="60" w:after="60"/>
              <w:rPr>
                <w:b/>
                <w:sz w:val="20"/>
                <w:szCs w:val="20"/>
              </w:rPr>
            </w:pPr>
            <w:r>
              <w:rPr>
                <w:b/>
                <w:sz w:val="20"/>
                <w:szCs w:val="20"/>
              </w:rPr>
              <w:t>Continuing</w:t>
            </w:r>
            <w:r w:rsidR="004512E3">
              <w:rPr>
                <w:b/>
                <w:sz w:val="20"/>
                <w:szCs w:val="20"/>
              </w:rPr>
              <w:t xml:space="preserve"> treatment</w:t>
            </w:r>
          </w:p>
        </w:tc>
      </w:tr>
      <w:tr w:rsidR="00624539" w14:paraId="76CB8FEE" w14:textId="0B0D94FB" w:rsidTr="003421E1">
        <w:tc>
          <w:tcPr>
            <w:tcW w:w="1129" w:type="dxa"/>
          </w:tcPr>
          <w:p w14:paraId="721F30A6" w14:textId="77777777" w:rsidR="00624539" w:rsidRPr="00AA08FC" w:rsidRDefault="00624539" w:rsidP="007B38BA">
            <w:pPr>
              <w:spacing w:before="60" w:after="60"/>
              <w:rPr>
                <w:sz w:val="20"/>
                <w:szCs w:val="20"/>
              </w:rPr>
            </w:pPr>
            <w:r w:rsidRPr="00AA08FC">
              <w:rPr>
                <w:sz w:val="20"/>
                <w:szCs w:val="20"/>
              </w:rPr>
              <w:t>Imatinib</w:t>
            </w:r>
          </w:p>
        </w:tc>
        <w:tc>
          <w:tcPr>
            <w:tcW w:w="3909" w:type="dxa"/>
          </w:tcPr>
          <w:p w14:paraId="1BF46CF2" w14:textId="4F723A82" w:rsidR="002922CA" w:rsidRPr="002922CA" w:rsidRDefault="002922CA" w:rsidP="007B38BA">
            <w:pPr>
              <w:spacing w:before="60" w:after="60"/>
              <w:rPr>
                <w:rFonts w:ascii="Calibri" w:hAnsi="Calibri" w:cs="Calibri"/>
                <w:color w:val="000000"/>
                <w:sz w:val="20"/>
                <w:szCs w:val="20"/>
              </w:rPr>
            </w:pPr>
            <w:r w:rsidRPr="002922CA">
              <w:rPr>
                <w:rFonts w:ascii="Calibri" w:hAnsi="Calibri" w:cs="Calibri"/>
                <w:color w:val="000000"/>
                <w:sz w:val="20"/>
                <w:szCs w:val="20"/>
              </w:rPr>
              <w:t>Authority Required (online/telephone)</w:t>
            </w:r>
          </w:p>
          <w:p w14:paraId="1F3B04FA" w14:textId="1DE0DAF0" w:rsidR="00D73118" w:rsidRDefault="00D73118" w:rsidP="007B38BA">
            <w:pPr>
              <w:pStyle w:val="ListParagraph"/>
              <w:numPr>
                <w:ilvl w:val="0"/>
                <w:numId w:val="43"/>
              </w:numPr>
              <w:spacing w:before="60" w:after="60"/>
              <w:rPr>
                <w:rFonts w:ascii="Calibri" w:hAnsi="Calibri" w:cs="Calibri"/>
                <w:color w:val="000000"/>
                <w:sz w:val="20"/>
                <w:szCs w:val="20"/>
              </w:rPr>
            </w:pPr>
            <w:r>
              <w:rPr>
                <w:rFonts w:ascii="Calibri" w:hAnsi="Calibri" w:cs="Calibri"/>
                <w:color w:val="000000"/>
                <w:sz w:val="20"/>
                <w:szCs w:val="20"/>
              </w:rPr>
              <w:t>must not be resectable</w:t>
            </w:r>
          </w:p>
          <w:p w14:paraId="3F4A1C51" w14:textId="633FBCCE" w:rsidR="002922CA" w:rsidRDefault="00CE5F17" w:rsidP="007B38BA">
            <w:pPr>
              <w:pStyle w:val="ListParagraph"/>
              <w:numPr>
                <w:ilvl w:val="0"/>
                <w:numId w:val="43"/>
              </w:numPr>
              <w:spacing w:before="60" w:after="60"/>
              <w:rPr>
                <w:rFonts w:ascii="Calibri" w:hAnsi="Calibri" w:cs="Calibri"/>
                <w:color w:val="000000"/>
                <w:sz w:val="20"/>
                <w:szCs w:val="20"/>
              </w:rPr>
            </w:pPr>
            <w:r w:rsidRPr="002922CA">
              <w:rPr>
                <w:rFonts w:ascii="Calibri" w:hAnsi="Calibri" w:cs="Calibri"/>
                <w:color w:val="000000"/>
                <w:sz w:val="20"/>
                <w:szCs w:val="20"/>
              </w:rPr>
              <w:t>histological confirmation of CD117</w:t>
            </w:r>
          </w:p>
          <w:p w14:paraId="00A1DAFD" w14:textId="77777777" w:rsidR="008B19ED" w:rsidRDefault="00CE5F17" w:rsidP="007B38BA">
            <w:pPr>
              <w:pStyle w:val="ListParagraph"/>
              <w:numPr>
                <w:ilvl w:val="0"/>
                <w:numId w:val="43"/>
              </w:numPr>
              <w:spacing w:before="60" w:after="60"/>
              <w:rPr>
                <w:rFonts w:ascii="Calibri" w:hAnsi="Calibri" w:cs="Calibri"/>
                <w:color w:val="000000"/>
                <w:sz w:val="20"/>
                <w:szCs w:val="20"/>
              </w:rPr>
            </w:pPr>
            <w:r w:rsidRPr="002922CA">
              <w:rPr>
                <w:rFonts w:ascii="Calibri" w:hAnsi="Calibri" w:cs="Calibri"/>
                <w:color w:val="000000"/>
                <w:sz w:val="20"/>
                <w:szCs w:val="20"/>
              </w:rPr>
              <w:t xml:space="preserve">must be commenced at a </w:t>
            </w:r>
          </w:p>
          <w:p w14:paraId="4E718CEF" w14:textId="2B0B5039" w:rsidR="002922CA" w:rsidRDefault="008B19ED" w:rsidP="00CB3DD7">
            <w:pPr>
              <w:pStyle w:val="ListParagraph"/>
              <w:spacing w:before="60" w:after="60"/>
              <w:rPr>
                <w:rFonts w:ascii="Calibri" w:hAnsi="Calibri" w:cs="Calibri"/>
                <w:color w:val="000000"/>
                <w:sz w:val="20"/>
                <w:szCs w:val="20"/>
              </w:rPr>
            </w:pPr>
            <w:r>
              <w:rPr>
                <w:rFonts w:ascii="Calibri" w:hAnsi="Calibri" w:cs="Calibri"/>
                <w:color w:val="000000"/>
                <w:sz w:val="20"/>
                <w:szCs w:val="20"/>
              </w:rPr>
              <w:t>dose not exceed</w:t>
            </w:r>
            <w:r w:rsidR="00CB3DD7">
              <w:rPr>
                <w:rFonts w:ascii="Calibri" w:hAnsi="Calibri" w:cs="Calibri"/>
                <w:color w:val="000000"/>
                <w:sz w:val="20"/>
                <w:szCs w:val="20"/>
              </w:rPr>
              <w:t>ing</w:t>
            </w:r>
            <w:r w:rsidR="00CE5F17" w:rsidRPr="002922CA">
              <w:rPr>
                <w:rFonts w:ascii="Calibri" w:hAnsi="Calibri" w:cs="Calibri"/>
                <w:color w:val="000000"/>
                <w:sz w:val="20"/>
                <w:szCs w:val="20"/>
              </w:rPr>
              <w:t xml:space="preserve"> 400 mg per day </w:t>
            </w:r>
          </w:p>
          <w:p w14:paraId="5FD483A7" w14:textId="537F1C67" w:rsidR="00624539" w:rsidRPr="002922CA" w:rsidRDefault="00CE5F17" w:rsidP="007B38BA">
            <w:pPr>
              <w:pStyle w:val="ListParagraph"/>
              <w:numPr>
                <w:ilvl w:val="0"/>
                <w:numId w:val="43"/>
              </w:numPr>
              <w:spacing w:before="60" w:after="60"/>
              <w:rPr>
                <w:rFonts w:ascii="Calibri" w:hAnsi="Calibri" w:cs="Calibri"/>
                <w:color w:val="000000"/>
                <w:sz w:val="20"/>
                <w:szCs w:val="20"/>
              </w:rPr>
            </w:pPr>
            <w:r w:rsidRPr="002922CA">
              <w:rPr>
                <w:rFonts w:ascii="Calibri" w:hAnsi="Calibri" w:cs="Calibri"/>
                <w:color w:val="000000"/>
                <w:sz w:val="20"/>
                <w:szCs w:val="20"/>
              </w:rPr>
              <w:t xml:space="preserve">treatment must not exceed 3 months </w:t>
            </w:r>
          </w:p>
        </w:tc>
        <w:tc>
          <w:tcPr>
            <w:tcW w:w="3909" w:type="dxa"/>
          </w:tcPr>
          <w:p w14:paraId="5F35A635" w14:textId="40A0E60B" w:rsidR="00624539" w:rsidRDefault="0037321B" w:rsidP="007B38BA">
            <w:pPr>
              <w:spacing w:before="60" w:after="60"/>
              <w:rPr>
                <w:rFonts w:ascii="Calibri" w:hAnsi="Calibri" w:cs="Calibri"/>
                <w:iCs/>
                <w:color w:val="000000"/>
                <w:sz w:val="20"/>
                <w:szCs w:val="20"/>
              </w:rPr>
            </w:pPr>
            <w:r>
              <w:rPr>
                <w:rFonts w:ascii="Calibri" w:hAnsi="Calibri" w:cs="Calibri"/>
                <w:iCs/>
                <w:color w:val="000000"/>
                <w:sz w:val="20"/>
                <w:szCs w:val="20"/>
              </w:rPr>
              <w:t>Authority Required (STREAMLINED)</w:t>
            </w:r>
          </w:p>
          <w:p w14:paraId="536A61F6" w14:textId="73F4B86E" w:rsidR="00D73118" w:rsidRDefault="00D73118" w:rsidP="007B38BA">
            <w:pPr>
              <w:pStyle w:val="ListParagraph"/>
              <w:numPr>
                <w:ilvl w:val="0"/>
                <w:numId w:val="44"/>
              </w:numPr>
              <w:spacing w:before="60" w:after="60"/>
              <w:rPr>
                <w:rFonts w:ascii="Calibri" w:hAnsi="Calibri" w:cs="Calibri"/>
                <w:iCs/>
                <w:color w:val="000000"/>
                <w:sz w:val="20"/>
                <w:szCs w:val="20"/>
              </w:rPr>
            </w:pPr>
            <w:r>
              <w:rPr>
                <w:rFonts w:ascii="Calibri" w:hAnsi="Calibri" w:cs="Calibri"/>
                <w:iCs/>
                <w:color w:val="000000"/>
                <w:sz w:val="20"/>
                <w:szCs w:val="20"/>
              </w:rPr>
              <w:t>must not be resectable</w:t>
            </w:r>
          </w:p>
          <w:p w14:paraId="13DE0C7D" w14:textId="563BE91A" w:rsidR="0037321B" w:rsidRDefault="0037321B" w:rsidP="007B38BA">
            <w:pPr>
              <w:pStyle w:val="ListParagraph"/>
              <w:numPr>
                <w:ilvl w:val="0"/>
                <w:numId w:val="44"/>
              </w:numPr>
              <w:spacing w:before="60" w:after="60"/>
              <w:rPr>
                <w:rFonts w:ascii="Calibri" w:hAnsi="Calibri" w:cs="Calibri"/>
                <w:iCs/>
                <w:color w:val="000000"/>
                <w:sz w:val="20"/>
                <w:szCs w:val="20"/>
              </w:rPr>
            </w:pPr>
            <w:r>
              <w:rPr>
                <w:rFonts w:ascii="Calibri" w:hAnsi="Calibri" w:cs="Calibri"/>
                <w:iCs/>
                <w:color w:val="000000"/>
                <w:sz w:val="20"/>
                <w:szCs w:val="20"/>
              </w:rPr>
              <w:t xml:space="preserve">must have previously received PBS-subsidised treatment </w:t>
            </w:r>
          </w:p>
          <w:p w14:paraId="231927B2" w14:textId="4C6B8F45" w:rsidR="0037321B" w:rsidRPr="0037321B" w:rsidRDefault="008B19ED" w:rsidP="007B38BA">
            <w:pPr>
              <w:pStyle w:val="ListParagraph"/>
              <w:numPr>
                <w:ilvl w:val="0"/>
                <w:numId w:val="44"/>
              </w:numPr>
              <w:spacing w:before="60" w:after="60"/>
              <w:rPr>
                <w:rFonts w:ascii="Calibri" w:hAnsi="Calibri" w:cs="Calibri"/>
                <w:iCs/>
                <w:color w:val="000000"/>
                <w:sz w:val="20"/>
                <w:szCs w:val="20"/>
              </w:rPr>
            </w:pPr>
            <w:r>
              <w:rPr>
                <w:rFonts w:ascii="Calibri" w:hAnsi="Calibri" w:cs="Calibri"/>
                <w:iCs/>
                <w:color w:val="000000"/>
                <w:sz w:val="20"/>
                <w:szCs w:val="20"/>
              </w:rPr>
              <w:t xml:space="preserve">dose must not exceed 600 mg per day </w:t>
            </w:r>
          </w:p>
        </w:tc>
      </w:tr>
      <w:tr w:rsidR="00624539" w14:paraId="19B2B24C" w14:textId="7609BC9E" w:rsidTr="003421E1">
        <w:tc>
          <w:tcPr>
            <w:tcW w:w="1129" w:type="dxa"/>
          </w:tcPr>
          <w:p w14:paraId="7A5D9DBC" w14:textId="77777777" w:rsidR="00624539" w:rsidRPr="00AA08FC" w:rsidRDefault="00624539" w:rsidP="007B38BA">
            <w:pPr>
              <w:spacing w:before="60" w:after="60"/>
              <w:rPr>
                <w:sz w:val="20"/>
                <w:szCs w:val="20"/>
              </w:rPr>
            </w:pPr>
            <w:r w:rsidRPr="00AA08FC">
              <w:rPr>
                <w:sz w:val="20"/>
                <w:szCs w:val="20"/>
              </w:rPr>
              <w:t>Sunitinib</w:t>
            </w:r>
          </w:p>
        </w:tc>
        <w:tc>
          <w:tcPr>
            <w:tcW w:w="3909" w:type="dxa"/>
          </w:tcPr>
          <w:p w14:paraId="1A6AF2AF" w14:textId="7525CA50" w:rsidR="00624539" w:rsidRPr="00CE5F17" w:rsidRDefault="00624539" w:rsidP="007B38BA">
            <w:pPr>
              <w:spacing w:before="60" w:after="60"/>
              <w:rPr>
                <w:rFonts w:ascii="Calibri" w:hAnsi="Calibri" w:cs="Calibri"/>
                <w:iCs/>
                <w:color w:val="000000"/>
                <w:sz w:val="20"/>
                <w:szCs w:val="20"/>
              </w:rPr>
            </w:pPr>
            <w:r w:rsidRPr="00CE5F17">
              <w:rPr>
                <w:rFonts w:ascii="Calibri" w:hAnsi="Calibri" w:cs="Calibri"/>
                <w:iCs/>
                <w:color w:val="000000"/>
                <w:sz w:val="20"/>
                <w:szCs w:val="20"/>
              </w:rPr>
              <w:t xml:space="preserve">Authority Required </w:t>
            </w:r>
            <w:r w:rsidR="004512E3">
              <w:rPr>
                <w:rFonts w:ascii="Calibri" w:hAnsi="Calibri" w:cs="Calibri"/>
                <w:iCs/>
                <w:color w:val="000000"/>
                <w:sz w:val="20"/>
                <w:szCs w:val="20"/>
              </w:rPr>
              <w:t>(</w:t>
            </w:r>
            <w:r w:rsidR="00865BBA">
              <w:rPr>
                <w:rFonts w:ascii="Calibri" w:hAnsi="Calibri" w:cs="Calibri"/>
                <w:iCs/>
                <w:color w:val="000000"/>
                <w:sz w:val="20"/>
                <w:szCs w:val="20"/>
              </w:rPr>
              <w:t>o</w:t>
            </w:r>
            <w:r w:rsidR="006114DF" w:rsidRPr="006114DF">
              <w:rPr>
                <w:rFonts w:ascii="Calibri" w:hAnsi="Calibri" w:cs="Calibri"/>
                <w:iCs/>
                <w:color w:val="000000"/>
                <w:sz w:val="20"/>
                <w:szCs w:val="20"/>
              </w:rPr>
              <w:t>nline</w:t>
            </w:r>
            <w:r w:rsidR="00376136">
              <w:rPr>
                <w:rFonts w:ascii="Calibri" w:hAnsi="Calibri" w:cs="Calibri"/>
                <w:iCs/>
                <w:color w:val="000000"/>
                <w:sz w:val="20"/>
                <w:szCs w:val="20"/>
              </w:rPr>
              <w:t>/</w:t>
            </w:r>
            <w:r w:rsidR="006114DF" w:rsidRPr="006114DF">
              <w:rPr>
                <w:rFonts w:ascii="Calibri" w:hAnsi="Calibri" w:cs="Calibri"/>
                <w:iCs/>
                <w:color w:val="000000"/>
                <w:sz w:val="20"/>
                <w:szCs w:val="20"/>
              </w:rPr>
              <w:t>mail</w:t>
            </w:r>
            <w:r w:rsidR="004512E3">
              <w:rPr>
                <w:rFonts w:ascii="Calibri" w:hAnsi="Calibri" w:cs="Calibri"/>
                <w:iCs/>
                <w:color w:val="000000"/>
                <w:sz w:val="20"/>
                <w:szCs w:val="20"/>
              </w:rPr>
              <w:t>)</w:t>
            </w:r>
          </w:p>
          <w:p w14:paraId="64432444" w14:textId="06DCAE6D" w:rsidR="00D73118" w:rsidRPr="00D73118" w:rsidRDefault="00D73118" w:rsidP="00D73118">
            <w:pPr>
              <w:pStyle w:val="ListParagraph"/>
              <w:numPr>
                <w:ilvl w:val="0"/>
                <w:numId w:val="31"/>
              </w:numPr>
              <w:spacing w:before="60" w:after="60"/>
              <w:rPr>
                <w:rFonts w:ascii="Calibri" w:hAnsi="Calibri" w:cs="Calibri"/>
                <w:color w:val="000000"/>
                <w:sz w:val="20"/>
                <w:szCs w:val="20"/>
              </w:rPr>
            </w:pPr>
            <w:r w:rsidRPr="00D73118">
              <w:rPr>
                <w:rFonts w:ascii="Calibri" w:hAnsi="Calibri" w:cs="Calibri"/>
                <w:color w:val="000000"/>
                <w:sz w:val="20"/>
                <w:szCs w:val="20"/>
              </w:rPr>
              <w:t>must not be resectable</w:t>
            </w:r>
          </w:p>
          <w:p w14:paraId="4FBE4046" w14:textId="408C5FC7" w:rsidR="00CE5F17" w:rsidRPr="003A5F6C" w:rsidRDefault="00CE5F17" w:rsidP="007B38BA">
            <w:pPr>
              <w:pStyle w:val="ListParagraph"/>
              <w:numPr>
                <w:ilvl w:val="0"/>
                <w:numId w:val="31"/>
              </w:numPr>
              <w:spacing w:before="60" w:after="60"/>
              <w:rPr>
                <w:rFonts w:ascii="Calibri" w:hAnsi="Calibri" w:cs="Calibri"/>
                <w:color w:val="000000"/>
                <w:sz w:val="20"/>
                <w:szCs w:val="20"/>
              </w:rPr>
            </w:pPr>
            <w:r w:rsidRPr="003A5F6C">
              <w:rPr>
                <w:rFonts w:ascii="Calibri" w:hAnsi="Calibri" w:cs="Calibri"/>
                <w:color w:val="000000"/>
                <w:sz w:val="20"/>
                <w:szCs w:val="20"/>
              </w:rPr>
              <w:t>must be monotherapy</w:t>
            </w:r>
          </w:p>
          <w:p w14:paraId="50B49339" w14:textId="77777777" w:rsidR="00CE5F17" w:rsidRPr="003A5F6C" w:rsidRDefault="00CE5F17" w:rsidP="007B38BA">
            <w:pPr>
              <w:pStyle w:val="ListParagraph"/>
              <w:numPr>
                <w:ilvl w:val="0"/>
                <w:numId w:val="31"/>
              </w:numPr>
              <w:spacing w:before="60" w:after="60"/>
              <w:rPr>
                <w:rFonts w:ascii="Calibri" w:hAnsi="Calibri" w:cs="Calibri"/>
                <w:color w:val="000000"/>
                <w:sz w:val="20"/>
                <w:szCs w:val="20"/>
              </w:rPr>
            </w:pPr>
            <w:r w:rsidRPr="003A5F6C">
              <w:rPr>
                <w:rFonts w:ascii="Calibri" w:hAnsi="Calibri" w:cs="Calibri"/>
                <w:color w:val="000000"/>
                <w:sz w:val="20"/>
                <w:szCs w:val="20"/>
              </w:rPr>
              <w:t>WHO performance 2 or less</w:t>
            </w:r>
          </w:p>
          <w:p w14:paraId="1746FF09" w14:textId="53EABBDE" w:rsidR="00624539" w:rsidRPr="004512E3" w:rsidRDefault="00CE5F17" w:rsidP="007B38BA">
            <w:pPr>
              <w:pStyle w:val="ListParagraph"/>
              <w:numPr>
                <w:ilvl w:val="0"/>
                <w:numId w:val="31"/>
              </w:numPr>
              <w:spacing w:before="60" w:after="60"/>
              <w:rPr>
                <w:rFonts w:ascii="Calibri" w:hAnsi="Calibri" w:cs="Calibri"/>
                <w:color w:val="000000"/>
                <w:sz w:val="20"/>
                <w:szCs w:val="20"/>
              </w:rPr>
            </w:pPr>
            <w:r w:rsidRPr="003A5F6C">
              <w:rPr>
                <w:rFonts w:ascii="Calibri" w:hAnsi="Calibri" w:cs="Calibri"/>
                <w:color w:val="000000"/>
                <w:sz w:val="20"/>
                <w:szCs w:val="20"/>
              </w:rPr>
              <w:t>must have failed/intolerant to imatinib</w:t>
            </w:r>
          </w:p>
        </w:tc>
        <w:tc>
          <w:tcPr>
            <w:tcW w:w="3909" w:type="dxa"/>
          </w:tcPr>
          <w:p w14:paraId="0E696356" w14:textId="386CEFD5" w:rsidR="00624539" w:rsidRPr="003A5F6C" w:rsidRDefault="00CE5F17" w:rsidP="007B38BA">
            <w:pPr>
              <w:spacing w:before="60" w:after="60"/>
              <w:rPr>
                <w:rFonts w:ascii="Calibri" w:hAnsi="Calibri" w:cs="Calibri"/>
                <w:color w:val="000000"/>
                <w:sz w:val="20"/>
                <w:szCs w:val="20"/>
              </w:rPr>
            </w:pPr>
            <w:r w:rsidRPr="003A5F6C">
              <w:rPr>
                <w:sz w:val="20"/>
                <w:szCs w:val="20"/>
              </w:rPr>
              <w:t>Authority Required (STREAMLINED)</w:t>
            </w:r>
          </w:p>
          <w:p w14:paraId="44277E7C" w14:textId="2CB497D2" w:rsidR="00D73118" w:rsidRDefault="00D73118" w:rsidP="007B38BA">
            <w:pPr>
              <w:pStyle w:val="ListParagraph"/>
              <w:numPr>
                <w:ilvl w:val="0"/>
                <w:numId w:val="30"/>
              </w:numPr>
              <w:spacing w:before="60" w:after="60"/>
              <w:rPr>
                <w:rFonts w:ascii="Calibri" w:hAnsi="Calibri" w:cs="Calibri"/>
                <w:color w:val="000000"/>
                <w:sz w:val="20"/>
                <w:szCs w:val="20"/>
              </w:rPr>
            </w:pPr>
            <w:r>
              <w:rPr>
                <w:rFonts w:ascii="Calibri" w:hAnsi="Calibri" w:cs="Calibri"/>
                <w:color w:val="000000"/>
                <w:sz w:val="20"/>
                <w:szCs w:val="20"/>
              </w:rPr>
              <w:t>must not be resectable</w:t>
            </w:r>
          </w:p>
          <w:p w14:paraId="25F39D80" w14:textId="6469A68E" w:rsidR="00CE5F17" w:rsidRPr="006F4736" w:rsidRDefault="00CE5F17" w:rsidP="007B38BA">
            <w:pPr>
              <w:pStyle w:val="ListParagraph"/>
              <w:numPr>
                <w:ilvl w:val="0"/>
                <w:numId w:val="30"/>
              </w:numPr>
              <w:spacing w:before="60" w:after="60"/>
              <w:rPr>
                <w:rFonts w:ascii="Calibri" w:hAnsi="Calibri" w:cs="Calibri"/>
                <w:color w:val="000000"/>
                <w:sz w:val="20"/>
                <w:szCs w:val="20"/>
              </w:rPr>
            </w:pPr>
            <w:r w:rsidRPr="006F4736">
              <w:rPr>
                <w:rFonts w:ascii="Calibri" w:hAnsi="Calibri" w:cs="Calibri"/>
                <w:color w:val="000000"/>
                <w:sz w:val="20"/>
                <w:szCs w:val="20"/>
              </w:rPr>
              <w:t>must have had initial authority script for GIST</w:t>
            </w:r>
          </w:p>
          <w:p w14:paraId="0DEDF2EC" w14:textId="77777777" w:rsidR="00CE5F17" w:rsidRPr="006F4736" w:rsidRDefault="00CE5F17" w:rsidP="007B38BA">
            <w:pPr>
              <w:pStyle w:val="ListParagraph"/>
              <w:numPr>
                <w:ilvl w:val="0"/>
                <w:numId w:val="30"/>
              </w:numPr>
              <w:spacing w:before="60" w:after="60"/>
              <w:rPr>
                <w:rFonts w:ascii="Calibri" w:hAnsi="Calibri" w:cs="Calibri"/>
                <w:color w:val="000000"/>
                <w:sz w:val="20"/>
                <w:szCs w:val="20"/>
              </w:rPr>
            </w:pPr>
            <w:r w:rsidRPr="006F4736">
              <w:rPr>
                <w:rFonts w:ascii="Calibri" w:hAnsi="Calibri" w:cs="Calibri"/>
                <w:color w:val="000000"/>
                <w:sz w:val="20"/>
                <w:szCs w:val="20"/>
              </w:rPr>
              <w:t>must be monotherapy</w:t>
            </w:r>
          </w:p>
          <w:p w14:paraId="3EC7D9E8" w14:textId="629D33FF" w:rsidR="00CD4A5F" w:rsidRDefault="00CE5F17" w:rsidP="007B38BA">
            <w:pPr>
              <w:pStyle w:val="ListParagraph"/>
              <w:numPr>
                <w:ilvl w:val="0"/>
                <w:numId w:val="30"/>
              </w:numPr>
              <w:spacing w:before="60" w:after="60"/>
              <w:rPr>
                <w:rFonts w:ascii="Calibri" w:hAnsi="Calibri" w:cs="Calibri"/>
                <w:color w:val="000000"/>
                <w:sz w:val="20"/>
                <w:szCs w:val="20"/>
              </w:rPr>
            </w:pPr>
            <w:r w:rsidRPr="006F4736">
              <w:rPr>
                <w:rFonts w:ascii="Calibri" w:hAnsi="Calibri" w:cs="Calibri"/>
                <w:color w:val="000000"/>
                <w:sz w:val="20"/>
                <w:szCs w:val="20"/>
              </w:rPr>
              <w:t>WHO performance</w:t>
            </w:r>
            <w:r w:rsidR="00554109">
              <w:rPr>
                <w:rFonts w:ascii="Calibri" w:hAnsi="Calibri" w:cs="Calibri"/>
                <w:color w:val="000000"/>
                <w:sz w:val="20"/>
                <w:szCs w:val="20"/>
              </w:rPr>
              <w:t xml:space="preserve"> status of</w:t>
            </w:r>
            <w:r w:rsidRPr="006F4736">
              <w:rPr>
                <w:rFonts w:ascii="Calibri" w:hAnsi="Calibri" w:cs="Calibri"/>
                <w:color w:val="000000"/>
                <w:sz w:val="20"/>
                <w:szCs w:val="20"/>
              </w:rPr>
              <w:t xml:space="preserve"> 2 or less</w:t>
            </w:r>
          </w:p>
          <w:p w14:paraId="6E95F284" w14:textId="5B8CACA3" w:rsidR="00624539" w:rsidRPr="00CD4A5F" w:rsidRDefault="00CE5F17" w:rsidP="007B38BA">
            <w:pPr>
              <w:pStyle w:val="ListParagraph"/>
              <w:numPr>
                <w:ilvl w:val="0"/>
                <w:numId w:val="30"/>
              </w:numPr>
              <w:spacing w:before="60" w:after="60"/>
              <w:rPr>
                <w:rFonts w:ascii="Calibri" w:hAnsi="Calibri" w:cs="Calibri"/>
                <w:color w:val="000000"/>
                <w:sz w:val="20"/>
                <w:szCs w:val="20"/>
              </w:rPr>
            </w:pPr>
            <w:r w:rsidRPr="00CD4A5F">
              <w:rPr>
                <w:rFonts w:ascii="Calibri" w:hAnsi="Calibri" w:cs="Calibri"/>
                <w:color w:val="000000"/>
                <w:sz w:val="20"/>
                <w:szCs w:val="20"/>
              </w:rPr>
              <w:t>must not be progressive disease</w:t>
            </w:r>
          </w:p>
        </w:tc>
      </w:tr>
      <w:tr w:rsidR="00624539" w14:paraId="444CE53D" w14:textId="49CA4F27" w:rsidTr="003421E1">
        <w:tc>
          <w:tcPr>
            <w:tcW w:w="1129" w:type="dxa"/>
          </w:tcPr>
          <w:p w14:paraId="3065BBC0" w14:textId="055E47B4" w:rsidR="00624539" w:rsidRPr="00AA08FC" w:rsidRDefault="00624539" w:rsidP="007B38BA">
            <w:pPr>
              <w:spacing w:before="60" w:after="60"/>
              <w:rPr>
                <w:sz w:val="20"/>
                <w:szCs w:val="20"/>
              </w:rPr>
            </w:pPr>
            <w:r>
              <w:rPr>
                <w:sz w:val="20"/>
                <w:szCs w:val="20"/>
              </w:rPr>
              <w:t xml:space="preserve">Ripretinib </w:t>
            </w:r>
          </w:p>
        </w:tc>
        <w:tc>
          <w:tcPr>
            <w:tcW w:w="3909" w:type="dxa"/>
          </w:tcPr>
          <w:p w14:paraId="7769D06C" w14:textId="70E58E52" w:rsidR="00C7206C" w:rsidRPr="004512E3" w:rsidRDefault="00C7206C" w:rsidP="007B38BA">
            <w:pPr>
              <w:spacing w:before="60" w:after="60"/>
              <w:rPr>
                <w:rFonts w:ascii="Calibri" w:hAnsi="Calibri" w:cs="Calibri"/>
                <w:iCs/>
                <w:color w:val="000000"/>
                <w:sz w:val="20"/>
                <w:szCs w:val="20"/>
              </w:rPr>
            </w:pPr>
            <w:r w:rsidRPr="004512E3">
              <w:rPr>
                <w:rFonts w:ascii="Calibri" w:hAnsi="Calibri" w:cs="Calibri"/>
                <w:iCs/>
                <w:color w:val="000000"/>
                <w:sz w:val="20"/>
                <w:szCs w:val="20"/>
              </w:rPr>
              <w:t xml:space="preserve">Authority </w:t>
            </w:r>
            <w:r w:rsidR="001B50BC" w:rsidRPr="004512E3">
              <w:rPr>
                <w:rFonts w:ascii="Calibri" w:hAnsi="Calibri" w:cs="Calibri"/>
                <w:iCs/>
                <w:color w:val="000000"/>
                <w:sz w:val="20"/>
                <w:szCs w:val="20"/>
              </w:rPr>
              <w:t>Required</w:t>
            </w:r>
            <w:r w:rsidRPr="004512E3">
              <w:rPr>
                <w:rFonts w:ascii="Calibri" w:hAnsi="Calibri" w:cs="Calibri"/>
                <w:iCs/>
                <w:color w:val="000000"/>
                <w:sz w:val="20"/>
                <w:szCs w:val="20"/>
              </w:rPr>
              <w:t xml:space="preserve"> (</w:t>
            </w:r>
            <w:r w:rsidR="001B50BC" w:rsidRPr="004512E3">
              <w:rPr>
                <w:rFonts w:ascii="Calibri" w:hAnsi="Calibri" w:cs="Calibri"/>
                <w:iCs/>
                <w:color w:val="000000"/>
                <w:sz w:val="20"/>
                <w:szCs w:val="20"/>
              </w:rPr>
              <w:t>online/telephone)</w:t>
            </w:r>
          </w:p>
          <w:p w14:paraId="386F5122" w14:textId="0081320D" w:rsidR="00CE5F17" w:rsidRPr="004512E3" w:rsidRDefault="00CE5F17" w:rsidP="007B38BA">
            <w:pPr>
              <w:pStyle w:val="ListParagraph"/>
              <w:numPr>
                <w:ilvl w:val="0"/>
                <w:numId w:val="42"/>
              </w:numPr>
              <w:spacing w:before="60" w:after="60"/>
              <w:rPr>
                <w:rFonts w:ascii="Calibri" w:hAnsi="Calibri" w:cs="Calibri"/>
                <w:iCs/>
                <w:color w:val="000000"/>
                <w:sz w:val="20"/>
                <w:szCs w:val="20"/>
              </w:rPr>
            </w:pPr>
            <w:r w:rsidRPr="004512E3">
              <w:rPr>
                <w:rFonts w:ascii="Calibri" w:hAnsi="Calibri" w:cs="Calibri"/>
                <w:iCs/>
                <w:color w:val="000000"/>
                <w:sz w:val="20"/>
                <w:szCs w:val="20"/>
              </w:rPr>
              <w:t xml:space="preserve">must not be resectable </w:t>
            </w:r>
          </w:p>
          <w:p w14:paraId="21884857" w14:textId="77777777" w:rsidR="00CE5F17" w:rsidRPr="004512E3" w:rsidRDefault="00CE5F17" w:rsidP="007B38BA">
            <w:pPr>
              <w:pStyle w:val="ListParagraph"/>
              <w:numPr>
                <w:ilvl w:val="0"/>
                <w:numId w:val="42"/>
              </w:numPr>
              <w:spacing w:before="60" w:after="60"/>
              <w:rPr>
                <w:rFonts w:ascii="Calibri" w:hAnsi="Calibri" w:cs="Calibri"/>
                <w:iCs/>
                <w:color w:val="000000"/>
                <w:sz w:val="20"/>
                <w:szCs w:val="20"/>
              </w:rPr>
            </w:pPr>
            <w:r w:rsidRPr="004512E3">
              <w:rPr>
                <w:rFonts w:ascii="Calibri" w:hAnsi="Calibri" w:cs="Calibri"/>
                <w:iCs/>
                <w:color w:val="000000"/>
                <w:sz w:val="20"/>
                <w:szCs w:val="20"/>
              </w:rPr>
              <w:t xml:space="preserve">must be monotherapy </w:t>
            </w:r>
          </w:p>
          <w:p w14:paraId="3D5F1BCE" w14:textId="77777777" w:rsidR="00CE5F17" w:rsidRPr="004512E3" w:rsidRDefault="00CE5F17" w:rsidP="007B38BA">
            <w:pPr>
              <w:pStyle w:val="ListParagraph"/>
              <w:numPr>
                <w:ilvl w:val="0"/>
                <w:numId w:val="42"/>
              </w:numPr>
              <w:spacing w:before="60" w:after="60"/>
              <w:rPr>
                <w:rFonts w:ascii="Calibri" w:hAnsi="Calibri" w:cs="Calibri"/>
                <w:iCs/>
                <w:color w:val="000000"/>
                <w:sz w:val="20"/>
                <w:szCs w:val="20"/>
              </w:rPr>
            </w:pPr>
            <w:r w:rsidRPr="004512E3">
              <w:rPr>
                <w:rFonts w:ascii="Calibri" w:hAnsi="Calibri" w:cs="Calibri"/>
                <w:iCs/>
                <w:color w:val="000000"/>
                <w:sz w:val="20"/>
                <w:szCs w:val="20"/>
              </w:rPr>
              <w:lastRenderedPageBreak/>
              <w:t xml:space="preserve">WHO performance status of 2 or less </w:t>
            </w:r>
          </w:p>
          <w:p w14:paraId="49E07DF4" w14:textId="3F2C0373" w:rsidR="00624539" w:rsidRPr="004512E3" w:rsidRDefault="00CE5F17" w:rsidP="007B38BA">
            <w:pPr>
              <w:pStyle w:val="ListParagraph"/>
              <w:numPr>
                <w:ilvl w:val="0"/>
                <w:numId w:val="42"/>
              </w:numPr>
              <w:spacing w:before="60" w:after="60"/>
              <w:rPr>
                <w:rFonts w:ascii="Calibri" w:hAnsi="Calibri" w:cs="Calibri"/>
                <w:iCs/>
                <w:color w:val="000000"/>
                <w:sz w:val="20"/>
                <w:szCs w:val="20"/>
              </w:rPr>
            </w:pPr>
            <w:r w:rsidRPr="004512E3">
              <w:rPr>
                <w:rFonts w:ascii="Calibri" w:hAnsi="Calibri" w:cs="Calibri"/>
                <w:iCs/>
                <w:color w:val="000000"/>
                <w:sz w:val="20"/>
                <w:szCs w:val="20"/>
              </w:rPr>
              <w:t>Condition must ha</w:t>
            </w:r>
            <w:r w:rsidR="00220C2C">
              <w:rPr>
                <w:rFonts w:ascii="Calibri" w:hAnsi="Calibri" w:cs="Calibri"/>
                <w:iCs/>
                <w:color w:val="000000"/>
                <w:sz w:val="20"/>
                <w:szCs w:val="20"/>
              </w:rPr>
              <w:t>v</w:t>
            </w:r>
            <w:r w:rsidRPr="004512E3">
              <w:rPr>
                <w:rFonts w:ascii="Calibri" w:hAnsi="Calibri" w:cs="Calibri"/>
                <w:iCs/>
                <w:color w:val="000000"/>
                <w:sz w:val="20"/>
                <w:szCs w:val="20"/>
              </w:rPr>
              <w:t xml:space="preserve">e progressed despite treatment with all drugs </w:t>
            </w:r>
            <w:r w:rsidR="00502AE5">
              <w:rPr>
                <w:rFonts w:ascii="Calibri" w:hAnsi="Calibri" w:cs="Calibri"/>
                <w:iCs/>
                <w:color w:val="000000"/>
                <w:sz w:val="20"/>
                <w:szCs w:val="20"/>
              </w:rPr>
              <w:t>PBS list</w:t>
            </w:r>
            <w:r w:rsidRPr="004512E3">
              <w:rPr>
                <w:rFonts w:ascii="Calibri" w:hAnsi="Calibri" w:cs="Calibri"/>
                <w:iCs/>
                <w:color w:val="000000"/>
                <w:sz w:val="20"/>
                <w:szCs w:val="20"/>
              </w:rPr>
              <w:t>ed for this indication</w:t>
            </w:r>
          </w:p>
        </w:tc>
        <w:tc>
          <w:tcPr>
            <w:tcW w:w="3909" w:type="dxa"/>
          </w:tcPr>
          <w:p w14:paraId="18C9F689" w14:textId="77777777" w:rsidR="006572F6" w:rsidRPr="004512E3" w:rsidRDefault="006572F6" w:rsidP="007B38BA">
            <w:pPr>
              <w:spacing w:before="60" w:after="60"/>
              <w:rPr>
                <w:rFonts w:ascii="Calibri" w:hAnsi="Calibri" w:cs="Calibri"/>
                <w:iCs/>
                <w:color w:val="000000"/>
                <w:sz w:val="20"/>
                <w:szCs w:val="20"/>
              </w:rPr>
            </w:pPr>
            <w:r w:rsidRPr="004512E3">
              <w:rPr>
                <w:rFonts w:ascii="Calibri" w:hAnsi="Calibri" w:cs="Calibri"/>
                <w:iCs/>
                <w:color w:val="000000"/>
                <w:sz w:val="20"/>
                <w:szCs w:val="20"/>
              </w:rPr>
              <w:lastRenderedPageBreak/>
              <w:t>Authority Required (online/telephone)</w:t>
            </w:r>
          </w:p>
          <w:p w14:paraId="449B2577" w14:textId="64BE3FEF" w:rsidR="00624539" w:rsidRDefault="00D73118" w:rsidP="007B38BA">
            <w:pPr>
              <w:pStyle w:val="ListParagraph"/>
              <w:numPr>
                <w:ilvl w:val="0"/>
                <w:numId w:val="45"/>
              </w:numPr>
              <w:spacing w:before="60" w:after="60"/>
              <w:rPr>
                <w:rFonts w:ascii="Calibri" w:hAnsi="Calibri" w:cs="Calibri"/>
                <w:iCs/>
                <w:color w:val="000000"/>
                <w:sz w:val="20"/>
                <w:szCs w:val="20"/>
              </w:rPr>
            </w:pPr>
            <w:r>
              <w:rPr>
                <w:rFonts w:ascii="Calibri" w:hAnsi="Calibri" w:cs="Calibri"/>
                <w:iCs/>
                <w:color w:val="000000"/>
                <w:sz w:val="20"/>
                <w:szCs w:val="20"/>
              </w:rPr>
              <w:t>must not be resectable</w:t>
            </w:r>
          </w:p>
          <w:p w14:paraId="2F27C413" w14:textId="7912D9F0" w:rsidR="00220C2C" w:rsidRDefault="00D73118" w:rsidP="007B38BA">
            <w:pPr>
              <w:pStyle w:val="ListParagraph"/>
              <w:numPr>
                <w:ilvl w:val="0"/>
                <w:numId w:val="45"/>
              </w:numPr>
              <w:spacing w:before="60" w:after="60"/>
              <w:rPr>
                <w:rFonts w:ascii="Calibri" w:hAnsi="Calibri" w:cs="Calibri"/>
                <w:iCs/>
                <w:color w:val="000000"/>
                <w:sz w:val="20"/>
                <w:szCs w:val="20"/>
              </w:rPr>
            </w:pPr>
            <w:r>
              <w:rPr>
                <w:rFonts w:ascii="Calibri" w:hAnsi="Calibri" w:cs="Calibri"/>
                <w:iCs/>
                <w:color w:val="000000"/>
                <w:sz w:val="20"/>
                <w:szCs w:val="20"/>
              </w:rPr>
              <w:lastRenderedPageBreak/>
              <w:t xml:space="preserve">must have received PBS-subsidised treatment with this drug for this condition </w:t>
            </w:r>
          </w:p>
          <w:p w14:paraId="2C2E84FA" w14:textId="24278601" w:rsidR="00220C2C" w:rsidRDefault="00D73118" w:rsidP="007B38BA">
            <w:pPr>
              <w:pStyle w:val="ListParagraph"/>
              <w:numPr>
                <w:ilvl w:val="0"/>
                <w:numId w:val="45"/>
              </w:numPr>
              <w:spacing w:before="60" w:after="60"/>
              <w:rPr>
                <w:rFonts w:ascii="Calibri" w:hAnsi="Calibri" w:cs="Calibri"/>
                <w:iCs/>
                <w:color w:val="000000"/>
                <w:sz w:val="20"/>
                <w:szCs w:val="20"/>
              </w:rPr>
            </w:pPr>
            <w:r>
              <w:rPr>
                <w:rFonts w:ascii="Calibri" w:hAnsi="Calibri" w:cs="Calibri"/>
                <w:iCs/>
                <w:color w:val="000000"/>
                <w:sz w:val="20"/>
                <w:szCs w:val="20"/>
              </w:rPr>
              <w:t xml:space="preserve">monotherapy </w:t>
            </w:r>
          </w:p>
          <w:p w14:paraId="714B6D3F" w14:textId="66B59EB8" w:rsidR="00220C2C" w:rsidRPr="006572F6" w:rsidRDefault="00D73118" w:rsidP="007B38BA">
            <w:pPr>
              <w:pStyle w:val="ListParagraph"/>
              <w:numPr>
                <w:ilvl w:val="0"/>
                <w:numId w:val="45"/>
              </w:numPr>
              <w:spacing w:before="60" w:after="60"/>
              <w:rPr>
                <w:rFonts w:ascii="Calibri" w:hAnsi="Calibri" w:cs="Calibri"/>
                <w:iCs/>
                <w:color w:val="000000"/>
                <w:sz w:val="20"/>
                <w:szCs w:val="20"/>
              </w:rPr>
            </w:pPr>
            <w:r>
              <w:rPr>
                <w:rFonts w:ascii="Calibri" w:hAnsi="Calibri" w:cs="Calibri"/>
                <w:iCs/>
                <w:color w:val="000000"/>
                <w:sz w:val="20"/>
                <w:szCs w:val="20"/>
              </w:rPr>
              <w:t xml:space="preserve">not developed disease progression while receiving treatment </w:t>
            </w:r>
          </w:p>
        </w:tc>
      </w:tr>
    </w:tbl>
    <w:p w14:paraId="22433632" w14:textId="6E8BB4B6" w:rsidR="006775F1" w:rsidRPr="006775F1" w:rsidDel="00EE2BBB" w:rsidRDefault="006775F1" w:rsidP="00A35800">
      <w:r w:rsidRPr="006775F1" w:rsidDel="00EE2BBB">
        <w:lastRenderedPageBreak/>
        <w:t xml:space="preserve">For </w:t>
      </w:r>
      <w:r w:rsidR="00835337" w:rsidDel="00EE2BBB">
        <w:t xml:space="preserve">details of the current PBS listing refer to the </w:t>
      </w:r>
      <w:hyperlink r:id="rId14" w:history="1">
        <w:r w:rsidR="00835337" w:rsidRPr="00645D51" w:rsidDel="00EE2BBB">
          <w:rPr>
            <w:rStyle w:val="Hyperlink"/>
          </w:rPr>
          <w:t>PBS website</w:t>
        </w:r>
      </w:hyperlink>
      <w:r w:rsidR="00835337" w:rsidDel="00EE2BBB">
        <w:rPr>
          <w:rStyle w:val="Hyperlink"/>
        </w:rPr>
        <w:t>.</w:t>
      </w:r>
    </w:p>
    <w:p w14:paraId="39EF75ED" w14:textId="73256AB5" w:rsidR="00675BB1" w:rsidRPr="00675BB1" w:rsidDel="00EE2BBB" w:rsidRDefault="00675BB1" w:rsidP="00CF5E22">
      <w:pPr>
        <w:pStyle w:val="Heading3"/>
      </w:pPr>
      <w:r w:rsidRPr="00675BB1" w:rsidDel="00EE2BBB">
        <w:t>Changes to listing</w:t>
      </w:r>
    </w:p>
    <w:p w14:paraId="34A54345" w14:textId="46BA410F" w:rsidR="000B3477" w:rsidRPr="000B3477" w:rsidRDefault="000B3477" w:rsidP="000B3477">
      <w:r>
        <w:t>Table 8 shows the changes to</w:t>
      </w:r>
      <w:r w:rsidR="004F3AB9">
        <w:t xml:space="preserve"> PBS listings of medicines for the treatment of GIST. </w:t>
      </w:r>
    </w:p>
    <w:p w14:paraId="1E629DA7" w14:textId="291563E0" w:rsidR="001C7F33" w:rsidRPr="001C7F33" w:rsidRDefault="001C7F33" w:rsidP="001C7F33">
      <w:pPr>
        <w:pStyle w:val="Tabletitle"/>
      </w:pPr>
      <w:r w:rsidRPr="000C7381">
        <w:t xml:space="preserve">Table </w:t>
      </w:r>
      <w:r w:rsidR="007B38BA">
        <w:t>8</w:t>
      </w:r>
      <w:r>
        <w:t xml:space="preserve">: Changes of PBS listing </w:t>
      </w:r>
      <w:r w:rsidR="00E20F15">
        <w:t xml:space="preserve">of GIST medicines </w:t>
      </w:r>
    </w:p>
    <w:tbl>
      <w:tblPr>
        <w:tblStyle w:val="TableGrid"/>
        <w:tblW w:w="0" w:type="auto"/>
        <w:tblLook w:val="04A0" w:firstRow="1" w:lastRow="0" w:firstColumn="1" w:lastColumn="0" w:noHBand="0" w:noVBand="1"/>
      </w:tblPr>
      <w:tblGrid>
        <w:gridCol w:w="1838"/>
        <w:gridCol w:w="7109"/>
      </w:tblGrid>
      <w:tr w:rsidR="007B1F3C" w:rsidRPr="006056D1" w14:paraId="7B4A0E71" w14:textId="77777777" w:rsidTr="00737B93">
        <w:tc>
          <w:tcPr>
            <w:tcW w:w="1838" w:type="dxa"/>
            <w:shd w:val="clear" w:color="auto" w:fill="BFBFBF" w:themeFill="background1" w:themeFillShade="BF"/>
          </w:tcPr>
          <w:p w14:paraId="1CFB5556" w14:textId="564FA0CC" w:rsidR="007B1F3C" w:rsidRPr="006056D1" w:rsidRDefault="00851313" w:rsidP="00737B93">
            <w:pPr>
              <w:spacing w:before="60" w:afterLines="60" w:after="144"/>
              <w:rPr>
                <w:b/>
                <w:bCs/>
                <w:sz w:val="20"/>
                <w:szCs w:val="20"/>
              </w:rPr>
            </w:pPr>
            <w:r w:rsidRPr="006056D1">
              <w:rPr>
                <w:b/>
                <w:bCs/>
                <w:sz w:val="20"/>
                <w:szCs w:val="20"/>
              </w:rPr>
              <w:t>Date</w:t>
            </w:r>
          </w:p>
        </w:tc>
        <w:tc>
          <w:tcPr>
            <w:tcW w:w="7109" w:type="dxa"/>
            <w:shd w:val="clear" w:color="auto" w:fill="BFBFBF" w:themeFill="background1" w:themeFillShade="BF"/>
          </w:tcPr>
          <w:p w14:paraId="7105819B" w14:textId="601F2E6D" w:rsidR="007B1F3C" w:rsidRPr="006056D1" w:rsidRDefault="00851313" w:rsidP="00737B93">
            <w:pPr>
              <w:spacing w:before="60" w:afterLines="60" w:after="144"/>
              <w:rPr>
                <w:b/>
                <w:bCs/>
                <w:sz w:val="20"/>
                <w:szCs w:val="20"/>
              </w:rPr>
            </w:pPr>
            <w:r w:rsidRPr="006056D1">
              <w:rPr>
                <w:b/>
                <w:bCs/>
                <w:sz w:val="20"/>
                <w:szCs w:val="20"/>
              </w:rPr>
              <w:t>Change</w:t>
            </w:r>
            <w:r w:rsidR="00DF4997" w:rsidRPr="006056D1">
              <w:rPr>
                <w:b/>
                <w:bCs/>
                <w:sz w:val="20"/>
                <w:szCs w:val="20"/>
              </w:rPr>
              <w:t xml:space="preserve"> to listing</w:t>
            </w:r>
          </w:p>
        </w:tc>
      </w:tr>
      <w:tr w:rsidR="007B1F3C" w:rsidRPr="006056D1" w14:paraId="7374D446" w14:textId="77777777" w:rsidTr="00737B93">
        <w:tc>
          <w:tcPr>
            <w:tcW w:w="1838" w:type="dxa"/>
          </w:tcPr>
          <w:p w14:paraId="6318FE0F" w14:textId="47D8A81F" w:rsidR="007B1F3C" w:rsidRPr="006056D1" w:rsidRDefault="007B1F3C" w:rsidP="00737B93">
            <w:pPr>
              <w:spacing w:before="60" w:afterLines="60" w:after="144"/>
              <w:rPr>
                <w:sz w:val="20"/>
                <w:szCs w:val="20"/>
              </w:rPr>
            </w:pPr>
            <w:r w:rsidRPr="006056D1">
              <w:rPr>
                <w:sz w:val="20"/>
                <w:szCs w:val="20"/>
              </w:rPr>
              <w:t>1 August 2004</w:t>
            </w:r>
          </w:p>
        </w:tc>
        <w:tc>
          <w:tcPr>
            <w:tcW w:w="7109" w:type="dxa"/>
          </w:tcPr>
          <w:p w14:paraId="50D76CC6" w14:textId="5DB68A52" w:rsidR="007B1F3C" w:rsidRPr="006056D1" w:rsidRDefault="007B1F3C" w:rsidP="00737B93">
            <w:pPr>
              <w:spacing w:before="60" w:afterLines="60" w:after="144"/>
              <w:rPr>
                <w:sz w:val="20"/>
                <w:szCs w:val="20"/>
              </w:rPr>
            </w:pPr>
            <w:r w:rsidRPr="006056D1">
              <w:rPr>
                <w:sz w:val="20"/>
                <w:szCs w:val="20"/>
              </w:rPr>
              <w:t>The maximum dose per day for</w:t>
            </w:r>
            <w:r w:rsidR="004F3AB9" w:rsidRPr="006056D1">
              <w:rPr>
                <w:sz w:val="20"/>
                <w:szCs w:val="20"/>
              </w:rPr>
              <w:t xml:space="preserve"> imatinib for metastatic GIST</w:t>
            </w:r>
            <w:r w:rsidRPr="006056D1">
              <w:rPr>
                <w:sz w:val="20"/>
                <w:szCs w:val="20"/>
              </w:rPr>
              <w:t xml:space="preserve"> was changed from 400 mg to 600 mg on 1 August 2004.</w:t>
            </w:r>
          </w:p>
        </w:tc>
      </w:tr>
      <w:tr w:rsidR="00DC1CB9" w:rsidRPr="006056D1" w14:paraId="71333324" w14:textId="77777777" w:rsidTr="00737B93">
        <w:tc>
          <w:tcPr>
            <w:tcW w:w="1838" w:type="dxa"/>
          </w:tcPr>
          <w:p w14:paraId="0030DB01" w14:textId="3EE55C8E" w:rsidR="00DC1CB9" w:rsidRPr="006056D1" w:rsidRDefault="00DC1CB9" w:rsidP="00737B93">
            <w:pPr>
              <w:spacing w:before="60" w:afterLines="60" w:after="144"/>
              <w:rPr>
                <w:sz w:val="20"/>
                <w:szCs w:val="20"/>
              </w:rPr>
            </w:pPr>
            <w:r w:rsidRPr="006056D1">
              <w:rPr>
                <w:sz w:val="20"/>
                <w:szCs w:val="20"/>
              </w:rPr>
              <w:t xml:space="preserve">1 </w:t>
            </w:r>
            <w:r w:rsidR="004134FE" w:rsidRPr="006056D1">
              <w:rPr>
                <w:sz w:val="20"/>
                <w:szCs w:val="20"/>
              </w:rPr>
              <w:t>December 2009</w:t>
            </w:r>
          </w:p>
        </w:tc>
        <w:tc>
          <w:tcPr>
            <w:tcW w:w="7109" w:type="dxa"/>
          </w:tcPr>
          <w:p w14:paraId="6D4E5581" w14:textId="1D9284D7" w:rsidR="00DC1CB9" w:rsidRPr="006056D1" w:rsidRDefault="004134FE" w:rsidP="00737B93">
            <w:pPr>
              <w:spacing w:before="60" w:afterLines="60" w:after="144"/>
              <w:rPr>
                <w:sz w:val="20"/>
                <w:szCs w:val="20"/>
              </w:rPr>
            </w:pPr>
            <w:r w:rsidRPr="006056D1">
              <w:rPr>
                <w:sz w:val="20"/>
                <w:szCs w:val="20"/>
              </w:rPr>
              <w:t xml:space="preserve">Sunitinib was PBS listed for the treatment of </w:t>
            </w:r>
            <w:r w:rsidR="00A00621" w:rsidRPr="006056D1">
              <w:rPr>
                <w:sz w:val="20"/>
                <w:szCs w:val="20"/>
              </w:rPr>
              <w:t>metastatic or unresectable malignant GIST after failure of imatinib mesylate treatment due to resistance or intolerance.</w:t>
            </w:r>
          </w:p>
        </w:tc>
      </w:tr>
      <w:tr w:rsidR="007B1F3C" w:rsidRPr="006056D1" w14:paraId="6EDA2E66" w14:textId="77777777" w:rsidTr="00737B93">
        <w:tc>
          <w:tcPr>
            <w:tcW w:w="1838" w:type="dxa"/>
          </w:tcPr>
          <w:p w14:paraId="6400744B" w14:textId="2A0339CB" w:rsidR="007B1F3C" w:rsidRPr="006056D1" w:rsidRDefault="007B1F3C" w:rsidP="00737B93">
            <w:pPr>
              <w:spacing w:before="60" w:afterLines="60" w:after="144"/>
              <w:rPr>
                <w:sz w:val="20"/>
                <w:szCs w:val="20"/>
              </w:rPr>
            </w:pPr>
            <w:r w:rsidRPr="006056D1">
              <w:rPr>
                <w:sz w:val="20"/>
                <w:szCs w:val="20"/>
              </w:rPr>
              <w:t>1 September 2011</w:t>
            </w:r>
          </w:p>
        </w:tc>
        <w:tc>
          <w:tcPr>
            <w:tcW w:w="7109" w:type="dxa"/>
          </w:tcPr>
          <w:p w14:paraId="007A4C9F" w14:textId="001C9B97" w:rsidR="007B1F3C" w:rsidRPr="006056D1" w:rsidRDefault="004F3AB9" w:rsidP="00737B93">
            <w:pPr>
              <w:spacing w:before="60" w:afterLines="60" w:after="144"/>
              <w:rPr>
                <w:sz w:val="20"/>
                <w:szCs w:val="20"/>
              </w:rPr>
            </w:pPr>
            <w:r w:rsidRPr="006056D1">
              <w:rPr>
                <w:sz w:val="20"/>
                <w:szCs w:val="20"/>
              </w:rPr>
              <w:t>The PBS l</w:t>
            </w:r>
            <w:r w:rsidR="007B1F3C" w:rsidRPr="006056D1">
              <w:rPr>
                <w:sz w:val="20"/>
                <w:szCs w:val="20"/>
              </w:rPr>
              <w:t>isting</w:t>
            </w:r>
            <w:r w:rsidRPr="006056D1">
              <w:rPr>
                <w:sz w:val="20"/>
                <w:szCs w:val="20"/>
              </w:rPr>
              <w:t xml:space="preserve"> of imatinib</w:t>
            </w:r>
            <w:r w:rsidR="007B1F3C" w:rsidRPr="006056D1">
              <w:rPr>
                <w:sz w:val="20"/>
                <w:szCs w:val="20"/>
              </w:rPr>
              <w:t xml:space="preserve"> was </w:t>
            </w:r>
            <w:r w:rsidR="00DE1E87" w:rsidRPr="006056D1">
              <w:rPr>
                <w:sz w:val="20"/>
                <w:szCs w:val="20"/>
              </w:rPr>
              <w:t>extended</w:t>
            </w:r>
            <w:r w:rsidR="007B1F3C" w:rsidRPr="006056D1">
              <w:rPr>
                <w:sz w:val="20"/>
                <w:szCs w:val="20"/>
              </w:rPr>
              <w:t xml:space="preserve"> </w:t>
            </w:r>
            <w:r w:rsidR="00E05399" w:rsidRPr="006056D1">
              <w:rPr>
                <w:sz w:val="20"/>
                <w:szCs w:val="20"/>
              </w:rPr>
              <w:t>for</w:t>
            </w:r>
            <w:r w:rsidR="007B1F3C" w:rsidRPr="006056D1">
              <w:rPr>
                <w:sz w:val="20"/>
                <w:szCs w:val="20"/>
              </w:rPr>
              <w:t xml:space="preserve"> adjuvant treatment of a patient at high risk of recurrence following complete resection of primary GIST. Treatment duration was limited to 12 months.</w:t>
            </w:r>
          </w:p>
        </w:tc>
      </w:tr>
      <w:tr w:rsidR="007B1F3C" w:rsidRPr="006056D1" w14:paraId="4066CDF5" w14:textId="77777777" w:rsidTr="00737B93">
        <w:tc>
          <w:tcPr>
            <w:tcW w:w="1838" w:type="dxa"/>
          </w:tcPr>
          <w:p w14:paraId="4332F990" w14:textId="6D4FFC16" w:rsidR="007B1F3C" w:rsidRPr="006056D1" w:rsidRDefault="00E05399" w:rsidP="00737B93">
            <w:pPr>
              <w:spacing w:before="60" w:afterLines="60" w:after="144"/>
              <w:rPr>
                <w:sz w:val="20"/>
                <w:szCs w:val="20"/>
              </w:rPr>
            </w:pPr>
            <w:r w:rsidRPr="006056D1">
              <w:rPr>
                <w:sz w:val="20"/>
                <w:szCs w:val="20"/>
              </w:rPr>
              <w:t>1 December 2013</w:t>
            </w:r>
          </w:p>
        </w:tc>
        <w:tc>
          <w:tcPr>
            <w:tcW w:w="7109" w:type="dxa"/>
          </w:tcPr>
          <w:p w14:paraId="159CEE18" w14:textId="055A9D50" w:rsidR="007B1F3C" w:rsidRPr="006056D1" w:rsidRDefault="00E05399" w:rsidP="00737B93">
            <w:pPr>
              <w:spacing w:before="60" w:afterLines="60" w:after="144"/>
              <w:rPr>
                <w:sz w:val="20"/>
                <w:szCs w:val="20"/>
              </w:rPr>
            </w:pPr>
            <w:r w:rsidRPr="006056D1">
              <w:rPr>
                <w:sz w:val="20"/>
                <w:szCs w:val="20"/>
              </w:rPr>
              <w:t xml:space="preserve">The </w:t>
            </w:r>
            <w:r w:rsidR="004F3AB9" w:rsidRPr="006056D1">
              <w:rPr>
                <w:sz w:val="20"/>
                <w:szCs w:val="20"/>
              </w:rPr>
              <w:t xml:space="preserve">PBS </w:t>
            </w:r>
            <w:r w:rsidRPr="006056D1">
              <w:rPr>
                <w:sz w:val="20"/>
                <w:szCs w:val="20"/>
              </w:rPr>
              <w:t>listing</w:t>
            </w:r>
            <w:r w:rsidR="004F3AB9" w:rsidRPr="006056D1">
              <w:rPr>
                <w:sz w:val="20"/>
                <w:szCs w:val="20"/>
              </w:rPr>
              <w:t xml:space="preserve"> of imatinib</w:t>
            </w:r>
            <w:r w:rsidRPr="006056D1">
              <w:rPr>
                <w:sz w:val="20"/>
                <w:szCs w:val="20"/>
              </w:rPr>
              <w:t xml:space="preserve"> for adjuvant treatment of a patient at high risk of recurrence following complete resection of primary GIST was extended to allow a total of 36 months of treatment (initial plus continuing therapy).</w:t>
            </w:r>
          </w:p>
        </w:tc>
      </w:tr>
      <w:tr w:rsidR="00491A64" w:rsidRPr="006056D1" w14:paraId="4B8179A9" w14:textId="77777777" w:rsidTr="00737B93">
        <w:tc>
          <w:tcPr>
            <w:tcW w:w="1838" w:type="dxa"/>
          </w:tcPr>
          <w:p w14:paraId="02620C0C" w14:textId="186C20DE" w:rsidR="00491A64" w:rsidRPr="006056D1" w:rsidRDefault="00491A64" w:rsidP="00737B93">
            <w:pPr>
              <w:spacing w:before="60" w:afterLines="60" w:after="144"/>
              <w:rPr>
                <w:sz w:val="20"/>
                <w:szCs w:val="20"/>
              </w:rPr>
            </w:pPr>
            <w:r w:rsidRPr="006056D1">
              <w:rPr>
                <w:sz w:val="20"/>
                <w:szCs w:val="20"/>
              </w:rPr>
              <w:t>1 September 2019</w:t>
            </w:r>
          </w:p>
        </w:tc>
        <w:tc>
          <w:tcPr>
            <w:tcW w:w="7109" w:type="dxa"/>
          </w:tcPr>
          <w:p w14:paraId="0674D7A5" w14:textId="6489A7D3" w:rsidR="00491A64" w:rsidRPr="006056D1" w:rsidRDefault="00491A64" w:rsidP="00737B93">
            <w:pPr>
              <w:spacing w:before="60" w:afterLines="60" w:after="144"/>
              <w:rPr>
                <w:sz w:val="20"/>
                <w:szCs w:val="20"/>
              </w:rPr>
            </w:pPr>
            <w:r w:rsidRPr="006056D1">
              <w:rPr>
                <w:sz w:val="20"/>
                <w:szCs w:val="20"/>
              </w:rPr>
              <w:t xml:space="preserve">Initial access to imatinib </w:t>
            </w:r>
            <w:r w:rsidR="001C7F33" w:rsidRPr="006056D1">
              <w:rPr>
                <w:sz w:val="20"/>
                <w:szCs w:val="20"/>
              </w:rPr>
              <w:t xml:space="preserve">was </w:t>
            </w:r>
            <w:r w:rsidRPr="006056D1">
              <w:rPr>
                <w:sz w:val="20"/>
                <w:szCs w:val="20"/>
              </w:rPr>
              <w:t xml:space="preserve">changed </w:t>
            </w:r>
            <w:r w:rsidR="00EC45F0">
              <w:rPr>
                <w:sz w:val="20"/>
                <w:szCs w:val="20"/>
              </w:rPr>
              <w:t xml:space="preserve">from Authority Required (Written) </w:t>
            </w:r>
            <w:r w:rsidRPr="006056D1">
              <w:rPr>
                <w:sz w:val="20"/>
                <w:szCs w:val="20"/>
              </w:rPr>
              <w:t>to Authority Required (Telephone)</w:t>
            </w:r>
            <w:r w:rsidR="001C7F33" w:rsidRPr="006056D1">
              <w:rPr>
                <w:sz w:val="20"/>
                <w:szCs w:val="20"/>
              </w:rPr>
              <w:t>.</w:t>
            </w:r>
          </w:p>
        </w:tc>
      </w:tr>
      <w:tr w:rsidR="008D4423" w:rsidRPr="006056D1" w14:paraId="668846C8" w14:textId="77777777" w:rsidTr="00737B93">
        <w:tc>
          <w:tcPr>
            <w:tcW w:w="1838" w:type="dxa"/>
          </w:tcPr>
          <w:p w14:paraId="39AA4CAC" w14:textId="29AD9221" w:rsidR="008D4423" w:rsidRPr="006056D1" w:rsidRDefault="008D4423" w:rsidP="00737B93">
            <w:pPr>
              <w:spacing w:before="60" w:afterLines="60" w:after="144"/>
              <w:rPr>
                <w:sz w:val="20"/>
                <w:szCs w:val="20"/>
              </w:rPr>
            </w:pPr>
            <w:r w:rsidRPr="006056D1">
              <w:rPr>
                <w:sz w:val="20"/>
                <w:szCs w:val="20"/>
              </w:rPr>
              <w:t>1 November 2021</w:t>
            </w:r>
          </w:p>
        </w:tc>
        <w:tc>
          <w:tcPr>
            <w:tcW w:w="7109" w:type="dxa"/>
          </w:tcPr>
          <w:p w14:paraId="554C2DDC" w14:textId="0FF83DCC" w:rsidR="008D4423" w:rsidRPr="006056D1" w:rsidRDefault="008D4423" w:rsidP="00737B93">
            <w:pPr>
              <w:pStyle w:val="3-BodyText"/>
              <w:numPr>
                <w:ilvl w:val="0"/>
                <w:numId w:val="0"/>
              </w:numPr>
              <w:spacing w:before="60" w:afterLines="60" w:after="144"/>
              <w:jc w:val="left"/>
              <w:rPr>
                <w:sz w:val="20"/>
                <w:szCs w:val="20"/>
              </w:rPr>
            </w:pPr>
            <w:r w:rsidRPr="006056D1">
              <w:rPr>
                <w:sz w:val="20"/>
                <w:szCs w:val="20"/>
              </w:rPr>
              <w:t>The capsule form of imatinib was PBS listed.</w:t>
            </w:r>
          </w:p>
        </w:tc>
      </w:tr>
      <w:tr w:rsidR="008D4423" w:rsidRPr="006056D1" w14:paraId="5AE5E45C" w14:textId="77777777" w:rsidTr="00737B93">
        <w:tc>
          <w:tcPr>
            <w:tcW w:w="1838" w:type="dxa"/>
          </w:tcPr>
          <w:p w14:paraId="4A612471" w14:textId="41676B70" w:rsidR="008D4423" w:rsidRPr="006056D1" w:rsidRDefault="008D4423" w:rsidP="00737B93">
            <w:pPr>
              <w:spacing w:before="60" w:afterLines="60" w:after="144"/>
              <w:rPr>
                <w:sz w:val="20"/>
                <w:szCs w:val="20"/>
              </w:rPr>
            </w:pPr>
            <w:r w:rsidRPr="006056D1">
              <w:rPr>
                <w:sz w:val="20"/>
                <w:szCs w:val="20"/>
              </w:rPr>
              <w:t>1 December 2021</w:t>
            </w:r>
          </w:p>
        </w:tc>
        <w:tc>
          <w:tcPr>
            <w:tcW w:w="7109" w:type="dxa"/>
          </w:tcPr>
          <w:p w14:paraId="0BBFDF4B" w14:textId="37918799" w:rsidR="008D4423" w:rsidRPr="006056D1" w:rsidRDefault="008D4423" w:rsidP="00737B93">
            <w:pPr>
              <w:pStyle w:val="3-BodyText"/>
              <w:numPr>
                <w:ilvl w:val="0"/>
                <w:numId w:val="0"/>
              </w:numPr>
              <w:spacing w:before="60" w:afterLines="60" w:after="144"/>
              <w:jc w:val="left"/>
              <w:rPr>
                <w:sz w:val="20"/>
                <w:szCs w:val="20"/>
              </w:rPr>
            </w:pPr>
            <w:r w:rsidRPr="006056D1">
              <w:rPr>
                <w:sz w:val="20"/>
                <w:szCs w:val="20"/>
              </w:rPr>
              <w:t>Ripretinib was PBS listed for the treatment of metastatic GIST after failure of or intolerance to imatinib and sunitinib.</w:t>
            </w:r>
          </w:p>
        </w:tc>
      </w:tr>
      <w:tr w:rsidR="008D4423" w:rsidRPr="006056D1" w14:paraId="3E9B26B4" w14:textId="77777777" w:rsidTr="00737B93">
        <w:tc>
          <w:tcPr>
            <w:tcW w:w="1838" w:type="dxa"/>
          </w:tcPr>
          <w:p w14:paraId="070B8A82" w14:textId="650BBF3D" w:rsidR="008D4423" w:rsidRPr="006056D1" w:rsidRDefault="008D4423" w:rsidP="00737B93">
            <w:pPr>
              <w:spacing w:before="60" w:afterLines="60" w:after="144"/>
              <w:rPr>
                <w:sz w:val="20"/>
                <w:szCs w:val="20"/>
              </w:rPr>
            </w:pPr>
            <w:r w:rsidRPr="006056D1">
              <w:rPr>
                <w:sz w:val="20"/>
                <w:szCs w:val="20"/>
              </w:rPr>
              <w:t>1 April 2022</w:t>
            </w:r>
          </w:p>
        </w:tc>
        <w:tc>
          <w:tcPr>
            <w:tcW w:w="7109" w:type="dxa"/>
          </w:tcPr>
          <w:p w14:paraId="60CD49F5" w14:textId="0EB46C04" w:rsidR="008D4423" w:rsidRPr="006056D1" w:rsidRDefault="008D4423" w:rsidP="00737B93">
            <w:pPr>
              <w:pStyle w:val="3-BodyText"/>
              <w:numPr>
                <w:ilvl w:val="0"/>
                <w:numId w:val="0"/>
              </w:numPr>
              <w:spacing w:before="60" w:afterLines="60" w:after="144"/>
              <w:jc w:val="left"/>
              <w:rPr>
                <w:sz w:val="20"/>
                <w:szCs w:val="20"/>
              </w:rPr>
            </w:pPr>
            <w:r w:rsidRPr="006056D1">
              <w:rPr>
                <w:sz w:val="20"/>
                <w:szCs w:val="20"/>
              </w:rPr>
              <w:t>Imatinib 600 mg tablets for the treatment of metastatic GIST was PBS listed.</w:t>
            </w:r>
          </w:p>
        </w:tc>
      </w:tr>
      <w:tr w:rsidR="008D4423" w:rsidRPr="006056D1" w14:paraId="6C255B70" w14:textId="77777777" w:rsidTr="00737B93">
        <w:tc>
          <w:tcPr>
            <w:tcW w:w="1838" w:type="dxa"/>
          </w:tcPr>
          <w:p w14:paraId="2E12FA11" w14:textId="3AA09BA9" w:rsidR="008D4423" w:rsidRPr="006056D1" w:rsidRDefault="008D4423" w:rsidP="00737B93">
            <w:pPr>
              <w:spacing w:before="60" w:afterLines="60" w:after="144"/>
              <w:rPr>
                <w:sz w:val="20"/>
                <w:szCs w:val="20"/>
              </w:rPr>
            </w:pPr>
            <w:r w:rsidRPr="006056D1">
              <w:rPr>
                <w:sz w:val="20"/>
                <w:szCs w:val="20"/>
              </w:rPr>
              <w:t>1 September 2022</w:t>
            </w:r>
          </w:p>
        </w:tc>
        <w:tc>
          <w:tcPr>
            <w:tcW w:w="7109" w:type="dxa"/>
          </w:tcPr>
          <w:p w14:paraId="291029EE" w14:textId="334898EF" w:rsidR="008D4423" w:rsidRPr="006056D1" w:rsidRDefault="008D4423" w:rsidP="00737B93">
            <w:pPr>
              <w:spacing w:before="60" w:afterLines="60" w:after="144"/>
              <w:rPr>
                <w:sz w:val="20"/>
                <w:szCs w:val="20"/>
              </w:rPr>
            </w:pPr>
            <w:r>
              <w:rPr>
                <w:sz w:val="20"/>
                <w:szCs w:val="20"/>
              </w:rPr>
              <w:t>T</w:t>
            </w:r>
            <w:r w:rsidRPr="000158CB">
              <w:rPr>
                <w:sz w:val="20"/>
                <w:szCs w:val="20"/>
              </w:rPr>
              <w:t>he initial listing of</w:t>
            </w:r>
            <w:r>
              <w:rPr>
                <w:sz w:val="20"/>
                <w:szCs w:val="20"/>
              </w:rPr>
              <w:t xml:space="preserve"> sunitinib was</w:t>
            </w:r>
            <w:r w:rsidRPr="000158CB">
              <w:rPr>
                <w:sz w:val="20"/>
                <w:szCs w:val="20"/>
              </w:rPr>
              <w:t xml:space="preserve"> updated as part of the </w:t>
            </w:r>
            <w:r w:rsidR="00B037F5">
              <w:rPr>
                <w:sz w:val="20"/>
                <w:szCs w:val="20"/>
              </w:rPr>
              <w:t>Department of Health, Disability and Ageing</w:t>
            </w:r>
            <w:r w:rsidRPr="000158CB">
              <w:rPr>
                <w:sz w:val="20"/>
                <w:szCs w:val="20"/>
              </w:rPr>
              <w:t>’s digital transformation of Authority Required (Written) PBS listings. Real time assessment of authority requests became available through Services Australia’s Online PBS Authorities (OPA) system, via Health Professional Online Services (HPOS).</w:t>
            </w:r>
            <w:r>
              <w:rPr>
                <w:rStyle w:val="FootnoteReference"/>
                <w:sz w:val="20"/>
                <w:szCs w:val="20"/>
              </w:rPr>
              <w:footnoteReference w:id="6"/>
            </w:r>
          </w:p>
        </w:tc>
      </w:tr>
    </w:tbl>
    <w:p w14:paraId="64C94A85" w14:textId="208227FA" w:rsidR="00BF544D" w:rsidRPr="002F61CA" w:rsidDel="00EE2BBB" w:rsidRDefault="00BF544D" w:rsidP="00BF544D">
      <w:r w:rsidRPr="002F61CA" w:rsidDel="00EE2BBB">
        <w:t xml:space="preserve">Current PBS listing details are available from </w:t>
      </w:r>
      <w:r w:rsidDel="00EE2BBB">
        <w:t xml:space="preserve">the </w:t>
      </w:r>
      <w:hyperlink r:id="rId15" w:history="1">
        <w:r w:rsidRPr="00645D51" w:rsidDel="00EE2BBB">
          <w:rPr>
            <w:rStyle w:val="Hyperlink"/>
          </w:rPr>
          <w:t>PBS website</w:t>
        </w:r>
      </w:hyperlink>
      <w:r w:rsidDel="00EE2BBB">
        <w:t>.</w:t>
      </w:r>
    </w:p>
    <w:p w14:paraId="4113826D" w14:textId="2798DBB3" w:rsidR="00F70458" w:rsidRDefault="00394AEE" w:rsidP="00742255">
      <w:pPr>
        <w:pStyle w:val="Heading2"/>
      </w:pPr>
      <w:r>
        <w:lastRenderedPageBreak/>
        <w:t>Relevant aspects of</w:t>
      </w:r>
      <w:r w:rsidR="00736041" w:rsidRPr="005E22C2">
        <w:t xml:space="preserve"> consideration</w:t>
      </w:r>
      <w:r>
        <w:t xml:space="preserve"> by the Pharmaceutical Benefits Advisory Committee (PBAC)</w:t>
      </w:r>
    </w:p>
    <w:p w14:paraId="0F8661CD" w14:textId="77777777" w:rsidR="006A64CE" w:rsidRPr="00DC3CCA" w:rsidRDefault="006A64CE" w:rsidP="006A64CE">
      <w:r>
        <w:rPr>
          <w:b/>
        </w:rPr>
        <w:t>July 2009 - s</w:t>
      </w:r>
      <w:r w:rsidRPr="00DC3CCA">
        <w:rPr>
          <w:b/>
        </w:rPr>
        <w:t>unitinib</w:t>
      </w:r>
    </w:p>
    <w:p w14:paraId="4394D2E8" w14:textId="2BC5A724" w:rsidR="00EF4B04" w:rsidRPr="00A0153F" w:rsidRDefault="006A64CE" w:rsidP="006A64CE">
      <w:pPr>
        <w:spacing w:before="120" w:after="0"/>
        <w:rPr>
          <w:rFonts w:eastAsia="Times New Roman"/>
          <w:color w:val="000000"/>
        </w:rPr>
      </w:pPr>
      <w:r>
        <w:t>T</w:t>
      </w:r>
      <w:r w:rsidRPr="00DC3CCA">
        <w:t xml:space="preserve">he </w:t>
      </w:r>
      <w:r w:rsidRPr="00A0153F">
        <w:rPr>
          <w:rFonts w:eastAsia="Times New Roman"/>
          <w:color w:val="000000"/>
        </w:rPr>
        <w:t xml:space="preserve">PBAC recommended an extension to the listing of sunitinib on the PBS to include the treatment of a metastatic or unresectable malignant gastrointestinal stromal tumour on the basis of high clinical need and a high but acceptable cost-effectiveness ratio compared with best supportive care. </w:t>
      </w:r>
      <w:r w:rsidR="00EF4B04">
        <w:rPr>
          <w:rFonts w:eastAsia="Times New Roman"/>
          <w:color w:val="000000"/>
        </w:rPr>
        <w:br/>
      </w:r>
    </w:p>
    <w:p w14:paraId="301AEDE9" w14:textId="77777777" w:rsidR="006A64CE" w:rsidRDefault="006A64CE" w:rsidP="006A64CE">
      <w:r>
        <w:t xml:space="preserve">For further details refer to </w:t>
      </w:r>
      <w:r w:rsidRPr="00F65F0D">
        <w:t xml:space="preserve">the </w:t>
      </w:r>
      <w:hyperlink r:id="rId16" w:history="1">
        <w:r w:rsidRPr="00A0153F">
          <w:rPr>
            <w:rStyle w:val="Hyperlink"/>
          </w:rPr>
          <w:t>Public Summary Document</w:t>
        </w:r>
      </w:hyperlink>
      <w:r>
        <w:t xml:space="preserve"> </w:t>
      </w:r>
      <w:r w:rsidRPr="00F65F0D">
        <w:t xml:space="preserve">from the </w:t>
      </w:r>
      <w:r>
        <w:t>July 2009 PBAC meeting.</w:t>
      </w:r>
    </w:p>
    <w:p w14:paraId="0B2FA54A" w14:textId="772F546D" w:rsidR="00F70458" w:rsidRPr="00DC3CCA" w:rsidRDefault="00EF469F" w:rsidP="00F70458">
      <w:r>
        <w:rPr>
          <w:b/>
        </w:rPr>
        <w:t>March 2011 - i</w:t>
      </w:r>
      <w:r w:rsidR="00F70458" w:rsidRPr="00DC3CCA">
        <w:rPr>
          <w:b/>
        </w:rPr>
        <w:t>matinib</w:t>
      </w:r>
    </w:p>
    <w:p w14:paraId="3DE4CB8B" w14:textId="3D054A17" w:rsidR="00F70458" w:rsidRPr="00094563" w:rsidRDefault="00EF469F" w:rsidP="00A0153F">
      <w:pPr>
        <w:spacing w:after="120"/>
      </w:pPr>
      <w:r>
        <w:rPr>
          <w:rFonts w:eastAsia="Times New Roman"/>
          <w:color w:val="000000"/>
        </w:rPr>
        <w:t>T</w:t>
      </w:r>
      <w:r w:rsidR="00F70458" w:rsidRPr="00A0153F">
        <w:rPr>
          <w:rFonts w:eastAsia="Times New Roman"/>
          <w:color w:val="000000"/>
        </w:rPr>
        <w:t>he PBAC agreed that there was a high clinical need for the use of imatinib in the adjuvant treatment of GIST, a rare disease, in a small population where patient numbers were low (less than 10,000 per year in year 5), and that the financial cost to the PBS was also relatively low. The PBAC noted that the revised ICER calculated using the same model and the price decrease was estimated to be in the range of $15,000 - $45,000/QALY compared with $45,000 - $75,000/QALY in the November 2010 submission.</w:t>
      </w:r>
    </w:p>
    <w:p w14:paraId="19430299" w14:textId="696B8DE5" w:rsidR="00094563" w:rsidRDefault="00094563" w:rsidP="00094563">
      <w:r>
        <w:t xml:space="preserve">For further details refer to </w:t>
      </w:r>
      <w:r w:rsidRPr="00F65F0D">
        <w:t xml:space="preserve">the </w:t>
      </w:r>
      <w:hyperlink r:id="rId17" w:history="1">
        <w:r w:rsidRPr="00094563">
          <w:rPr>
            <w:rStyle w:val="Hyperlink"/>
          </w:rPr>
          <w:t>Public Summary Document</w:t>
        </w:r>
      </w:hyperlink>
      <w:r>
        <w:t xml:space="preserve"> </w:t>
      </w:r>
      <w:r w:rsidRPr="00F65F0D">
        <w:t xml:space="preserve">from the </w:t>
      </w:r>
      <w:r>
        <w:t>March 20</w:t>
      </w:r>
      <w:r w:rsidR="00FC33A4">
        <w:t>1</w:t>
      </w:r>
      <w:r>
        <w:t>1 PBAC meeting.</w:t>
      </w:r>
    </w:p>
    <w:p w14:paraId="0120ADDE" w14:textId="716667D8" w:rsidR="00BF014F" w:rsidRPr="00A93103" w:rsidRDefault="006A64CE" w:rsidP="008F2E07">
      <w:pPr>
        <w:rPr>
          <w:b/>
          <w:bCs/>
        </w:rPr>
      </w:pPr>
      <w:r>
        <w:rPr>
          <w:rFonts w:cstheme="minorHAnsi"/>
          <w:b/>
          <w:bCs/>
        </w:rPr>
        <w:t xml:space="preserve">March 2021 – Review </w:t>
      </w:r>
      <w:r w:rsidR="00BF014F" w:rsidRPr="006A64CE">
        <w:rPr>
          <w:rFonts w:cstheme="minorHAnsi"/>
          <w:b/>
          <w:bCs/>
        </w:rPr>
        <w:t>of the PBS Authority Required (Written) listings: Tranche 2 (The Review)</w:t>
      </w:r>
    </w:p>
    <w:p w14:paraId="59638D89" w14:textId="2692A656" w:rsidR="00BF014F" w:rsidRPr="00A93103" w:rsidRDefault="00BF014F" w:rsidP="00BF014F">
      <w:r w:rsidRPr="00A93103">
        <w:t xml:space="preserve">The PBAC considered </w:t>
      </w:r>
      <w:r w:rsidR="00942AD5">
        <w:t xml:space="preserve">the </w:t>
      </w:r>
      <w:r w:rsidRPr="00A93103">
        <w:t xml:space="preserve">authority level of the following medicines for GIST: imatinib and sunitinib. </w:t>
      </w:r>
    </w:p>
    <w:p w14:paraId="66E6DA71" w14:textId="6E35CA4A" w:rsidR="00D3544D" w:rsidRDefault="00BF014F" w:rsidP="00BF014F">
      <w:pPr>
        <w:pStyle w:val="3Bodytext"/>
        <w:ind w:left="0" w:firstLine="0"/>
        <w:jc w:val="left"/>
        <w:rPr>
          <w:szCs w:val="24"/>
        </w:rPr>
      </w:pPr>
      <w:r w:rsidRPr="00A93103">
        <w:rPr>
          <w:szCs w:val="24"/>
        </w:rPr>
        <w:t xml:space="preserve">The PBAC did not recommend an amendment to the authority requirements for imatinib or sunitinib, noting that the recent increase in imatinib patient numbers demonstrated that the market was not yet stable. The PBAC recommended that DUSC review </w:t>
      </w:r>
      <w:r w:rsidR="00875906">
        <w:rPr>
          <w:szCs w:val="24"/>
        </w:rPr>
        <w:t xml:space="preserve">the </w:t>
      </w:r>
      <w:r w:rsidRPr="00A93103">
        <w:rPr>
          <w:szCs w:val="24"/>
        </w:rPr>
        <w:t xml:space="preserve">utilisation of the entire GIST market in 12 months’ time and noted utilisation data for the adjuvant GIST indication and metastatic GIST indication should be analysed separately. </w:t>
      </w:r>
    </w:p>
    <w:p w14:paraId="477005FC" w14:textId="763E0030" w:rsidR="00DA79E5" w:rsidRPr="00A93103" w:rsidRDefault="006A64CE" w:rsidP="006A64CE">
      <w:r>
        <w:t xml:space="preserve">For further details refer to </w:t>
      </w:r>
      <w:r w:rsidRPr="00F65F0D">
        <w:t xml:space="preserve">the </w:t>
      </w:r>
      <w:hyperlink r:id="rId18" w:history="1">
        <w:r w:rsidRPr="00512ACF">
          <w:rPr>
            <w:rStyle w:val="Hyperlink"/>
          </w:rPr>
          <w:t>Outcome Statement</w:t>
        </w:r>
      </w:hyperlink>
      <w:r>
        <w:t xml:space="preserve"> </w:t>
      </w:r>
      <w:r w:rsidRPr="00F65F0D">
        <w:t xml:space="preserve">from the </w:t>
      </w:r>
      <w:r>
        <w:t>March 2021 PBAC meeting.</w:t>
      </w:r>
    </w:p>
    <w:p w14:paraId="2CAE6065" w14:textId="5250F764" w:rsidR="008F2E07" w:rsidRPr="008F2E07" w:rsidRDefault="00EF469F" w:rsidP="008F2E07">
      <w:pPr>
        <w:rPr>
          <w:b/>
          <w:bCs/>
        </w:rPr>
      </w:pPr>
      <w:r>
        <w:rPr>
          <w:b/>
          <w:bCs/>
        </w:rPr>
        <w:t>July 2021 - r</w:t>
      </w:r>
      <w:r w:rsidR="008F2E07" w:rsidRPr="00742255">
        <w:rPr>
          <w:b/>
          <w:bCs/>
        </w:rPr>
        <w:t xml:space="preserve">ipretinib </w:t>
      </w:r>
    </w:p>
    <w:p w14:paraId="74C922C9" w14:textId="1B13A49F" w:rsidR="007E268E" w:rsidRDefault="00D3544D" w:rsidP="00094563">
      <w:r>
        <w:t>T</w:t>
      </w:r>
      <w:r w:rsidR="0054025B">
        <w:t>he</w:t>
      </w:r>
      <w:r w:rsidR="002A491B" w:rsidRPr="002A491B">
        <w:t xml:space="preserve"> PBAC recommended the Authority Required (immediate/real-time assessment) listing of ripretinib for treatment of advanced GIST. The resubmission provided a revised price and financial estimates in response to previous concerns raised by the PBAC. In addition, the resubmission included updated survival data from the key clinical trial. The PBAC considered the revised incremental cost-effectiveness ratio (ICER) was high but likely overestimated due to the survival benefit being underestimated as a result of using the less favourable earlier data cut and the control group crossing over to receive treatment with ripretinib. The PBAC considered the ICER was acceptable in the context of advanced GIST </w:t>
      </w:r>
      <w:r w:rsidR="002A491B" w:rsidRPr="002A491B">
        <w:lastRenderedPageBreak/>
        <w:t>being a rare cancer with an unmet need for effective third line treatment. In addition, the PBAC considered the revised financial estimates addressed previous concerns.</w:t>
      </w:r>
    </w:p>
    <w:p w14:paraId="07D35DD0" w14:textId="3CA64925" w:rsidR="00305B60" w:rsidRPr="00F65F0D" w:rsidRDefault="000E2BDF" w:rsidP="00D94863">
      <w:r>
        <w:t xml:space="preserve">For further details refer to </w:t>
      </w:r>
      <w:r w:rsidRPr="00F65F0D">
        <w:t xml:space="preserve">the </w:t>
      </w:r>
      <w:hyperlink r:id="rId19" w:history="1">
        <w:r w:rsidRPr="00A0153F">
          <w:rPr>
            <w:rStyle w:val="Hyperlink"/>
          </w:rPr>
          <w:t>Public Summary Document</w:t>
        </w:r>
      </w:hyperlink>
      <w:r>
        <w:t xml:space="preserve"> </w:t>
      </w:r>
      <w:r w:rsidRPr="00F65F0D">
        <w:t xml:space="preserve">from the </w:t>
      </w:r>
      <w:r>
        <w:t>July 2021 PBAC meeting.</w:t>
      </w:r>
    </w:p>
    <w:p w14:paraId="0DEBD50F" w14:textId="69B931E7" w:rsidR="00094DCF" w:rsidRDefault="00ED633B" w:rsidP="00CF5E22">
      <w:pPr>
        <w:pStyle w:val="Heading2"/>
      </w:pPr>
      <w:r>
        <w:t xml:space="preserve">Previous reviews by </w:t>
      </w:r>
      <w:r w:rsidR="00177B86">
        <w:t xml:space="preserve">the </w:t>
      </w:r>
      <w:r>
        <w:t>DUSC</w:t>
      </w:r>
    </w:p>
    <w:p w14:paraId="33C1C4F7" w14:textId="6E2E8F37" w:rsidR="00422BB2" w:rsidRDefault="001C1A91" w:rsidP="00331C2C">
      <w:r>
        <w:t>At its October 2013 meeting, DUSC reviewed i</w:t>
      </w:r>
      <w:r w:rsidR="006F3881" w:rsidRPr="006F3881">
        <w:t xml:space="preserve">matinib for the adjuvant treatment </w:t>
      </w:r>
      <w:r>
        <w:t xml:space="preserve">of GIST. </w:t>
      </w:r>
      <w:r w:rsidR="006F3881" w:rsidRPr="006F3881">
        <w:t xml:space="preserve">In the first year of listing, the number of patients treated with imatinib was higher than </w:t>
      </w:r>
      <w:r w:rsidR="00A915E8">
        <w:t>estimated</w:t>
      </w:r>
      <w:r w:rsidR="006F3881" w:rsidRPr="006F3881">
        <w:t xml:space="preserve">. DUSC considered that this could be due to an underestimation of the prevalent population. However, the number of prescriptions was lower than </w:t>
      </w:r>
      <w:r w:rsidR="00A915E8">
        <w:t>estimated</w:t>
      </w:r>
      <w:r w:rsidR="006F3881" w:rsidRPr="006F3881">
        <w:t xml:space="preserve">. DUSC considered that this was partly due to grandfathered patients transferring from non-PBS subsidised imatinib to PBS subsided imatinib for part of their 12 months of therapy, thereby adding to the patient number but receiving fewer PBS prescriptions. DUSC </w:t>
      </w:r>
      <w:r w:rsidR="0069756D">
        <w:t>advised t</w:t>
      </w:r>
      <w:r w:rsidR="00E00356">
        <w:t>o undertake</w:t>
      </w:r>
      <w:r w:rsidR="006F3881" w:rsidRPr="006F3881">
        <w:t xml:space="preserve"> another utilisation analysis of imatinib 24 months after the extension to listing to permit three years of treatment </w:t>
      </w:r>
      <w:r w:rsidR="00397221">
        <w:t>wa</w:t>
      </w:r>
      <w:r w:rsidR="006F3881" w:rsidRPr="006F3881">
        <w:t>s implemented.</w:t>
      </w:r>
    </w:p>
    <w:p w14:paraId="5E4C76E9" w14:textId="14070F95" w:rsidR="00FB11B9" w:rsidRDefault="002030DD" w:rsidP="00E37CD9">
      <w:r w:rsidRPr="002030DD">
        <w:t xml:space="preserve">At its February 2017 meeting, </w:t>
      </w:r>
      <w:r w:rsidR="00E77BE9" w:rsidRPr="002030DD">
        <w:t xml:space="preserve">DUSC reviewed </w:t>
      </w:r>
      <w:r w:rsidR="00682FC7">
        <w:t xml:space="preserve">the </w:t>
      </w:r>
      <w:r w:rsidR="00E77BE9" w:rsidRPr="002030DD">
        <w:t>utilisation of i</w:t>
      </w:r>
      <w:r w:rsidR="00331C2C" w:rsidRPr="002030DD">
        <w:t>matinib</w:t>
      </w:r>
      <w:r w:rsidR="00E77BE9" w:rsidRPr="002030DD">
        <w:t xml:space="preserve"> </w:t>
      </w:r>
      <w:r w:rsidR="00214C1A">
        <w:t>for the</w:t>
      </w:r>
      <w:r w:rsidR="00331C2C" w:rsidRPr="002030DD">
        <w:t xml:space="preserve"> adjuvant treatment </w:t>
      </w:r>
      <w:r w:rsidR="00214C1A">
        <w:t>of</w:t>
      </w:r>
      <w:r w:rsidR="00331C2C" w:rsidRPr="002030DD">
        <w:t xml:space="preserve"> </w:t>
      </w:r>
      <w:r>
        <w:t xml:space="preserve">GIST. </w:t>
      </w:r>
      <w:r w:rsidR="00A80FB0" w:rsidRPr="00E77BE9">
        <w:t>In the first two years from the extension to the PBS listing on 1 December 2013, 449 patients were supplied imatinib for the adjuvant treatment of GIST. This was similar to the number of patients estimated by the submission. However, there were fewer prescriptions than predicted, which may have been due to discontinuation from side effects or treatment failures. The total net expenditure was higher than expected, likely due to the higher than predicted average daily dose.</w:t>
      </w:r>
    </w:p>
    <w:p w14:paraId="533834D2" w14:textId="51D3D3A8" w:rsidR="000D2280" w:rsidRPr="008E5D7F" w:rsidRDefault="009A5999" w:rsidP="00E37CD9">
      <w:r>
        <w:t xml:space="preserve">For details of the DUSC consideration of imatinib </w:t>
      </w:r>
      <w:r w:rsidR="002C4FB2">
        <w:t xml:space="preserve">for GIST </w:t>
      </w:r>
      <w:r>
        <w:t xml:space="preserve">refer to the </w:t>
      </w:r>
      <w:hyperlink r:id="rId20" w:history="1">
        <w:r w:rsidRPr="002C4FB2">
          <w:rPr>
            <w:rStyle w:val="Hyperlink"/>
          </w:rPr>
          <w:t>Public Release Document</w:t>
        </w:r>
      </w:hyperlink>
      <w:r>
        <w:t xml:space="preserve"> from the </w:t>
      </w:r>
      <w:r w:rsidR="002C4FB2">
        <w:t>February 2017</w:t>
      </w:r>
      <w:r>
        <w:t xml:space="preserve"> DUSC meeting.</w:t>
      </w:r>
    </w:p>
    <w:p w14:paraId="0312FFEC" w14:textId="5C6A9662" w:rsidR="00E677DD" w:rsidRPr="005E22C2" w:rsidRDefault="00E677DD" w:rsidP="00CF5E22">
      <w:pPr>
        <w:pStyle w:val="Heading1"/>
      </w:pPr>
      <w:r w:rsidRPr="005E22C2">
        <w:t>Method</w:t>
      </w:r>
      <w:r w:rsidR="001B5D37" w:rsidRPr="005E22C2">
        <w:t>s</w:t>
      </w:r>
    </w:p>
    <w:p w14:paraId="6D8C9BF9" w14:textId="79A92108" w:rsidR="006804E0" w:rsidRDefault="006804E0" w:rsidP="00524D13">
      <w:r w:rsidRPr="006804E0">
        <w:t xml:space="preserve">Data extracted from the PBS claims database maintained by the </w:t>
      </w:r>
      <w:r w:rsidR="00B037F5">
        <w:t>Department of Health, Disability and Ageing</w:t>
      </w:r>
      <w:r w:rsidRPr="006804E0">
        <w:t xml:space="preserve"> and processed by Services Australia were used for the analyses. Prescription data were extracted from </w:t>
      </w:r>
      <w:r w:rsidR="007F29C9">
        <w:t xml:space="preserve">1 January 2004 </w:t>
      </w:r>
      <w:r w:rsidRPr="006804E0">
        <w:t xml:space="preserve">up to and including </w:t>
      </w:r>
      <w:r w:rsidR="00D62068">
        <w:t>30 September 2024</w:t>
      </w:r>
      <w:r w:rsidRPr="006804E0">
        <w:t xml:space="preserve">. </w:t>
      </w:r>
    </w:p>
    <w:p w14:paraId="71DCA544" w14:textId="00C5420F" w:rsidR="001B223C" w:rsidRDefault="00C15FF1" w:rsidP="00524D13">
      <w:r w:rsidRPr="00C15FF1">
        <w:t xml:space="preserve">Prescription data were used to determine the prescription and patient counts by </w:t>
      </w:r>
      <w:r w:rsidR="007F29C9">
        <w:t>quarter</w:t>
      </w:r>
      <w:r w:rsidR="00D8559D">
        <w:t xml:space="preserve"> and year</w:t>
      </w:r>
      <w:r w:rsidR="007F29C9">
        <w:t xml:space="preserve"> of supply</w:t>
      </w:r>
      <w:r w:rsidRPr="00C15FF1">
        <w:t>. An initiating patient was defined based on first date of supply of</w:t>
      </w:r>
      <w:r w:rsidR="002178DA">
        <w:t xml:space="preserve"> </w:t>
      </w:r>
      <w:r w:rsidR="001B5ED4">
        <w:t>the respective drug</w:t>
      </w:r>
      <w:r w:rsidR="002178DA">
        <w:t>.</w:t>
      </w:r>
      <w:r w:rsidR="004E3EC5">
        <w:t xml:space="preserve"> </w:t>
      </w:r>
      <w:r w:rsidR="00AE2978">
        <w:t>Analyses</w:t>
      </w:r>
      <w:r w:rsidR="004E3EC5">
        <w:t xml:space="preserve"> of </w:t>
      </w:r>
      <w:r w:rsidR="00AE2978">
        <w:t>adjuvant and metastatic GIST were based on the corresponding item code for each indication.</w:t>
      </w:r>
      <w:r w:rsidR="002178DA">
        <w:t xml:space="preserve"> </w:t>
      </w:r>
      <w:r w:rsidRPr="00C15FF1">
        <w:t xml:space="preserve">Additional analyses of </w:t>
      </w:r>
      <w:r w:rsidR="001B5ED4">
        <w:t>form and strength</w:t>
      </w:r>
      <w:r w:rsidR="005540BC">
        <w:t xml:space="preserve"> and </w:t>
      </w:r>
      <w:r w:rsidRPr="00C15FF1">
        <w:t xml:space="preserve">age and gender distribution </w:t>
      </w:r>
      <w:r w:rsidR="005540BC">
        <w:t xml:space="preserve">were also conducted. </w:t>
      </w:r>
      <w:r w:rsidRPr="00C15FF1">
        <w:t xml:space="preserve"> </w:t>
      </w:r>
    </w:p>
    <w:p w14:paraId="5D114440" w14:textId="0E03E952" w:rsidR="00050AEF" w:rsidRDefault="00050AEF" w:rsidP="00524D13">
      <w:r w:rsidRPr="00050AEF">
        <w:t xml:space="preserve">A drug sequence analysis was conducted to examine the </w:t>
      </w:r>
      <w:r>
        <w:t xml:space="preserve">pattern of metastatic GIST utilisation </w:t>
      </w:r>
      <w:r w:rsidRPr="00050AEF">
        <w:t xml:space="preserve">in patients. </w:t>
      </w:r>
      <w:r>
        <w:t xml:space="preserve"> A cohort was sele</w:t>
      </w:r>
      <w:r w:rsidR="00583703">
        <w:t>cted from</w:t>
      </w:r>
      <w:r w:rsidR="00C658C6">
        <w:t xml:space="preserve"> patients who initiated treatment with GIST medicines prior to </w:t>
      </w:r>
      <w:r w:rsidR="00BA4900">
        <w:t>the PBS listing of ripretinib (1 December 20</w:t>
      </w:r>
      <w:r w:rsidR="00FC0E26">
        <w:t>21)</w:t>
      </w:r>
      <w:r w:rsidR="00BA4900">
        <w:t xml:space="preserve"> and followed to </w:t>
      </w:r>
      <w:r w:rsidRPr="00050AEF">
        <w:t>analysis end date</w:t>
      </w:r>
      <w:r w:rsidR="00583703">
        <w:t xml:space="preserve">, </w:t>
      </w:r>
      <w:r w:rsidR="009472A4">
        <w:t>30 September 2024</w:t>
      </w:r>
      <w:r w:rsidRPr="00050AEF">
        <w:t xml:space="preserve">. </w:t>
      </w:r>
      <w:r w:rsidR="00583703">
        <w:t>T</w:t>
      </w:r>
      <w:r w:rsidRPr="00050AEF">
        <w:t xml:space="preserve">he first prescribed drug was recorded and if </w:t>
      </w:r>
      <w:r w:rsidRPr="00050AEF">
        <w:lastRenderedPageBreak/>
        <w:t>patients were subsequently supplied other drugs, these were noted to form the patient’s drug chronological sequence.</w:t>
      </w:r>
    </w:p>
    <w:p w14:paraId="3F46F9B4" w14:textId="55718095" w:rsidR="00554109" w:rsidRDefault="006804E0" w:rsidP="00524D13">
      <w:r w:rsidRPr="006804E0">
        <w:t>As this analysis uses date of supply prescription data, there may be small differences compared with publicly available Services Australia Medicare date of processing data.</w:t>
      </w:r>
      <w:r w:rsidR="00576B18">
        <w:rPr>
          <w:rStyle w:val="FootnoteReference"/>
        </w:rPr>
        <w:footnoteReference w:id="7"/>
      </w:r>
      <w:r w:rsidR="00576B18">
        <w:t xml:space="preserve"> </w:t>
      </w:r>
      <w:r w:rsidR="0090691F">
        <w:t xml:space="preserve">The </w:t>
      </w:r>
      <w:r w:rsidR="00AC5054">
        <w:t xml:space="preserve">publicly available </w:t>
      </w:r>
      <w:r w:rsidRPr="006804E0">
        <w:t xml:space="preserve">Services Australia </w:t>
      </w:r>
      <w:r w:rsidR="0090691F">
        <w:t xml:space="preserve">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The </w:t>
      </w:r>
      <w:r w:rsidRPr="006804E0">
        <w:t xml:space="preserve">Services Australia </w:t>
      </w:r>
      <w:r w:rsidR="00DD29A3">
        <w:t>Medicare data used in this report includes under co-payment prescriptions from 1</w:t>
      </w:r>
      <w:r w:rsidR="006B554F">
        <w:t> </w:t>
      </w:r>
      <w:r w:rsidR="00DD29A3">
        <w:t>April 2012.</w:t>
      </w:r>
    </w:p>
    <w:p w14:paraId="4F91A98A" w14:textId="57131240" w:rsidR="00C714D0" w:rsidRPr="005E22C2" w:rsidRDefault="00C714D0" w:rsidP="00CF5E22">
      <w:pPr>
        <w:pStyle w:val="Heading1"/>
      </w:pPr>
      <w:r w:rsidRPr="005E22C2">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453A436B" w14:textId="0FD6D472" w:rsidR="000510A4" w:rsidRDefault="00736041" w:rsidP="00B64457">
      <w:pPr>
        <w:pStyle w:val="Heading3"/>
      </w:pPr>
      <w:r w:rsidRPr="005E22C2">
        <w:t>Overall utilisation</w:t>
      </w:r>
    </w:p>
    <w:p w14:paraId="6F8F6B5B" w14:textId="73EE3C2C" w:rsidR="00BA4BE8" w:rsidRDefault="00BA4BE8" w:rsidP="00BA4BE8">
      <w:pPr>
        <w:pStyle w:val="Tabletitle"/>
      </w:pPr>
      <w:r w:rsidRPr="000C7381">
        <w:t xml:space="preserve">Table </w:t>
      </w:r>
      <w:r w:rsidR="00B82111">
        <w:t>9</w:t>
      </w:r>
      <w:r>
        <w:t xml:space="preserve">: </w:t>
      </w:r>
      <w:r w:rsidR="00AB6FD0">
        <w:t xml:space="preserve">Utilisation of GIST medicines by calendar year </w:t>
      </w:r>
    </w:p>
    <w:tbl>
      <w:tblPr>
        <w:tblStyle w:val="TableGrid"/>
        <w:tblW w:w="5000" w:type="pct"/>
        <w:tblLook w:val="04A0" w:firstRow="1" w:lastRow="0" w:firstColumn="1" w:lastColumn="0" w:noHBand="0" w:noVBand="1"/>
      </w:tblPr>
      <w:tblGrid>
        <w:gridCol w:w="2123"/>
        <w:gridCol w:w="1137"/>
        <w:gridCol w:w="1137"/>
        <w:gridCol w:w="1139"/>
        <w:gridCol w:w="1137"/>
        <w:gridCol w:w="1136"/>
        <w:gridCol w:w="1138"/>
      </w:tblGrid>
      <w:tr w:rsidR="00FD62D2" w:rsidRPr="00AB6FD0" w14:paraId="22972F0E" w14:textId="187CBA9B" w:rsidTr="00C374DF">
        <w:trPr>
          <w:trHeight w:val="334"/>
        </w:trPr>
        <w:tc>
          <w:tcPr>
            <w:tcW w:w="1186" w:type="pct"/>
            <w:shd w:val="clear" w:color="auto" w:fill="BFBFBF" w:themeFill="background1" w:themeFillShade="BF"/>
          </w:tcPr>
          <w:p w14:paraId="718B4B02" w14:textId="77777777" w:rsidR="00BA4BE8" w:rsidRPr="00AB6FD0" w:rsidRDefault="00BA4BE8" w:rsidP="00AB6FD0">
            <w:pPr>
              <w:spacing w:before="60" w:after="60"/>
              <w:rPr>
                <w:b/>
                <w:bCs/>
                <w:sz w:val="20"/>
                <w:szCs w:val="20"/>
              </w:rPr>
            </w:pPr>
          </w:p>
        </w:tc>
        <w:tc>
          <w:tcPr>
            <w:tcW w:w="635" w:type="pct"/>
            <w:shd w:val="clear" w:color="auto" w:fill="BFBFBF" w:themeFill="background1" w:themeFillShade="BF"/>
          </w:tcPr>
          <w:p w14:paraId="07C985DE" w14:textId="69F90CA4" w:rsidR="00BA4BE8" w:rsidRPr="00AB6FD0" w:rsidRDefault="00BA4BE8" w:rsidP="00AB6FD0">
            <w:pPr>
              <w:spacing w:before="60" w:after="60"/>
              <w:jc w:val="center"/>
              <w:rPr>
                <w:b/>
                <w:bCs/>
                <w:sz w:val="20"/>
                <w:szCs w:val="20"/>
              </w:rPr>
            </w:pPr>
            <w:r w:rsidRPr="00AB6FD0">
              <w:rPr>
                <w:b/>
                <w:bCs/>
                <w:sz w:val="20"/>
                <w:szCs w:val="20"/>
              </w:rPr>
              <w:t>2018</w:t>
            </w:r>
          </w:p>
        </w:tc>
        <w:tc>
          <w:tcPr>
            <w:tcW w:w="635" w:type="pct"/>
            <w:shd w:val="clear" w:color="auto" w:fill="BFBFBF" w:themeFill="background1" w:themeFillShade="BF"/>
          </w:tcPr>
          <w:p w14:paraId="59213CAF" w14:textId="1266CD04" w:rsidR="00BA4BE8" w:rsidRPr="00AB6FD0" w:rsidRDefault="00BA4BE8" w:rsidP="00AB6FD0">
            <w:pPr>
              <w:spacing w:before="60" w:after="60"/>
              <w:jc w:val="center"/>
              <w:rPr>
                <w:b/>
                <w:bCs/>
                <w:sz w:val="20"/>
                <w:szCs w:val="20"/>
              </w:rPr>
            </w:pPr>
            <w:r w:rsidRPr="00AB6FD0">
              <w:rPr>
                <w:b/>
                <w:bCs/>
                <w:sz w:val="20"/>
                <w:szCs w:val="20"/>
              </w:rPr>
              <w:t>2019</w:t>
            </w:r>
          </w:p>
        </w:tc>
        <w:tc>
          <w:tcPr>
            <w:tcW w:w="636" w:type="pct"/>
            <w:shd w:val="clear" w:color="auto" w:fill="BFBFBF" w:themeFill="background1" w:themeFillShade="BF"/>
          </w:tcPr>
          <w:p w14:paraId="6B21F7C3" w14:textId="0CD3D957" w:rsidR="00BA4BE8" w:rsidRPr="00AB6FD0" w:rsidRDefault="00BA4BE8" w:rsidP="00AB6FD0">
            <w:pPr>
              <w:spacing w:before="60" w:after="60"/>
              <w:jc w:val="center"/>
              <w:rPr>
                <w:b/>
                <w:bCs/>
                <w:sz w:val="20"/>
                <w:szCs w:val="20"/>
              </w:rPr>
            </w:pPr>
            <w:r w:rsidRPr="00AB6FD0">
              <w:rPr>
                <w:b/>
                <w:bCs/>
                <w:sz w:val="20"/>
                <w:szCs w:val="20"/>
              </w:rPr>
              <w:t>2020</w:t>
            </w:r>
          </w:p>
        </w:tc>
        <w:tc>
          <w:tcPr>
            <w:tcW w:w="635" w:type="pct"/>
            <w:shd w:val="clear" w:color="auto" w:fill="BFBFBF" w:themeFill="background1" w:themeFillShade="BF"/>
          </w:tcPr>
          <w:p w14:paraId="112AED27" w14:textId="36458BA3" w:rsidR="00BA4BE8" w:rsidRPr="00AB6FD0" w:rsidRDefault="00BA4BE8" w:rsidP="00AB6FD0">
            <w:pPr>
              <w:spacing w:before="60" w:after="60"/>
              <w:jc w:val="center"/>
              <w:rPr>
                <w:b/>
                <w:bCs/>
                <w:sz w:val="20"/>
                <w:szCs w:val="20"/>
              </w:rPr>
            </w:pPr>
            <w:r w:rsidRPr="00AB6FD0">
              <w:rPr>
                <w:b/>
                <w:bCs/>
                <w:sz w:val="20"/>
                <w:szCs w:val="20"/>
              </w:rPr>
              <w:t>2021</w:t>
            </w:r>
          </w:p>
        </w:tc>
        <w:tc>
          <w:tcPr>
            <w:tcW w:w="635" w:type="pct"/>
            <w:shd w:val="clear" w:color="auto" w:fill="BFBFBF" w:themeFill="background1" w:themeFillShade="BF"/>
          </w:tcPr>
          <w:p w14:paraId="36D8A7A4" w14:textId="250ACC6D" w:rsidR="00BA4BE8" w:rsidRPr="00AB6FD0" w:rsidRDefault="00BA4BE8" w:rsidP="00AB6FD0">
            <w:pPr>
              <w:spacing w:before="60" w:after="60"/>
              <w:jc w:val="center"/>
              <w:rPr>
                <w:b/>
                <w:bCs/>
                <w:sz w:val="20"/>
                <w:szCs w:val="20"/>
              </w:rPr>
            </w:pPr>
            <w:r w:rsidRPr="00AB6FD0">
              <w:rPr>
                <w:b/>
                <w:bCs/>
                <w:sz w:val="20"/>
                <w:szCs w:val="20"/>
              </w:rPr>
              <w:t>2022</w:t>
            </w:r>
          </w:p>
        </w:tc>
        <w:tc>
          <w:tcPr>
            <w:tcW w:w="636" w:type="pct"/>
            <w:shd w:val="clear" w:color="auto" w:fill="BFBFBF" w:themeFill="background1" w:themeFillShade="BF"/>
          </w:tcPr>
          <w:p w14:paraId="30A41A71" w14:textId="2A512DC4" w:rsidR="00BA4BE8" w:rsidRPr="00AB6FD0" w:rsidRDefault="00BA4BE8" w:rsidP="00AB6FD0">
            <w:pPr>
              <w:spacing w:before="60" w:after="60"/>
              <w:jc w:val="center"/>
              <w:rPr>
                <w:b/>
                <w:bCs/>
                <w:sz w:val="20"/>
                <w:szCs w:val="20"/>
              </w:rPr>
            </w:pPr>
            <w:r w:rsidRPr="00AB6FD0">
              <w:rPr>
                <w:b/>
                <w:bCs/>
                <w:sz w:val="20"/>
                <w:szCs w:val="20"/>
              </w:rPr>
              <w:t>2023</w:t>
            </w:r>
          </w:p>
        </w:tc>
      </w:tr>
      <w:tr w:rsidR="00C374DF" w:rsidRPr="00AB6FD0" w14:paraId="6207087F" w14:textId="6E6F2CAE" w:rsidTr="00C374DF">
        <w:trPr>
          <w:trHeight w:val="346"/>
        </w:trPr>
        <w:tc>
          <w:tcPr>
            <w:tcW w:w="1186" w:type="pct"/>
          </w:tcPr>
          <w:p w14:paraId="1CF4E2F0" w14:textId="7AA368D1" w:rsidR="00BA4BE8" w:rsidRPr="00AB6FD0" w:rsidRDefault="00AB6FD0" w:rsidP="00AB6FD0">
            <w:pPr>
              <w:spacing w:before="60" w:after="60"/>
              <w:rPr>
                <w:sz w:val="20"/>
                <w:szCs w:val="20"/>
              </w:rPr>
            </w:pPr>
            <w:r w:rsidRPr="00AB6FD0">
              <w:rPr>
                <w:sz w:val="20"/>
                <w:szCs w:val="20"/>
              </w:rPr>
              <w:t xml:space="preserve">Patients treated </w:t>
            </w:r>
          </w:p>
        </w:tc>
        <w:tc>
          <w:tcPr>
            <w:tcW w:w="635" w:type="pct"/>
          </w:tcPr>
          <w:p w14:paraId="79B2C329" w14:textId="42E153B0" w:rsidR="00BA4BE8" w:rsidRPr="00AB6FD0" w:rsidRDefault="00D55D28" w:rsidP="00AB6FD0">
            <w:pPr>
              <w:spacing w:before="60" w:after="60"/>
              <w:jc w:val="center"/>
              <w:rPr>
                <w:sz w:val="20"/>
                <w:szCs w:val="20"/>
              </w:rPr>
            </w:pPr>
            <w:r>
              <w:rPr>
                <w:sz w:val="20"/>
                <w:szCs w:val="20"/>
              </w:rPr>
              <w:t>895</w:t>
            </w:r>
          </w:p>
        </w:tc>
        <w:tc>
          <w:tcPr>
            <w:tcW w:w="635" w:type="pct"/>
          </w:tcPr>
          <w:p w14:paraId="59F60204" w14:textId="7D331127" w:rsidR="00BA4BE8" w:rsidRPr="00AB6FD0" w:rsidRDefault="00442650" w:rsidP="00AB6FD0">
            <w:pPr>
              <w:spacing w:before="60" w:after="60"/>
              <w:jc w:val="center"/>
              <w:rPr>
                <w:sz w:val="20"/>
                <w:szCs w:val="20"/>
              </w:rPr>
            </w:pPr>
            <w:r>
              <w:rPr>
                <w:sz w:val="20"/>
                <w:szCs w:val="20"/>
              </w:rPr>
              <w:t>946</w:t>
            </w:r>
          </w:p>
        </w:tc>
        <w:tc>
          <w:tcPr>
            <w:tcW w:w="636" w:type="pct"/>
          </w:tcPr>
          <w:p w14:paraId="4DB832B0" w14:textId="5482892C" w:rsidR="00BA4BE8" w:rsidRPr="00AB6FD0" w:rsidRDefault="00442650" w:rsidP="00AB6FD0">
            <w:pPr>
              <w:spacing w:before="60" w:after="60"/>
              <w:jc w:val="center"/>
              <w:rPr>
                <w:sz w:val="20"/>
                <w:szCs w:val="20"/>
              </w:rPr>
            </w:pPr>
            <w:r>
              <w:rPr>
                <w:sz w:val="20"/>
                <w:szCs w:val="20"/>
              </w:rPr>
              <w:t>997</w:t>
            </w:r>
          </w:p>
        </w:tc>
        <w:tc>
          <w:tcPr>
            <w:tcW w:w="635" w:type="pct"/>
          </w:tcPr>
          <w:p w14:paraId="2E7D5E9C" w14:textId="4398437B" w:rsidR="00BA4BE8" w:rsidRPr="00AB6FD0" w:rsidRDefault="00442650" w:rsidP="00AB6FD0">
            <w:pPr>
              <w:spacing w:before="60" w:after="60"/>
              <w:jc w:val="center"/>
              <w:rPr>
                <w:sz w:val="20"/>
                <w:szCs w:val="20"/>
              </w:rPr>
            </w:pPr>
            <w:r>
              <w:rPr>
                <w:sz w:val="20"/>
                <w:szCs w:val="20"/>
              </w:rPr>
              <w:t>1,038</w:t>
            </w:r>
          </w:p>
        </w:tc>
        <w:tc>
          <w:tcPr>
            <w:tcW w:w="635" w:type="pct"/>
          </w:tcPr>
          <w:p w14:paraId="1AA343E4" w14:textId="512AAE14" w:rsidR="00BA4BE8" w:rsidRPr="00AB6FD0" w:rsidRDefault="00442650" w:rsidP="00AB6FD0">
            <w:pPr>
              <w:spacing w:before="60" w:after="60"/>
              <w:jc w:val="center"/>
              <w:rPr>
                <w:sz w:val="20"/>
                <w:szCs w:val="20"/>
              </w:rPr>
            </w:pPr>
            <w:r>
              <w:rPr>
                <w:sz w:val="20"/>
                <w:szCs w:val="20"/>
              </w:rPr>
              <w:t>1,371</w:t>
            </w:r>
          </w:p>
        </w:tc>
        <w:tc>
          <w:tcPr>
            <w:tcW w:w="636" w:type="pct"/>
          </w:tcPr>
          <w:p w14:paraId="047044AB" w14:textId="50B2E311" w:rsidR="00BA4BE8" w:rsidRPr="00AB6FD0" w:rsidRDefault="00442650" w:rsidP="00AB6FD0">
            <w:pPr>
              <w:spacing w:before="60" w:after="60"/>
              <w:jc w:val="center"/>
              <w:rPr>
                <w:sz w:val="20"/>
                <w:szCs w:val="20"/>
              </w:rPr>
            </w:pPr>
            <w:r>
              <w:rPr>
                <w:sz w:val="20"/>
                <w:szCs w:val="20"/>
              </w:rPr>
              <w:t>1,431</w:t>
            </w:r>
          </w:p>
        </w:tc>
      </w:tr>
      <w:tr w:rsidR="00C374DF" w:rsidRPr="00AB6FD0" w14:paraId="526B6938" w14:textId="600AD2F9" w:rsidTr="00C374DF">
        <w:trPr>
          <w:trHeight w:val="334"/>
        </w:trPr>
        <w:tc>
          <w:tcPr>
            <w:tcW w:w="1186" w:type="pct"/>
          </w:tcPr>
          <w:p w14:paraId="42DDC8B4" w14:textId="0C6D44A6" w:rsidR="00BA4BE8" w:rsidRPr="00AB6FD0" w:rsidRDefault="00AB6FD0" w:rsidP="00AB6FD0">
            <w:pPr>
              <w:spacing w:before="60" w:after="60"/>
              <w:rPr>
                <w:sz w:val="20"/>
                <w:szCs w:val="20"/>
              </w:rPr>
            </w:pPr>
            <w:r w:rsidRPr="00AB6FD0">
              <w:rPr>
                <w:sz w:val="20"/>
                <w:szCs w:val="20"/>
              </w:rPr>
              <w:t xml:space="preserve">Prescriptions supplied </w:t>
            </w:r>
          </w:p>
        </w:tc>
        <w:tc>
          <w:tcPr>
            <w:tcW w:w="635" w:type="pct"/>
          </w:tcPr>
          <w:p w14:paraId="51696FB1" w14:textId="295B8814" w:rsidR="00BA4BE8" w:rsidRPr="00AB6FD0" w:rsidRDefault="00442650" w:rsidP="00AB6FD0">
            <w:pPr>
              <w:spacing w:before="60" w:after="60"/>
              <w:jc w:val="center"/>
              <w:rPr>
                <w:sz w:val="20"/>
                <w:szCs w:val="20"/>
              </w:rPr>
            </w:pPr>
            <w:r>
              <w:rPr>
                <w:sz w:val="20"/>
                <w:szCs w:val="20"/>
              </w:rPr>
              <w:t>7,619</w:t>
            </w:r>
          </w:p>
        </w:tc>
        <w:tc>
          <w:tcPr>
            <w:tcW w:w="635" w:type="pct"/>
          </w:tcPr>
          <w:p w14:paraId="54EEAC05" w14:textId="5A3C4A05" w:rsidR="00BA4BE8" w:rsidRPr="00AB6FD0" w:rsidRDefault="00442650" w:rsidP="00AB6FD0">
            <w:pPr>
              <w:spacing w:before="60" w:after="60"/>
              <w:jc w:val="center"/>
              <w:rPr>
                <w:sz w:val="20"/>
                <w:szCs w:val="20"/>
              </w:rPr>
            </w:pPr>
            <w:r>
              <w:rPr>
                <w:sz w:val="20"/>
                <w:szCs w:val="20"/>
              </w:rPr>
              <w:t>7,437</w:t>
            </w:r>
          </w:p>
        </w:tc>
        <w:tc>
          <w:tcPr>
            <w:tcW w:w="636" w:type="pct"/>
          </w:tcPr>
          <w:p w14:paraId="634A2A09" w14:textId="21FEC8A9" w:rsidR="00BA4BE8" w:rsidRPr="00AB6FD0" w:rsidRDefault="00442650" w:rsidP="00AB6FD0">
            <w:pPr>
              <w:spacing w:before="60" w:after="60"/>
              <w:jc w:val="center"/>
              <w:rPr>
                <w:sz w:val="20"/>
                <w:szCs w:val="20"/>
              </w:rPr>
            </w:pPr>
            <w:r>
              <w:rPr>
                <w:sz w:val="20"/>
                <w:szCs w:val="20"/>
              </w:rPr>
              <w:t>6,8</w:t>
            </w:r>
            <w:r w:rsidR="00FD62D2">
              <w:rPr>
                <w:sz w:val="20"/>
                <w:szCs w:val="20"/>
              </w:rPr>
              <w:t>29</w:t>
            </w:r>
          </w:p>
        </w:tc>
        <w:tc>
          <w:tcPr>
            <w:tcW w:w="635" w:type="pct"/>
          </w:tcPr>
          <w:p w14:paraId="2F3B7C87" w14:textId="4602BBCD" w:rsidR="00BA4BE8" w:rsidRPr="00AB6FD0" w:rsidRDefault="00FD62D2" w:rsidP="00AB6FD0">
            <w:pPr>
              <w:spacing w:before="60" w:after="60"/>
              <w:jc w:val="center"/>
              <w:rPr>
                <w:sz w:val="20"/>
                <w:szCs w:val="20"/>
              </w:rPr>
            </w:pPr>
            <w:r>
              <w:rPr>
                <w:sz w:val="20"/>
                <w:szCs w:val="20"/>
              </w:rPr>
              <w:t>7,050</w:t>
            </w:r>
          </w:p>
        </w:tc>
        <w:tc>
          <w:tcPr>
            <w:tcW w:w="635" w:type="pct"/>
          </w:tcPr>
          <w:p w14:paraId="1825180B" w14:textId="2803E590" w:rsidR="00BA4BE8" w:rsidRPr="00AB6FD0" w:rsidRDefault="00FD62D2" w:rsidP="00AB6FD0">
            <w:pPr>
              <w:spacing w:before="60" w:after="60"/>
              <w:jc w:val="center"/>
              <w:rPr>
                <w:sz w:val="20"/>
                <w:szCs w:val="20"/>
              </w:rPr>
            </w:pPr>
            <w:r>
              <w:rPr>
                <w:sz w:val="20"/>
                <w:szCs w:val="20"/>
              </w:rPr>
              <w:t>9,406</w:t>
            </w:r>
          </w:p>
        </w:tc>
        <w:tc>
          <w:tcPr>
            <w:tcW w:w="636" w:type="pct"/>
          </w:tcPr>
          <w:p w14:paraId="62181F08" w14:textId="1063F249" w:rsidR="00BA4BE8" w:rsidRPr="00AB6FD0" w:rsidRDefault="00FD62D2" w:rsidP="00AB6FD0">
            <w:pPr>
              <w:spacing w:before="60" w:after="60"/>
              <w:jc w:val="center"/>
              <w:rPr>
                <w:sz w:val="20"/>
                <w:szCs w:val="20"/>
              </w:rPr>
            </w:pPr>
            <w:r>
              <w:rPr>
                <w:sz w:val="20"/>
                <w:szCs w:val="20"/>
              </w:rPr>
              <w:t>9,940</w:t>
            </w:r>
          </w:p>
        </w:tc>
      </w:tr>
    </w:tbl>
    <w:p w14:paraId="65448294" w14:textId="77777777" w:rsidR="00EA2DEB" w:rsidRPr="00EA2DEB" w:rsidRDefault="00EA2DEB" w:rsidP="00EA2DEB"/>
    <w:p w14:paraId="525D19B4" w14:textId="7F80D7D9" w:rsidR="0047656B" w:rsidRDefault="005474D1" w:rsidP="005474D1">
      <w:pPr>
        <w:jc w:val="center"/>
      </w:pPr>
      <w:r>
        <w:rPr>
          <w:noProof/>
        </w:rPr>
        <w:drawing>
          <wp:inline distT="0" distB="0" distL="0" distR="0" wp14:anchorId="7A419E45" wp14:editId="6D21B467">
            <wp:extent cx="4762800" cy="3254400"/>
            <wp:effectExtent l="0" t="0" r="0" b="3175"/>
            <wp:docPr id="142930964" name="Chart 1">
              <a:extLst xmlns:a="http://schemas.openxmlformats.org/drawingml/2006/main">
                <a:ext uri="{FF2B5EF4-FFF2-40B4-BE49-F238E27FC236}">
                  <a16:creationId xmlns:a16="http://schemas.microsoft.com/office/drawing/2014/main" id="{9B887893-9D29-3F23-C8F0-048D84D8C8D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2FD83CD" w14:textId="7581BFCE" w:rsidR="000510A4" w:rsidRDefault="000510A4" w:rsidP="00305A1F">
      <w:pPr>
        <w:pStyle w:val="Figuretitle"/>
      </w:pPr>
      <w:r>
        <w:t xml:space="preserve">Figure 1: Utilisation of </w:t>
      </w:r>
      <w:r w:rsidR="00502AE5">
        <w:t>PBS list</w:t>
      </w:r>
      <w:r w:rsidR="00E34524">
        <w:t xml:space="preserve">ed </w:t>
      </w:r>
      <w:r>
        <w:t>medicines for</w:t>
      </w:r>
      <w:r w:rsidR="00E34524">
        <w:t xml:space="preserve"> the treatment of</w:t>
      </w:r>
      <w:r>
        <w:t xml:space="preserve"> GIST by supply </w:t>
      </w:r>
      <w:r w:rsidR="00931B1B">
        <w:t>quarter.</w:t>
      </w:r>
      <w:r>
        <w:t xml:space="preserve"> </w:t>
      </w:r>
    </w:p>
    <w:p w14:paraId="5DBFEC97" w14:textId="665A3DF3" w:rsidR="00006F89" w:rsidRDefault="00151FE5" w:rsidP="00035BEA">
      <w:r>
        <w:lastRenderedPageBreak/>
        <w:t xml:space="preserve">Table 9 and </w:t>
      </w:r>
      <w:r w:rsidR="00B64457">
        <w:t xml:space="preserve">Figure 1 shows the overall </w:t>
      </w:r>
      <w:r w:rsidR="00451C57">
        <w:t xml:space="preserve">utilisation of GIST medicines. </w:t>
      </w:r>
      <w:r w:rsidR="0023476B">
        <w:t>Prior to 2022</w:t>
      </w:r>
      <w:r w:rsidR="00BD4F5D">
        <w:t>Q2</w:t>
      </w:r>
      <w:r w:rsidR="0023476B">
        <w:t>, there were approximately 670 patients treated per quarter. Following 2022</w:t>
      </w:r>
      <w:r w:rsidR="00C77ACB">
        <w:t>Q2</w:t>
      </w:r>
      <w:r w:rsidR="0023476B">
        <w:t xml:space="preserve">, the number of patients treated increased to </w:t>
      </w:r>
      <w:r w:rsidR="00F109C8">
        <w:t xml:space="preserve">approximately 940 patients per quarter. </w:t>
      </w:r>
    </w:p>
    <w:p w14:paraId="2B38213B" w14:textId="0F9B0C57" w:rsidR="0004214B" w:rsidRPr="00580EE4" w:rsidRDefault="0004214B" w:rsidP="00580EE4"/>
    <w:p w14:paraId="1D87F7F6" w14:textId="22BE4712" w:rsidR="000745B4" w:rsidRDefault="006C2E4B" w:rsidP="00203229">
      <w:pPr>
        <w:jc w:val="center"/>
      </w:pPr>
      <w:r>
        <w:rPr>
          <w:noProof/>
        </w:rPr>
        <w:drawing>
          <wp:inline distT="0" distB="0" distL="0" distR="0" wp14:anchorId="78B94637" wp14:editId="4112D558">
            <wp:extent cx="4762800" cy="3254400"/>
            <wp:effectExtent l="0" t="0" r="0" b="3175"/>
            <wp:docPr id="1990224936" name="Chart 1">
              <a:extLst xmlns:a="http://schemas.openxmlformats.org/drawingml/2006/main">
                <a:ext uri="{FF2B5EF4-FFF2-40B4-BE49-F238E27FC236}">
                  <a16:creationId xmlns:a16="http://schemas.microsoft.com/office/drawing/2014/main" id="{3901058A-B5D6-0D1F-0FAB-FA3263ED133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0F062A" w14:textId="49299158" w:rsidR="00D00E08" w:rsidRDefault="00D00E08" w:rsidP="00D00E08">
      <w:pPr>
        <w:pStyle w:val="Figuretitle"/>
      </w:pPr>
      <w:r>
        <w:t xml:space="preserve">Figure </w:t>
      </w:r>
      <w:r w:rsidR="003A2B95">
        <w:t>2</w:t>
      </w:r>
      <w:r>
        <w:t xml:space="preserve">: </w:t>
      </w:r>
      <w:r w:rsidR="00035BEA">
        <w:t>Patients treated b</w:t>
      </w:r>
      <w:r>
        <w:t>y GIST type</w:t>
      </w:r>
      <w:r w:rsidR="003A2B95">
        <w:t xml:space="preserve"> and supply </w:t>
      </w:r>
      <w:r w:rsidR="00931B1B">
        <w:t>quarter.</w:t>
      </w:r>
    </w:p>
    <w:p w14:paraId="1B04AA89" w14:textId="77777777" w:rsidR="00D00E08" w:rsidRDefault="00D00E08" w:rsidP="006D6049"/>
    <w:p w14:paraId="59738975" w14:textId="48C468E9" w:rsidR="00CF41A0" w:rsidRDefault="00B05C5B" w:rsidP="001F324A">
      <w:r>
        <w:t xml:space="preserve">Figure 2 shows the number of patients treated </w:t>
      </w:r>
      <w:r w:rsidR="001A14FE">
        <w:t>for</w:t>
      </w:r>
      <w:r w:rsidR="00B5566F">
        <w:t xml:space="preserve"> adjuvant and metastatic GIST. </w:t>
      </w:r>
      <w:r w:rsidR="00801A50">
        <w:t xml:space="preserve">Overall, there were a greater number of patients treated for metastatic GIST compared to adjuvant GIST. </w:t>
      </w:r>
      <w:r w:rsidR="00793E64">
        <w:t>There were larger</w:t>
      </w:r>
      <w:r w:rsidR="00647FE7">
        <w:t xml:space="preserve"> </w:t>
      </w:r>
      <w:r w:rsidR="00814A18">
        <w:t xml:space="preserve">increases in the number of </w:t>
      </w:r>
      <w:r w:rsidR="00647FE7">
        <w:t xml:space="preserve">initiating </w:t>
      </w:r>
      <w:r w:rsidR="00814A18">
        <w:t>patients treated for adjuvant GIST compared to metastatic GIST, particular</w:t>
      </w:r>
      <w:r w:rsidR="00E30AB6">
        <w:t xml:space="preserve">ly </w:t>
      </w:r>
      <w:r w:rsidR="00647FE7">
        <w:t>in</w:t>
      </w:r>
      <w:r w:rsidR="00E30AB6">
        <w:t xml:space="preserve"> 2019Q3 and 2022Q</w:t>
      </w:r>
      <w:r w:rsidR="001B6B9D">
        <w:t>2</w:t>
      </w:r>
      <w:r w:rsidR="00E30AB6">
        <w:t>. These increases in</w:t>
      </w:r>
      <w:r w:rsidR="009C3C68">
        <w:t xml:space="preserve"> the number of</w:t>
      </w:r>
      <w:r w:rsidR="00E30AB6">
        <w:t xml:space="preserve"> patients </w:t>
      </w:r>
      <w:r w:rsidR="00A51407">
        <w:t xml:space="preserve">may be due </w:t>
      </w:r>
      <w:r w:rsidR="00D011EA">
        <w:t>to the change in</w:t>
      </w:r>
      <w:r w:rsidR="00DD088A">
        <w:t xml:space="preserve"> the</w:t>
      </w:r>
      <w:r w:rsidR="00D011EA">
        <w:t xml:space="preserve"> in</w:t>
      </w:r>
      <w:r w:rsidR="00D31EEB">
        <w:t>itial listing</w:t>
      </w:r>
      <w:r w:rsidR="00DD088A">
        <w:t xml:space="preserve"> for</w:t>
      </w:r>
      <w:r w:rsidR="00D31EEB">
        <w:t xml:space="preserve"> </w:t>
      </w:r>
      <w:r w:rsidR="00A51407">
        <w:t>imatinib</w:t>
      </w:r>
      <w:r w:rsidR="00D31EEB">
        <w:t xml:space="preserve"> to Authority Required (Telephone) </w:t>
      </w:r>
      <w:r w:rsidR="00A51407">
        <w:t xml:space="preserve">in </w:t>
      </w:r>
      <w:r w:rsidR="00325091">
        <w:t>September</w:t>
      </w:r>
      <w:r w:rsidR="00A51407">
        <w:t xml:space="preserve"> 2019 and</w:t>
      </w:r>
      <w:r w:rsidR="00514A72">
        <w:t xml:space="preserve"> the</w:t>
      </w:r>
      <w:r w:rsidR="00D31EEB">
        <w:t xml:space="preserve"> capsule form of imatinib being listed</w:t>
      </w:r>
      <w:r w:rsidR="00F82EEB">
        <w:t xml:space="preserve"> in November 2021</w:t>
      </w:r>
      <w:r w:rsidR="00D31EEB">
        <w:t xml:space="preserve">. </w:t>
      </w:r>
    </w:p>
    <w:p w14:paraId="2A180CFE" w14:textId="133317EB" w:rsidR="00F225AB" w:rsidRDefault="00F225AB" w:rsidP="00F225AB">
      <w:pPr>
        <w:jc w:val="center"/>
      </w:pPr>
      <w:r>
        <w:rPr>
          <w:noProof/>
        </w:rPr>
        <w:lastRenderedPageBreak/>
        <w:drawing>
          <wp:inline distT="0" distB="0" distL="0" distR="0" wp14:anchorId="2A29562F" wp14:editId="0A8F699D">
            <wp:extent cx="4762800" cy="3254400"/>
            <wp:effectExtent l="0" t="0" r="0" b="3175"/>
            <wp:docPr id="847898174" name="Chart 1">
              <a:extLst xmlns:a="http://schemas.openxmlformats.org/drawingml/2006/main">
                <a:ext uri="{FF2B5EF4-FFF2-40B4-BE49-F238E27FC236}">
                  <a16:creationId xmlns:a16="http://schemas.microsoft.com/office/drawing/2014/main" id="{FF9BCEBF-0EB0-E27B-F16E-EAB446CC7E9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6CAF58" w14:textId="2A0B88E3" w:rsidR="00F225AB" w:rsidRDefault="00F225AB" w:rsidP="00F225AB">
      <w:pPr>
        <w:pStyle w:val="Figuretitle"/>
      </w:pPr>
      <w:r>
        <w:t xml:space="preserve">Figure </w:t>
      </w:r>
      <w:r w:rsidR="00FD481C">
        <w:t>3</w:t>
      </w:r>
      <w:r>
        <w:t xml:space="preserve">: Number of prescriptions </w:t>
      </w:r>
      <w:r w:rsidR="0037576C">
        <w:t xml:space="preserve">supplied </w:t>
      </w:r>
      <w:r>
        <w:t xml:space="preserve">by GIST type and supply quarter </w:t>
      </w:r>
    </w:p>
    <w:p w14:paraId="6817D1C6" w14:textId="77777777" w:rsidR="00E06A66" w:rsidRDefault="00E06A66" w:rsidP="009B5CF3"/>
    <w:p w14:paraId="7093E9CD" w14:textId="64458F77" w:rsidR="009B5CF3" w:rsidRDefault="009B5CF3" w:rsidP="009B5CF3">
      <w:r>
        <w:t>Figure 3 shows the number of prescriptions supplied by GIST type.</w:t>
      </w:r>
      <w:r w:rsidR="00A816B4">
        <w:t xml:space="preserve"> </w:t>
      </w:r>
      <w:r w:rsidR="00663409">
        <w:t>Overall</w:t>
      </w:r>
      <w:r w:rsidR="00D978CE">
        <w:t xml:space="preserve">, </w:t>
      </w:r>
      <w:r w:rsidR="006F4E1C">
        <w:t xml:space="preserve">a greater number of </w:t>
      </w:r>
      <w:r w:rsidR="00724AC6">
        <w:t>prescriptions for metastatic GIST have been supplied compared to adjuvant GIST</w:t>
      </w:r>
      <w:r w:rsidR="004206D3">
        <w:t xml:space="preserve">. </w:t>
      </w:r>
    </w:p>
    <w:p w14:paraId="4EC8DFE0" w14:textId="77777777" w:rsidR="00016FB2" w:rsidRDefault="00016FB2" w:rsidP="009B5CF3"/>
    <w:p w14:paraId="62E833DF" w14:textId="5B7E7A17" w:rsidR="00FA1CE8" w:rsidRDefault="00E949B5" w:rsidP="001A3A34">
      <w:pPr>
        <w:jc w:val="center"/>
      </w:pPr>
      <w:r>
        <w:rPr>
          <w:noProof/>
        </w:rPr>
        <w:drawing>
          <wp:inline distT="0" distB="0" distL="0" distR="0" wp14:anchorId="1E1EAF5B" wp14:editId="3AD35AF1">
            <wp:extent cx="4762800" cy="3254400"/>
            <wp:effectExtent l="0" t="0" r="0" b="3175"/>
            <wp:docPr id="169333936" name="Chart 1">
              <a:extLst xmlns:a="http://schemas.openxmlformats.org/drawingml/2006/main">
                <a:ext uri="{FF2B5EF4-FFF2-40B4-BE49-F238E27FC236}">
                  <a16:creationId xmlns:a16="http://schemas.microsoft.com/office/drawing/2014/main" id="{DAAAEEB9-394E-4E4A-E714-A3C0A9C918F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7C960DE" w14:textId="66185F1D" w:rsidR="00FA3F6A" w:rsidRDefault="00D00E08" w:rsidP="00151FE5">
      <w:pPr>
        <w:pStyle w:val="Figuretitle"/>
      </w:pPr>
      <w:r>
        <w:t xml:space="preserve">Figure </w:t>
      </w:r>
      <w:r w:rsidR="00FD481C">
        <w:t>4</w:t>
      </w:r>
      <w:r>
        <w:t>:</w:t>
      </w:r>
      <w:r w:rsidR="00B36FAD">
        <w:t xml:space="preserve"> </w:t>
      </w:r>
      <w:r w:rsidR="0053428A">
        <w:t>Metastatic</w:t>
      </w:r>
      <w:r w:rsidR="001A3A34">
        <w:t xml:space="preserve"> GIST</w:t>
      </w:r>
      <w:r w:rsidR="00B36FAD">
        <w:t xml:space="preserve"> patients treated</w:t>
      </w:r>
      <w:r w:rsidR="001A3A34">
        <w:t xml:space="preserve"> by drug </w:t>
      </w:r>
      <w:r w:rsidR="00B36FAD">
        <w:t xml:space="preserve">and supply </w:t>
      </w:r>
      <w:r w:rsidR="00931B1B">
        <w:t>quarter.</w:t>
      </w:r>
    </w:p>
    <w:p w14:paraId="3672011F" w14:textId="48501229" w:rsidR="00C86050" w:rsidRDefault="000764E5" w:rsidP="000050F2">
      <w:r w:rsidRPr="009E6675">
        <w:lastRenderedPageBreak/>
        <w:t xml:space="preserve">Figure </w:t>
      </w:r>
      <w:r w:rsidR="00FF574D">
        <w:t>4</w:t>
      </w:r>
      <w:r w:rsidRPr="009E6675">
        <w:t xml:space="preserve"> shows the number of </w:t>
      </w:r>
      <w:r w:rsidR="008C33A6" w:rsidRPr="009E6675">
        <w:t>metastatic</w:t>
      </w:r>
      <w:r w:rsidRPr="009E6675">
        <w:t xml:space="preserve"> GIST patients treated by drug. </w:t>
      </w:r>
      <w:r w:rsidR="00230A10" w:rsidRPr="009E6675">
        <w:t xml:space="preserve">The number of patients treated with sunitinib and ripretinib appear to be </w:t>
      </w:r>
      <w:r w:rsidR="006D2A9E">
        <w:t xml:space="preserve">relatively </w:t>
      </w:r>
      <w:r w:rsidR="00230A10" w:rsidRPr="009E6675">
        <w:t xml:space="preserve">stable, with approximately </w:t>
      </w:r>
      <w:r w:rsidR="00F64CD2">
        <w:t xml:space="preserve">60 and </w:t>
      </w:r>
      <w:r w:rsidR="00DA0DB3">
        <w:t>43 patients treated per supply quarter.</w:t>
      </w:r>
      <w:r w:rsidR="00CC1517" w:rsidRPr="009E6675">
        <w:t xml:space="preserve"> </w:t>
      </w:r>
    </w:p>
    <w:p w14:paraId="1A94B0F3" w14:textId="77777777" w:rsidR="00151FE5" w:rsidRDefault="00151FE5" w:rsidP="00C86050"/>
    <w:p w14:paraId="415F7D58" w14:textId="51112A68" w:rsidR="00C86050" w:rsidRDefault="00C86050" w:rsidP="00C86050">
      <w:r>
        <w:t>Figure</w:t>
      </w:r>
      <w:r w:rsidR="00ED0BD1">
        <w:t>s</w:t>
      </w:r>
      <w:r>
        <w:t xml:space="preserve"> 5 and 6 show the number of prescriptions supplied for imatinib for adjuvant and metastatic GIST by form and strength. </w:t>
      </w:r>
      <w:r w:rsidR="00552265">
        <w:t xml:space="preserve">Capsules accounted for a greater proportion of imatinib prescriptions supplied for adjuvant GIST compared to metastatic GIST. </w:t>
      </w:r>
    </w:p>
    <w:p w14:paraId="15008F2B" w14:textId="738783AD" w:rsidR="007614CF" w:rsidRDefault="00CE1399" w:rsidP="001877E7">
      <w:pPr>
        <w:jc w:val="center"/>
      </w:pPr>
      <w:r>
        <w:rPr>
          <w:noProof/>
        </w:rPr>
        <w:drawing>
          <wp:inline distT="0" distB="0" distL="0" distR="0" wp14:anchorId="30D38879" wp14:editId="1E440667">
            <wp:extent cx="4848225" cy="3233738"/>
            <wp:effectExtent l="0" t="0" r="9525" b="5080"/>
            <wp:docPr id="1928874035" name="Chart 1">
              <a:extLst xmlns:a="http://schemas.openxmlformats.org/drawingml/2006/main">
                <a:ext uri="{FF2B5EF4-FFF2-40B4-BE49-F238E27FC236}">
                  <a16:creationId xmlns:a16="http://schemas.microsoft.com/office/drawing/2014/main" id="{39AEA131-AD62-E235-8644-0FC2211B866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D433FB" w14:textId="765DA95E" w:rsidR="001877E7" w:rsidRDefault="001877E7" w:rsidP="00552265">
      <w:pPr>
        <w:pStyle w:val="Figuretitle"/>
      </w:pPr>
      <w:r>
        <w:t xml:space="preserve">Figure </w:t>
      </w:r>
      <w:r w:rsidR="00FD481C">
        <w:t>5</w:t>
      </w:r>
      <w:r>
        <w:t xml:space="preserve">: </w:t>
      </w:r>
      <w:r w:rsidR="00A555D8">
        <w:t>Number of i</w:t>
      </w:r>
      <w:r w:rsidR="00CD1AC1">
        <w:t>matinib for a</w:t>
      </w:r>
      <w:r>
        <w:t>djuvant</w:t>
      </w:r>
      <w:r w:rsidR="00CD1AC1">
        <w:t xml:space="preserve"> GIST</w:t>
      </w:r>
      <w:r>
        <w:t xml:space="preserve"> prescriptions supplied by form and strength and supply quarter </w:t>
      </w:r>
    </w:p>
    <w:p w14:paraId="42F47EA9" w14:textId="60B5473F" w:rsidR="005319D9" w:rsidRDefault="005319D9" w:rsidP="009D10A5">
      <w:pPr>
        <w:jc w:val="center"/>
      </w:pPr>
    </w:p>
    <w:p w14:paraId="35396BA4" w14:textId="533049F3" w:rsidR="004B2470" w:rsidRDefault="009D21BA" w:rsidP="009D10A5">
      <w:pPr>
        <w:jc w:val="center"/>
      </w:pPr>
      <w:r>
        <w:rPr>
          <w:noProof/>
        </w:rPr>
        <w:lastRenderedPageBreak/>
        <w:drawing>
          <wp:inline distT="0" distB="0" distL="0" distR="0" wp14:anchorId="7E91CF1B" wp14:editId="41843BD8">
            <wp:extent cx="4804913" cy="3148642"/>
            <wp:effectExtent l="0" t="0" r="15240" b="13970"/>
            <wp:docPr id="785043423" name="Chart 1">
              <a:extLst xmlns:a="http://schemas.openxmlformats.org/drawingml/2006/main">
                <a:ext uri="{FF2B5EF4-FFF2-40B4-BE49-F238E27FC236}">
                  <a16:creationId xmlns:a16="http://schemas.microsoft.com/office/drawing/2014/main" id="{BD91CB8F-5A6B-19CD-7AD3-E85B464DFFF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3BFF6B" w14:textId="561699CF" w:rsidR="001877E7" w:rsidRDefault="009D10A5" w:rsidP="00151FE5">
      <w:pPr>
        <w:pStyle w:val="Figuretitle"/>
      </w:pPr>
      <w:r>
        <w:t xml:space="preserve">Figure </w:t>
      </w:r>
      <w:r w:rsidR="00FD481C">
        <w:t>6</w:t>
      </w:r>
      <w:r>
        <w:t xml:space="preserve">: </w:t>
      </w:r>
      <w:r w:rsidR="00D2728E">
        <w:t>Number of i</w:t>
      </w:r>
      <w:r>
        <w:t xml:space="preserve">matinib </w:t>
      </w:r>
      <w:r w:rsidR="00D2728E">
        <w:t xml:space="preserve">prescriptions supplied </w:t>
      </w:r>
      <w:r>
        <w:t xml:space="preserve">for metastatic GIST by form and strength and supply </w:t>
      </w:r>
      <w:r w:rsidR="00931B1B">
        <w:t>quarter.</w:t>
      </w:r>
      <w:r>
        <w:t xml:space="preserve"> </w:t>
      </w:r>
    </w:p>
    <w:p w14:paraId="0B7B879E" w14:textId="3A72D98F" w:rsidR="00BD0FA7" w:rsidRDefault="00736041" w:rsidP="00035BEA">
      <w:pPr>
        <w:pStyle w:val="Heading3"/>
      </w:pPr>
      <w:r w:rsidRPr="005E22C2">
        <w:t>Utilisation by relevant sub-populations/regions</w:t>
      </w:r>
      <w:r w:rsidR="001B5D37" w:rsidRPr="005E22C2">
        <w:t xml:space="preserve"> or patient level analysis</w:t>
      </w:r>
    </w:p>
    <w:p w14:paraId="6FD88318" w14:textId="42F67D26" w:rsidR="00B8352E" w:rsidRPr="00B8352E" w:rsidRDefault="00F77E6E" w:rsidP="00B8352E">
      <w:r>
        <w:t>Figure</w:t>
      </w:r>
      <w:r w:rsidR="00ED0BD1">
        <w:t>s</w:t>
      </w:r>
      <w:r>
        <w:t xml:space="preserve"> 7 and 8 show the age and gender distribution of initiating</w:t>
      </w:r>
      <w:r w:rsidR="000716EA">
        <w:t xml:space="preserve"> GIST patients. Across both adjuvant and metastatic patients, </w:t>
      </w:r>
      <w:r w:rsidR="00D33515">
        <w:t>70-74 years</w:t>
      </w:r>
      <w:r w:rsidR="005779FA">
        <w:t xml:space="preserve"> old</w:t>
      </w:r>
      <w:r w:rsidR="00D33515">
        <w:t xml:space="preserve"> was the most common</w:t>
      </w:r>
      <w:r w:rsidR="005779FA">
        <w:t xml:space="preserve"> initiating </w:t>
      </w:r>
      <w:r w:rsidR="00D33515">
        <w:t xml:space="preserve">age group. </w:t>
      </w:r>
      <w:r w:rsidR="003406AB">
        <w:t xml:space="preserve">Males were more commonly treated compared to females in both adjuvant and </w:t>
      </w:r>
      <w:r w:rsidR="009D3124">
        <w:t xml:space="preserve">metastatic GIST. </w:t>
      </w:r>
    </w:p>
    <w:p w14:paraId="4B94D257" w14:textId="2ED14242" w:rsidR="00B8352E" w:rsidRPr="00BD0FA7" w:rsidRDefault="00BC45F0" w:rsidP="00B8352E">
      <w:pPr>
        <w:jc w:val="center"/>
      </w:pPr>
      <w:r>
        <w:rPr>
          <w:noProof/>
        </w:rPr>
        <w:drawing>
          <wp:inline distT="0" distB="0" distL="0" distR="0" wp14:anchorId="2CE7B618" wp14:editId="248A9B32">
            <wp:extent cx="4762800" cy="3254400"/>
            <wp:effectExtent l="0" t="0" r="0" b="3175"/>
            <wp:docPr id="1597421057" name="Chart 1">
              <a:extLst xmlns:a="http://schemas.openxmlformats.org/drawingml/2006/main">
                <a:ext uri="{FF2B5EF4-FFF2-40B4-BE49-F238E27FC236}">
                  <a16:creationId xmlns:a16="http://schemas.microsoft.com/office/drawing/2014/main" id="{54649ED3-2270-FA31-2F4F-DD723A01277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9E4C4B" w14:textId="5116A8EA" w:rsidR="00B8352E" w:rsidRDefault="00B8352E" w:rsidP="00B8352E">
      <w:pPr>
        <w:pStyle w:val="Figuretitle"/>
      </w:pPr>
      <w:r>
        <w:t xml:space="preserve">Figure </w:t>
      </w:r>
      <w:r w:rsidR="00FD481C">
        <w:t>7</w:t>
      </w:r>
      <w:r>
        <w:t xml:space="preserve">: Age and gender distribution of initiating adjuvant GIST patients </w:t>
      </w:r>
    </w:p>
    <w:p w14:paraId="3EEE5AB5" w14:textId="77777777" w:rsidR="00B8352E" w:rsidRPr="00B8352E" w:rsidRDefault="00B8352E" w:rsidP="00B8352E"/>
    <w:p w14:paraId="4CC907FF" w14:textId="56EDC802" w:rsidR="00BD0FA7" w:rsidRDefault="00D713C3" w:rsidP="00BD0FA7">
      <w:pPr>
        <w:jc w:val="center"/>
      </w:pPr>
      <w:r>
        <w:rPr>
          <w:noProof/>
        </w:rPr>
        <w:drawing>
          <wp:inline distT="0" distB="0" distL="0" distR="0" wp14:anchorId="7B1EDB13" wp14:editId="1C685537">
            <wp:extent cx="4546121" cy="3071004"/>
            <wp:effectExtent l="0" t="0" r="6985" b="15240"/>
            <wp:docPr id="1870427575" name="Chart 1">
              <a:extLst xmlns:a="http://schemas.openxmlformats.org/drawingml/2006/main">
                <a:ext uri="{FF2B5EF4-FFF2-40B4-BE49-F238E27FC236}">
                  <a16:creationId xmlns:a16="http://schemas.microsoft.com/office/drawing/2014/main" id="{875072ED-D6A8-CD35-3B35-258EE4A58F3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E07AD07" w14:textId="7A7C6C6B" w:rsidR="008C4062" w:rsidRDefault="00BD0FA7" w:rsidP="009D3124">
      <w:pPr>
        <w:pStyle w:val="Figuretitle"/>
      </w:pPr>
      <w:r>
        <w:t xml:space="preserve">Figure </w:t>
      </w:r>
      <w:r w:rsidR="00FD481C">
        <w:t>8</w:t>
      </w:r>
      <w:r>
        <w:t xml:space="preserve">: Age and gender distribution of </w:t>
      </w:r>
      <w:r w:rsidR="00F64520">
        <w:t>initiating</w:t>
      </w:r>
      <w:r>
        <w:t xml:space="preserve"> metastatic GIST </w:t>
      </w:r>
      <w:r w:rsidR="00931B1B">
        <w:t>patients.</w:t>
      </w:r>
      <w:r>
        <w:t xml:space="preserve"> </w:t>
      </w:r>
    </w:p>
    <w:p w14:paraId="01A8B760" w14:textId="77777777" w:rsidR="00ED0BD1" w:rsidRPr="00224D56" w:rsidRDefault="00ED0BD1" w:rsidP="00224D56"/>
    <w:p w14:paraId="34EA4A1F" w14:textId="1A9F8D47" w:rsidR="008C4062" w:rsidRDefault="003B46B7" w:rsidP="009C1171">
      <w:pPr>
        <w:pStyle w:val="Tabletitle"/>
      </w:pPr>
      <w:r w:rsidRPr="000C7381">
        <w:t xml:space="preserve">Table </w:t>
      </w:r>
      <w:r w:rsidR="00FD481C">
        <w:t>10</w:t>
      </w:r>
      <w:r>
        <w:t xml:space="preserve">: Sequence analysis of </w:t>
      </w:r>
      <w:r w:rsidR="00502AE5">
        <w:t>PBS list</w:t>
      </w:r>
      <w:r>
        <w:t xml:space="preserve">ed medicines for metastatic GIST </w:t>
      </w:r>
    </w:p>
    <w:tbl>
      <w:tblPr>
        <w:tblStyle w:val="TableGrid"/>
        <w:tblW w:w="5000" w:type="pct"/>
        <w:tblLook w:val="04A0" w:firstRow="1" w:lastRow="0" w:firstColumn="1" w:lastColumn="0" w:noHBand="0" w:noVBand="1"/>
      </w:tblPr>
      <w:tblGrid>
        <w:gridCol w:w="5688"/>
        <w:gridCol w:w="1668"/>
        <w:gridCol w:w="1591"/>
      </w:tblGrid>
      <w:tr w:rsidR="00E3458A" w:rsidRPr="003A08DF" w14:paraId="4C7C363E" w14:textId="0D7356BB" w:rsidTr="00B0181E">
        <w:tc>
          <w:tcPr>
            <w:tcW w:w="3179" w:type="pct"/>
            <w:shd w:val="clear" w:color="auto" w:fill="BFBFBF" w:themeFill="background1" w:themeFillShade="BF"/>
          </w:tcPr>
          <w:p w14:paraId="2F345C05" w14:textId="77777777" w:rsidR="00E3458A" w:rsidRPr="003A08DF" w:rsidRDefault="00E3458A" w:rsidP="00E3458A">
            <w:pPr>
              <w:spacing w:before="60" w:after="60"/>
              <w:rPr>
                <w:b/>
                <w:bCs/>
                <w:sz w:val="20"/>
                <w:szCs w:val="20"/>
              </w:rPr>
            </w:pPr>
            <w:r w:rsidRPr="003A08DF">
              <w:rPr>
                <w:b/>
                <w:bCs/>
                <w:sz w:val="20"/>
                <w:szCs w:val="20"/>
              </w:rPr>
              <w:t xml:space="preserve">Sequence </w:t>
            </w:r>
          </w:p>
        </w:tc>
        <w:tc>
          <w:tcPr>
            <w:tcW w:w="932" w:type="pct"/>
            <w:shd w:val="clear" w:color="auto" w:fill="BFBFBF" w:themeFill="background1" w:themeFillShade="BF"/>
          </w:tcPr>
          <w:p w14:paraId="06BAEF55" w14:textId="749580A3" w:rsidR="00E3458A" w:rsidRPr="003A08DF" w:rsidRDefault="009B0D50" w:rsidP="00E3458A">
            <w:pPr>
              <w:spacing w:before="60" w:after="60"/>
              <w:jc w:val="center"/>
              <w:rPr>
                <w:b/>
                <w:bCs/>
                <w:sz w:val="20"/>
                <w:szCs w:val="20"/>
              </w:rPr>
            </w:pPr>
            <w:r>
              <w:rPr>
                <w:b/>
                <w:bCs/>
                <w:sz w:val="20"/>
                <w:szCs w:val="20"/>
              </w:rPr>
              <w:t xml:space="preserve">Patients </w:t>
            </w:r>
          </w:p>
        </w:tc>
        <w:tc>
          <w:tcPr>
            <w:tcW w:w="889" w:type="pct"/>
            <w:shd w:val="clear" w:color="auto" w:fill="BFBFBF" w:themeFill="background1" w:themeFillShade="BF"/>
          </w:tcPr>
          <w:p w14:paraId="1CD30DF7" w14:textId="1D9B5075" w:rsidR="00E3458A" w:rsidRDefault="00E3458A" w:rsidP="00E3458A">
            <w:pPr>
              <w:spacing w:before="60" w:after="60"/>
              <w:jc w:val="center"/>
              <w:rPr>
                <w:b/>
                <w:bCs/>
                <w:sz w:val="20"/>
                <w:szCs w:val="20"/>
              </w:rPr>
            </w:pPr>
            <w:r>
              <w:rPr>
                <w:b/>
                <w:bCs/>
                <w:sz w:val="20"/>
                <w:szCs w:val="20"/>
              </w:rPr>
              <w:t xml:space="preserve">Percent </w:t>
            </w:r>
          </w:p>
        </w:tc>
      </w:tr>
      <w:tr w:rsidR="00E3458A" w:rsidRPr="003A08DF" w14:paraId="700FD0E4" w14:textId="6FDB65AE" w:rsidTr="00B0181E">
        <w:tc>
          <w:tcPr>
            <w:tcW w:w="3179" w:type="pct"/>
          </w:tcPr>
          <w:p w14:paraId="5439C25D" w14:textId="77777777" w:rsidR="00E3458A" w:rsidRPr="003A08DF" w:rsidRDefault="00E3458A" w:rsidP="00E3458A">
            <w:pPr>
              <w:spacing w:before="60" w:after="60"/>
              <w:rPr>
                <w:sz w:val="20"/>
                <w:szCs w:val="20"/>
              </w:rPr>
            </w:pPr>
            <w:r>
              <w:rPr>
                <w:sz w:val="20"/>
                <w:szCs w:val="20"/>
              </w:rPr>
              <w:t>IMATINIB</w:t>
            </w:r>
          </w:p>
        </w:tc>
        <w:tc>
          <w:tcPr>
            <w:tcW w:w="932" w:type="pct"/>
          </w:tcPr>
          <w:p w14:paraId="46E23B75" w14:textId="74B322DE" w:rsidR="00E3458A" w:rsidRPr="003A08DF" w:rsidRDefault="009B0D50" w:rsidP="00E3458A">
            <w:pPr>
              <w:spacing w:before="60" w:after="60"/>
              <w:jc w:val="center"/>
              <w:rPr>
                <w:sz w:val="20"/>
                <w:szCs w:val="20"/>
              </w:rPr>
            </w:pPr>
            <w:r>
              <w:rPr>
                <w:sz w:val="20"/>
                <w:szCs w:val="20"/>
              </w:rPr>
              <w:t>2,098</w:t>
            </w:r>
          </w:p>
        </w:tc>
        <w:tc>
          <w:tcPr>
            <w:tcW w:w="889" w:type="pct"/>
          </w:tcPr>
          <w:p w14:paraId="4ED8C47D" w14:textId="6A6A6CA5" w:rsidR="00E3458A" w:rsidRDefault="00E3458A" w:rsidP="00E3458A">
            <w:pPr>
              <w:spacing w:before="60" w:after="60"/>
              <w:jc w:val="center"/>
              <w:rPr>
                <w:sz w:val="20"/>
                <w:szCs w:val="20"/>
              </w:rPr>
            </w:pPr>
            <w:r>
              <w:rPr>
                <w:sz w:val="20"/>
                <w:szCs w:val="20"/>
              </w:rPr>
              <w:t>75%</w:t>
            </w:r>
          </w:p>
        </w:tc>
      </w:tr>
      <w:tr w:rsidR="00E3458A" w:rsidRPr="003A08DF" w14:paraId="79C73119" w14:textId="18863207" w:rsidTr="00B0181E">
        <w:tc>
          <w:tcPr>
            <w:tcW w:w="3179" w:type="pct"/>
          </w:tcPr>
          <w:p w14:paraId="29CDAF6B" w14:textId="1A32B741" w:rsidR="00E3458A" w:rsidRPr="003A08DF" w:rsidRDefault="00E3458A" w:rsidP="00E3458A">
            <w:pPr>
              <w:spacing w:before="60" w:after="60"/>
              <w:rPr>
                <w:sz w:val="20"/>
                <w:szCs w:val="20"/>
              </w:rPr>
            </w:pPr>
            <w:r>
              <w:rPr>
                <w:sz w:val="20"/>
                <w:szCs w:val="20"/>
              </w:rPr>
              <w:t>IMATINIB</w:t>
            </w:r>
            <w:r w:rsidR="00980DA9">
              <w:rPr>
                <w:sz w:val="20"/>
                <w:szCs w:val="20"/>
              </w:rPr>
              <w:t xml:space="preserve"> </w:t>
            </w:r>
            <w:r w:rsidR="00980DA9">
              <w:rPr>
                <w:rFonts w:cstheme="minorHAnsi"/>
                <w:sz w:val="20"/>
                <w:szCs w:val="20"/>
              </w:rPr>
              <w:t>→</w:t>
            </w:r>
            <w:r>
              <w:rPr>
                <w:sz w:val="20"/>
                <w:szCs w:val="20"/>
              </w:rPr>
              <w:t xml:space="preserve"> SUNTINIB</w:t>
            </w:r>
          </w:p>
        </w:tc>
        <w:tc>
          <w:tcPr>
            <w:tcW w:w="932" w:type="pct"/>
          </w:tcPr>
          <w:p w14:paraId="52CF679F" w14:textId="3CE73887" w:rsidR="00E3458A" w:rsidRPr="003A08DF" w:rsidRDefault="009B0D50" w:rsidP="00E3458A">
            <w:pPr>
              <w:spacing w:before="60" w:after="60"/>
              <w:jc w:val="center"/>
              <w:rPr>
                <w:sz w:val="20"/>
                <w:szCs w:val="20"/>
              </w:rPr>
            </w:pPr>
            <w:r>
              <w:rPr>
                <w:sz w:val="20"/>
                <w:szCs w:val="20"/>
              </w:rPr>
              <w:t>446</w:t>
            </w:r>
          </w:p>
        </w:tc>
        <w:tc>
          <w:tcPr>
            <w:tcW w:w="889" w:type="pct"/>
          </w:tcPr>
          <w:p w14:paraId="6F39E658" w14:textId="0FD6F579" w:rsidR="00E3458A" w:rsidRDefault="00E3458A" w:rsidP="00E3458A">
            <w:pPr>
              <w:spacing w:before="60" w:after="60"/>
              <w:jc w:val="center"/>
              <w:rPr>
                <w:sz w:val="20"/>
                <w:szCs w:val="20"/>
              </w:rPr>
            </w:pPr>
            <w:r>
              <w:rPr>
                <w:sz w:val="20"/>
                <w:szCs w:val="20"/>
              </w:rPr>
              <w:t>16%</w:t>
            </w:r>
          </w:p>
        </w:tc>
      </w:tr>
      <w:tr w:rsidR="009B0D50" w:rsidRPr="003A08DF" w14:paraId="4F1235E2" w14:textId="77777777" w:rsidTr="00B0181E">
        <w:trPr>
          <w:trHeight w:val="64"/>
        </w:trPr>
        <w:tc>
          <w:tcPr>
            <w:tcW w:w="3179" w:type="pct"/>
          </w:tcPr>
          <w:p w14:paraId="4229F846" w14:textId="7B6CAAF8" w:rsidR="009B0D50" w:rsidRDefault="009B0D50" w:rsidP="00E3458A">
            <w:pPr>
              <w:spacing w:before="60" w:after="60"/>
              <w:rPr>
                <w:sz w:val="20"/>
                <w:szCs w:val="20"/>
              </w:rPr>
            </w:pPr>
            <w:r>
              <w:rPr>
                <w:sz w:val="20"/>
                <w:szCs w:val="20"/>
              </w:rPr>
              <w:t>SUNTINIB</w:t>
            </w:r>
          </w:p>
        </w:tc>
        <w:tc>
          <w:tcPr>
            <w:tcW w:w="932" w:type="pct"/>
          </w:tcPr>
          <w:p w14:paraId="5F265A23" w14:textId="04A91CC1" w:rsidR="009B0D50" w:rsidRPr="003A08DF" w:rsidRDefault="009B0D50" w:rsidP="00E3458A">
            <w:pPr>
              <w:spacing w:before="60" w:after="60"/>
              <w:jc w:val="center"/>
              <w:rPr>
                <w:sz w:val="20"/>
                <w:szCs w:val="20"/>
              </w:rPr>
            </w:pPr>
            <w:r>
              <w:rPr>
                <w:sz w:val="20"/>
                <w:szCs w:val="20"/>
              </w:rPr>
              <w:t>133</w:t>
            </w:r>
          </w:p>
        </w:tc>
        <w:tc>
          <w:tcPr>
            <w:tcW w:w="889" w:type="pct"/>
          </w:tcPr>
          <w:p w14:paraId="5D5CE035" w14:textId="5520D090" w:rsidR="009B0D50" w:rsidRDefault="009B0D50" w:rsidP="00E3458A">
            <w:pPr>
              <w:spacing w:before="60" w:after="60"/>
              <w:jc w:val="center"/>
              <w:rPr>
                <w:sz w:val="20"/>
                <w:szCs w:val="20"/>
              </w:rPr>
            </w:pPr>
            <w:r>
              <w:rPr>
                <w:sz w:val="20"/>
                <w:szCs w:val="20"/>
              </w:rPr>
              <w:t>5%</w:t>
            </w:r>
          </w:p>
        </w:tc>
      </w:tr>
      <w:tr w:rsidR="00E3458A" w:rsidRPr="003A08DF" w14:paraId="77B458C8" w14:textId="3DA93BA2" w:rsidTr="00B0181E">
        <w:tc>
          <w:tcPr>
            <w:tcW w:w="3179" w:type="pct"/>
          </w:tcPr>
          <w:p w14:paraId="69B39353" w14:textId="5C87075D" w:rsidR="00E3458A" w:rsidRPr="003A08DF" w:rsidRDefault="00E3458A" w:rsidP="00E3458A">
            <w:pPr>
              <w:spacing w:before="60" w:after="60"/>
              <w:rPr>
                <w:sz w:val="20"/>
                <w:szCs w:val="20"/>
              </w:rPr>
            </w:pPr>
            <w:r>
              <w:rPr>
                <w:sz w:val="20"/>
                <w:szCs w:val="20"/>
              </w:rPr>
              <w:t xml:space="preserve">IMATINIB </w:t>
            </w:r>
            <w:r w:rsidR="00980DA9">
              <w:rPr>
                <w:rFonts w:cstheme="minorHAnsi"/>
                <w:sz w:val="20"/>
                <w:szCs w:val="20"/>
              </w:rPr>
              <w:t>→</w:t>
            </w:r>
            <w:r>
              <w:rPr>
                <w:sz w:val="20"/>
                <w:szCs w:val="20"/>
              </w:rPr>
              <w:t xml:space="preserve"> SUNTINIB </w:t>
            </w:r>
            <w:r w:rsidR="00980DA9">
              <w:rPr>
                <w:rFonts w:cstheme="minorHAnsi"/>
                <w:sz w:val="20"/>
                <w:szCs w:val="20"/>
              </w:rPr>
              <w:t>→</w:t>
            </w:r>
            <w:r>
              <w:rPr>
                <w:sz w:val="20"/>
                <w:szCs w:val="20"/>
              </w:rPr>
              <w:t xml:space="preserve"> RIPRETINIB </w:t>
            </w:r>
          </w:p>
        </w:tc>
        <w:tc>
          <w:tcPr>
            <w:tcW w:w="932" w:type="pct"/>
          </w:tcPr>
          <w:p w14:paraId="2927D21D" w14:textId="146D6169" w:rsidR="00E3458A" w:rsidRPr="003A08DF" w:rsidRDefault="009B0D50" w:rsidP="00E3458A">
            <w:pPr>
              <w:spacing w:before="60" w:after="60"/>
              <w:jc w:val="center"/>
              <w:rPr>
                <w:sz w:val="20"/>
                <w:szCs w:val="20"/>
              </w:rPr>
            </w:pPr>
            <w:r>
              <w:rPr>
                <w:sz w:val="20"/>
                <w:szCs w:val="20"/>
              </w:rPr>
              <w:t>103</w:t>
            </w:r>
          </w:p>
        </w:tc>
        <w:tc>
          <w:tcPr>
            <w:tcW w:w="889" w:type="pct"/>
          </w:tcPr>
          <w:p w14:paraId="20619098" w14:textId="4493DC47" w:rsidR="00E3458A" w:rsidRDefault="00E3458A" w:rsidP="00E3458A">
            <w:pPr>
              <w:spacing w:before="60" w:after="60"/>
              <w:jc w:val="center"/>
              <w:rPr>
                <w:sz w:val="20"/>
                <w:szCs w:val="20"/>
              </w:rPr>
            </w:pPr>
            <w:r>
              <w:rPr>
                <w:sz w:val="20"/>
                <w:szCs w:val="20"/>
              </w:rPr>
              <w:t>4%</w:t>
            </w:r>
          </w:p>
        </w:tc>
      </w:tr>
      <w:tr w:rsidR="00E3458A" w:rsidRPr="003A08DF" w14:paraId="1268B909" w14:textId="513F10EC" w:rsidTr="00B0181E">
        <w:tc>
          <w:tcPr>
            <w:tcW w:w="3179" w:type="pct"/>
          </w:tcPr>
          <w:p w14:paraId="5CBEDDFA" w14:textId="77777777" w:rsidR="00E3458A" w:rsidRPr="003A08DF" w:rsidRDefault="00E3458A" w:rsidP="00E3458A">
            <w:pPr>
              <w:spacing w:before="60" w:after="60"/>
              <w:rPr>
                <w:sz w:val="20"/>
                <w:szCs w:val="20"/>
              </w:rPr>
            </w:pPr>
            <w:r>
              <w:rPr>
                <w:sz w:val="20"/>
                <w:szCs w:val="20"/>
              </w:rPr>
              <w:t xml:space="preserve">Other sequences </w:t>
            </w:r>
          </w:p>
        </w:tc>
        <w:tc>
          <w:tcPr>
            <w:tcW w:w="932" w:type="pct"/>
          </w:tcPr>
          <w:p w14:paraId="21569A43" w14:textId="348FA9DA" w:rsidR="00E3458A" w:rsidRPr="003A08DF" w:rsidRDefault="004A37C3" w:rsidP="00E3458A">
            <w:pPr>
              <w:spacing w:before="60" w:after="60"/>
              <w:jc w:val="center"/>
              <w:rPr>
                <w:sz w:val="20"/>
                <w:szCs w:val="20"/>
              </w:rPr>
            </w:pPr>
            <w:r>
              <w:rPr>
                <w:sz w:val="20"/>
                <w:szCs w:val="20"/>
              </w:rPr>
              <w:t>23</w:t>
            </w:r>
          </w:p>
        </w:tc>
        <w:tc>
          <w:tcPr>
            <w:tcW w:w="889" w:type="pct"/>
          </w:tcPr>
          <w:p w14:paraId="7B791BE0" w14:textId="26F4B7CE" w:rsidR="00E3458A" w:rsidRPr="003A08DF" w:rsidRDefault="004A37C3" w:rsidP="00E3458A">
            <w:pPr>
              <w:spacing w:before="60" w:after="60"/>
              <w:jc w:val="center"/>
              <w:rPr>
                <w:sz w:val="20"/>
                <w:szCs w:val="20"/>
              </w:rPr>
            </w:pPr>
            <w:r>
              <w:rPr>
                <w:sz w:val="20"/>
                <w:szCs w:val="20"/>
              </w:rPr>
              <w:t>1%</w:t>
            </w:r>
          </w:p>
        </w:tc>
      </w:tr>
    </w:tbl>
    <w:p w14:paraId="43A86B97" w14:textId="77777777" w:rsidR="006F59C6" w:rsidRDefault="006F59C6" w:rsidP="00A35800"/>
    <w:p w14:paraId="0C0419A3" w14:textId="222B0FEF" w:rsidR="00057430" w:rsidRDefault="00657569" w:rsidP="00A35800">
      <w:r>
        <w:t>Table 10 shows the seque</w:t>
      </w:r>
      <w:r w:rsidR="00781330">
        <w:t xml:space="preserve">nce pathway of </w:t>
      </w:r>
      <w:r w:rsidR="00B30060">
        <w:t>metastatic GIST patients</w:t>
      </w:r>
      <w:r w:rsidR="00781330">
        <w:t>. Most patients</w:t>
      </w:r>
      <w:r w:rsidR="00B30060">
        <w:t xml:space="preserve"> (75%)</w:t>
      </w:r>
      <w:r w:rsidR="00781330">
        <w:t xml:space="preserve"> have </w:t>
      </w:r>
      <w:r w:rsidR="00B30060">
        <w:t>initiated</w:t>
      </w:r>
      <w:r w:rsidR="00781330">
        <w:t xml:space="preserve"> and remained on imatinib therapy. </w:t>
      </w:r>
      <w:r w:rsidR="0026346E">
        <w:t xml:space="preserve">This was followed by 16% of patients </w:t>
      </w:r>
      <w:r w:rsidR="00DA79E5">
        <w:t>who have switched from imatinib</w:t>
      </w:r>
      <w:r w:rsidR="00790BB6">
        <w:t xml:space="preserve"> to sunitinib. There </w:t>
      </w:r>
      <w:r w:rsidR="00DA79E5">
        <w:t>were</w:t>
      </w:r>
      <w:r w:rsidR="00790BB6">
        <w:t xml:space="preserve"> 4% </w:t>
      </w:r>
      <w:r w:rsidR="00F35504">
        <w:t xml:space="preserve">of patients </w:t>
      </w:r>
      <w:r w:rsidR="00790BB6">
        <w:t xml:space="preserve">who </w:t>
      </w:r>
      <w:r w:rsidR="00B30060">
        <w:t xml:space="preserve">transitioned to </w:t>
      </w:r>
      <w:r w:rsidR="00DA79E5">
        <w:t xml:space="preserve">from third-line </w:t>
      </w:r>
      <w:r w:rsidR="00F35504">
        <w:t>ripretinib</w:t>
      </w:r>
      <w:r w:rsidR="007232B5">
        <w:t xml:space="preserve"> therapy</w:t>
      </w:r>
      <w:r w:rsidR="00B30060">
        <w:t xml:space="preserve">. </w:t>
      </w:r>
    </w:p>
    <w:p w14:paraId="3555DFBA" w14:textId="60E8E761" w:rsidR="00591512" w:rsidRDefault="00AB3733" w:rsidP="00F73113">
      <w:pPr>
        <w:pStyle w:val="Heading1"/>
      </w:pPr>
      <w:r>
        <w:t>D</w:t>
      </w:r>
      <w:r w:rsidR="007346C7" w:rsidRPr="005E22C2">
        <w:t>iscussion</w:t>
      </w:r>
    </w:p>
    <w:p w14:paraId="69B70ACD" w14:textId="3F14AAC2" w:rsidR="00111C8B" w:rsidRDefault="002B01D8" w:rsidP="00F1132C">
      <w:r>
        <w:t>The u</w:t>
      </w:r>
      <w:r w:rsidR="002329CF">
        <w:t xml:space="preserve">tilisation of </w:t>
      </w:r>
      <w:r w:rsidR="00111C8B">
        <w:t xml:space="preserve">medicines for the treatment of GIST </w:t>
      </w:r>
      <w:r w:rsidR="00D7124D" w:rsidRPr="00D7124D">
        <w:t xml:space="preserve">has been stabilising </w:t>
      </w:r>
      <w:r w:rsidR="00590329">
        <w:t>from</w:t>
      </w:r>
      <w:r w:rsidR="00D7124D" w:rsidRPr="00D7124D">
        <w:t xml:space="preserve"> </w:t>
      </w:r>
      <w:r w:rsidR="00B635B2">
        <w:t xml:space="preserve">the second quarter of </w:t>
      </w:r>
      <w:r w:rsidR="00D7124D" w:rsidRPr="00D7124D">
        <w:t>2022.</w:t>
      </w:r>
      <w:r w:rsidR="00590329">
        <w:t xml:space="preserve"> </w:t>
      </w:r>
      <w:r w:rsidR="00203CDF">
        <w:t xml:space="preserve">Overall, there has been greater utilisation of </w:t>
      </w:r>
      <w:r w:rsidR="00A70E6A">
        <w:t>medicines for the treatment of metastatic GIST compared to adjuvant GIST</w:t>
      </w:r>
      <w:r w:rsidR="00B90FE4">
        <w:t>.</w:t>
      </w:r>
      <w:r w:rsidR="00A70E6A">
        <w:t xml:space="preserve"> </w:t>
      </w:r>
      <w:r w:rsidR="00B90FE4">
        <w:t>H</w:t>
      </w:r>
      <w:r w:rsidR="00A70E6A">
        <w:t>owever, there ha</w:t>
      </w:r>
      <w:r w:rsidR="00151FE5">
        <w:t>s</w:t>
      </w:r>
      <w:r w:rsidR="00A70E6A">
        <w:t xml:space="preserve"> been a larger percentage increase </w:t>
      </w:r>
      <w:r w:rsidR="00733D1B">
        <w:t>in</w:t>
      </w:r>
      <w:r w:rsidR="0072240E">
        <w:t xml:space="preserve"> </w:t>
      </w:r>
      <w:r w:rsidR="00714D9F">
        <w:t>the utilisation</w:t>
      </w:r>
      <w:r w:rsidR="00733D1B">
        <w:t xml:space="preserve"> adjuvant GIST </w:t>
      </w:r>
      <w:r w:rsidR="00F70C76">
        <w:t xml:space="preserve">medicines </w:t>
      </w:r>
      <w:r w:rsidR="00733D1B">
        <w:t>compared to metastatic GIST</w:t>
      </w:r>
      <w:r w:rsidR="00F70C76">
        <w:t xml:space="preserve"> medicines.</w:t>
      </w:r>
      <w:r w:rsidR="00733D1B">
        <w:t xml:space="preserve"> </w:t>
      </w:r>
      <w:r w:rsidR="00B5085E">
        <w:t>Th</w:t>
      </w:r>
      <w:r w:rsidR="00E95AD2">
        <w:t xml:space="preserve">e increase in utilisation may be due to the listing of imatinib capsules in November 2021. </w:t>
      </w:r>
    </w:p>
    <w:p w14:paraId="25850BE4" w14:textId="20B6E45E" w:rsidR="00D00819" w:rsidRDefault="00630EEE" w:rsidP="00D6471C">
      <w:r>
        <w:lastRenderedPageBreak/>
        <w:t>Given its place as</w:t>
      </w:r>
      <w:r w:rsidR="0015405A">
        <w:t xml:space="preserve"> first-line therapy for the treatment of metastatic GIST, imatinib </w:t>
      </w:r>
      <w:r w:rsidR="008C2CD8">
        <w:t>account</w:t>
      </w:r>
      <w:r w:rsidR="00F70C76">
        <w:t xml:space="preserve">ed </w:t>
      </w:r>
      <w:r w:rsidR="008C2CD8">
        <w:t>for</w:t>
      </w:r>
      <w:r w:rsidR="0021051D">
        <w:t xml:space="preserve"> the</w:t>
      </w:r>
      <w:r w:rsidR="008C2CD8">
        <w:t xml:space="preserve"> majority of </w:t>
      </w:r>
      <w:r w:rsidR="009B5B56">
        <w:t xml:space="preserve">metastatic GIST </w:t>
      </w:r>
      <w:r w:rsidR="0015405A">
        <w:t xml:space="preserve">utilisation. </w:t>
      </w:r>
      <w:r>
        <w:t xml:space="preserve">This </w:t>
      </w:r>
      <w:r w:rsidR="009B5B56">
        <w:t>was</w:t>
      </w:r>
      <w:r>
        <w:t xml:space="preserve"> followed by sunitinib and ripretinib, as the second and later liner therapies, </w:t>
      </w:r>
      <w:r w:rsidR="00733D1B">
        <w:t xml:space="preserve">respectively. </w:t>
      </w:r>
      <w:r w:rsidR="00572E6D">
        <w:t>Although the</w:t>
      </w:r>
      <w:r w:rsidR="00892644">
        <w:t xml:space="preserve"> PBS restriction </w:t>
      </w:r>
      <w:r w:rsidR="00026D36">
        <w:t>(third-line setting)</w:t>
      </w:r>
      <w:r w:rsidR="00572E6D">
        <w:t xml:space="preserve"> of ripretinib</w:t>
      </w:r>
      <w:r w:rsidR="00026D36">
        <w:t xml:space="preserve"> </w:t>
      </w:r>
      <w:r w:rsidR="00892644">
        <w:t xml:space="preserve">is wider than its </w:t>
      </w:r>
      <w:r w:rsidR="00026D36">
        <w:t>TGA indication (fourth-line setting)</w:t>
      </w:r>
      <w:r w:rsidR="00637147">
        <w:t>,</w:t>
      </w:r>
      <w:r w:rsidR="00AC71A3">
        <w:t xml:space="preserve"> only</w:t>
      </w:r>
      <w:r w:rsidR="00637147">
        <w:t xml:space="preserve"> </w:t>
      </w:r>
      <w:r w:rsidR="003A556B">
        <w:t xml:space="preserve">a small number of patients have transitioned to later line therapy with </w:t>
      </w:r>
      <w:r w:rsidR="0008127E">
        <w:t>ripretinib</w:t>
      </w:r>
      <w:r w:rsidR="00AC71A3">
        <w:t xml:space="preserve"> which may relate to it being subject</w:t>
      </w:r>
      <w:r w:rsidR="00F70C76">
        <w:t>ed</w:t>
      </w:r>
      <w:r w:rsidR="00AC71A3">
        <w:t xml:space="preserve"> to black triangle monitoring</w:t>
      </w:r>
      <w:r w:rsidR="0008127E">
        <w:t xml:space="preserve">. </w:t>
      </w:r>
    </w:p>
    <w:p w14:paraId="62280B56" w14:textId="77777777" w:rsidR="00E56F19" w:rsidRDefault="00E56F19" w:rsidP="00E56F19">
      <w:pPr>
        <w:pStyle w:val="Heading1"/>
      </w:pPr>
      <w:r>
        <w:t>DUSC consideration</w:t>
      </w:r>
    </w:p>
    <w:p w14:paraId="3F3A71EF" w14:textId="28372604" w:rsidR="00191D68" w:rsidRDefault="00191D68" w:rsidP="00222B7E">
      <w:r w:rsidRPr="000B6B56">
        <w:t>DUSC noted the</w:t>
      </w:r>
      <w:r>
        <w:t xml:space="preserve"> </w:t>
      </w:r>
      <w:r w:rsidRPr="000B6B56">
        <w:t>listings for adjuvant and metastatic GIST</w:t>
      </w:r>
      <w:r>
        <w:t xml:space="preserve"> had stabilised since 2022Q2</w:t>
      </w:r>
      <w:r w:rsidRPr="000B6B56">
        <w:t xml:space="preserve">. </w:t>
      </w:r>
    </w:p>
    <w:p w14:paraId="53EDCDAD" w14:textId="0A543D0F" w:rsidR="00365E02" w:rsidRPr="00191D68" w:rsidRDefault="00365E02" w:rsidP="00222B7E">
      <w:r w:rsidRPr="00365E02">
        <w:t xml:space="preserve">DUSC noted the number of initiating patients in the metastatic setting had remained relatively stable, whereas increases in the number of initiating patients in the adjuvant setting were observed in 2020Q1 and in 2021Q4. DUSC noted the capsule form of imatinib was listed in November 2021 and since listing had accounted for greater utilisation in the adjuvant setting compared to the metastatic setting. DUSC noted the size of imatinib tablets and considered the difficulties patients may have in swallowing them. DUSC noted that prior to the listing of the capsule form, imatinib tablets was the only therapy available in the adjuvant setting and considered that patients would have initiated treatment given it was the only therapy available. DUSC noted imatinib was listed for other indications and </w:t>
      </w:r>
      <w:r w:rsidRPr="00191D68">
        <w:t xml:space="preserve">considered the potential </w:t>
      </w:r>
      <w:r w:rsidR="00305A1F" w:rsidRPr="00191D68">
        <w:t xml:space="preserve">for </w:t>
      </w:r>
      <w:r w:rsidR="00191D68" w:rsidRPr="00191D68">
        <w:t>leakage</w:t>
      </w:r>
      <w:r w:rsidRPr="00191D68">
        <w:t xml:space="preserve">. </w:t>
      </w:r>
      <w:r w:rsidR="00191D68" w:rsidRPr="00191D68">
        <w:t>DUSC noted following the increase in the adjuvant setting, the number of patients treated with imatinib had stabilised in both the adjuvant and metastatic settings.</w:t>
      </w:r>
    </w:p>
    <w:p w14:paraId="1F03E0E7" w14:textId="77777777" w:rsidR="00E56F19" w:rsidRDefault="00E56F19" w:rsidP="00E56F19">
      <w:pPr>
        <w:pStyle w:val="Heading1"/>
      </w:pPr>
      <w:r>
        <w:t>DUSC actions</w:t>
      </w:r>
    </w:p>
    <w:p w14:paraId="787483E8" w14:textId="4043CAD0" w:rsidR="00365E02" w:rsidRPr="00365E02" w:rsidRDefault="00365E02" w:rsidP="00365E02">
      <w:pPr>
        <w:rPr>
          <w:iCs/>
          <w:highlight w:val="yellow"/>
        </w:rPr>
      </w:pPr>
      <w:r w:rsidRPr="00365E02">
        <w:rPr>
          <w:iCs/>
        </w:rPr>
        <w:t>DUSC requested that the report be provided to the PBAC for consideration</w:t>
      </w:r>
      <w:r w:rsidR="00246786">
        <w:rPr>
          <w:iCs/>
        </w:rPr>
        <w:t xml:space="preserve">. </w:t>
      </w:r>
    </w:p>
    <w:p w14:paraId="5A1EA5F2" w14:textId="77777777" w:rsidR="00E56F19" w:rsidRDefault="00E56F19" w:rsidP="00E56F19">
      <w:pPr>
        <w:pStyle w:val="Heading1"/>
      </w:pPr>
      <w:r w:rsidRPr="0092516A">
        <w:t>Context for analysis</w:t>
      </w:r>
    </w:p>
    <w:p w14:paraId="64D11725" w14:textId="77777777" w:rsidR="00E56F19" w:rsidRDefault="00E56F19" w:rsidP="00E56F19">
      <w:r>
        <w:t>The DUSC is a Sub Committee of the Pharmaceutical Benefits Advisory Committee (PBAC). The DUSC assesses estimates on projected usage and financial cost of medicines.</w:t>
      </w:r>
    </w:p>
    <w:p w14:paraId="4471C54D" w14:textId="77777777" w:rsidR="00E56F19" w:rsidRDefault="00E56F19" w:rsidP="00E56F1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BAAF329" w14:textId="77777777" w:rsidR="00E56F19" w:rsidRDefault="00E56F19" w:rsidP="00E56F19">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483F6414" w14:textId="77777777" w:rsidR="00E56F19" w:rsidRDefault="00E56F19" w:rsidP="00E56F19">
      <w:r>
        <w:lastRenderedPageBreak/>
        <w:t>The utilisation analysis report was provided to the pharmaceutical sponsors of each drug and comments on the report were provided to DUSC prior to its consideration of the analysis.</w:t>
      </w:r>
    </w:p>
    <w:p w14:paraId="42EF3A98" w14:textId="77777777" w:rsidR="00E56F19" w:rsidRDefault="00E56F19" w:rsidP="00E56F19">
      <w:pPr>
        <w:pStyle w:val="Heading1"/>
      </w:pPr>
      <w:r>
        <w:t>Sponsor</w:t>
      </w:r>
      <w:r w:rsidRPr="0092516A">
        <w:t>s</w:t>
      </w:r>
      <w:r>
        <w:t>’</w:t>
      </w:r>
      <w:r w:rsidRPr="0092516A">
        <w:t xml:space="preserve"> comments</w:t>
      </w:r>
    </w:p>
    <w:p w14:paraId="6EA79F33" w14:textId="6BBA563E" w:rsidR="00E56F19" w:rsidRDefault="00AE282C" w:rsidP="00E56F19">
      <w:r>
        <w:t>The sponsors did not</w:t>
      </w:r>
      <w:r w:rsidR="00173F95">
        <w:t xml:space="preserve"> have comments. </w:t>
      </w:r>
    </w:p>
    <w:p w14:paraId="2F935A65" w14:textId="77777777" w:rsidR="00E56F19" w:rsidRDefault="00E56F19" w:rsidP="00E56F19">
      <w:pPr>
        <w:pStyle w:val="Heading1"/>
      </w:pPr>
      <w:r w:rsidRPr="00A4020E">
        <w:t>Disclaimer</w:t>
      </w:r>
    </w:p>
    <w:p w14:paraId="42FF99B3" w14:textId="77777777" w:rsidR="00E56F19" w:rsidRDefault="00E56F19" w:rsidP="00E56F1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62B84D07" w14:textId="225422D0" w:rsidR="00E56F19" w:rsidRDefault="00E56F19" w:rsidP="00E56F19">
      <w:r>
        <w:t>The Department of Health</w:t>
      </w:r>
      <w:r w:rsidR="00B037F5">
        <w:t xml:space="preserve">, Disability and Ageing </w:t>
      </w:r>
      <w:r>
        <w:t>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5370000D" w14:textId="7D7C7845" w:rsidR="00E56F19" w:rsidRDefault="00E56F19" w:rsidP="00E56F19">
      <w:r>
        <w:t>To the extent provided by law, the Department of Health</w:t>
      </w:r>
      <w:r w:rsidR="00DA73EE">
        <w:t>, Disability and Ageing</w:t>
      </w:r>
      <w:r>
        <w:t xml:space="preserve">, makes no warranties or representations as to accuracy or completeness of information contained in this report. </w:t>
      </w:r>
    </w:p>
    <w:p w14:paraId="0ABECBE4" w14:textId="58E21CB6" w:rsidR="00E56F19" w:rsidRDefault="00E56F19" w:rsidP="00E56F19">
      <w:r>
        <w:t xml:space="preserve">To the fullest extent permitted by law, neither the </w:t>
      </w:r>
      <w:r w:rsidR="00B037F5">
        <w:t>Department of Health, Disability and Ageing</w:t>
      </w:r>
      <w:r>
        <w:t xml:space="preserve"> nor any </w:t>
      </w:r>
      <w:r w:rsidR="00B037F5">
        <w:t>Department of Health, Disability and Ageing</w:t>
      </w:r>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53A6F9EB" w14:textId="77777777" w:rsidR="00261412" w:rsidRDefault="00261412">
      <w:pPr>
        <w:spacing w:line="276" w:lineRule="auto"/>
        <w:rPr>
          <w:rFonts w:eastAsiaTheme="majorEastAsia" w:cstheme="majorBidi"/>
          <w:b/>
          <w:bCs/>
          <w:sz w:val="32"/>
          <w:szCs w:val="32"/>
        </w:rPr>
      </w:pPr>
      <w:r>
        <w:br w:type="page"/>
      </w:r>
    </w:p>
    <w:p w14:paraId="7C4E4AB9" w14:textId="1D5EA9DB" w:rsidR="002C6E0C" w:rsidRDefault="002C6E0C" w:rsidP="00F73113">
      <w:pPr>
        <w:pStyle w:val="Heading1"/>
      </w:pPr>
      <w:r>
        <w:lastRenderedPageBreak/>
        <w:t>Appendices</w:t>
      </w:r>
    </w:p>
    <w:p w14:paraId="3DF3AA19" w14:textId="67CE39D4" w:rsidR="00B46637" w:rsidRPr="00246786" w:rsidRDefault="00B46637" w:rsidP="00B46637">
      <w:pPr>
        <w:pStyle w:val="Heading2"/>
        <w:rPr>
          <w:sz w:val="24"/>
        </w:rPr>
      </w:pPr>
      <w:r w:rsidRPr="00246786">
        <w:rPr>
          <w:sz w:val="24"/>
        </w:rPr>
        <w:t xml:space="preserve">Appendix A: Brand and manufacturer details of </w:t>
      </w:r>
      <w:r w:rsidR="00502AE5" w:rsidRPr="00246786">
        <w:rPr>
          <w:sz w:val="24"/>
        </w:rPr>
        <w:t>PBS list</w:t>
      </w:r>
      <w:r w:rsidRPr="00246786">
        <w:rPr>
          <w:sz w:val="24"/>
        </w:rPr>
        <w:t xml:space="preserve">ed GIST medicines </w:t>
      </w:r>
      <w:r w:rsidR="00246786" w:rsidRPr="00246786" w:rsidDel="00EE2BBB">
        <w:rPr>
          <w:sz w:val="24"/>
        </w:rPr>
        <w:t xml:space="preserve">(as at </w:t>
      </w:r>
      <w:r w:rsidR="00246786" w:rsidRPr="00246786">
        <w:rPr>
          <w:sz w:val="24"/>
        </w:rPr>
        <w:t>December 2024)</w:t>
      </w:r>
    </w:p>
    <w:p w14:paraId="00272950" w14:textId="1A14C879" w:rsidR="008F0CC3" w:rsidRDefault="00D42B19" w:rsidP="00D42B19">
      <w:pPr>
        <w:rPr>
          <w:b/>
          <w:bCs/>
          <w:u w:val="single"/>
        </w:rPr>
      </w:pPr>
      <w:r>
        <w:rPr>
          <w:b/>
          <w:bCs/>
          <w:u w:val="single"/>
        </w:rPr>
        <w:t xml:space="preserve">Adjuvant GIST </w:t>
      </w:r>
    </w:p>
    <w:tbl>
      <w:tblPr>
        <w:tblStyle w:val="TableGrid"/>
        <w:tblW w:w="0" w:type="auto"/>
        <w:tblLook w:val="04A0" w:firstRow="1" w:lastRow="0" w:firstColumn="1" w:lastColumn="0" w:noHBand="0" w:noVBand="1"/>
      </w:tblPr>
      <w:tblGrid>
        <w:gridCol w:w="3539"/>
        <w:gridCol w:w="5408"/>
      </w:tblGrid>
      <w:tr w:rsidR="00842372" w14:paraId="6FF945A5" w14:textId="77777777" w:rsidTr="00842372">
        <w:tc>
          <w:tcPr>
            <w:tcW w:w="3539" w:type="dxa"/>
            <w:shd w:val="clear" w:color="auto" w:fill="BFBFBF" w:themeFill="background1" w:themeFillShade="BF"/>
          </w:tcPr>
          <w:p w14:paraId="1F0766E7" w14:textId="1E36D6B1" w:rsidR="00842372" w:rsidRDefault="00842372" w:rsidP="00842372">
            <w:pPr>
              <w:spacing w:before="60" w:after="60"/>
              <w:rPr>
                <w:b/>
                <w:bCs/>
                <w:u w:val="single"/>
              </w:rPr>
            </w:pPr>
            <w:r>
              <w:rPr>
                <w:b/>
                <w:bCs/>
                <w:sz w:val="22"/>
                <w:szCs w:val="22"/>
              </w:rPr>
              <w:t>Item codes</w:t>
            </w:r>
          </w:p>
        </w:tc>
        <w:tc>
          <w:tcPr>
            <w:tcW w:w="5408" w:type="dxa"/>
            <w:shd w:val="clear" w:color="auto" w:fill="BFBFBF" w:themeFill="background1" w:themeFillShade="BF"/>
          </w:tcPr>
          <w:p w14:paraId="7A0369A8" w14:textId="6BE02D1C" w:rsidR="00842372" w:rsidRDefault="00842372" w:rsidP="00842372">
            <w:pPr>
              <w:spacing w:before="60" w:after="60"/>
              <w:rPr>
                <w:b/>
                <w:bCs/>
                <w:u w:val="single"/>
              </w:rPr>
            </w:pPr>
            <w:r w:rsidRPr="00FD1EC6">
              <w:rPr>
                <w:b/>
                <w:bCs/>
                <w:sz w:val="20"/>
                <w:szCs w:val="20"/>
              </w:rPr>
              <w:t>Brand and manufacturer</w:t>
            </w:r>
          </w:p>
        </w:tc>
      </w:tr>
      <w:tr w:rsidR="00842372" w14:paraId="29F35E78" w14:textId="77777777" w:rsidTr="00842372">
        <w:tc>
          <w:tcPr>
            <w:tcW w:w="3539" w:type="dxa"/>
          </w:tcPr>
          <w:p w14:paraId="119D4310" w14:textId="4BF72944" w:rsidR="00842372" w:rsidRPr="00853D7C" w:rsidRDefault="00B46637" w:rsidP="00842372">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imatinib 100 mg tablet</w:t>
            </w:r>
            <w:r>
              <w:rPr>
                <w:rFonts w:cstheme="minorHAnsi"/>
                <w:color w:val="000000"/>
                <w:sz w:val="20"/>
                <w:szCs w:val="20"/>
              </w:rPr>
              <w:t xml:space="preserve"> (</w:t>
            </w:r>
            <w:r w:rsidR="00842372" w:rsidRPr="00853D7C">
              <w:rPr>
                <w:rFonts w:cstheme="minorHAnsi"/>
                <w:color w:val="000000"/>
                <w:sz w:val="20"/>
                <w:szCs w:val="20"/>
              </w:rPr>
              <w:t>5443L</w:t>
            </w:r>
            <w:r>
              <w:rPr>
                <w:rFonts w:cstheme="minorHAnsi"/>
                <w:color w:val="000000"/>
                <w:sz w:val="20"/>
                <w:szCs w:val="20"/>
              </w:rPr>
              <w:t xml:space="preserve">, </w:t>
            </w:r>
            <w:r w:rsidR="00842372" w:rsidRPr="00853D7C">
              <w:rPr>
                <w:rFonts w:cstheme="minorHAnsi"/>
                <w:color w:val="000000"/>
                <w:sz w:val="20"/>
                <w:szCs w:val="20"/>
              </w:rPr>
              <w:t>11784F</w:t>
            </w:r>
            <w:r>
              <w:rPr>
                <w:rFonts w:cstheme="minorHAnsi"/>
                <w:color w:val="000000"/>
                <w:sz w:val="20"/>
                <w:szCs w:val="20"/>
              </w:rPr>
              <w:t>)</w:t>
            </w:r>
          </w:p>
          <w:p w14:paraId="48F1AF45" w14:textId="1AFC7EF2" w:rsidR="00842372" w:rsidRPr="00E0720C" w:rsidRDefault="00E0720C" w:rsidP="00E0720C">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 xml:space="preserve">imatinib 400 mg tablet </w:t>
            </w:r>
            <w:r>
              <w:rPr>
                <w:rFonts w:cstheme="minorHAnsi"/>
                <w:color w:val="000000"/>
                <w:sz w:val="20"/>
                <w:szCs w:val="20"/>
              </w:rPr>
              <w:t>(</w:t>
            </w:r>
            <w:r w:rsidR="00842372" w:rsidRPr="00853D7C">
              <w:rPr>
                <w:rFonts w:cstheme="minorHAnsi"/>
                <w:color w:val="000000"/>
                <w:sz w:val="20"/>
                <w:szCs w:val="20"/>
              </w:rPr>
              <w:t>5444M</w:t>
            </w:r>
            <w:r>
              <w:rPr>
                <w:rFonts w:cstheme="minorHAnsi"/>
                <w:color w:val="000000"/>
                <w:sz w:val="20"/>
                <w:szCs w:val="20"/>
              </w:rPr>
              <w:t xml:space="preserve">, </w:t>
            </w:r>
            <w:r w:rsidR="00842372" w:rsidRPr="00853D7C">
              <w:rPr>
                <w:rFonts w:cstheme="minorHAnsi"/>
                <w:color w:val="000000"/>
                <w:sz w:val="20"/>
                <w:szCs w:val="20"/>
              </w:rPr>
              <w:t>11788K</w:t>
            </w:r>
            <w:r>
              <w:rPr>
                <w:rFonts w:cstheme="minorHAnsi"/>
                <w:color w:val="000000"/>
                <w:sz w:val="20"/>
                <w:szCs w:val="20"/>
              </w:rPr>
              <w:t>)</w:t>
            </w:r>
          </w:p>
        </w:tc>
        <w:tc>
          <w:tcPr>
            <w:tcW w:w="5408" w:type="dxa"/>
          </w:tcPr>
          <w:p w14:paraId="5B0E247D" w14:textId="77777777" w:rsidR="00785265" w:rsidRPr="00577550" w:rsidRDefault="00785265" w:rsidP="00785265">
            <w:pPr>
              <w:autoSpaceDE w:val="0"/>
              <w:autoSpaceDN w:val="0"/>
              <w:adjustRightInd w:val="0"/>
              <w:spacing w:before="60" w:afterLines="60" w:after="144"/>
              <w:rPr>
                <w:rFonts w:cstheme="minorHAnsi"/>
                <w:color w:val="000000"/>
                <w:sz w:val="20"/>
                <w:szCs w:val="20"/>
              </w:rPr>
            </w:pPr>
            <w:r w:rsidRPr="006B592F">
              <w:rPr>
                <w:rFonts w:cstheme="minorHAnsi"/>
                <w:color w:val="000000"/>
                <w:sz w:val="20"/>
                <w:szCs w:val="20"/>
              </w:rPr>
              <w:t>Glivec</w:t>
            </w:r>
            <w:r>
              <w:rPr>
                <w:rFonts w:cstheme="minorHAnsi"/>
                <w:color w:val="000000"/>
                <w:sz w:val="20"/>
                <w:szCs w:val="20"/>
              </w:rPr>
              <w:t xml:space="preserve">®: </w:t>
            </w:r>
            <w:r w:rsidRPr="006B592F">
              <w:rPr>
                <w:rFonts w:cstheme="minorHAnsi"/>
                <w:color w:val="222222"/>
                <w:sz w:val="20"/>
                <w:szCs w:val="20"/>
                <w:shd w:val="clear" w:color="auto" w:fill="FFFFFF"/>
              </w:rPr>
              <w:t>Novartis Pharmaceuticals Australia Pty Limited</w:t>
            </w:r>
          </w:p>
          <w:p w14:paraId="59D7BBDD" w14:textId="77777777" w:rsidR="00842372" w:rsidRPr="006B592F" w:rsidRDefault="00842372" w:rsidP="00842372">
            <w:pPr>
              <w:autoSpaceDE w:val="0"/>
              <w:autoSpaceDN w:val="0"/>
              <w:adjustRightInd w:val="0"/>
              <w:spacing w:before="60" w:afterLines="60" w:after="144"/>
              <w:rPr>
                <w:rFonts w:cstheme="minorHAnsi"/>
                <w:color w:val="000000"/>
                <w:sz w:val="20"/>
                <w:szCs w:val="20"/>
              </w:rPr>
            </w:pPr>
            <w:r w:rsidRPr="006B592F">
              <w:rPr>
                <w:rFonts w:cstheme="minorHAnsi"/>
                <w:color w:val="000000"/>
                <w:sz w:val="20"/>
                <w:szCs w:val="20"/>
              </w:rPr>
              <w:t>Gilmat</w:t>
            </w:r>
            <w:r>
              <w:rPr>
                <w:rFonts w:cstheme="minorHAnsi"/>
                <w:color w:val="000000"/>
                <w:sz w:val="20"/>
                <w:szCs w:val="20"/>
              </w:rPr>
              <w:t>®</w:t>
            </w:r>
            <w:r>
              <w:rPr>
                <w:rFonts w:cstheme="minorHAnsi"/>
                <w:color w:val="222222"/>
                <w:sz w:val="20"/>
                <w:szCs w:val="20"/>
                <w:shd w:val="clear" w:color="auto" w:fill="FFFFFF"/>
              </w:rPr>
              <w:t xml:space="preserve">: </w:t>
            </w:r>
            <w:r w:rsidRPr="006B592F">
              <w:rPr>
                <w:rFonts w:cstheme="minorHAnsi"/>
                <w:color w:val="222222"/>
                <w:sz w:val="20"/>
                <w:szCs w:val="20"/>
                <w:shd w:val="clear" w:color="auto" w:fill="FFFFFF"/>
              </w:rPr>
              <w:t>Pharmacor Pty Limited</w:t>
            </w:r>
          </w:p>
          <w:p w14:paraId="24A34A2A" w14:textId="77777777" w:rsidR="00842372" w:rsidRPr="006B592F" w:rsidRDefault="00842372" w:rsidP="00842372">
            <w:pPr>
              <w:autoSpaceDE w:val="0"/>
              <w:autoSpaceDN w:val="0"/>
              <w:adjustRightInd w:val="0"/>
              <w:spacing w:before="60" w:afterLines="60" w:after="144"/>
              <w:rPr>
                <w:rFonts w:cstheme="minorHAnsi"/>
                <w:color w:val="000000"/>
                <w:sz w:val="20"/>
                <w:szCs w:val="20"/>
              </w:rPr>
            </w:pPr>
            <w:r w:rsidRPr="006B592F">
              <w:rPr>
                <w:rFonts w:cstheme="minorHAnsi"/>
                <w:color w:val="000000"/>
                <w:sz w:val="20"/>
                <w:szCs w:val="20"/>
              </w:rPr>
              <w:t>Imatinib RBX</w:t>
            </w:r>
            <w:r>
              <w:rPr>
                <w:rFonts w:cstheme="minorHAnsi"/>
                <w:color w:val="000000"/>
                <w:sz w:val="20"/>
                <w:szCs w:val="20"/>
              </w:rPr>
              <w:t xml:space="preserve">®: </w:t>
            </w:r>
            <w:r w:rsidRPr="006B592F">
              <w:rPr>
                <w:rFonts w:cstheme="minorHAnsi"/>
                <w:color w:val="222222"/>
                <w:sz w:val="20"/>
                <w:szCs w:val="20"/>
                <w:shd w:val="clear" w:color="auto" w:fill="FFFFFF"/>
              </w:rPr>
              <w:t>Sun Pharma ANZ Pty Ltd</w:t>
            </w:r>
          </w:p>
          <w:p w14:paraId="27610586" w14:textId="77777777" w:rsidR="00842372" w:rsidRPr="006B592F" w:rsidRDefault="00842372" w:rsidP="00842372">
            <w:pPr>
              <w:autoSpaceDE w:val="0"/>
              <w:autoSpaceDN w:val="0"/>
              <w:adjustRightInd w:val="0"/>
              <w:spacing w:before="60" w:after="60"/>
              <w:rPr>
                <w:rFonts w:cstheme="minorHAnsi"/>
                <w:color w:val="000000"/>
                <w:sz w:val="20"/>
                <w:szCs w:val="20"/>
              </w:rPr>
            </w:pPr>
            <w:r w:rsidRPr="006B592F">
              <w:rPr>
                <w:rFonts w:cstheme="minorHAnsi"/>
                <w:color w:val="000000"/>
                <w:sz w:val="20"/>
                <w:szCs w:val="20"/>
              </w:rPr>
              <w:t>Imatinib – TEVA</w:t>
            </w:r>
            <w:r>
              <w:rPr>
                <w:rFonts w:cstheme="minorHAnsi"/>
                <w:color w:val="000000"/>
                <w:sz w:val="20"/>
                <w:szCs w:val="20"/>
              </w:rPr>
              <w:t xml:space="preserve">®: </w:t>
            </w:r>
            <w:r w:rsidRPr="006B592F">
              <w:rPr>
                <w:rFonts w:cstheme="minorHAnsi"/>
                <w:color w:val="222222"/>
                <w:sz w:val="20"/>
                <w:szCs w:val="20"/>
                <w:shd w:val="clear" w:color="auto" w:fill="FFFFFF"/>
              </w:rPr>
              <w:t>Teva Pharma Australia Pty Ltd</w:t>
            </w:r>
            <w:r>
              <w:rPr>
                <w:rFonts w:cstheme="minorHAnsi"/>
                <w:color w:val="222222"/>
                <w:sz w:val="20"/>
                <w:szCs w:val="20"/>
                <w:shd w:val="clear" w:color="auto" w:fill="FFFFFF"/>
              </w:rPr>
              <w:t xml:space="preserve"> </w:t>
            </w:r>
          </w:p>
          <w:p w14:paraId="501DBE78" w14:textId="77777777" w:rsidR="00842372" w:rsidRDefault="00842372" w:rsidP="00842372">
            <w:pPr>
              <w:autoSpaceDE w:val="0"/>
              <w:autoSpaceDN w:val="0"/>
              <w:adjustRightInd w:val="0"/>
              <w:spacing w:before="60" w:afterLines="60" w:after="144"/>
              <w:rPr>
                <w:rFonts w:cstheme="minorHAnsi"/>
                <w:color w:val="000000"/>
                <w:sz w:val="20"/>
                <w:szCs w:val="20"/>
              </w:rPr>
            </w:pPr>
            <w:r>
              <w:rPr>
                <w:rFonts w:cstheme="minorHAnsi"/>
                <w:color w:val="000000"/>
                <w:sz w:val="20"/>
                <w:szCs w:val="20"/>
              </w:rPr>
              <w:t xml:space="preserve">Imanib®: Alphapharm Pty Ltd </w:t>
            </w:r>
          </w:p>
          <w:p w14:paraId="7ADDCC4B" w14:textId="2020E4CD" w:rsidR="00842372" w:rsidRDefault="00842372" w:rsidP="00842372">
            <w:pPr>
              <w:spacing w:before="60" w:after="60"/>
              <w:rPr>
                <w:b/>
                <w:bCs/>
                <w:u w:val="single"/>
              </w:rPr>
            </w:pPr>
            <w:r>
              <w:rPr>
                <w:rFonts w:cstheme="minorHAnsi"/>
                <w:color w:val="000000"/>
                <w:sz w:val="20"/>
                <w:szCs w:val="20"/>
              </w:rPr>
              <w:t>Imatinib Sandoz: Sandoz Pty Ltd</w:t>
            </w:r>
          </w:p>
        </w:tc>
      </w:tr>
      <w:tr w:rsidR="00842372" w14:paraId="1D1EA45D" w14:textId="77777777" w:rsidTr="00842372">
        <w:tc>
          <w:tcPr>
            <w:tcW w:w="3539" w:type="dxa"/>
          </w:tcPr>
          <w:p w14:paraId="56CC8268" w14:textId="78373432" w:rsidR="00842372" w:rsidRDefault="006C1050" w:rsidP="00842372">
            <w:pPr>
              <w:autoSpaceDE w:val="0"/>
              <w:autoSpaceDN w:val="0"/>
              <w:adjustRightInd w:val="0"/>
              <w:spacing w:before="60" w:afterLines="60" w:after="144"/>
              <w:rPr>
                <w:rFonts w:cstheme="minorHAnsi"/>
                <w:color w:val="000000"/>
                <w:sz w:val="20"/>
                <w:szCs w:val="20"/>
              </w:rPr>
            </w:pPr>
            <w:r>
              <w:rPr>
                <w:rFonts w:cstheme="minorHAnsi"/>
                <w:color w:val="000000"/>
                <w:sz w:val="20"/>
                <w:szCs w:val="20"/>
              </w:rPr>
              <w:t>i</w:t>
            </w:r>
            <w:r w:rsidR="00781CD0">
              <w:rPr>
                <w:rFonts w:cstheme="minorHAnsi"/>
                <w:color w:val="000000"/>
                <w:sz w:val="20"/>
                <w:szCs w:val="20"/>
              </w:rPr>
              <w:t>matinib 100 mg capsule (</w:t>
            </w:r>
            <w:r w:rsidR="00842372" w:rsidRPr="006B592F">
              <w:rPr>
                <w:rFonts w:cstheme="minorHAnsi"/>
                <w:color w:val="000000"/>
                <w:sz w:val="20"/>
                <w:szCs w:val="20"/>
              </w:rPr>
              <w:t>12709X</w:t>
            </w:r>
            <w:r w:rsidR="00781CD0">
              <w:rPr>
                <w:rFonts w:cstheme="minorHAnsi"/>
                <w:color w:val="000000"/>
                <w:sz w:val="20"/>
                <w:szCs w:val="20"/>
              </w:rPr>
              <w:t xml:space="preserve">, </w:t>
            </w:r>
            <w:r w:rsidR="00842372" w:rsidRPr="006B592F">
              <w:rPr>
                <w:rFonts w:cstheme="minorHAnsi"/>
                <w:color w:val="000000"/>
                <w:sz w:val="20"/>
                <w:szCs w:val="20"/>
              </w:rPr>
              <w:t>12722N</w:t>
            </w:r>
            <w:r w:rsidR="00781CD0">
              <w:rPr>
                <w:rFonts w:cstheme="minorHAnsi"/>
                <w:color w:val="000000"/>
                <w:sz w:val="20"/>
                <w:szCs w:val="20"/>
              </w:rPr>
              <w:t>)</w:t>
            </w:r>
          </w:p>
          <w:p w14:paraId="787BF9EE" w14:textId="77777777" w:rsidR="00842372" w:rsidRDefault="00842372" w:rsidP="00842372">
            <w:pPr>
              <w:spacing w:before="60" w:after="60"/>
              <w:rPr>
                <w:b/>
                <w:bCs/>
                <w:u w:val="single"/>
              </w:rPr>
            </w:pPr>
          </w:p>
        </w:tc>
        <w:tc>
          <w:tcPr>
            <w:tcW w:w="5408" w:type="dxa"/>
          </w:tcPr>
          <w:p w14:paraId="32DE52E7" w14:textId="77777777" w:rsidR="00842372" w:rsidRPr="006B592F" w:rsidRDefault="00842372" w:rsidP="00842372">
            <w:pPr>
              <w:autoSpaceDE w:val="0"/>
              <w:autoSpaceDN w:val="0"/>
              <w:adjustRightInd w:val="0"/>
              <w:spacing w:before="60" w:afterLines="60" w:after="144"/>
              <w:rPr>
                <w:rFonts w:cstheme="minorHAnsi"/>
                <w:color w:val="000000"/>
                <w:sz w:val="20"/>
                <w:szCs w:val="20"/>
              </w:rPr>
            </w:pPr>
            <w:r w:rsidRPr="006B592F">
              <w:rPr>
                <w:rFonts w:cstheme="minorHAnsi"/>
                <w:color w:val="000000"/>
                <w:sz w:val="20"/>
                <w:szCs w:val="20"/>
              </w:rPr>
              <w:t>Imatinib-APOTEX</w:t>
            </w:r>
            <w:r>
              <w:rPr>
                <w:rFonts w:cstheme="minorHAnsi"/>
                <w:color w:val="000000"/>
                <w:sz w:val="20"/>
                <w:szCs w:val="20"/>
              </w:rPr>
              <w:t xml:space="preserve">®: </w:t>
            </w:r>
            <w:r w:rsidRPr="006B592F">
              <w:rPr>
                <w:rFonts w:cstheme="minorHAnsi"/>
                <w:color w:val="222222"/>
                <w:sz w:val="20"/>
                <w:szCs w:val="20"/>
                <w:shd w:val="clear" w:color="auto" w:fill="FFFFFF"/>
              </w:rPr>
              <w:t>Apotex Pty Ltd </w:t>
            </w:r>
          </w:p>
          <w:p w14:paraId="161F4428" w14:textId="34633B37" w:rsidR="00842372" w:rsidRPr="006B592F" w:rsidRDefault="00842372" w:rsidP="00842372">
            <w:pPr>
              <w:autoSpaceDE w:val="0"/>
              <w:autoSpaceDN w:val="0"/>
              <w:adjustRightInd w:val="0"/>
              <w:spacing w:before="60" w:afterLines="60" w:after="144"/>
              <w:rPr>
                <w:rFonts w:cstheme="minorHAnsi"/>
                <w:color w:val="000000"/>
                <w:sz w:val="20"/>
                <w:szCs w:val="20"/>
              </w:rPr>
            </w:pPr>
            <w:r w:rsidRPr="006B592F">
              <w:rPr>
                <w:rFonts w:cstheme="minorHAnsi"/>
                <w:color w:val="000000"/>
                <w:sz w:val="20"/>
                <w:szCs w:val="20"/>
              </w:rPr>
              <w:t>IMATINIB-DRLA</w:t>
            </w:r>
            <w:r>
              <w:rPr>
                <w:rFonts w:cstheme="minorHAnsi"/>
                <w:color w:val="000000"/>
                <w:sz w:val="20"/>
                <w:szCs w:val="20"/>
              </w:rPr>
              <w:t xml:space="preserve">®: </w:t>
            </w:r>
            <w:r w:rsidRPr="006B592F">
              <w:rPr>
                <w:rFonts w:cstheme="minorHAnsi"/>
                <w:color w:val="222222"/>
                <w:sz w:val="20"/>
                <w:szCs w:val="20"/>
                <w:shd w:val="clear" w:color="auto" w:fill="FFFFFF"/>
              </w:rPr>
              <w:t>Dr Reddy's Laboratories (Australia) Pty Ltd</w:t>
            </w:r>
            <w:r>
              <w:rPr>
                <w:rFonts w:cstheme="minorHAnsi"/>
                <w:color w:val="222222"/>
                <w:sz w:val="20"/>
                <w:szCs w:val="20"/>
                <w:shd w:val="clear" w:color="auto" w:fill="FFFFFF"/>
              </w:rPr>
              <w:t xml:space="preserve">, </w:t>
            </w:r>
          </w:p>
          <w:p w14:paraId="47302595" w14:textId="48867D03" w:rsidR="00842372" w:rsidRDefault="00842372" w:rsidP="00842372">
            <w:pPr>
              <w:spacing w:before="60" w:after="60"/>
              <w:rPr>
                <w:b/>
                <w:bCs/>
                <w:u w:val="single"/>
              </w:rPr>
            </w:pPr>
            <w:r w:rsidRPr="006B592F">
              <w:rPr>
                <w:rFonts w:cstheme="minorHAnsi"/>
                <w:color w:val="000000"/>
                <w:sz w:val="20"/>
                <w:szCs w:val="20"/>
              </w:rPr>
              <w:t>ARX-imatinib</w:t>
            </w:r>
            <w:r>
              <w:rPr>
                <w:rFonts w:cstheme="minorHAnsi"/>
                <w:color w:val="000000"/>
                <w:sz w:val="20"/>
                <w:szCs w:val="20"/>
              </w:rPr>
              <w:t xml:space="preserve">®: </w:t>
            </w:r>
            <w:r w:rsidRPr="006B592F">
              <w:rPr>
                <w:rFonts w:cstheme="minorHAnsi"/>
                <w:color w:val="222222"/>
                <w:sz w:val="20"/>
                <w:szCs w:val="20"/>
                <w:shd w:val="clear" w:color="auto" w:fill="FFFFFF"/>
              </w:rPr>
              <w:t>Arrotex Pharmaceuticals Pty Ltd</w:t>
            </w:r>
          </w:p>
        </w:tc>
      </w:tr>
      <w:tr w:rsidR="00842372" w14:paraId="67D6A50A" w14:textId="77777777" w:rsidTr="00842372">
        <w:tc>
          <w:tcPr>
            <w:tcW w:w="3539" w:type="dxa"/>
          </w:tcPr>
          <w:p w14:paraId="3B945874" w14:textId="693C6D16" w:rsidR="00842372" w:rsidRPr="00781CD0" w:rsidRDefault="006C1050" w:rsidP="00781CD0">
            <w:pPr>
              <w:autoSpaceDE w:val="0"/>
              <w:autoSpaceDN w:val="0"/>
              <w:adjustRightInd w:val="0"/>
              <w:spacing w:before="60" w:afterLines="60" w:after="144"/>
              <w:rPr>
                <w:rFonts w:cstheme="minorHAnsi"/>
                <w:color w:val="000000"/>
                <w:sz w:val="20"/>
                <w:szCs w:val="20"/>
              </w:rPr>
            </w:pPr>
            <w:r>
              <w:rPr>
                <w:rFonts w:cstheme="minorHAnsi"/>
                <w:color w:val="000000"/>
                <w:sz w:val="20"/>
                <w:szCs w:val="20"/>
              </w:rPr>
              <w:t>i</w:t>
            </w:r>
            <w:r w:rsidR="00781CD0">
              <w:rPr>
                <w:rFonts w:cstheme="minorHAnsi"/>
                <w:color w:val="000000"/>
                <w:sz w:val="20"/>
                <w:szCs w:val="20"/>
              </w:rPr>
              <w:t>matinib 400 mg capsule (</w:t>
            </w:r>
            <w:r w:rsidR="00842372" w:rsidRPr="00853D7C">
              <w:rPr>
                <w:rFonts w:cstheme="minorHAnsi"/>
                <w:color w:val="000000"/>
                <w:sz w:val="20"/>
                <w:szCs w:val="20"/>
              </w:rPr>
              <w:t>12681K</w:t>
            </w:r>
            <w:r w:rsidR="00781CD0">
              <w:rPr>
                <w:rFonts w:cstheme="minorHAnsi"/>
                <w:color w:val="000000"/>
                <w:sz w:val="20"/>
                <w:szCs w:val="20"/>
              </w:rPr>
              <w:t xml:space="preserve">, </w:t>
            </w:r>
            <w:r w:rsidR="00842372" w:rsidRPr="00853D7C">
              <w:rPr>
                <w:rFonts w:cstheme="minorHAnsi"/>
                <w:color w:val="000000"/>
                <w:sz w:val="20"/>
                <w:szCs w:val="20"/>
              </w:rPr>
              <w:t>12711B</w:t>
            </w:r>
            <w:r w:rsidR="00781CD0">
              <w:rPr>
                <w:rFonts w:cstheme="minorHAnsi"/>
                <w:color w:val="000000"/>
                <w:sz w:val="20"/>
                <w:szCs w:val="20"/>
              </w:rPr>
              <w:t>)</w:t>
            </w:r>
          </w:p>
        </w:tc>
        <w:tc>
          <w:tcPr>
            <w:tcW w:w="5408" w:type="dxa"/>
          </w:tcPr>
          <w:p w14:paraId="551B8D50" w14:textId="77777777" w:rsidR="00842372" w:rsidRPr="006B592F" w:rsidRDefault="00842372" w:rsidP="00842372">
            <w:pPr>
              <w:autoSpaceDE w:val="0"/>
              <w:autoSpaceDN w:val="0"/>
              <w:adjustRightInd w:val="0"/>
              <w:spacing w:before="60" w:afterLines="60" w:after="144"/>
              <w:rPr>
                <w:rFonts w:cstheme="minorHAnsi"/>
                <w:color w:val="000000"/>
                <w:sz w:val="20"/>
                <w:szCs w:val="20"/>
              </w:rPr>
            </w:pPr>
            <w:r w:rsidRPr="006B592F">
              <w:rPr>
                <w:rFonts w:cstheme="minorHAnsi"/>
                <w:color w:val="000000"/>
                <w:sz w:val="20"/>
                <w:szCs w:val="20"/>
              </w:rPr>
              <w:t>Imatinib-APOTEX</w:t>
            </w:r>
            <w:r>
              <w:rPr>
                <w:rFonts w:cstheme="minorHAnsi"/>
                <w:color w:val="000000"/>
                <w:sz w:val="20"/>
                <w:szCs w:val="20"/>
              </w:rPr>
              <w:t xml:space="preserve">®: </w:t>
            </w:r>
            <w:r w:rsidRPr="006B592F">
              <w:rPr>
                <w:rFonts w:cstheme="minorHAnsi"/>
                <w:color w:val="222222"/>
                <w:sz w:val="20"/>
                <w:szCs w:val="20"/>
                <w:shd w:val="clear" w:color="auto" w:fill="FFFFFF"/>
              </w:rPr>
              <w:t>Apotex Pty Ltd </w:t>
            </w:r>
          </w:p>
          <w:p w14:paraId="1D090D48" w14:textId="1FA5BD7E" w:rsidR="00842372" w:rsidRPr="006B592F" w:rsidRDefault="00842372" w:rsidP="00842372">
            <w:pPr>
              <w:autoSpaceDE w:val="0"/>
              <w:autoSpaceDN w:val="0"/>
              <w:adjustRightInd w:val="0"/>
              <w:spacing w:before="60" w:afterLines="60" w:after="144"/>
              <w:rPr>
                <w:rFonts w:cstheme="minorHAnsi"/>
                <w:color w:val="000000"/>
                <w:sz w:val="20"/>
                <w:szCs w:val="20"/>
              </w:rPr>
            </w:pPr>
            <w:r w:rsidRPr="006B592F">
              <w:rPr>
                <w:rFonts w:cstheme="minorHAnsi"/>
                <w:color w:val="000000"/>
                <w:sz w:val="20"/>
                <w:szCs w:val="20"/>
              </w:rPr>
              <w:t>IMATINIB-DRLA</w:t>
            </w:r>
            <w:r>
              <w:rPr>
                <w:rFonts w:cstheme="minorHAnsi"/>
                <w:color w:val="000000"/>
                <w:sz w:val="20"/>
                <w:szCs w:val="20"/>
              </w:rPr>
              <w:t xml:space="preserve">®: </w:t>
            </w:r>
            <w:r w:rsidRPr="006B592F">
              <w:rPr>
                <w:rFonts w:cstheme="minorHAnsi"/>
                <w:color w:val="222222"/>
                <w:sz w:val="20"/>
                <w:szCs w:val="20"/>
                <w:shd w:val="clear" w:color="auto" w:fill="FFFFFF"/>
              </w:rPr>
              <w:t>Dr Reddy's Laboratories (Australia) Pty Ltd</w:t>
            </w:r>
            <w:r>
              <w:rPr>
                <w:rFonts w:cstheme="minorHAnsi"/>
                <w:color w:val="222222"/>
                <w:sz w:val="20"/>
                <w:szCs w:val="20"/>
                <w:shd w:val="clear" w:color="auto" w:fill="FFFFFF"/>
              </w:rPr>
              <w:t xml:space="preserve">, </w:t>
            </w:r>
          </w:p>
          <w:p w14:paraId="7F4F471D" w14:textId="77777777" w:rsidR="00842372" w:rsidRDefault="00842372" w:rsidP="00842372">
            <w:pPr>
              <w:autoSpaceDE w:val="0"/>
              <w:autoSpaceDN w:val="0"/>
              <w:adjustRightInd w:val="0"/>
              <w:spacing w:before="60" w:afterLines="60" w:after="144"/>
              <w:rPr>
                <w:rFonts w:cstheme="minorHAnsi"/>
                <w:color w:val="222222"/>
                <w:sz w:val="20"/>
                <w:szCs w:val="20"/>
                <w:shd w:val="clear" w:color="auto" w:fill="FFFFFF"/>
              </w:rPr>
            </w:pPr>
            <w:r w:rsidRPr="006B592F">
              <w:rPr>
                <w:rFonts w:cstheme="minorHAnsi"/>
                <w:color w:val="000000"/>
                <w:sz w:val="20"/>
                <w:szCs w:val="20"/>
              </w:rPr>
              <w:t>ARX-imatinib</w:t>
            </w:r>
            <w:r>
              <w:rPr>
                <w:rFonts w:cstheme="minorHAnsi"/>
                <w:color w:val="000000"/>
                <w:sz w:val="20"/>
                <w:szCs w:val="20"/>
              </w:rPr>
              <w:t xml:space="preserve">®: </w:t>
            </w:r>
            <w:r w:rsidRPr="006B592F">
              <w:rPr>
                <w:rFonts w:cstheme="minorHAnsi"/>
                <w:color w:val="222222"/>
                <w:sz w:val="20"/>
                <w:szCs w:val="20"/>
                <w:shd w:val="clear" w:color="auto" w:fill="FFFFFF"/>
              </w:rPr>
              <w:t>Arrotex Pharmaceuticals Pty Ltd</w:t>
            </w:r>
          </w:p>
          <w:p w14:paraId="45123DB8" w14:textId="1F681A13" w:rsidR="00842372" w:rsidRDefault="00842372" w:rsidP="00842372">
            <w:pPr>
              <w:spacing w:before="60" w:after="60"/>
              <w:rPr>
                <w:b/>
                <w:bCs/>
                <w:u w:val="single"/>
              </w:rPr>
            </w:pPr>
            <w:r w:rsidRPr="006B592F">
              <w:rPr>
                <w:rFonts w:cstheme="minorHAnsi"/>
                <w:color w:val="222222"/>
                <w:sz w:val="20"/>
                <w:szCs w:val="20"/>
                <w:shd w:val="clear" w:color="auto" w:fill="FFFFFF"/>
              </w:rPr>
              <w:t>Imatinib GH</w:t>
            </w:r>
            <w:r>
              <w:rPr>
                <w:rFonts w:cstheme="minorHAnsi"/>
                <w:color w:val="000000"/>
                <w:sz w:val="20"/>
                <w:szCs w:val="20"/>
              </w:rPr>
              <w:t xml:space="preserve">®: </w:t>
            </w:r>
            <w:r w:rsidRPr="006B592F">
              <w:rPr>
                <w:rFonts w:cstheme="minorHAnsi"/>
                <w:color w:val="222222"/>
                <w:sz w:val="20"/>
                <w:szCs w:val="20"/>
                <w:shd w:val="clear" w:color="auto" w:fill="FFFFFF"/>
              </w:rPr>
              <w:t>Generic Health Pty Ltd</w:t>
            </w:r>
          </w:p>
        </w:tc>
      </w:tr>
    </w:tbl>
    <w:p w14:paraId="51748184" w14:textId="77777777" w:rsidR="009C5E9D" w:rsidRDefault="009C5E9D" w:rsidP="00D42B19">
      <w:pPr>
        <w:rPr>
          <w:b/>
          <w:bCs/>
          <w:u w:val="single"/>
        </w:rPr>
      </w:pPr>
    </w:p>
    <w:p w14:paraId="55C00F97" w14:textId="77777777" w:rsidR="00D42B19" w:rsidRDefault="00D42B19" w:rsidP="00D42B19">
      <w:pPr>
        <w:rPr>
          <w:b/>
          <w:bCs/>
          <w:u w:val="single"/>
        </w:rPr>
      </w:pPr>
      <w:r w:rsidRPr="00E27C14">
        <w:rPr>
          <w:b/>
          <w:bCs/>
          <w:u w:val="single"/>
        </w:rPr>
        <w:t>Metastatic GIST</w:t>
      </w:r>
    </w:p>
    <w:tbl>
      <w:tblPr>
        <w:tblStyle w:val="TableGrid"/>
        <w:tblW w:w="0" w:type="auto"/>
        <w:tblLook w:val="04A0" w:firstRow="1" w:lastRow="0" w:firstColumn="1" w:lastColumn="0" w:noHBand="0" w:noVBand="1"/>
      </w:tblPr>
      <w:tblGrid>
        <w:gridCol w:w="3539"/>
        <w:gridCol w:w="5408"/>
      </w:tblGrid>
      <w:tr w:rsidR="00894763" w14:paraId="72D50B23" w14:textId="77777777" w:rsidTr="00261412">
        <w:trPr>
          <w:tblHeader/>
        </w:trPr>
        <w:tc>
          <w:tcPr>
            <w:tcW w:w="3539" w:type="dxa"/>
            <w:shd w:val="clear" w:color="auto" w:fill="BFBFBF" w:themeFill="background1" w:themeFillShade="BF"/>
          </w:tcPr>
          <w:p w14:paraId="6B0B89ED" w14:textId="77777777" w:rsidR="00894763" w:rsidRDefault="00894763" w:rsidP="00EC45F0">
            <w:pPr>
              <w:spacing w:before="60" w:after="60"/>
              <w:rPr>
                <w:b/>
                <w:bCs/>
                <w:u w:val="single"/>
              </w:rPr>
            </w:pPr>
            <w:r>
              <w:rPr>
                <w:b/>
                <w:bCs/>
                <w:sz w:val="22"/>
                <w:szCs w:val="22"/>
              </w:rPr>
              <w:t>Item codes</w:t>
            </w:r>
          </w:p>
        </w:tc>
        <w:tc>
          <w:tcPr>
            <w:tcW w:w="5408" w:type="dxa"/>
            <w:shd w:val="clear" w:color="auto" w:fill="BFBFBF" w:themeFill="background1" w:themeFillShade="BF"/>
          </w:tcPr>
          <w:p w14:paraId="34B730B9" w14:textId="77777777" w:rsidR="00894763" w:rsidRDefault="00894763" w:rsidP="00EC45F0">
            <w:pPr>
              <w:spacing w:before="60" w:after="60"/>
              <w:rPr>
                <w:b/>
                <w:bCs/>
                <w:u w:val="single"/>
              </w:rPr>
            </w:pPr>
            <w:r w:rsidRPr="00FD1EC6">
              <w:rPr>
                <w:b/>
                <w:bCs/>
                <w:sz w:val="20"/>
                <w:szCs w:val="20"/>
              </w:rPr>
              <w:t>Brand and manufacturer</w:t>
            </w:r>
          </w:p>
        </w:tc>
      </w:tr>
      <w:tr w:rsidR="00894763" w14:paraId="25F3D0C4" w14:textId="77777777" w:rsidTr="00EC45F0">
        <w:tc>
          <w:tcPr>
            <w:tcW w:w="3539" w:type="dxa"/>
          </w:tcPr>
          <w:p w14:paraId="022BDAC0"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imatinib 100 mg tablet (9111M, 11787J)</w:t>
            </w:r>
          </w:p>
          <w:p w14:paraId="573EADDD" w14:textId="6773A920" w:rsidR="00894763" w:rsidRPr="00853D7C" w:rsidRDefault="00894763" w:rsidP="00894763">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imatinib 400 mg tablet (9112N, 11778X)</w:t>
            </w:r>
          </w:p>
        </w:tc>
        <w:tc>
          <w:tcPr>
            <w:tcW w:w="5408" w:type="dxa"/>
          </w:tcPr>
          <w:p w14:paraId="41B5E0A7" w14:textId="77777777" w:rsidR="00785265" w:rsidRPr="00FD1EC6" w:rsidRDefault="00785265" w:rsidP="00785265">
            <w:pPr>
              <w:autoSpaceDE w:val="0"/>
              <w:autoSpaceDN w:val="0"/>
              <w:adjustRightInd w:val="0"/>
              <w:spacing w:before="60" w:after="60"/>
              <w:rPr>
                <w:rFonts w:cstheme="minorHAnsi"/>
                <w:color w:val="000000"/>
                <w:sz w:val="20"/>
                <w:szCs w:val="20"/>
              </w:rPr>
            </w:pPr>
            <w:r w:rsidRPr="00FD1EC6">
              <w:rPr>
                <w:rFonts w:cstheme="minorHAnsi"/>
                <w:color w:val="000000"/>
                <w:sz w:val="20"/>
                <w:szCs w:val="20"/>
              </w:rPr>
              <w:t xml:space="preserve">Glivec®: </w:t>
            </w:r>
            <w:r w:rsidRPr="00FD1EC6">
              <w:rPr>
                <w:rFonts w:cstheme="minorHAnsi"/>
                <w:color w:val="222222"/>
                <w:sz w:val="20"/>
                <w:szCs w:val="20"/>
                <w:shd w:val="clear" w:color="auto" w:fill="FFFFFF"/>
              </w:rPr>
              <w:t>Novartis Pharmaceuticals Australia Pty Limited</w:t>
            </w:r>
          </w:p>
          <w:p w14:paraId="490E0798"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Gilmat®</w:t>
            </w:r>
            <w:r w:rsidRPr="00FD1EC6">
              <w:rPr>
                <w:rFonts w:cstheme="minorHAnsi"/>
                <w:color w:val="222222"/>
                <w:sz w:val="20"/>
                <w:szCs w:val="20"/>
                <w:shd w:val="clear" w:color="auto" w:fill="FFFFFF"/>
              </w:rPr>
              <w:t>: Pharmacor Pty Limited</w:t>
            </w:r>
          </w:p>
          <w:p w14:paraId="32E9980B"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 xml:space="preserve">Imatinib RBX®: </w:t>
            </w:r>
            <w:r w:rsidRPr="00FD1EC6">
              <w:rPr>
                <w:rFonts w:cstheme="minorHAnsi"/>
                <w:color w:val="222222"/>
                <w:sz w:val="20"/>
                <w:szCs w:val="20"/>
                <w:shd w:val="clear" w:color="auto" w:fill="FFFFFF"/>
              </w:rPr>
              <w:t>Sun Pharma ANZ Pty Ltd</w:t>
            </w:r>
          </w:p>
          <w:p w14:paraId="467AA3D4"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 xml:space="preserve">Imatinib – TEVA®: </w:t>
            </w:r>
            <w:r w:rsidRPr="00FD1EC6">
              <w:rPr>
                <w:rFonts w:cstheme="minorHAnsi"/>
                <w:color w:val="222222"/>
                <w:sz w:val="20"/>
                <w:szCs w:val="20"/>
                <w:shd w:val="clear" w:color="auto" w:fill="FFFFFF"/>
              </w:rPr>
              <w:t xml:space="preserve">Teva Pharma Australia Pty Ltd </w:t>
            </w:r>
          </w:p>
          <w:p w14:paraId="69EBE0F1"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 xml:space="preserve">Imanib®: Alphapharm Pty Ltd </w:t>
            </w:r>
          </w:p>
          <w:p w14:paraId="1AA0CD61" w14:textId="19217118" w:rsidR="00894763" w:rsidRPr="006B592F" w:rsidRDefault="00894763" w:rsidP="00894763">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Imatinib Sandoz: Sandoz Pty Ltd</w:t>
            </w:r>
          </w:p>
        </w:tc>
      </w:tr>
      <w:tr w:rsidR="00894763" w14:paraId="0B03ECA7" w14:textId="77777777" w:rsidTr="00EC45F0">
        <w:tc>
          <w:tcPr>
            <w:tcW w:w="3539" w:type="dxa"/>
          </w:tcPr>
          <w:p w14:paraId="7A58D95F" w14:textId="7D1B93E4" w:rsidR="00894763" w:rsidRPr="00853D7C" w:rsidRDefault="00894763" w:rsidP="00EC45F0">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Imatinib 600 mg tablet (12926H, 12919Y)</w:t>
            </w:r>
          </w:p>
        </w:tc>
        <w:tc>
          <w:tcPr>
            <w:tcW w:w="5408" w:type="dxa"/>
          </w:tcPr>
          <w:p w14:paraId="074A2B2D" w14:textId="77777777" w:rsidR="00894763" w:rsidRPr="00FD1EC6" w:rsidRDefault="00894763" w:rsidP="00894763">
            <w:pPr>
              <w:autoSpaceDE w:val="0"/>
              <w:autoSpaceDN w:val="0"/>
              <w:adjustRightInd w:val="0"/>
              <w:spacing w:before="60" w:after="60"/>
              <w:rPr>
                <w:rFonts w:cstheme="minorHAnsi"/>
                <w:color w:val="222222"/>
                <w:sz w:val="20"/>
                <w:szCs w:val="20"/>
                <w:shd w:val="clear" w:color="auto" w:fill="FFFFFF"/>
              </w:rPr>
            </w:pPr>
            <w:r w:rsidRPr="00FD1EC6">
              <w:rPr>
                <w:rFonts w:cstheme="minorHAnsi"/>
                <w:color w:val="222222"/>
                <w:sz w:val="20"/>
                <w:szCs w:val="20"/>
                <w:shd w:val="clear" w:color="auto" w:fill="FFFFFF"/>
              </w:rPr>
              <w:t>Imatab®</w:t>
            </w:r>
          </w:p>
          <w:p w14:paraId="3D97FE4F" w14:textId="4367068F" w:rsidR="00894763" w:rsidRPr="006B592F" w:rsidRDefault="00894763" w:rsidP="00894763">
            <w:pPr>
              <w:autoSpaceDE w:val="0"/>
              <w:autoSpaceDN w:val="0"/>
              <w:adjustRightInd w:val="0"/>
              <w:spacing w:before="60" w:afterLines="60" w:after="144"/>
              <w:rPr>
                <w:rFonts w:cstheme="minorHAnsi"/>
                <w:color w:val="000000"/>
                <w:sz w:val="20"/>
                <w:szCs w:val="20"/>
              </w:rPr>
            </w:pPr>
            <w:r w:rsidRPr="00FD1EC6">
              <w:rPr>
                <w:rFonts w:cstheme="minorHAnsi"/>
                <w:color w:val="222222"/>
                <w:sz w:val="20"/>
                <w:szCs w:val="20"/>
                <w:shd w:val="clear" w:color="auto" w:fill="FFFFFF"/>
              </w:rPr>
              <w:t>Juno Pharmaceuticals Pty Ltd</w:t>
            </w:r>
          </w:p>
        </w:tc>
      </w:tr>
      <w:tr w:rsidR="00894763" w14:paraId="40260B1D" w14:textId="77777777" w:rsidTr="00EC45F0">
        <w:tc>
          <w:tcPr>
            <w:tcW w:w="3539" w:type="dxa"/>
          </w:tcPr>
          <w:p w14:paraId="1E418188" w14:textId="09CB5A09" w:rsidR="00894763" w:rsidRPr="00853D7C" w:rsidRDefault="00894763" w:rsidP="00EC45F0">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imatinib 100 mg capsule (12709X, 12722N)</w:t>
            </w:r>
          </w:p>
        </w:tc>
        <w:tc>
          <w:tcPr>
            <w:tcW w:w="5408" w:type="dxa"/>
          </w:tcPr>
          <w:p w14:paraId="659FA302"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 xml:space="preserve">Imatinib-APOTEX®: </w:t>
            </w:r>
            <w:r w:rsidRPr="00FD1EC6">
              <w:rPr>
                <w:rFonts w:cstheme="minorHAnsi"/>
                <w:color w:val="222222"/>
                <w:sz w:val="20"/>
                <w:szCs w:val="20"/>
                <w:shd w:val="clear" w:color="auto" w:fill="FFFFFF"/>
              </w:rPr>
              <w:t>Apotex Pty Ltd </w:t>
            </w:r>
          </w:p>
          <w:p w14:paraId="383D7804" w14:textId="6AAA4458"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 xml:space="preserve">IMATINIB-DRLA®: </w:t>
            </w:r>
            <w:r w:rsidRPr="00FD1EC6">
              <w:rPr>
                <w:rFonts w:cstheme="minorHAnsi"/>
                <w:color w:val="222222"/>
                <w:sz w:val="20"/>
                <w:szCs w:val="20"/>
                <w:shd w:val="clear" w:color="auto" w:fill="FFFFFF"/>
              </w:rPr>
              <w:t>Dr Reddy's Laboratories (Australia) Pty Ltd</w:t>
            </w:r>
          </w:p>
          <w:p w14:paraId="52130EA7" w14:textId="293207B3" w:rsidR="00894763" w:rsidRPr="006B592F" w:rsidRDefault="00894763" w:rsidP="00894763">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 xml:space="preserve">ARX-imatinib®: </w:t>
            </w:r>
            <w:r w:rsidRPr="00FD1EC6">
              <w:rPr>
                <w:rFonts w:cstheme="minorHAnsi"/>
                <w:color w:val="222222"/>
                <w:sz w:val="20"/>
                <w:szCs w:val="20"/>
                <w:shd w:val="clear" w:color="auto" w:fill="FFFFFF"/>
              </w:rPr>
              <w:t>Arrotex Pharmaceuticals Pty Ltd</w:t>
            </w:r>
          </w:p>
        </w:tc>
      </w:tr>
      <w:tr w:rsidR="00894763" w14:paraId="5A8AB9EF" w14:textId="77777777" w:rsidTr="00EC45F0">
        <w:tc>
          <w:tcPr>
            <w:tcW w:w="3539" w:type="dxa"/>
          </w:tcPr>
          <w:p w14:paraId="51719D9E" w14:textId="4470D4C2" w:rsidR="00894763" w:rsidRPr="00853D7C" w:rsidRDefault="00894763" w:rsidP="00EC45F0">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imatinib 400 mg capsule (12754G, 12723P)</w:t>
            </w:r>
          </w:p>
        </w:tc>
        <w:tc>
          <w:tcPr>
            <w:tcW w:w="5408" w:type="dxa"/>
          </w:tcPr>
          <w:p w14:paraId="0F59F5FE"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 xml:space="preserve">Imatinib-APOTEX®: </w:t>
            </w:r>
            <w:r w:rsidRPr="00FD1EC6">
              <w:rPr>
                <w:rFonts w:cstheme="minorHAnsi"/>
                <w:color w:val="222222"/>
                <w:sz w:val="20"/>
                <w:szCs w:val="20"/>
                <w:shd w:val="clear" w:color="auto" w:fill="FFFFFF"/>
              </w:rPr>
              <w:t>Apotex Pty Ltd </w:t>
            </w:r>
          </w:p>
          <w:p w14:paraId="093EDCF4" w14:textId="210CC76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 xml:space="preserve">IMATINIB-DRLA®: </w:t>
            </w:r>
            <w:r w:rsidRPr="00FD1EC6">
              <w:rPr>
                <w:rFonts w:cstheme="minorHAnsi"/>
                <w:color w:val="222222"/>
                <w:sz w:val="20"/>
                <w:szCs w:val="20"/>
                <w:shd w:val="clear" w:color="auto" w:fill="FFFFFF"/>
              </w:rPr>
              <w:t>Dr Reddy's Laboratories (Australia) Pty Ltd</w:t>
            </w:r>
          </w:p>
          <w:p w14:paraId="4BAF41A6" w14:textId="77777777" w:rsidR="00894763" w:rsidRPr="00FD1EC6" w:rsidRDefault="00894763" w:rsidP="00894763">
            <w:pPr>
              <w:autoSpaceDE w:val="0"/>
              <w:autoSpaceDN w:val="0"/>
              <w:adjustRightInd w:val="0"/>
              <w:spacing w:before="60" w:after="60"/>
              <w:rPr>
                <w:rFonts w:cstheme="minorHAnsi"/>
                <w:color w:val="222222"/>
                <w:sz w:val="20"/>
                <w:szCs w:val="20"/>
                <w:shd w:val="clear" w:color="auto" w:fill="FFFFFF"/>
              </w:rPr>
            </w:pPr>
            <w:r w:rsidRPr="00FD1EC6">
              <w:rPr>
                <w:rFonts w:cstheme="minorHAnsi"/>
                <w:color w:val="000000"/>
                <w:sz w:val="20"/>
                <w:szCs w:val="20"/>
              </w:rPr>
              <w:t xml:space="preserve">ARX-imatinib®: </w:t>
            </w:r>
            <w:r w:rsidRPr="00FD1EC6">
              <w:rPr>
                <w:rFonts w:cstheme="minorHAnsi"/>
                <w:color w:val="222222"/>
                <w:sz w:val="20"/>
                <w:szCs w:val="20"/>
                <w:shd w:val="clear" w:color="auto" w:fill="FFFFFF"/>
              </w:rPr>
              <w:t>Arrotex Pharmaceuticals Pty Ltd</w:t>
            </w:r>
          </w:p>
          <w:p w14:paraId="0EB89722" w14:textId="1D76624F" w:rsidR="00894763" w:rsidRPr="006B592F" w:rsidRDefault="00894763" w:rsidP="00894763">
            <w:pPr>
              <w:autoSpaceDE w:val="0"/>
              <w:autoSpaceDN w:val="0"/>
              <w:adjustRightInd w:val="0"/>
              <w:spacing w:before="60" w:afterLines="60" w:after="144"/>
              <w:rPr>
                <w:rFonts w:cstheme="minorHAnsi"/>
                <w:color w:val="000000"/>
                <w:sz w:val="20"/>
                <w:szCs w:val="20"/>
              </w:rPr>
            </w:pPr>
            <w:r w:rsidRPr="00FD1EC6">
              <w:rPr>
                <w:rFonts w:cstheme="minorHAnsi"/>
                <w:color w:val="222222"/>
                <w:sz w:val="20"/>
                <w:szCs w:val="20"/>
                <w:shd w:val="clear" w:color="auto" w:fill="FFFFFF"/>
              </w:rPr>
              <w:lastRenderedPageBreak/>
              <w:t>Imatinib GH</w:t>
            </w:r>
            <w:r w:rsidRPr="00FD1EC6">
              <w:rPr>
                <w:rFonts w:cstheme="minorHAnsi"/>
                <w:color w:val="000000"/>
                <w:sz w:val="20"/>
                <w:szCs w:val="20"/>
              </w:rPr>
              <w:t xml:space="preserve">®: </w:t>
            </w:r>
            <w:r w:rsidRPr="00FD1EC6">
              <w:rPr>
                <w:rFonts w:cstheme="minorHAnsi"/>
                <w:color w:val="222222"/>
                <w:sz w:val="20"/>
                <w:szCs w:val="20"/>
                <w:shd w:val="clear" w:color="auto" w:fill="FFFFFF"/>
              </w:rPr>
              <w:t>Generic Health Pty Ltd</w:t>
            </w:r>
          </w:p>
        </w:tc>
      </w:tr>
      <w:tr w:rsidR="00894763" w14:paraId="5830BC69" w14:textId="77777777" w:rsidTr="00EC45F0">
        <w:tc>
          <w:tcPr>
            <w:tcW w:w="3539" w:type="dxa"/>
          </w:tcPr>
          <w:p w14:paraId="35002BFF" w14:textId="77777777" w:rsidR="00894763" w:rsidRPr="00FD1EC6" w:rsidRDefault="00894763" w:rsidP="00894763">
            <w:pPr>
              <w:autoSpaceDE w:val="0"/>
              <w:autoSpaceDN w:val="0"/>
              <w:adjustRightInd w:val="0"/>
              <w:spacing w:before="60" w:after="60"/>
              <w:rPr>
                <w:rFonts w:cstheme="minorHAnsi"/>
                <w:color w:val="222222"/>
                <w:sz w:val="20"/>
                <w:szCs w:val="20"/>
                <w:shd w:val="clear" w:color="auto" w:fill="FFFFFF"/>
              </w:rPr>
            </w:pPr>
            <w:r w:rsidRPr="00FD1EC6">
              <w:rPr>
                <w:rFonts w:cstheme="minorHAnsi"/>
                <w:color w:val="222222"/>
                <w:sz w:val="20"/>
                <w:szCs w:val="20"/>
                <w:shd w:val="clear" w:color="auto" w:fill="FFFFFF"/>
              </w:rPr>
              <w:lastRenderedPageBreak/>
              <w:t>sunitinib 12.5 mg capsule (</w:t>
            </w:r>
            <w:r w:rsidRPr="00FD1EC6">
              <w:rPr>
                <w:rFonts w:cstheme="minorHAnsi"/>
                <w:color w:val="000000"/>
                <w:sz w:val="20"/>
                <w:szCs w:val="20"/>
              </w:rPr>
              <w:t>9488J, 11266Y)</w:t>
            </w:r>
          </w:p>
          <w:p w14:paraId="26F80173" w14:textId="77777777" w:rsidR="00894763" w:rsidRPr="00853D7C" w:rsidRDefault="00894763" w:rsidP="00EC45F0">
            <w:pPr>
              <w:autoSpaceDE w:val="0"/>
              <w:autoSpaceDN w:val="0"/>
              <w:adjustRightInd w:val="0"/>
              <w:spacing w:before="60" w:afterLines="60" w:after="144"/>
              <w:rPr>
                <w:rFonts w:cstheme="minorHAnsi"/>
                <w:color w:val="000000"/>
                <w:sz w:val="20"/>
                <w:szCs w:val="20"/>
              </w:rPr>
            </w:pPr>
          </w:p>
        </w:tc>
        <w:tc>
          <w:tcPr>
            <w:tcW w:w="5408" w:type="dxa"/>
          </w:tcPr>
          <w:p w14:paraId="7A6114B4"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Sunitinib MSN®: Cipla Australia Pty Ltd</w:t>
            </w:r>
          </w:p>
          <w:p w14:paraId="796442C3"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Sunitinib Sandoz®: Sandoz Pty Ltd</w:t>
            </w:r>
          </w:p>
          <w:p w14:paraId="135C54DF" w14:textId="166218F8" w:rsidR="00894763" w:rsidRPr="006B592F" w:rsidRDefault="00894763" w:rsidP="00894763">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Suntent® : Pfizer Australia Pty Ltd</w:t>
            </w:r>
          </w:p>
        </w:tc>
      </w:tr>
      <w:tr w:rsidR="00894763" w14:paraId="41E29C5B" w14:textId="77777777" w:rsidTr="00EC45F0">
        <w:tc>
          <w:tcPr>
            <w:tcW w:w="3539" w:type="dxa"/>
          </w:tcPr>
          <w:p w14:paraId="0FC875A6" w14:textId="77777777" w:rsidR="00894763" w:rsidRPr="00FD1EC6" w:rsidRDefault="00894763" w:rsidP="00894763">
            <w:pPr>
              <w:autoSpaceDE w:val="0"/>
              <w:autoSpaceDN w:val="0"/>
              <w:adjustRightInd w:val="0"/>
              <w:spacing w:before="60" w:after="60"/>
              <w:rPr>
                <w:rFonts w:cstheme="minorHAnsi"/>
                <w:color w:val="222222"/>
                <w:sz w:val="20"/>
                <w:szCs w:val="20"/>
                <w:shd w:val="clear" w:color="auto" w:fill="FFFFFF"/>
              </w:rPr>
            </w:pPr>
            <w:r w:rsidRPr="00FD1EC6">
              <w:rPr>
                <w:rFonts w:cstheme="minorHAnsi"/>
                <w:color w:val="222222"/>
                <w:sz w:val="20"/>
                <w:szCs w:val="20"/>
                <w:shd w:val="clear" w:color="auto" w:fill="FFFFFF"/>
              </w:rPr>
              <w:t>sunitinib 25 mg capsule, 28 (</w:t>
            </w:r>
            <w:r w:rsidRPr="00FD1EC6">
              <w:rPr>
                <w:rFonts w:cstheme="minorHAnsi"/>
                <w:color w:val="000000"/>
                <w:sz w:val="20"/>
                <w:szCs w:val="20"/>
              </w:rPr>
              <w:t>9489K,</w:t>
            </w:r>
          </w:p>
          <w:p w14:paraId="185628B7"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11253G)</w:t>
            </w:r>
          </w:p>
          <w:p w14:paraId="3C64ABEE" w14:textId="77777777" w:rsidR="00894763" w:rsidRPr="00FD1EC6" w:rsidRDefault="00894763" w:rsidP="00894763">
            <w:pPr>
              <w:autoSpaceDE w:val="0"/>
              <w:autoSpaceDN w:val="0"/>
              <w:adjustRightInd w:val="0"/>
              <w:spacing w:before="60" w:after="60"/>
              <w:rPr>
                <w:rFonts w:cstheme="minorHAnsi"/>
                <w:color w:val="222222"/>
                <w:sz w:val="20"/>
                <w:szCs w:val="20"/>
                <w:shd w:val="clear" w:color="auto" w:fill="FFFFFF"/>
              </w:rPr>
            </w:pPr>
            <w:r w:rsidRPr="00FD1EC6">
              <w:rPr>
                <w:rFonts w:cstheme="minorHAnsi"/>
                <w:color w:val="222222"/>
                <w:sz w:val="20"/>
                <w:szCs w:val="20"/>
                <w:shd w:val="clear" w:color="auto" w:fill="FFFFFF"/>
              </w:rPr>
              <w:t>sunitinib 37.5 mg capsule (</w:t>
            </w:r>
            <w:r w:rsidRPr="00FD1EC6">
              <w:rPr>
                <w:rFonts w:cstheme="minorHAnsi"/>
                <w:color w:val="000000"/>
                <w:sz w:val="20"/>
                <w:szCs w:val="20"/>
              </w:rPr>
              <w:t>10503T, 11256K)</w:t>
            </w:r>
          </w:p>
          <w:p w14:paraId="4C3D7633" w14:textId="7D248CD1" w:rsidR="00894763" w:rsidRPr="00853D7C" w:rsidRDefault="00894763" w:rsidP="00894763">
            <w:pPr>
              <w:autoSpaceDE w:val="0"/>
              <w:autoSpaceDN w:val="0"/>
              <w:adjustRightInd w:val="0"/>
              <w:spacing w:before="60" w:afterLines="60" w:after="144"/>
              <w:rPr>
                <w:rFonts w:cstheme="minorHAnsi"/>
                <w:color w:val="000000"/>
                <w:sz w:val="20"/>
                <w:szCs w:val="20"/>
              </w:rPr>
            </w:pPr>
            <w:r w:rsidRPr="00FD1EC6">
              <w:rPr>
                <w:rFonts w:cstheme="minorHAnsi"/>
                <w:color w:val="222222"/>
                <w:sz w:val="20"/>
                <w:szCs w:val="20"/>
                <w:shd w:val="clear" w:color="auto" w:fill="FFFFFF"/>
              </w:rPr>
              <w:t>sunitinib 50 mg capsule (</w:t>
            </w:r>
            <w:r w:rsidRPr="00FD1EC6">
              <w:rPr>
                <w:rFonts w:cstheme="minorHAnsi"/>
                <w:color w:val="000000"/>
                <w:sz w:val="20"/>
                <w:szCs w:val="20"/>
              </w:rPr>
              <w:t>9490L, 11250D)</w:t>
            </w:r>
          </w:p>
        </w:tc>
        <w:tc>
          <w:tcPr>
            <w:tcW w:w="5408" w:type="dxa"/>
          </w:tcPr>
          <w:p w14:paraId="032E6A30"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ARX-Sunitnib®: Arrotex Pharmaceuticals Pty Ltd</w:t>
            </w:r>
          </w:p>
          <w:p w14:paraId="26AC741A"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Sunitinib MSN®: Cipla Australia Pty Ltd</w:t>
            </w:r>
          </w:p>
          <w:p w14:paraId="40EED9EC" w14:textId="77777777" w:rsidR="00894763" w:rsidRPr="00FD1EC6" w:rsidRDefault="00894763" w:rsidP="00894763">
            <w:pPr>
              <w:autoSpaceDE w:val="0"/>
              <w:autoSpaceDN w:val="0"/>
              <w:adjustRightInd w:val="0"/>
              <w:spacing w:before="60" w:after="60"/>
              <w:rPr>
                <w:rFonts w:cstheme="minorHAnsi"/>
                <w:color w:val="000000"/>
                <w:sz w:val="20"/>
                <w:szCs w:val="20"/>
              </w:rPr>
            </w:pPr>
            <w:r w:rsidRPr="00FD1EC6">
              <w:rPr>
                <w:rFonts w:cstheme="minorHAnsi"/>
                <w:color w:val="000000"/>
                <w:sz w:val="20"/>
                <w:szCs w:val="20"/>
              </w:rPr>
              <w:t>Sunitinib Sandoz®: Sandoz Pty Ltd</w:t>
            </w:r>
          </w:p>
          <w:p w14:paraId="6CEC576B" w14:textId="262B005D" w:rsidR="00894763" w:rsidRPr="006B592F" w:rsidRDefault="00894763" w:rsidP="00894763">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Suntent®: Pfizer Australia Pty Ltd</w:t>
            </w:r>
          </w:p>
        </w:tc>
      </w:tr>
      <w:tr w:rsidR="00894763" w14:paraId="0370E33C" w14:textId="77777777" w:rsidTr="00EC45F0">
        <w:tc>
          <w:tcPr>
            <w:tcW w:w="3539" w:type="dxa"/>
          </w:tcPr>
          <w:p w14:paraId="7BBE0315" w14:textId="5D7A36E1" w:rsidR="00894763" w:rsidRPr="00853D7C" w:rsidRDefault="00894763" w:rsidP="00EC45F0">
            <w:pPr>
              <w:autoSpaceDE w:val="0"/>
              <w:autoSpaceDN w:val="0"/>
              <w:adjustRightInd w:val="0"/>
              <w:spacing w:before="60" w:afterLines="60" w:after="144"/>
              <w:rPr>
                <w:rFonts w:cstheme="minorHAnsi"/>
                <w:color w:val="000000"/>
                <w:sz w:val="20"/>
                <w:szCs w:val="20"/>
              </w:rPr>
            </w:pPr>
            <w:r w:rsidRPr="00FD1EC6">
              <w:rPr>
                <w:rFonts w:cstheme="minorHAnsi"/>
                <w:color w:val="222222"/>
                <w:sz w:val="20"/>
                <w:szCs w:val="20"/>
                <w:shd w:val="clear" w:color="auto" w:fill="FFFFFF"/>
              </w:rPr>
              <w:t>ripretinib 50 mg tablet (</w:t>
            </w:r>
            <w:r w:rsidRPr="00FD1EC6">
              <w:rPr>
                <w:rFonts w:cstheme="minorHAnsi"/>
                <w:color w:val="000000"/>
                <w:sz w:val="20"/>
                <w:szCs w:val="20"/>
              </w:rPr>
              <w:t>12764T)</w:t>
            </w:r>
          </w:p>
        </w:tc>
        <w:tc>
          <w:tcPr>
            <w:tcW w:w="5408" w:type="dxa"/>
          </w:tcPr>
          <w:p w14:paraId="43894034" w14:textId="33895E0F" w:rsidR="00894763" w:rsidRPr="006B592F" w:rsidRDefault="00894763" w:rsidP="00EC45F0">
            <w:pPr>
              <w:autoSpaceDE w:val="0"/>
              <w:autoSpaceDN w:val="0"/>
              <w:adjustRightInd w:val="0"/>
              <w:spacing w:before="60" w:afterLines="60" w:after="144"/>
              <w:rPr>
                <w:rFonts w:cstheme="minorHAnsi"/>
                <w:color w:val="000000"/>
                <w:sz w:val="20"/>
                <w:szCs w:val="20"/>
              </w:rPr>
            </w:pPr>
            <w:r w:rsidRPr="00FD1EC6">
              <w:rPr>
                <w:rFonts w:cstheme="minorHAnsi"/>
                <w:color w:val="000000"/>
                <w:sz w:val="20"/>
                <w:szCs w:val="20"/>
              </w:rPr>
              <w:t>Qinlock®: Specialised Therapeutics Pm Pty Ltd</w:t>
            </w:r>
          </w:p>
        </w:tc>
      </w:tr>
    </w:tbl>
    <w:p w14:paraId="6394B970" w14:textId="77777777" w:rsidR="00894763" w:rsidRDefault="00894763" w:rsidP="00D42B19">
      <w:pPr>
        <w:rPr>
          <w:b/>
          <w:bCs/>
          <w:u w:val="single"/>
        </w:rPr>
      </w:pPr>
    </w:p>
    <w:p w14:paraId="78AB7688" w14:textId="77777777" w:rsidR="000A214E" w:rsidRDefault="000A214E" w:rsidP="00D42B19">
      <w:pPr>
        <w:rPr>
          <w:b/>
          <w:bCs/>
          <w:u w:val="single"/>
        </w:rPr>
      </w:pPr>
    </w:p>
    <w:p w14:paraId="739D58E6" w14:textId="77777777" w:rsidR="00D42B19" w:rsidRDefault="00D42B19" w:rsidP="00D42B19">
      <w:pPr>
        <w:pStyle w:val="Notes"/>
        <w:spacing w:after="0"/>
        <w:ind w:left="720"/>
      </w:pPr>
    </w:p>
    <w:p w14:paraId="30F7386A" w14:textId="43861B4B" w:rsidR="00336816" w:rsidRPr="0033504C" w:rsidRDefault="00336816" w:rsidP="00CB25B5">
      <w:pPr>
        <w:spacing w:line="276" w:lineRule="auto"/>
      </w:pPr>
    </w:p>
    <w:sectPr w:rsidR="00336816" w:rsidRPr="0033504C" w:rsidSect="00DD188C">
      <w:footerReference w:type="even" r:id="rId29"/>
      <w:footerReference w:type="default" r:id="rId30"/>
      <w:footerReference w:type="first" r:id="rId31"/>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6BA5" w14:textId="77777777" w:rsidR="00E04140" w:rsidRDefault="00E04140" w:rsidP="00A35800">
      <w:r>
        <w:separator/>
      </w:r>
    </w:p>
  </w:endnote>
  <w:endnote w:type="continuationSeparator" w:id="0">
    <w:p w14:paraId="232327BF" w14:textId="77777777" w:rsidR="00E04140" w:rsidRDefault="00E04140" w:rsidP="00A35800">
      <w:r>
        <w:continuationSeparator/>
      </w:r>
    </w:p>
  </w:endnote>
  <w:endnote w:type="continuationNotice" w:id="1">
    <w:p w14:paraId="420FE2DF" w14:textId="77777777" w:rsidR="00E04140" w:rsidRDefault="00E041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2D4F8962" w:rsidR="000E72C6" w:rsidRPr="000E72C6" w:rsidRDefault="00427CCD" w:rsidP="000E72C6">
            <w:pPr>
              <w:pStyle w:val="Footer"/>
              <w:jc w:val="center"/>
              <w:rPr>
                <w:i/>
                <w:sz w:val="20"/>
              </w:rPr>
            </w:pPr>
            <w:r>
              <w:rPr>
                <w:i/>
                <w:sz w:val="20"/>
              </w:rPr>
              <w:t xml:space="preserve">Public Release Document, April </w:t>
            </w:r>
            <w:r w:rsidR="00BD3501">
              <w:rPr>
                <w:i/>
                <w:sz w:val="20"/>
              </w:rPr>
              <w:t>2025 DUSC Meeting</w:t>
            </w:r>
          </w:p>
          <w:p w14:paraId="10292A9A" w14:textId="275D445E"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1855" w14:textId="77777777" w:rsidR="00E04140" w:rsidRDefault="00E04140" w:rsidP="00A35800">
      <w:r>
        <w:separator/>
      </w:r>
    </w:p>
  </w:footnote>
  <w:footnote w:type="continuationSeparator" w:id="0">
    <w:p w14:paraId="362A2160" w14:textId="77777777" w:rsidR="00E04140" w:rsidRDefault="00E04140" w:rsidP="00A35800">
      <w:r>
        <w:continuationSeparator/>
      </w:r>
    </w:p>
  </w:footnote>
  <w:footnote w:type="continuationNotice" w:id="1">
    <w:p w14:paraId="3E0A22CD" w14:textId="77777777" w:rsidR="00E04140" w:rsidRDefault="00E04140">
      <w:pPr>
        <w:spacing w:after="0"/>
      </w:pPr>
    </w:p>
  </w:footnote>
  <w:footnote w:id="2">
    <w:p w14:paraId="54EAB021" w14:textId="6834143A" w:rsidR="005F0791" w:rsidRDefault="005F0791">
      <w:pPr>
        <w:pStyle w:val="FootnoteText"/>
      </w:pPr>
      <w:r>
        <w:rPr>
          <w:rStyle w:val="FootnoteReference"/>
        </w:rPr>
        <w:footnoteRef/>
      </w:r>
      <w:r>
        <w:t xml:space="preserve"> </w:t>
      </w:r>
      <w:r w:rsidR="00515C85" w:rsidRPr="00515C85">
        <w:t>GI Cancer Institute Australia</w:t>
      </w:r>
      <w:r w:rsidR="00515C85">
        <w:t xml:space="preserve">. Gastro-intestinal Stromal Tumour (GIST). Accessed from: </w:t>
      </w:r>
      <w:r w:rsidR="00515C85" w:rsidRPr="00515C85">
        <w:t> </w:t>
      </w:r>
      <w:hyperlink r:id="rId1" w:anchor="cancer-explanation" w:history="1">
        <w:r w:rsidR="00515C85" w:rsidRPr="00515C85">
          <w:rPr>
            <w:rStyle w:val="Hyperlink"/>
          </w:rPr>
          <w:t>https://gicancer.org.au/cancer/gastro-intestinal-stromal-tumour-gist/#cancer-explanation</w:t>
        </w:r>
      </w:hyperlink>
    </w:p>
  </w:footnote>
  <w:footnote w:id="3">
    <w:p w14:paraId="64BAC2C8" w14:textId="793CF01D" w:rsidR="00F7279D" w:rsidRDefault="00F7279D" w:rsidP="00F7279D">
      <w:pPr>
        <w:pStyle w:val="FootnoteText"/>
      </w:pPr>
      <w:r>
        <w:rPr>
          <w:rStyle w:val="FootnoteReference"/>
        </w:rPr>
        <w:footnoteRef/>
      </w:r>
      <w:r>
        <w:t xml:space="preserve"> </w:t>
      </w:r>
      <w:r w:rsidR="00B432CF">
        <w:rPr>
          <w:szCs w:val="18"/>
        </w:rPr>
        <w:t>Glivec (imatinib). Australian Product Information. Macquarie Park: Novartis Pharmaceuticals Australia Pty Ltd. Approved 13 August 2001, updated</w:t>
      </w:r>
      <w:r w:rsidR="00E62757">
        <w:rPr>
          <w:szCs w:val="18"/>
        </w:rPr>
        <w:t xml:space="preserve"> </w:t>
      </w:r>
      <w:r w:rsidR="00B432CF">
        <w:rPr>
          <w:szCs w:val="18"/>
        </w:rPr>
        <w:t>27 July 2022. Available from &lt;</w:t>
      </w:r>
      <w:r w:rsidR="00B432CF" w:rsidRPr="00CD4486">
        <w:t xml:space="preserve"> </w:t>
      </w:r>
      <w:r w:rsidR="00B432CF" w:rsidRPr="00CD4486">
        <w:rPr>
          <w:szCs w:val="18"/>
        </w:rPr>
        <w:t>https://www.tga.gov.au/product-information-</w:t>
      </w:r>
      <w:r w:rsidR="00B432CF">
        <w:rPr>
          <w:szCs w:val="18"/>
        </w:rPr>
        <w:t>pi.&gt;</w:t>
      </w:r>
    </w:p>
  </w:footnote>
  <w:footnote w:id="4">
    <w:p w14:paraId="478EE2FF" w14:textId="32FCE1E9" w:rsidR="005B37EE" w:rsidRDefault="005B37EE">
      <w:pPr>
        <w:pStyle w:val="FootnoteText"/>
      </w:pPr>
      <w:r>
        <w:rPr>
          <w:rStyle w:val="FootnoteReference"/>
        </w:rPr>
        <w:footnoteRef/>
      </w:r>
      <w:r>
        <w:t xml:space="preserve"> </w:t>
      </w:r>
      <w:r w:rsidR="00B432CF">
        <w:rPr>
          <w:szCs w:val="18"/>
        </w:rPr>
        <w:t>Sutent</w:t>
      </w:r>
      <w:r>
        <w:rPr>
          <w:szCs w:val="18"/>
        </w:rPr>
        <w:t xml:space="preserve"> (</w:t>
      </w:r>
      <w:r w:rsidR="00B432CF">
        <w:rPr>
          <w:szCs w:val="18"/>
        </w:rPr>
        <w:t>sunitnib</w:t>
      </w:r>
      <w:r>
        <w:rPr>
          <w:szCs w:val="18"/>
        </w:rPr>
        <w:t>). Australian Product Information.</w:t>
      </w:r>
      <w:r w:rsidR="00145E27" w:rsidRPr="00145E27">
        <w:rPr>
          <w:szCs w:val="18"/>
        </w:rPr>
        <w:t xml:space="preserve"> </w:t>
      </w:r>
      <w:r w:rsidR="00B432CF">
        <w:rPr>
          <w:szCs w:val="18"/>
        </w:rPr>
        <w:t>Sydney: Pfizer Australia Pty Ltd</w:t>
      </w:r>
      <w:r>
        <w:rPr>
          <w:szCs w:val="18"/>
        </w:rPr>
        <w:t>. Approved</w:t>
      </w:r>
      <w:r w:rsidR="00B432CF">
        <w:rPr>
          <w:szCs w:val="18"/>
        </w:rPr>
        <w:t>14 September 2006</w:t>
      </w:r>
      <w:r>
        <w:rPr>
          <w:szCs w:val="18"/>
        </w:rPr>
        <w:t xml:space="preserve">, updated </w:t>
      </w:r>
      <w:r w:rsidR="00B432CF">
        <w:rPr>
          <w:szCs w:val="18"/>
        </w:rPr>
        <w:t>31 October 2019</w:t>
      </w:r>
      <w:r>
        <w:rPr>
          <w:szCs w:val="18"/>
        </w:rPr>
        <w:t>. Available from &lt;</w:t>
      </w:r>
      <w:r w:rsidRPr="00CD4486">
        <w:t xml:space="preserve"> </w:t>
      </w:r>
      <w:r w:rsidRPr="00CD4486">
        <w:rPr>
          <w:szCs w:val="18"/>
        </w:rPr>
        <w:t>https://www.tga.gov.au/product-information-</w:t>
      </w:r>
      <w:r>
        <w:rPr>
          <w:szCs w:val="18"/>
        </w:rPr>
        <w:t>pi.&gt;</w:t>
      </w:r>
    </w:p>
  </w:footnote>
  <w:footnote w:id="5">
    <w:p w14:paraId="17CA6AA2" w14:textId="2FBF4D76" w:rsidR="00E37F0A" w:rsidRDefault="00E37F0A">
      <w:pPr>
        <w:pStyle w:val="FootnoteText"/>
      </w:pPr>
      <w:r>
        <w:rPr>
          <w:rStyle w:val="FootnoteReference"/>
        </w:rPr>
        <w:footnoteRef/>
      </w:r>
      <w:r>
        <w:t xml:space="preserve"> </w:t>
      </w:r>
      <w:r w:rsidR="00B432CF">
        <w:rPr>
          <w:szCs w:val="18"/>
        </w:rPr>
        <w:t>Qinlock (ripretinib). Australian Product Information. Kew: Specialised Therapeutics PM Pty Ltd. Approved 13 July 2020, updated 1 July 2024. Available from &lt;</w:t>
      </w:r>
      <w:r w:rsidR="00B432CF" w:rsidRPr="00CD4486">
        <w:t xml:space="preserve"> </w:t>
      </w:r>
      <w:r w:rsidR="00B432CF" w:rsidRPr="00CD4486">
        <w:rPr>
          <w:szCs w:val="18"/>
        </w:rPr>
        <w:t>https://www.tga.gov.au/product-information-</w:t>
      </w:r>
      <w:r w:rsidR="00B432CF">
        <w:rPr>
          <w:szCs w:val="18"/>
        </w:rPr>
        <w:t>pi.&gt;</w:t>
      </w:r>
    </w:p>
  </w:footnote>
  <w:footnote w:id="6">
    <w:p w14:paraId="06BAF7E1" w14:textId="0A777ECB" w:rsidR="008D4423" w:rsidRDefault="008D4423">
      <w:pPr>
        <w:pStyle w:val="FootnoteText"/>
      </w:pPr>
      <w:r>
        <w:rPr>
          <w:rStyle w:val="FootnoteReference"/>
        </w:rPr>
        <w:footnoteRef/>
      </w:r>
      <w:r>
        <w:t xml:space="preserve"> </w:t>
      </w:r>
      <w:r w:rsidRPr="003A10C5">
        <w:t>Department of Health and Aged Care. PBS News: 1 September 2022 updates as part of the Digital Transformation of Authority Required (Written) listings. Accessed from: https://www.pbs.gov.au/info/news/2022/08/1-september-2022-updates-as-part-of-the-digitaltransformation</w:t>
      </w:r>
    </w:p>
  </w:footnote>
  <w:footnote w:id="7">
    <w:p w14:paraId="0A4DD767" w14:textId="6B3A91EE" w:rsidR="00576B18" w:rsidRPr="00BC5AE2" w:rsidRDefault="00576B18" w:rsidP="00576B18">
      <w:pPr>
        <w:pStyle w:val="FootnoteText"/>
        <w:rPr>
          <w:sz w:val="20"/>
        </w:rPr>
      </w:pPr>
      <w:r w:rsidRPr="00BC5AE2">
        <w:rPr>
          <w:rStyle w:val="FootnoteReference"/>
          <w:sz w:val="20"/>
        </w:rPr>
        <w:footnoteRef/>
      </w:r>
      <w:r w:rsidRPr="00BC5AE2">
        <w:rPr>
          <w:sz w:val="20"/>
        </w:rPr>
        <w:t xml:space="preserve"> PBS statistics</w:t>
      </w:r>
      <w:r>
        <w:rPr>
          <w:sz w:val="20"/>
        </w:rPr>
        <w:t xml:space="preserve">. Australian Government </w:t>
      </w:r>
      <w:r w:rsidR="006804E0" w:rsidRPr="006804E0">
        <w:rPr>
          <w:sz w:val="20"/>
        </w:rPr>
        <w:t>Services Australia</w:t>
      </w:r>
      <w:r>
        <w:rPr>
          <w:sz w:val="20"/>
        </w:rPr>
        <w:t>. Canberra. Available from &lt;</w:t>
      </w:r>
      <w:hyperlink r:id="rId2" w:history="1">
        <w:r>
          <w:rPr>
            <w:rStyle w:val="Hyperlink"/>
            <w:sz w:val="20"/>
          </w:rPr>
          <w:t>http://www.medicareaustralia.gov.au/provider/pbs/stats.jsp</w:t>
        </w:r>
      </w:hyperlink>
      <w:r>
        <w:rPr>
          <w:sz w:val="20"/>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166"/>
    <w:multiLevelType w:val="hybridMultilevel"/>
    <w:tmpl w:val="04267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F39F8"/>
    <w:multiLevelType w:val="hybridMultilevel"/>
    <w:tmpl w:val="44E47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87087"/>
    <w:multiLevelType w:val="multilevel"/>
    <w:tmpl w:val="9B1A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75CFC"/>
    <w:multiLevelType w:val="multilevel"/>
    <w:tmpl w:val="D108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E360B"/>
    <w:multiLevelType w:val="hybridMultilevel"/>
    <w:tmpl w:val="D3446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903372"/>
    <w:multiLevelType w:val="multilevel"/>
    <w:tmpl w:val="D75C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D76C1"/>
    <w:multiLevelType w:val="hybridMultilevel"/>
    <w:tmpl w:val="2174C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D52258"/>
    <w:multiLevelType w:val="hybridMultilevel"/>
    <w:tmpl w:val="89B8D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E36D7A"/>
    <w:multiLevelType w:val="multilevel"/>
    <w:tmpl w:val="49E0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1340D"/>
    <w:multiLevelType w:val="multilevel"/>
    <w:tmpl w:val="2CE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E7EED"/>
    <w:multiLevelType w:val="multilevel"/>
    <w:tmpl w:val="252E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A7A41"/>
    <w:multiLevelType w:val="hybridMultilevel"/>
    <w:tmpl w:val="AFB2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4427C6"/>
    <w:multiLevelType w:val="hybridMultilevel"/>
    <w:tmpl w:val="2490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6355CB"/>
    <w:multiLevelType w:val="multilevel"/>
    <w:tmpl w:val="0BBA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357D3"/>
    <w:multiLevelType w:val="multilevel"/>
    <w:tmpl w:val="2076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45335"/>
    <w:multiLevelType w:val="hybridMultilevel"/>
    <w:tmpl w:val="CD444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FA1AF7"/>
    <w:multiLevelType w:val="multilevel"/>
    <w:tmpl w:val="37C4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145A3"/>
    <w:multiLevelType w:val="hybridMultilevel"/>
    <w:tmpl w:val="8B8C1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3307B"/>
    <w:multiLevelType w:val="multilevel"/>
    <w:tmpl w:val="1AE4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2436F"/>
    <w:multiLevelType w:val="hybridMultilevel"/>
    <w:tmpl w:val="52AAB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F23C11"/>
    <w:multiLevelType w:val="hybridMultilevel"/>
    <w:tmpl w:val="7C6A909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2" w15:restartNumberingAfterBreak="0">
    <w:nsid w:val="40C62EE7"/>
    <w:multiLevelType w:val="multilevel"/>
    <w:tmpl w:val="40E6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D76CE"/>
    <w:multiLevelType w:val="hybridMultilevel"/>
    <w:tmpl w:val="14CC148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474D1279"/>
    <w:multiLevelType w:val="multilevel"/>
    <w:tmpl w:val="A84E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F3FCE"/>
    <w:multiLevelType w:val="hybridMultilevel"/>
    <w:tmpl w:val="9EC216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7F6652"/>
    <w:multiLevelType w:val="multilevel"/>
    <w:tmpl w:val="283E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16120"/>
    <w:multiLevelType w:val="multilevel"/>
    <w:tmpl w:val="A5B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7365C"/>
    <w:multiLevelType w:val="multilevel"/>
    <w:tmpl w:val="4F60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31E3A"/>
    <w:multiLevelType w:val="hybridMultilevel"/>
    <w:tmpl w:val="8D5C8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4D66E8"/>
    <w:multiLevelType w:val="multilevel"/>
    <w:tmpl w:val="186A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136EAF"/>
    <w:multiLevelType w:val="hybridMultilevel"/>
    <w:tmpl w:val="E9A8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8A1C50"/>
    <w:multiLevelType w:val="hybridMultilevel"/>
    <w:tmpl w:val="AAB2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7116C9"/>
    <w:multiLevelType w:val="multilevel"/>
    <w:tmpl w:val="824A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C5FFD"/>
    <w:multiLevelType w:val="multilevel"/>
    <w:tmpl w:val="0CAA3C6C"/>
    <w:lvl w:ilvl="0">
      <w:start w:val="1"/>
      <w:numFmt w:val="decimal"/>
      <w:lvlText w:val="%1"/>
      <w:lvlJc w:val="left"/>
      <w:pPr>
        <w:ind w:left="1287"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2EA011A"/>
    <w:multiLevelType w:val="multilevel"/>
    <w:tmpl w:val="F528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757D2"/>
    <w:multiLevelType w:val="hybridMultilevel"/>
    <w:tmpl w:val="9716C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D3141E"/>
    <w:multiLevelType w:val="hybridMultilevel"/>
    <w:tmpl w:val="DBA26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9E4641"/>
    <w:multiLevelType w:val="hybridMultilevel"/>
    <w:tmpl w:val="F6942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192991"/>
    <w:multiLevelType w:val="hybridMultilevel"/>
    <w:tmpl w:val="C6727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C96C8B"/>
    <w:multiLevelType w:val="hybridMultilevel"/>
    <w:tmpl w:val="CEEE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173667"/>
    <w:multiLevelType w:val="hybridMultilevel"/>
    <w:tmpl w:val="B96AC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5435257"/>
    <w:multiLevelType w:val="hybridMultilevel"/>
    <w:tmpl w:val="C33EBC6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5" w15:restartNumberingAfterBreak="0">
    <w:nsid w:val="7B8317A1"/>
    <w:multiLevelType w:val="multilevel"/>
    <w:tmpl w:val="4CE6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90BBE"/>
    <w:multiLevelType w:val="hybridMultilevel"/>
    <w:tmpl w:val="A47832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EEA3458"/>
    <w:multiLevelType w:val="hybridMultilevel"/>
    <w:tmpl w:val="AD16B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0544337">
    <w:abstractNumId w:val="43"/>
  </w:num>
  <w:num w:numId="2" w16cid:durableId="1310943459">
    <w:abstractNumId w:val="35"/>
  </w:num>
  <w:num w:numId="3" w16cid:durableId="1239709270">
    <w:abstractNumId w:val="13"/>
  </w:num>
  <w:num w:numId="4" w16cid:durableId="2013296545">
    <w:abstractNumId w:val="12"/>
  </w:num>
  <w:num w:numId="5" w16cid:durableId="2098090547">
    <w:abstractNumId w:val="16"/>
  </w:num>
  <w:num w:numId="6" w16cid:durableId="772090998">
    <w:abstractNumId w:val="40"/>
  </w:num>
  <w:num w:numId="7" w16cid:durableId="101150996">
    <w:abstractNumId w:val="38"/>
  </w:num>
  <w:num w:numId="8" w16cid:durableId="1907761390">
    <w:abstractNumId w:val="17"/>
  </w:num>
  <w:num w:numId="9" w16cid:durableId="500048718">
    <w:abstractNumId w:val="2"/>
  </w:num>
  <w:num w:numId="10" w16cid:durableId="418134887">
    <w:abstractNumId w:val="8"/>
  </w:num>
  <w:num w:numId="11" w16cid:durableId="282002229">
    <w:abstractNumId w:val="14"/>
  </w:num>
  <w:num w:numId="12" w16cid:durableId="1671179113">
    <w:abstractNumId w:val="15"/>
  </w:num>
  <w:num w:numId="13" w16cid:durableId="1141459066">
    <w:abstractNumId w:val="45"/>
  </w:num>
  <w:num w:numId="14" w16cid:durableId="17585311">
    <w:abstractNumId w:val="24"/>
  </w:num>
  <w:num w:numId="15" w16cid:durableId="17316663">
    <w:abstractNumId w:val="3"/>
  </w:num>
  <w:num w:numId="16" w16cid:durableId="39599746">
    <w:abstractNumId w:val="33"/>
  </w:num>
  <w:num w:numId="17" w16cid:durableId="786847423">
    <w:abstractNumId w:val="11"/>
  </w:num>
  <w:num w:numId="18" w16cid:durableId="1854296671">
    <w:abstractNumId w:val="9"/>
  </w:num>
  <w:num w:numId="19" w16cid:durableId="928083564">
    <w:abstractNumId w:val="30"/>
  </w:num>
  <w:num w:numId="20" w16cid:durableId="1701317997">
    <w:abstractNumId w:val="36"/>
  </w:num>
  <w:num w:numId="21" w16cid:durableId="1597395511">
    <w:abstractNumId w:val="28"/>
  </w:num>
  <w:num w:numId="22" w16cid:durableId="155609509">
    <w:abstractNumId w:val="26"/>
  </w:num>
  <w:num w:numId="23" w16cid:durableId="1255281132">
    <w:abstractNumId w:val="10"/>
  </w:num>
  <w:num w:numId="24" w16cid:durableId="2904997">
    <w:abstractNumId w:val="22"/>
  </w:num>
  <w:num w:numId="25" w16cid:durableId="46227450">
    <w:abstractNumId w:val="19"/>
  </w:num>
  <w:num w:numId="26" w16cid:durableId="1358778766">
    <w:abstractNumId w:val="27"/>
  </w:num>
  <w:num w:numId="27" w16cid:durableId="769736106">
    <w:abstractNumId w:val="25"/>
  </w:num>
  <w:num w:numId="28" w16cid:durableId="481313993">
    <w:abstractNumId w:val="46"/>
  </w:num>
  <w:num w:numId="29" w16cid:durableId="802625125">
    <w:abstractNumId w:val="7"/>
  </w:num>
  <w:num w:numId="30" w16cid:durableId="907226074">
    <w:abstractNumId w:val="0"/>
  </w:num>
  <w:num w:numId="31" w16cid:durableId="2042778849">
    <w:abstractNumId w:val="37"/>
  </w:num>
  <w:num w:numId="32" w16cid:durableId="507867427">
    <w:abstractNumId w:val="47"/>
  </w:num>
  <w:num w:numId="33" w16cid:durableId="244415854">
    <w:abstractNumId w:val="21"/>
  </w:num>
  <w:num w:numId="34" w16cid:durableId="276178337">
    <w:abstractNumId w:val="23"/>
  </w:num>
  <w:num w:numId="35" w16cid:durableId="129173233">
    <w:abstractNumId w:val="44"/>
  </w:num>
  <w:num w:numId="36" w16cid:durableId="1612202372">
    <w:abstractNumId w:val="18"/>
  </w:num>
  <w:num w:numId="37" w16cid:durableId="94862796">
    <w:abstractNumId w:val="32"/>
  </w:num>
  <w:num w:numId="38" w16cid:durableId="164518470">
    <w:abstractNumId w:val="1"/>
  </w:num>
  <w:num w:numId="39" w16cid:durableId="273051872">
    <w:abstractNumId w:val="4"/>
  </w:num>
  <w:num w:numId="40" w16cid:durableId="1723291871">
    <w:abstractNumId w:val="6"/>
  </w:num>
  <w:num w:numId="41" w16cid:durableId="1145584772">
    <w:abstractNumId w:val="31"/>
  </w:num>
  <w:num w:numId="42" w16cid:durableId="444151930">
    <w:abstractNumId w:val="41"/>
  </w:num>
  <w:num w:numId="43" w16cid:durableId="638144139">
    <w:abstractNumId w:val="39"/>
  </w:num>
  <w:num w:numId="44" w16cid:durableId="805585419">
    <w:abstractNumId w:val="29"/>
  </w:num>
  <w:num w:numId="45" w16cid:durableId="804466710">
    <w:abstractNumId w:val="42"/>
  </w:num>
  <w:num w:numId="46" w16cid:durableId="476457864">
    <w:abstractNumId w:val="20"/>
  </w:num>
  <w:num w:numId="47" w16cid:durableId="1357544076">
    <w:abstractNumId w:val="34"/>
  </w:num>
  <w:num w:numId="48" w16cid:durableId="1033729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50F2"/>
    <w:rsid w:val="000065ED"/>
    <w:rsid w:val="00006F89"/>
    <w:rsid w:val="00007BBB"/>
    <w:rsid w:val="00007E85"/>
    <w:rsid w:val="00011317"/>
    <w:rsid w:val="00013465"/>
    <w:rsid w:val="000158CB"/>
    <w:rsid w:val="00016FB2"/>
    <w:rsid w:val="0002024F"/>
    <w:rsid w:val="00020759"/>
    <w:rsid w:val="000215F4"/>
    <w:rsid w:val="000226B3"/>
    <w:rsid w:val="00023A25"/>
    <w:rsid w:val="00024549"/>
    <w:rsid w:val="00026D36"/>
    <w:rsid w:val="00026F3C"/>
    <w:rsid w:val="00035B8F"/>
    <w:rsid w:val="00035BEA"/>
    <w:rsid w:val="000413C9"/>
    <w:rsid w:val="00041E0C"/>
    <w:rsid w:val="0004214B"/>
    <w:rsid w:val="00042202"/>
    <w:rsid w:val="00046E0B"/>
    <w:rsid w:val="00050AEF"/>
    <w:rsid w:val="000510A4"/>
    <w:rsid w:val="000544B6"/>
    <w:rsid w:val="00056A33"/>
    <w:rsid w:val="00057430"/>
    <w:rsid w:val="000604AF"/>
    <w:rsid w:val="000716EA"/>
    <w:rsid w:val="000745B4"/>
    <w:rsid w:val="000764E5"/>
    <w:rsid w:val="000779AF"/>
    <w:rsid w:val="00081054"/>
    <w:rsid w:val="0008127E"/>
    <w:rsid w:val="000829C2"/>
    <w:rsid w:val="00086727"/>
    <w:rsid w:val="00086C11"/>
    <w:rsid w:val="00094563"/>
    <w:rsid w:val="00094DCF"/>
    <w:rsid w:val="00095F35"/>
    <w:rsid w:val="0009772E"/>
    <w:rsid w:val="000A11E4"/>
    <w:rsid w:val="000A214E"/>
    <w:rsid w:val="000A2841"/>
    <w:rsid w:val="000A4E26"/>
    <w:rsid w:val="000A5164"/>
    <w:rsid w:val="000A54EA"/>
    <w:rsid w:val="000A651C"/>
    <w:rsid w:val="000A6CFD"/>
    <w:rsid w:val="000B0982"/>
    <w:rsid w:val="000B3477"/>
    <w:rsid w:val="000B5E7B"/>
    <w:rsid w:val="000B796C"/>
    <w:rsid w:val="000B7BB0"/>
    <w:rsid w:val="000C46BB"/>
    <w:rsid w:val="000C4D9D"/>
    <w:rsid w:val="000C7C4B"/>
    <w:rsid w:val="000C7D8B"/>
    <w:rsid w:val="000C7E52"/>
    <w:rsid w:val="000D0BAD"/>
    <w:rsid w:val="000D2280"/>
    <w:rsid w:val="000E0416"/>
    <w:rsid w:val="000E2BDF"/>
    <w:rsid w:val="000E485D"/>
    <w:rsid w:val="000E4C27"/>
    <w:rsid w:val="000E557B"/>
    <w:rsid w:val="000E70B4"/>
    <w:rsid w:val="000E72C6"/>
    <w:rsid w:val="000F088F"/>
    <w:rsid w:val="000F1893"/>
    <w:rsid w:val="000F210D"/>
    <w:rsid w:val="000F2F51"/>
    <w:rsid w:val="000F5182"/>
    <w:rsid w:val="001041F2"/>
    <w:rsid w:val="0011120C"/>
    <w:rsid w:val="00111C8B"/>
    <w:rsid w:val="00113CF8"/>
    <w:rsid w:val="00113D74"/>
    <w:rsid w:val="00114F97"/>
    <w:rsid w:val="00117C5C"/>
    <w:rsid w:val="00121EBA"/>
    <w:rsid w:val="00124978"/>
    <w:rsid w:val="00124E4A"/>
    <w:rsid w:val="00127D20"/>
    <w:rsid w:val="0013107F"/>
    <w:rsid w:val="001310AE"/>
    <w:rsid w:val="001420B3"/>
    <w:rsid w:val="001423A5"/>
    <w:rsid w:val="00145E27"/>
    <w:rsid w:val="001460C4"/>
    <w:rsid w:val="00151FE5"/>
    <w:rsid w:val="0015405A"/>
    <w:rsid w:val="00154288"/>
    <w:rsid w:val="00154315"/>
    <w:rsid w:val="0015691C"/>
    <w:rsid w:val="00161BE9"/>
    <w:rsid w:val="001621F7"/>
    <w:rsid w:val="001624D7"/>
    <w:rsid w:val="00164CA6"/>
    <w:rsid w:val="00171121"/>
    <w:rsid w:val="00173F95"/>
    <w:rsid w:val="00174950"/>
    <w:rsid w:val="00175F02"/>
    <w:rsid w:val="00177B86"/>
    <w:rsid w:val="00182585"/>
    <w:rsid w:val="001877E7"/>
    <w:rsid w:val="00190BC2"/>
    <w:rsid w:val="00191182"/>
    <w:rsid w:val="00191D68"/>
    <w:rsid w:val="001951AC"/>
    <w:rsid w:val="0019664D"/>
    <w:rsid w:val="001A14FE"/>
    <w:rsid w:val="001A2421"/>
    <w:rsid w:val="001A26CC"/>
    <w:rsid w:val="001A3A34"/>
    <w:rsid w:val="001A6103"/>
    <w:rsid w:val="001A72F1"/>
    <w:rsid w:val="001B223C"/>
    <w:rsid w:val="001B50BC"/>
    <w:rsid w:val="001B5D37"/>
    <w:rsid w:val="001B5ED4"/>
    <w:rsid w:val="001B6B9D"/>
    <w:rsid w:val="001C0508"/>
    <w:rsid w:val="001C0FB5"/>
    <w:rsid w:val="001C1A91"/>
    <w:rsid w:val="001C2940"/>
    <w:rsid w:val="001C3BAD"/>
    <w:rsid w:val="001C4016"/>
    <w:rsid w:val="001C548D"/>
    <w:rsid w:val="001C6525"/>
    <w:rsid w:val="001C6A5D"/>
    <w:rsid w:val="001C7F33"/>
    <w:rsid w:val="001E31A6"/>
    <w:rsid w:val="001E42C7"/>
    <w:rsid w:val="001E4CAB"/>
    <w:rsid w:val="001F0A4E"/>
    <w:rsid w:val="001F0CC8"/>
    <w:rsid w:val="001F155D"/>
    <w:rsid w:val="001F2F3E"/>
    <w:rsid w:val="001F324A"/>
    <w:rsid w:val="001F4906"/>
    <w:rsid w:val="001F4E39"/>
    <w:rsid w:val="001F54D8"/>
    <w:rsid w:val="001F7C4A"/>
    <w:rsid w:val="002030DD"/>
    <w:rsid w:val="00203229"/>
    <w:rsid w:val="00203CDF"/>
    <w:rsid w:val="0020460B"/>
    <w:rsid w:val="0020578A"/>
    <w:rsid w:val="00205D89"/>
    <w:rsid w:val="00207631"/>
    <w:rsid w:val="0021051D"/>
    <w:rsid w:val="0021107B"/>
    <w:rsid w:val="002118E3"/>
    <w:rsid w:val="00214013"/>
    <w:rsid w:val="00214C1A"/>
    <w:rsid w:val="00215AE6"/>
    <w:rsid w:val="00216DA5"/>
    <w:rsid w:val="002178DA"/>
    <w:rsid w:val="00220C2C"/>
    <w:rsid w:val="00220FC1"/>
    <w:rsid w:val="00222B7E"/>
    <w:rsid w:val="00222E9A"/>
    <w:rsid w:val="00224915"/>
    <w:rsid w:val="00224D56"/>
    <w:rsid w:val="00230A10"/>
    <w:rsid w:val="00230C0A"/>
    <w:rsid w:val="0023179D"/>
    <w:rsid w:val="002329CF"/>
    <w:rsid w:val="0023476B"/>
    <w:rsid w:val="00246786"/>
    <w:rsid w:val="00252C25"/>
    <w:rsid w:val="0025389D"/>
    <w:rsid w:val="0025459B"/>
    <w:rsid w:val="00254E02"/>
    <w:rsid w:val="00261412"/>
    <w:rsid w:val="002619AA"/>
    <w:rsid w:val="002623CF"/>
    <w:rsid w:val="0026265F"/>
    <w:rsid w:val="0026346E"/>
    <w:rsid w:val="00266E7E"/>
    <w:rsid w:val="002730B1"/>
    <w:rsid w:val="00275D0D"/>
    <w:rsid w:val="00276166"/>
    <w:rsid w:val="00280452"/>
    <w:rsid w:val="00286C3A"/>
    <w:rsid w:val="002922CA"/>
    <w:rsid w:val="0029235A"/>
    <w:rsid w:val="002930F5"/>
    <w:rsid w:val="00293AAC"/>
    <w:rsid w:val="00294B3C"/>
    <w:rsid w:val="002A06B7"/>
    <w:rsid w:val="002A491B"/>
    <w:rsid w:val="002A5007"/>
    <w:rsid w:val="002A6A21"/>
    <w:rsid w:val="002A71BB"/>
    <w:rsid w:val="002B01D8"/>
    <w:rsid w:val="002B0A32"/>
    <w:rsid w:val="002B2982"/>
    <w:rsid w:val="002C1D7F"/>
    <w:rsid w:val="002C4FB2"/>
    <w:rsid w:val="002C6E0C"/>
    <w:rsid w:val="002D144A"/>
    <w:rsid w:val="002D78FC"/>
    <w:rsid w:val="002E19A3"/>
    <w:rsid w:val="002E212B"/>
    <w:rsid w:val="002E3337"/>
    <w:rsid w:val="002E352F"/>
    <w:rsid w:val="002E6D03"/>
    <w:rsid w:val="002F3974"/>
    <w:rsid w:val="002F49A8"/>
    <w:rsid w:val="002F55C0"/>
    <w:rsid w:val="002F5E66"/>
    <w:rsid w:val="002F61CA"/>
    <w:rsid w:val="002F72D0"/>
    <w:rsid w:val="0030010D"/>
    <w:rsid w:val="00300824"/>
    <w:rsid w:val="003040B0"/>
    <w:rsid w:val="00305A1F"/>
    <w:rsid w:val="00305B60"/>
    <w:rsid w:val="00306FD2"/>
    <w:rsid w:val="003246CD"/>
    <w:rsid w:val="00324C2E"/>
    <w:rsid w:val="00325091"/>
    <w:rsid w:val="003259B0"/>
    <w:rsid w:val="00326904"/>
    <w:rsid w:val="00326DC7"/>
    <w:rsid w:val="00330EAE"/>
    <w:rsid w:val="003314D0"/>
    <w:rsid w:val="00331C2C"/>
    <w:rsid w:val="00334F4E"/>
    <w:rsid w:val="0033504C"/>
    <w:rsid w:val="00336816"/>
    <w:rsid w:val="003370D0"/>
    <w:rsid w:val="00337355"/>
    <w:rsid w:val="003402E4"/>
    <w:rsid w:val="003406AB"/>
    <w:rsid w:val="00340F95"/>
    <w:rsid w:val="003421E1"/>
    <w:rsid w:val="00343724"/>
    <w:rsid w:val="003509CE"/>
    <w:rsid w:val="00352262"/>
    <w:rsid w:val="003531ED"/>
    <w:rsid w:val="00360B9A"/>
    <w:rsid w:val="00365E02"/>
    <w:rsid w:val="0037321B"/>
    <w:rsid w:val="003740B3"/>
    <w:rsid w:val="0037576C"/>
    <w:rsid w:val="00376136"/>
    <w:rsid w:val="00376C7D"/>
    <w:rsid w:val="00384634"/>
    <w:rsid w:val="00387725"/>
    <w:rsid w:val="0039017F"/>
    <w:rsid w:val="00390578"/>
    <w:rsid w:val="00394AEE"/>
    <w:rsid w:val="00395A8D"/>
    <w:rsid w:val="00397221"/>
    <w:rsid w:val="003A08DF"/>
    <w:rsid w:val="003A10C5"/>
    <w:rsid w:val="003A2B95"/>
    <w:rsid w:val="003A4AB8"/>
    <w:rsid w:val="003A556B"/>
    <w:rsid w:val="003A5F6C"/>
    <w:rsid w:val="003B305B"/>
    <w:rsid w:val="003B46B7"/>
    <w:rsid w:val="003B7E13"/>
    <w:rsid w:val="003C1ED7"/>
    <w:rsid w:val="003C2D98"/>
    <w:rsid w:val="003C598B"/>
    <w:rsid w:val="003C6E36"/>
    <w:rsid w:val="003D0FB6"/>
    <w:rsid w:val="003D3689"/>
    <w:rsid w:val="003D3A96"/>
    <w:rsid w:val="003D3B9C"/>
    <w:rsid w:val="003D4356"/>
    <w:rsid w:val="003D53BC"/>
    <w:rsid w:val="003D7BB3"/>
    <w:rsid w:val="003E2586"/>
    <w:rsid w:val="003F2FF4"/>
    <w:rsid w:val="003F58B2"/>
    <w:rsid w:val="004042CF"/>
    <w:rsid w:val="00404F03"/>
    <w:rsid w:val="004053DD"/>
    <w:rsid w:val="00407B78"/>
    <w:rsid w:val="00412051"/>
    <w:rsid w:val="00412533"/>
    <w:rsid w:val="004134FE"/>
    <w:rsid w:val="004206D3"/>
    <w:rsid w:val="00422BB2"/>
    <w:rsid w:val="00423B94"/>
    <w:rsid w:val="00427CCD"/>
    <w:rsid w:val="004304A1"/>
    <w:rsid w:val="00431F66"/>
    <w:rsid w:val="00434483"/>
    <w:rsid w:val="00434884"/>
    <w:rsid w:val="00434D3D"/>
    <w:rsid w:val="00442650"/>
    <w:rsid w:val="00442A2F"/>
    <w:rsid w:val="00443AED"/>
    <w:rsid w:val="0044529A"/>
    <w:rsid w:val="004512E3"/>
    <w:rsid w:val="00451C57"/>
    <w:rsid w:val="00456705"/>
    <w:rsid w:val="00457A58"/>
    <w:rsid w:val="004625D9"/>
    <w:rsid w:val="00463731"/>
    <w:rsid w:val="0046400A"/>
    <w:rsid w:val="00467352"/>
    <w:rsid w:val="00467B25"/>
    <w:rsid w:val="0047228F"/>
    <w:rsid w:val="00472C5F"/>
    <w:rsid w:val="0047342B"/>
    <w:rsid w:val="0047656B"/>
    <w:rsid w:val="00481108"/>
    <w:rsid w:val="00481CB3"/>
    <w:rsid w:val="00483BDC"/>
    <w:rsid w:val="00484789"/>
    <w:rsid w:val="00485B9C"/>
    <w:rsid w:val="0049042B"/>
    <w:rsid w:val="00491A64"/>
    <w:rsid w:val="00494279"/>
    <w:rsid w:val="00494D40"/>
    <w:rsid w:val="00495473"/>
    <w:rsid w:val="00495E68"/>
    <w:rsid w:val="004965EC"/>
    <w:rsid w:val="004A0E86"/>
    <w:rsid w:val="004A37C3"/>
    <w:rsid w:val="004A4169"/>
    <w:rsid w:val="004A458E"/>
    <w:rsid w:val="004A6168"/>
    <w:rsid w:val="004B23E7"/>
    <w:rsid w:val="004B2470"/>
    <w:rsid w:val="004B306F"/>
    <w:rsid w:val="004B785B"/>
    <w:rsid w:val="004C149B"/>
    <w:rsid w:val="004C3186"/>
    <w:rsid w:val="004C5042"/>
    <w:rsid w:val="004C61F4"/>
    <w:rsid w:val="004C6965"/>
    <w:rsid w:val="004D3473"/>
    <w:rsid w:val="004D445F"/>
    <w:rsid w:val="004D478E"/>
    <w:rsid w:val="004E3EC5"/>
    <w:rsid w:val="004E4422"/>
    <w:rsid w:val="004E6312"/>
    <w:rsid w:val="004F2E4A"/>
    <w:rsid w:val="004F3AB9"/>
    <w:rsid w:val="00500E63"/>
    <w:rsid w:val="00501017"/>
    <w:rsid w:val="00502AE5"/>
    <w:rsid w:val="00503998"/>
    <w:rsid w:val="0050623B"/>
    <w:rsid w:val="00511949"/>
    <w:rsid w:val="005127FD"/>
    <w:rsid w:val="00512ACF"/>
    <w:rsid w:val="00514611"/>
    <w:rsid w:val="00514A72"/>
    <w:rsid w:val="00515C85"/>
    <w:rsid w:val="0052012F"/>
    <w:rsid w:val="00520938"/>
    <w:rsid w:val="00520F75"/>
    <w:rsid w:val="0052237D"/>
    <w:rsid w:val="00523181"/>
    <w:rsid w:val="00524D13"/>
    <w:rsid w:val="00525789"/>
    <w:rsid w:val="005270CD"/>
    <w:rsid w:val="005274CB"/>
    <w:rsid w:val="00527617"/>
    <w:rsid w:val="00530A3A"/>
    <w:rsid w:val="005319D9"/>
    <w:rsid w:val="005339F6"/>
    <w:rsid w:val="0053428A"/>
    <w:rsid w:val="005346F8"/>
    <w:rsid w:val="00534C85"/>
    <w:rsid w:val="00536313"/>
    <w:rsid w:val="0054025B"/>
    <w:rsid w:val="0054087F"/>
    <w:rsid w:val="0054553C"/>
    <w:rsid w:val="005474D1"/>
    <w:rsid w:val="00552265"/>
    <w:rsid w:val="005540BC"/>
    <w:rsid w:val="00554109"/>
    <w:rsid w:val="00555CC1"/>
    <w:rsid w:val="00562880"/>
    <w:rsid w:val="00564B47"/>
    <w:rsid w:val="00572E6D"/>
    <w:rsid w:val="00573CC5"/>
    <w:rsid w:val="005749A1"/>
    <w:rsid w:val="00576B18"/>
    <w:rsid w:val="00577550"/>
    <w:rsid w:val="005779FA"/>
    <w:rsid w:val="00580137"/>
    <w:rsid w:val="00580EE4"/>
    <w:rsid w:val="00582206"/>
    <w:rsid w:val="00583703"/>
    <w:rsid w:val="00585554"/>
    <w:rsid w:val="00585D8D"/>
    <w:rsid w:val="00587724"/>
    <w:rsid w:val="00590329"/>
    <w:rsid w:val="00591512"/>
    <w:rsid w:val="005B2D91"/>
    <w:rsid w:val="005B37EE"/>
    <w:rsid w:val="005B48B4"/>
    <w:rsid w:val="005B5CC0"/>
    <w:rsid w:val="005C63A5"/>
    <w:rsid w:val="005C6661"/>
    <w:rsid w:val="005C6E3B"/>
    <w:rsid w:val="005C770D"/>
    <w:rsid w:val="005D474B"/>
    <w:rsid w:val="005E085C"/>
    <w:rsid w:val="005E139A"/>
    <w:rsid w:val="005E147D"/>
    <w:rsid w:val="005E22C2"/>
    <w:rsid w:val="005E57BB"/>
    <w:rsid w:val="005F0017"/>
    <w:rsid w:val="005F0791"/>
    <w:rsid w:val="005F40DD"/>
    <w:rsid w:val="005F51E8"/>
    <w:rsid w:val="006014F1"/>
    <w:rsid w:val="006056D1"/>
    <w:rsid w:val="00605AB0"/>
    <w:rsid w:val="00606364"/>
    <w:rsid w:val="006114DF"/>
    <w:rsid w:val="00611AD8"/>
    <w:rsid w:val="00612968"/>
    <w:rsid w:val="0061357B"/>
    <w:rsid w:val="00614A7D"/>
    <w:rsid w:val="00616CD1"/>
    <w:rsid w:val="006179AF"/>
    <w:rsid w:val="00622AE8"/>
    <w:rsid w:val="00622BAD"/>
    <w:rsid w:val="00624539"/>
    <w:rsid w:val="00627467"/>
    <w:rsid w:val="00630CD8"/>
    <w:rsid w:val="00630EEE"/>
    <w:rsid w:val="0063276F"/>
    <w:rsid w:val="00634963"/>
    <w:rsid w:val="0063631C"/>
    <w:rsid w:val="00637147"/>
    <w:rsid w:val="0063757B"/>
    <w:rsid w:val="006377CE"/>
    <w:rsid w:val="006401BA"/>
    <w:rsid w:val="00647FE7"/>
    <w:rsid w:val="00652644"/>
    <w:rsid w:val="006537D9"/>
    <w:rsid w:val="006572F6"/>
    <w:rsid w:val="00657569"/>
    <w:rsid w:val="006619F7"/>
    <w:rsid w:val="00663409"/>
    <w:rsid w:val="00664A48"/>
    <w:rsid w:val="00665DEF"/>
    <w:rsid w:val="00666BE0"/>
    <w:rsid w:val="006714CF"/>
    <w:rsid w:val="00671FB6"/>
    <w:rsid w:val="00675AC4"/>
    <w:rsid w:val="00675BB1"/>
    <w:rsid w:val="006765A9"/>
    <w:rsid w:val="00676FFB"/>
    <w:rsid w:val="006770CD"/>
    <w:rsid w:val="006775F1"/>
    <w:rsid w:val="006804E0"/>
    <w:rsid w:val="0068185D"/>
    <w:rsid w:val="00682FC7"/>
    <w:rsid w:val="00685445"/>
    <w:rsid w:val="0068754B"/>
    <w:rsid w:val="0069066B"/>
    <w:rsid w:val="00691A10"/>
    <w:rsid w:val="00692AA7"/>
    <w:rsid w:val="00696D5A"/>
    <w:rsid w:val="0069756D"/>
    <w:rsid w:val="00697FEC"/>
    <w:rsid w:val="006A0CC5"/>
    <w:rsid w:val="006A175F"/>
    <w:rsid w:val="006A1929"/>
    <w:rsid w:val="006A1FB5"/>
    <w:rsid w:val="006A44F5"/>
    <w:rsid w:val="006A64CE"/>
    <w:rsid w:val="006B2049"/>
    <w:rsid w:val="006B4537"/>
    <w:rsid w:val="006B4A91"/>
    <w:rsid w:val="006B4D39"/>
    <w:rsid w:val="006B554F"/>
    <w:rsid w:val="006B5F85"/>
    <w:rsid w:val="006B6929"/>
    <w:rsid w:val="006B709B"/>
    <w:rsid w:val="006C0284"/>
    <w:rsid w:val="006C0820"/>
    <w:rsid w:val="006C0861"/>
    <w:rsid w:val="006C1050"/>
    <w:rsid w:val="006C2E4B"/>
    <w:rsid w:val="006C316B"/>
    <w:rsid w:val="006C54AF"/>
    <w:rsid w:val="006C5ABC"/>
    <w:rsid w:val="006D1968"/>
    <w:rsid w:val="006D2A9E"/>
    <w:rsid w:val="006D48B9"/>
    <w:rsid w:val="006D6049"/>
    <w:rsid w:val="006D7E05"/>
    <w:rsid w:val="006E0181"/>
    <w:rsid w:val="006E1EB4"/>
    <w:rsid w:val="006E363F"/>
    <w:rsid w:val="006F2175"/>
    <w:rsid w:val="006F3881"/>
    <w:rsid w:val="006F4E1C"/>
    <w:rsid w:val="006F541C"/>
    <w:rsid w:val="006F59C6"/>
    <w:rsid w:val="00700C0E"/>
    <w:rsid w:val="00703A92"/>
    <w:rsid w:val="00705DAD"/>
    <w:rsid w:val="0070611B"/>
    <w:rsid w:val="00707936"/>
    <w:rsid w:val="007115DF"/>
    <w:rsid w:val="007132D8"/>
    <w:rsid w:val="00714A84"/>
    <w:rsid w:val="00714D9F"/>
    <w:rsid w:val="00714E57"/>
    <w:rsid w:val="00715D1B"/>
    <w:rsid w:val="00720653"/>
    <w:rsid w:val="007223FB"/>
    <w:rsid w:val="0072240E"/>
    <w:rsid w:val="007232B5"/>
    <w:rsid w:val="007247B9"/>
    <w:rsid w:val="00724AC6"/>
    <w:rsid w:val="00727D85"/>
    <w:rsid w:val="00733D1B"/>
    <w:rsid w:val="007346C7"/>
    <w:rsid w:val="00735677"/>
    <w:rsid w:val="00736041"/>
    <w:rsid w:val="00736CFA"/>
    <w:rsid w:val="00737B93"/>
    <w:rsid w:val="007408C7"/>
    <w:rsid w:val="00742255"/>
    <w:rsid w:val="00742875"/>
    <w:rsid w:val="00743E53"/>
    <w:rsid w:val="007465DA"/>
    <w:rsid w:val="00747AFE"/>
    <w:rsid w:val="00752C7F"/>
    <w:rsid w:val="007535C4"/>
    <w:rsid w:val="00756498"/>
    <w:rsid w:val="007614CF"/>
    <w:rsid w:val="007763A6"/>
    <w:rsid w:val="00776598"/>
    <w:rsid w:val="007771F8"/>
    <w:rsid w:val="00781330"/>
    <w:rsid w:val="00781CD0"/>
    <w:rsid w:val="00781F38"/>
    <w:rsid w:val="007838DA"/>
    <w:rsid w:val="00785265"/>
    <w:rsid w:val="00785483"/>
    <w:rsid w:val="007870CF"/>
    <w:rsid w:val="00787B73"/>
    <w:rsid w:val="007908C4"/>
    <w:rsid w:val="00790BB6"/>
    <w:rsid w:val="007920C0"/>
    <w:rsid w:val="00792948"/>
    <w:rsid w:val="00793114"/>
    <w:rsid w:val="00793E64"/>
    <w:rsid w:val="00796E84"/>
    <w:rsid w:val="007A3ADE"/>
    <w:rsid w:val="007A3D5E"/>
    <w:rsid w:val="007A50BF"/>
    <w:rsid w:val="007A5733"/>
    <w:rsid w:val="007A5774"/>
    <w:rsid w:val="007A6EED"/>
    <w:rsid w:val="007B1F3C"/>
    <w:rsid w:val="007B254F"/>
    <w:rsid w:val="007B2D70"/>
    <w:rsid w:val="007B38BA"/>
    <w:rsid w:val="007B3B4F"/>
    <w:rsid w:val="007C32B6"/>
    <w:rsid w:val="007C3AC1"/>
    <w:rsid w:val="007D00F0"/>
    <w:rsid w:val="007D0EEA"/>
    <w:rsid w:val="007D2CA6"/>
    <w:rsid w:val="007D4038"/>
    <w:rsid w:val="007D5FE2"/>
    <w:rsid w:val="007E268E"/>
    <w:rsid w:val="007E38F2"/>
    <w:rsid w:val="007F29C9"/>
    <w:rsid w:val="007F32DA"/>
    <w:rsid w:val="00801A50"/>
    <w:rsid w:val="00801D7B"/>
    <w:rsid w:val="00801E74"/>
    <w:rsid w:val="0080485E"/>
    <w:rsid w:val="00806784"/>
    <w:rsid w:val="00811461"/>
    <w:rsid w:val="008142B4"/>
    <w:rsid w:val="00814A18"/>
    <w:rsid w:val="00820576"/>
    <w:rsid w:val="008223B4"/>
    <w:rsid w:val="0082510A"/>
    <w:rsid w:val="00825E63"/>
    <w:rsid w:val="00832324"/>
    <w:rsid w:val="00835337"/>
    <w:rsid w:val="00842372"/>
    <w:rsid w:val="00842D26"/>
    <w:rsid w:val="00846DCD"/>
    <w:rsid w:val="00847AA1"/>
    <w:rsid w:val="00851313"/>
    <w:rsid w:val="00851D85"/>
    <w:rsid w:val="00854073"/>
    <w:rsid w:val="00860CCB"/>
    <w:rsid w:val="00865BBA"/>
    <w:rsid w:val="008673D6"/>
    <w:rsid w:val="008676F3"/>
    <w:rsid w:val="00867AE1"/>
    <w:rsid w:val="008717EF"/>
    <w:rsid w:val="008740A3"/>
    <w:rsid w:val="00875906"/>
    <w:rsid w:val="00876140"/>
    <w:rsid w:val="00885ACF"/>
    <w:rsid w:val="008911F4"/>
    <w:rsid w:val="00891366"/>
    <w:rsid w:val="00892644"/>
    <w:rsid w:val="0089297B"/>
    <w:rsid w:val="0089407F"/>
    <w:rsid w:val="00894763"/>
    <w:rsid w:val="008958D6"/>
    <w:rsid w:val="008A3829"/>
    <w:rsid w:val="008A4D1A"/>
    <w:rsid w:val="008B19ED"/>
    <w:rsid w:val="008B2DDE"/>
    <w:rsid w:val="008B49B9"/>
    <w:rsid w:val="008B4BC3"/>
    <w:rsid w:val="008B56C5"/>
    <w:rsid w:val="008B7DCC"/>
    <w:rsid w:val="008C0991"/>
    <w:rsid w:val="008C0DE2"/>
    <w:rsid w:val="008C2CD8"/>
    <w:rsid w:val="008C33A6"/>
    <w:rsid w:val="008C36CA"/>
    <w:rsid w:val="008C4062"/>
    <w:rsid w:val="008D2C11"/>
    <w:rsid w:val="008D4423"/>
    <w:rsid w:val="008D5D94"/>
    <w:rsid w:val="008D7E13"/>
    <w:rsid w:val="008E0C1D"/>
    <w:rsid w:val="008E3F8C"/>
    <w:rsid w:val="008E5D7F"/>
    <w:rsid w:val="008F0CC3"/>
    <w:rsid w:val="008F1453"/>
    <w:rsid w:val="008F20C6"/>
    <w:rsid w:val="008F2E07"/>
    <w:rsid w:val="008F306A"/>
    <w:rsid w:val="008F494A"/>
    <w:rsid w:val="008F5713"/>
    <w:rsid w:val="008F5736"/>
    <w:rsid w:val="008F743A"/>
    <w:rsid w:val="00900CBA"/>
    <w:rsid w:val="00901713"/>
    <w:rsid w:val="00902FD0"/>
    <w:rsid w:val="00903CD0"/>
    <w:rsid w:val="009053D3"/>
    <w:rsid w:val="00905EF8"/>
    <w:rsid w:val="0090691F"/>
    <w:rsid w:val="00910910"/>
    <w:rsid w:val="00913052"/>
    <w:rsid w:val="0091305D"/>
    <w:rsid w:val="00915049"/>
    <w:rsid w:val="00921034"/>
    <w:rsid w:val="0092563E"/>
    <w:rsid w:val="0092582D"/>
    <w:rsid w:val="00925AAC"/>
    <w:rsid w:val="0093111F"/>
    <w:rsid w:val="00931B1B"/>
    <w:rsid w:val="00935689"/>
    <w:rsid w:val="00935EB7"/>
    <w:rsid w:val="00936B02"/>
    <w:rsid w:val="00940EC5"/>
    <w:rsid w:val="00942AD5"/>
    <w:rsid w:val="00942BA8"/>
    <w:rsid w:val="0094328E"/>
    <w:rsid w:val="00945697"/>
    <w:rsid w:val="009465EE"/>
    <w:rsid w:val="009472A4"/>
    <w:rsid w:val="009479BA"/>
    <w:rsid w:val="0095303B"/>
    <w:rsid w:val="0095343C"/>
    <w:rsid w:val="00954971"/>
    <w:rsid w:val="009663B6"/>
    <w:rsid w:val="009669BF"/>
    <w:rsid w:val="00974A47"/>
    <w:rsid w:val="00976FBF"/>
    <w:rsid w:val="00980286"/>
    <w:rsid w:val="00980DA9"/>
    <w:rsid w:val="00990C34"/>
    <w:rsid w:val="00990DCF"/>
    <w:rsid w:val="00995E07"/>
    <w:rsid w:val="0099612A"/>
    <w:rsid w:val="00997E8E"/>
    <w:rsid w:val="009A4CD6"/>
    <w:rsid w:val="009A537C"/>
    <w:rsid w:val="009A5999"/>
    <w:rsid w:val="009A6740"/>
    <w:rsid w:val="009A6E85"/>
    <w:rsid w:val="009B0D50"/>
    <w:rsid w:val="009B5B56"/>
    <w:rsid w:val="009B5CF3"/>
    <w:rsid w:val="009B68D8"/>
    <w:rsid w:val="009C0886"/>
    <w:rsid w:val="009C1171"/>
    <w:rsid w:val="009C12FF"/>
    <w:rsid w:val="009C19EE"/>
    <w:rsid w:val="009C28D0"/>
    <w:rsid w:val="009C35F2"/>
    <w:rsid w:val="009C3C68"/>
    <w:rsid w:val="009C49AF"/>
    <w:rsid w:val="009C5562"/>
    <w:rsid w:val="009C5E9D"/>
    <w:rsid w:val="009C7782"/>
    <w:rsid w:val="009D10A5"/>
    <w:rsid w:val="009D1ED5"/>
    <w:rsid w:val="009D21BA"/>
    <w:rsid w:val="009D25F1"/>
    <w:rsid w:val="009D3124"/>
    <w:rsid w:val="009D4C13"/>
    <w:rsid w:val="009D545B"/>
    <w:rsid w:val="009D58E0"/>
    <w:rsid w:val="009D7E90"/>
    <w:rsid w:val="009E162D"/>
    <w:rsid w:val="009E16B6"/>
    <w:rsid w:val="009E21A7"/>
    <w:rsid w:val="009E3139"/>
    <w:rsid w:val="009E4B97"/>
    <w:rsid w:val="009E6675"/>
    <w:rsid w:val="009F0EFC"/>
    <w:rsid w:val="00A00621"/>
    <w:rsid w:val="00A0153F"/>
    <w:rsid w:val="00A103ED"/>
    <w:rsid w:val="00A10E71"/>
    <w:rsid w:val="00A11018"/>
    <w:rsid w:val="00A12858"/>
    <w:rsid w:val="00A13C60"/>
    <w:rsid w:val="00A15134"/>
    <w:rsid w:val="00A22CAA"/>
    <w:rsid w:val="00A25DE1"/>
    <w:rsid w:val="00A341A3"/>
    <w:rsid w:val="00A35800"/>
    <w:rsid w:val="00A4175A"/>
    <w:rsid w:val="00A4320D"/>
    <w:rsid w:val="00A43585"/>
    <w:rsid w:val="00A51407"/>
    <w:rsid w:val="00A52918"/>
    <w:rsid w:val="00A547B3"/>
    <w:rsid w:val="00A5503D"/>
    <w:rsid w:val="00A555D8"/>
    <w:rsid w:val="00A6012E"/>
    <w:rsid w:val="00A65D10"/>
    <w:rsid w:val="00A66515"/>
    <w:rsid w:val="00A70E6A"/>
    <w:rsid w:val="00A70E82"/>
    <w:rsid w:val="00A731D8"/>
    <w:rsid w:val="00A758A1"/>
    <w:rsid w:val="00A80FB0"/>
    <w:rsid w:val="00A816B4"/>
    <w:rsid w:val="00A839B6"/>
    <w:rsid w:val="00A84CAD"/>
    <w:rsid w:val="00A90CCC"/>
    <w:rsid w:val="00A90E50"/>
    <w:rsid w:val="00A915E8"/>
    <w:rsid w:val="00A92035"/>
    <w:rsid w:val="00A92142"/>
    <w:rsid w:val="00A93103"/>
    <w:rsid w:val="00A95C0A"/>
    <w:rsid w:val="00A95FA5"/>
    <w:rsid w:val="00A9663A"/>
    <w:rsid w:val="00A96D92"/>
    <w:rsid w:val="00AA0492"/>
    <w:rsid w:val="00AA08FC"/>
    <w:rsid w:val="00AA1EB0"/>
    <w:rsid w:val="00AA45C8"/>
    <w:rsid w:val="00AA4A7F"/>
    <w:rsid w:val="00AA55E0"/>
    <w:rsid w:val="00AA6815"/>
    <w:rsid w:val="00AA7052"/>
    <w:rsid w:val="00AB199C"/>
    <w:rsid w:val="00AB3733"/>
    <w:rsid w:val="00AB588C"/>
    <w:rsid w:val="00AB6DFE"/>
    <w:rsid w:val="00AB6FD0"/>
    <w:rsid w:val="00AB7897"/>
    <w:rsid w:val="00AC02FF"/>
    <w:rsid w:val="00AC358F"/>
    <w:rsid w:val="00AC5054"/>
    <w:rsid w:val="00AC6D4E"/>
    <w:rsid w:val="00AC71A3"/>
    <w:rsid w:val="00AD68F3"/>
    <w:rsid w:val="00AE282C"/>
    <w:rsid w:val="00AE2978"/>
    <w:rsid w:val="00AE4BAC"/>
    <w:rsid w:val="00AE66D5"/>
    <w:rsid w:val="00AF163D"/>
    <w:rsid w:val="00AF488A"/>
    <w:rsid w:val="00AF5BDA"/>
    <w:rsid w:val="00B00EB3"/>
    <w:rsid w:val="00B0181E"/>
    <w:rsid w:val="00B034FC"/>
    <w:rsid w:val="00B037F5"/>
    <w:rsid w:val="00B05310"/>
    <w:rsid w:val="00B05C5B"/>
    <w:rsid w:val="00B07928"/>
    <w:rsid w:val="00B10A0B"/>
    <w:rsid w:val="00B11AD2"/>
    <w:rsid w:val="00B13D21"/>
    <w:rsid w:val="00B30060"/>
    <w:rsid w:val="00B30D85"/>
    <w:rsid w:val="00B32088"/>
    <w:rsid w:val="00B351AD"/>
    <w:rsid w:val="00B35A4A"/>
    <w:rsid w:val="00B36FAD"/>
    <w:rsid w:val="00B432CF"/>
    <w:rsid w:val="00B439FD"/>
    <w:rsid w:val="00B453CF"/>
    <w:rsid w:val="00B45B94"/>
    <w:rsid w:val="00B46637"/>
    <w:rsid w:val="00B50071"/>
    <w:rsid w:val="00B5085E"/>
    <w:rsid w:val="00B5566F"/>
    <w:rsid w:val="00B617F1"/>
    <w:rsid w:val="00B635B2"/>
    <w:rsid w:val="00B63FD7"/>
    <w:rsid w:val="00B64457"/>
    <w:rsid w:val="00B73528"/>
    <w:rsid w:val="00B816D9"/>
    <w:rsid w:val="00B82111"/>
    <w:rsid w:val="00B825A1"/>
    <w:rsid w:val="00B8352E"/>
    <w:rsid w:val="00B866CD"/>
    <w:rsid w:val="00B90FE4"/>
    <w:rsid w:val="00B9120F"/>
    <w:rsid w:val="00B9216C"/>
    <w:rsid w:val="00B924A4"/>
    <w:rsid w:val="00BA4900"/>
    <w:rsid w:val="00BA4BE8"/>
    <w:rsid w:val="00BA7EAC"/>
    <w:rsid w:val="00BB0D1A"/>
    <w:rsid w:val="00BB1D3B"/>
    <w:rsid w:val="00BB424F"/>
    <w:rsid w:val="00BB73CC"/>
    <w:rsid w:val="00BC2FC4"/>
    <w:rsid w:val="00BC35ED"/>
    <w:rsid w:val="00BC45F0"/>
    <w:rsid w:val="00BC5268"/>
    <w:rsid w:val="00BC6256"/>
    <w:rsid w:val="00BC698E"/>
    <w:rsid w:val="00BD0FA7"/>
    <w:rsid w:val="00BD195E"/>
    <w:rsid w:val="00BD2A04"/>
    <w:rsid w:val="00BD3501"/>
    <w:rsid w:val="00BD3E8E"/>
    <w:rsid w:val="00BD4F5D"/>
    <w:rsid w:val="00BD6135"/>
    <w:rsid w:val="00BE205A"/>
    <w:rsid w:val="00BE31AB"/>
    <w:rsid w:val="00BE3802"/>
    <w:rsid w:val="00BE3899"/>
    <w:rsid w:val="00BE5D03"/>
    <w:rsid w:val="00BF014F"/>
    <w:rsid w:val="00BF238E"/>
    <w:rsid w:val="00BF2F4A"/>
    <w:rsid w:val="00BF544D"/>
    <w:rsid w:val="00C0076F"/>
    <w:rsid w:val="00C02E77"/>
    <w:rsid w:val="00C0301C"/>
    <w:rsid w:val="00C03067"/>
    <w:rsid w:val="00C050B6"/>
    <w:rsid w:val="00C05720"/>
    <w:rsid w:val="00C06558"/>
    <w:rsid w:val="00C10F12"/>
    <w:rsid w:val="00C11DCA"/>
    <w:rsid w:val="00C138E5"/>
    <w:rsid w:val="00C156B8"/>
    <w:rsid w:val="00C15FF1"/>
    <w:rsid w:val="00C245EA"/>
    <w:rsid w:val="00C256F6"/>
    <w:rsid w:val="00C25EF3"/>
    <w:rsid w:val="00C267A4"/>
    <w:rsid w:val="00C3097E"/>
    <w:rsid w:val="00C31992"/>
    <w:rsid w:val="00C35ECC"/>
    <w:rsid w:val="00C361A8"/>
    <w:rsid w:val="00C374DF"/>
    <w:rsid w:val="00C41246"/>
    <w:rsid w:val="00C45E5F"/>
    <w:rsid w:val="00C46291"/>
    <w:rsid w:val="00C469EF"/>
    <w:rsid w:val="00C51B4A"/>
    <w:rsid w:val="00C52F88"/>
    <w:rsid w:val="00C53A61"/>
    <w:rsid w:val="00C54C0F"/>
    <w:rsid w:val="00C61EBB"/>
    <w:rsid w:val="00C63412"/>
    <w:rsid w:val="00C658C6"/>
    <w:rsid w:val="00C714D0"/>
    <w:rsid w:val="00C7206C"/>
    <w:rsid w:val="00C74075"/>
    <w:rsid w:val="00C77ACB"/>
    <w:rsid w:val="00C82B6C"/>
    <w:rsid w:val="00C86050"/>
    <w:rsid w:val="00C8672A"/>
    <w:rsid w:val="00C86903"/>
    <w:rsid w:val="00C90EF4"/>
    <w:rsid w:val="00C93EB7"/>
    <w:rsid w:val="00C95500"/>
    <w:rsid w:val="00C97F18"/>
    <w:rsid w:val="00CA015A"/>
    <w:rsid w:val="00CB0C6C"/>
    <w:rsid w:val="00CB25B5"/>
    <w:rsid w:val="00CB2780"/>
    <w:rsid w:val="00CB29D5"/>
    <w:rsid w:val="00CB3DD7"/>
    <w:rsid w:val="00CB5DC3"/>
    <w:rsid w:val="00CC1517"/>
    <w:rsid w:val="00CC1AA3"/>
    <w:rsid w:val="00CC1D79"/>
    <w:rsid w:val="00CC24C3"/>
    <w:rsid w:val="00CC67C9"/>
    <w:rsid w:val="00CC761F"/>
    <w:rsid w:val="00CD1AC1"/>
    <w:rsid w:val="00CD22D1"/>
    <w:rsid w:val="00CD3756"/>
    <w:rsid w:val="00CD4486"/>
    <w:rsid w:val="00CD4A5F"/>
    <w:rsid w:val="00CD58DE"/>
    <w:rsid w:val="00CD6AD5"/>
    <w:rsid w:val="00CD78F3"/>
    <w:rsid w:val="00CE1399"/>
    <w:rsid w:val="00CE18FE"/>
    <w:rsid w:val="00CE5F17"/>
    <w:rsid w:val="00CE7F9C"/>
    <w:rsid w:val="00CF0D38"/>
    <w:rsid w:val="00CF41A0"/>
    <w:rsid w:val="00CF5E22"/>
    <w:rsid w:val="00D00819"/>
    <w:rsid w:val="00D00C88"/>
    <w:rsid w:val="00D00E08"/>
    <w:rsid w:val="00D011EA"/>
    <w:rsid w:val="00D040D1"/>
    <w:rsid w:val="00D06A44"/>
    <w:rsid w:val="00D0749E"/>
    <w:rsid w:val="00D10E56"/>
    <w:rsid w:val="00D1294D"/>
    <w:rsid w:val="00D13C71"/>
    <w:rsid w:val="00D151EB"/>
    <w:rsid w:val="00D22ABA"/>
    <w:rsid w:val="00D25961"/>
    <w:rsid w:val="00D26B72"/>
    <w:rsid w:val="00D2728E"/>
    <w:rsid w:val="00D300E0"/>
    <w:rsid w:val="00D31301"/>
    <w:rsid w:val="00D31EEB"/>
    <w:rsid w:val="00D33515"/>
    <w:rsid w:val="00D3544D"/>
    <w:rsid w:val="00D35BC2"/>
    <w:rsid w:val="00D374CD"/>
    <w:rsid w:val="00D41E59"/>
    <w:rsid w:val="00D42B19"/>
    <w:rsid w:val="00D42CCD"/>
    <w:rsid w:val="00D4465A"/>
    <w:rsid w:val="00D55D28"/>
    <w:rsid w:val="00D56194"/>
    <w:rsid w:val="00D62068"/>
    <w:rsid w:val="00D6442A"/>
    <w:rsid w:val="00D6471C"/>
    <w:rsid w:val="00D650CE"/>
    <w:rsid w:val="00D671E8"/>
    <w:rsid w:val="00D67CA2"/>
    <w:rsid w:val="00D7124D"/>
    <w:rsid w:val="00D713C3"/>
    <w:rsid w:val="00D71719"/>
    <w:rsid w:val="00D73118"/>
    <w:rsid w:val="00D752B1"/>
    <w:rsid w:val="00D776DA"/>
    <w:rsid w:val="00D817BF"/>
    <w:rsid w:val="00D8559D"/>
    <w:rsid w:val="00D8758B"/>
    <w:rsid w:val="00D942B3"/>
    <w:rsid w:val="00D94863"/>
    <w:rsid w:val="00D95CF1"/>
    <w:rsid w:val="00D978CE"/>
    <w:rsid w:val="00D97984"/>
    <w:rsid w:val="00DA06FD"/>
    <w:rsid w:val="00DA0DB3"/>
    <w:rsid w:val="00DA2058"/>
    <w:rsid w:val="00DA4483"/>
    <w:rsid w:val="00DA4B3B"/>
    <w:rsid w:val="00DA73EE"/>
    <w:rsid w:val="00DA79E5"/>
    <w:rsid w:val="00DA7BA3"/>
    <w:rsid w:val="00DA7D09"/>
    <w:rsid w:val="00DB1AA3"/>
    <w:rsid w:val="00DB274F"/>
    <w:rsid w:val="00DB315B"/>
    <w:rsid w:val="00DC08E6"/>
    <w:rsid w:val="00DC111B"/>
    <w:rsid w:val="00DC1471"/>
    <w:rsid w:val="00DC1CB9"/>
    <w:rsid w:val="00DC2630"/>
    <w:rsid w:val="00DC313E"/>
    <w:rsid w:val="00DC3349"/>
    <w:rsid w:val="00DC406C"/>
    <w:rsid w:val="00DC49E9"/>
    <w:rsid w:val="00DC55E4"/>
    <w:rsid w:val="00DC7D71"/>
    <w:rsid w:val="00DD088A"/>
    <w:rsid w:val="00DD188C"/>
    <w:rsid w:val="00DD29A3"/>
    <w:rsid w:val="00DD4360"/>
    <w:rsid w:val="00DD48EE"/>
    <w:rsid w:val="00DE0B96"/>
    <w:rsid w:val="00DE10B9"/>
    <w:rsid w:val="00DE1E87"/>
    <w:rsid w:val="00DE2FDB"/>
    <w:rsid w:val="00DF0B13"/>
    <w:rsid w:val="00DF2EB8"/>
    <w:rsid w:val="00DF2F7C"/>
    <w:rsid w:val="00DF3587"/>
    <w:rsid w:val="00DF4650"/>
    <w:rsid w:val="00DF4997"/>
    <w:rsid w:val="00DF4A94"/>
    <w:rsid w:val="00DF6003"/>
    <w:rsid w:val="00DF7BCC"/>
    <w:rsid w:val="00E00095"/>
    <w:rsid w:val="00E00356"/>
    <w:rsid w:val="00E01587"/>
    <w:rsid w:val="00E01D4F"/>
    <w:rsid w:val="00E04140"/>
    <w:rsid w:val="00E05399"/>
    <w:rsid w:val="00E06175"/>
    <w:rsid w:val="00E066C3"/>
    <w:rsid w:val="00E06A66"/>
    <w:rsid w:val="00E0720C"/>
    <w:rsid w:val="00E104FF"/>
    <w:rsid w:val="00E10D8C"/>
    <w:rsid w:val="00E1115C"/>
    <w:rsid w:val="00E11813"/>
    <w:rsid w:val="00E12DBD"/>
    <w:rsid w:val="00E1353A"/>
    <w:rsid w:val="00E13B9C"/>
    <w:rsid w:val="00E14713"/>
    <w:rsid w:val="00E1564B"/>
    <w:rsid w:val="00E1726C"/>
    <w:rsid w:val="00E208A0"/>
    <w:rsid w:val="00E20F15"/>
    <w:rsid w:val="00E25B49"/>
    <w:rsid w:val="00E27C14"/>
    <w:rsid w:val="00E30AB6"/>
    <w:rsid w:val="00E34524"/>
    <w:rsid w:val="00E3458A"/>
    <w:rsid w:val="00E371EA"/>
    <w:rsid w:val="00E37CD9"/>
    <w:rsid w:val="00E37F0A"/>
    <w:rsid w:val="00E415D3"/>
    <w:rsid w:val="00E439A7"/>
    <w:rsid w:val="00E43EDE"/>
    <w:rsid w:val="00E440DC"/>
    <w:rsid w:val="00E44930"/>
    <w:rsid w:val="00E44D9C"/>
    <w:rsid w:val="00E519D4"/>
    <w:rsid w:val="00E56F19"/>
    <w:rsid w:val="00E62757"/>
    <w:rsid w:val="00E64429"/>
    <w:rsid w:val="00E65FF8"/>
    <w:rsid w:val="00E677DD"/>
    <w:rsid w:val="00E75408"/>
    <w:rsid w:val="00E7594B"/>
    <w:rsid w:val="00E77BE9"/>
    <w:rsid w:val="00E846E6"/>
    <w:rsid w:val="00E85CF8"/>
    <w:rsid w:val="00E85FD6"/>
    <w:rsid w:val="00E92B71"/>
    <w:rsid w:val="00E949B5"/>
    <w:rsid w:val="00E95AD2"/>
    <w:rsid w:val="00EA046E"/>
    <w:rsid w:val="00EA16F5"/>
    <w:rsid w:val="00EA2DEB"/>
    <w:rsid w:val="00EA2EFA"/>
    <w:rsid w:val="00EB221B"/>
    <w:rsid w:val="00EB4688"/>
    <w:rsid w:val="00EB4EA3"/>
    <w:rsid w:val="00EB67B3"/>
    <w:rsid w:val="00EB6C07"/>
    <w:rsid w:val="00EB79E0"/>
    <w:rsid w:val="00EC028D"/>
    <w:rsid w:val="00EC0CB5"/>
    <w:rsid w:val="00EC288E"/>
    <w:rsid w:val="00EC45F0"/>
    <w:rsid w:val="00EC543D"/>
    <w:rsid w:val="00EC6621"/>
    <w:rsid w:val="00ED04C2"/>
    <w:rsid w:val="00ED0BD1"/>
    <w:rsid w:val="00ED4D0D"/>
    <w:rsid w:val="00ED5507"/>
    <w:rsid w:val="00ED633B"/>
    <w:rsid w:val="00ED6A15"/>
    <w:rsid w:val="00EE13B5"/>
    <w:rsid w:val="00EE1C92"/>
    <w:rsid w:val="00EE2BBB"/>
    <w:rsid w:val="00EE478C"/>
    <w:rsid w:val="00EE527E"/>
    <w:rsid w:val="00EF07E6"/>
    <w:rsid w:val="00EF1540"/>
    <w:rsid w:val="00EF211B"/>
    <w:rsid w:val="00EF469F"/>
    <w:rsid w:val="00EF4B04"/>
    <w:rsid w:val="00F04737"/>
    <w:rsid w:val="00F04CB4"/>
    <w:rsid w:val="00F109C8"/>
    <w:rsid w:val="00F1132C"/>
    <w:rsid w:val="00F15DD5"/>
    <w:rsid w:val="00F16C3E"/>
    <w:rsid w:val="00F17D4B"/>
    <w:rsid w:val="00F203FB"/>
    <w:rsid w:val="00F20544"/>
    <w:rsid w:val="00F225AB"/>
    <w:rsid w:val="00F22C7E"/>
    <w:rsid w:val="00F23139"/>
    <w:rsid w:val="00F23722"/>
    <w:rsid w:val="00F2521D"/>
    <w:rsid w:val="00F30840"/>
    <w:rsid w:val="00F352D4"/>
    <w:rsid w:val="00F35504"/>
    <w:rsid w:val="00F36A2F"/>
    <w:rsid w:val="00F43DA3"/>
    <w:rsid w:val="00F45227"/>
    <w:rsid w:val="00F476E7"/>
    <w:rsid w:val="00F5048B"/>
    <w:rsid w:val="00F52C14"/>
    <w:rsid w:val="00F537F1"/>
    <w:rsid w:val="00F618EF"/>
    <w:rsid w:val="00F64520"/>
    <w:rsid w:val="00F64CD2"/>
    <w:rsid w:val="00F66CD5"/>
    <w:rsid w:val="00F67A9A"/>
    <w:rsid w:val="00F67A9B"/>
    <w:rsid w:val="00F70458"/>
    <w:rsid w:val="00F70C76"/>
    <w:rsid w:val="00F70F4E"/>
    <w:rsid w:val="00F71E45"/>
    <w:rsid w:val="00F7279D"/>
    <w:rsid w:val="00F73113"/>
    <w:rsid w:val="00F75FC4"/>
    <w:rsid w:val="00F77E6E"/>
    <w:rsid w:val="00F82706"/>
    <w:rsid w:val="00F82EEB"/>
    <w:rsid w:val="00F8416E"/>
    <w:rsid w:val="00F85981"/>
    <w:rsid w:val="00F87263"/>
    <w:rsid w:val="00F87B9F"/>
    <w:rsid w:val="00F87BA2"/>
    <w:rsid w:val="00F93531"/>
    <w:rsid w:val="00F93725"/>
    <w:rsid w:val="00FA03BA"/>
    <w:rsid w:val="00FA1CE8"/>
    <w:rsid w:val="00FA2EEC"/>
    <w:rsid w:val="00FA3F6A"/>
    <w:rsid w:val="00FA4890"/>
    <w:rsid w:val="00FA54D9"/>
    <w:rsid w:val="00FB11B9"/>
    <w:rsid w:val="00FB3286"/>
    <w:rsid w:val="00FB44F7"/>
    <w:rsid w:val="00FB77FA"/>
    <w:rsid w:val="00FC0E26"/>
    <w:rsid w:val="00FC2294"/>
    <w:rsid w:val="00FC250E"/>
    <w:rsid w:val="00FC2630"/>
    <w:rsid w:val="00FC2656"/>
    <w:rsid w:val="00FC33A4"/>
    <w:rsid w:val="00FC3C70"/>
    <w:rsid w:val="00FC4A73"/>
    <w:rsid w:val="00FC50B2"/>
    <w:rsid w:val="00FC559C"/>
    <w:rsid w:val="00FC7F0D"/>
    <w:rsid w:val="00FD1EC6"/>
    <w:rsid w:val="00FD44B8"/>
    <w:rsid w:val="00FD481C"/>
    <w:rsid w:val="00FD62D2"/>
    <w:rsid w:val="00FE645A"/>
    <w:rsid w:val="00FF2504"/>
    <w:rsid w:val="00FF574D"/>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ullet point,List Paragraph1,List Paragraph11,Recommendation"/>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BD6135"/>
    <w:pPr>
      <w:spacing w:after="0" w:line="240" w:lineRule="auto"/>
    </w:pPr>
    <w:rPr>
      <w:sz w:val="24"/>
      <w:szCs w:val="24"/>
    </w:rPr>
  </w:style>
  <w:style w:type="paragraph" w:styleId="NormalWeb">
    <w:name w:val="Normal (Web)"/>
    <w:basedOn w:val="Normal"/>
    <w:uiPriority w:val="99"/>
    <w:semiHidden/>
    <w:unhideWhenUsed/>
    <w:rsid w:val="007C3AC1"/>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BulletPoints Char,Numbered para Char,Bullet point Char,List Paragraph1 Char,List Paragraph11 Char,Recommendation Char"/>
    <w:basedOn w:val="DefaultParagraphFont"/>
    <w:link w:val="ListParagraph"/>
    <w:uiPriority w:val="34"/>
    <w:qFormat/>
    <w:locked/>
    <w:rsid w:val="00707936"/>
    <w:rPr>
      <w:sz w:val="24"/>
      <w:szCs w:val="24"/>
    </w:rPr>
  </w:style>
  <w:style w:type="character" w:styleId="UnresolvedMention">
    <w:name w:val="Unresolved Mention"/>
    <w:basedOn w:val="DefaultParagraphFont"/>
    <w:uiPriority w:val="99"/>
    <w:semiHidden/>
    <w:unhideWhenUsed/>
    <w:rsid w:val="00094563"/>
    <w:rPr>
      <w:color w:val="605E5C"/>
      <w:shd w:val="clear" w:color="auto" w:fill="E1DFDD"/>
    </w:rPr>
  </w:style>
  <w:style w:type="paragraph" w:customStyle="1" w:styleId="3Bodytext">
    <w:name w:val="3. Body text"/>
    <w:basedOn w:val="ListParagraph"/>
    <w:link w:val="3BodytextChar"/>
    <w:qFormat/>
    <w:rsid w:val="00742255"/>
    <w:pPr>
      <w:spacing w:after="120"/>
      <w:ind w:hanging="720"/>
      <w:contextualSpacing w:val="0"/>
      <w:jc w:val="both"/>
    </w:pPr>
    <w:rPr>
      <w:rFonts w:eastAsiaTheme="minorHAnsi"/>
      <w:szCs w:val="22"/>
      <w:lang w:eastAsia="en-US"/>
    </w:rPr>
  </w:style>
  <w:style w:type="character" w:customStyle="1" w:styleId="3BodytextChar">
    <w:name w:val="3. Body text Char"/>
    <w:basedOn w:val="DefaultParagraphFont"/>
    <w:link w:val="3Bodytext"/>
    <w:rsid w:val="00742255"/>
    <w:rPr>
      <w:rFonts w:eastAsiaTheme="minorHAnsi"/>
      <w:sz w:val="24"/>
      <w:lang w:eastAsia="en-US"/>
    </w:rPr>
  </w:style>
  <w:style w:type="character" w:styleId="FollowedHyperlink">
    <w:name w:val="FollowedHyperlink"/>
    <w:basedOn w:val="DefaultParagraphFont"/>
    <w:uiPriority w:val="99"/>
    <w:semiHidden/>
    <w:unhideWhenUsed/>
    <w:rsid w:val="00331C2C"/>
    <w:rPr>
      <w:color w:val="800080" w:themeColor="followedHyperlink"/>
      <w:u w:val="single"/>
    </w:rPr>
  </w:style>
  <w:style w:type="paragraph" w:customStyle="1" w:styleId="3-BodyText">
    <w:name w:val="3-Body Text"/>
    <w:link w:val="3-BodyTextChar"/>
    <w:qFormat/>
    <w:rsid w:val="006056D1"/>
    <w:pPr>
      <w:numPr>
        <w:ilvl w:val="1"/>
        <w:numId w:val="47"/>
      </w:numPr>
      <w:spacing w:after="120" w:line="240" w:lineRule="auto"/>
      <w:jc w:val="both"/>
    </w:pPr>
    <w:rPr>
      <w:rFonts w:eastAsiaTheme="minorHAnsi"/>
      <w:sz w:val="24"/>
    </w:rPr>
  </w:style>
  <w:style w:type="character" w:customStyle="1" w:styleId="3-BodyTextChar">
    <w:name w:val="3-Body Text Char"/>
    <w:basedOn w:val="DefaultParagraphFont"/>
    <w:link w:val="3-BodyText"/>
    <w:rsid w:val="006056D1"/>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5588">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831025287">
      <w:bodyDiv w:val="1"/>
      <w:marLeft w:val="0"/>
      <w:marRight w:val="0"/>
      <w:marTop w:val="0"/>
      <w:marBottom w:val="0"/>
      <w:divBdr>
        <w:top w:val="none" w:sz="0" w:space="0" w:color="auto"/>
        <w:left w:val="none" w:sz="0" w:space="0" w:color="auto"/>
        <w:bottom w:val="none" w:sz="0" w:space="0" w:color="auto"/>
        <w:right w:val="none" w:sz="0" w:space="0" w:color="auto"/>
      </w:divBdr>
    </w:div>
    <w:div w:id="908419457">
      <w:bodyDiv w:val="1"/>
      <w:marLeft w:val="0"/>
      <w:marRight w:val="0"/>
      <w:marTop w:val="0"/>
      <w:marBottom w:val="0"/>
      <w:divBdr>
        <w:top w:val="none" w:sz="0" w:space="0" w:color="auto"/>
        <w:left w:val="none" w:sz="0" w:space="0" w:color="auto"/>
        <w:bottom w:val="none" w:sz="0" w:space="0" w:color="auto"/>
        <w:right w:val="none" w:sz="0" w:space="0" w:color="auto"/>
      </w:divBdr>
      <w:divsChild>
        <w:div w:id="165248267">
          <w:marLeft w:val="0"/>
          <w:marRight w:val="0"/>
          <w:marTop w:val="0"/>
          <w:marBottom w:val="0"/>
          <w:divBdr>
            <w:top w:val="none" w:sz="0" w:space="0" w:color="C4DEEE"/>
            <w:left w:val="none" w:sz="0" w:space="0" w:color="C4DEEE"/>
            <w:bottom w:val="none" w:sz="0" w:space="0" w:color="C4DEEE"/>
            <w:right w:val="none" w:sz="0" w:space="0" w:color="C4DEEE"/>
          </w:divBdr>
          <w:divsChild>
            <w:div w:id="224611604">
              <w:marLeft w:val="0"/>
              <w:marRight w:val="0"/>
              <w:marTop w:val="0"/>
              <w:marBottom w:val="0"/>
              <w:divBdr>
                <w:top w:val="none" w:sz="0" w:space="0" w:color="C4DEEE"/>
                <w:left w:val="none" w:sz="0" w:space="8" w:color="C4DEEE"/>
                <w:bottom w:val="none" w:sz="0" w:space="0" w:color="C4DEEE"/>
                <w:right w:val="none" w:sz="0" w:space="0" w:color="C4DEEE"/>
              </w:divBdr>
              <w:divsChild>
                <w:div w:id="1795440735">
                  <w:marLeft w:val="0"/>
                  <w:marRight w:val="0"/>
                  <w:marTop w:val="0"/>
                  <w:marBottom w:val="0"/>
                  <w:divBdr>
                    <w:top w:val="none" w:sz="0" w:space="0" w:color="C4DEEE"/>
                    <w:left w:val="none" w:sz="0" w:space="0" w:color="C4DEEE"/>
                    <w:bottom w:val="none" w:sz="0" w:space="0" w:color="C4DEEE"/>
                    <w:right w:val="none" w:sz="0" w:space="0" w:color="C4DEEE"/>
                  </w:divBdr>
                  <w:divsChild>
                    <w:div w:id="135223291">
                      <w:marLeft w:val="0"/>
                      <w:marRight w:val="0"/>
                      <w:marTop w:val="0"/>
                      <w:marBottom w:val="0"/>
                      <w:divBdr>
                        <w:top w:val="none" w:sz="0" w:space="0" w:color="C4DEEE"/>
                        <w:left w:val="none" w:sz="0" w:space="0" w:color="C4DEEE"/>
                        <w:bottom w:val="none" w:sz="0" w:space="0" w:color="C4DEEE"/>
                        <w:right w:val="none" w:sz="0" w:space="0" w:color="C4DEEE"/>
                      </w:divBdr>
                    </w:div>
                    <w:div w:id="793329921">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733552997">
          <w:marLeft w:val="0"/>
          <w:marRight w:val="0"/>
          <w:marTop w:val="0"/>
          <w:marBottom w:val="0"/>
          <w:divBdr>
            <w:top w:val="none" w:sz="0" w:space="0" w:color="C4DEEE"/>
            <w:left w:val="none" w:sz="0" w:space="8" w:color="C4DEEE"/>
            <w:bottom w:val="none" w:sz="0" w:space="0" w:color="C4DEEE"/>
            <w:right w:val="none" w:sz="0" w:space="0" w:color="C4DEEE"/>
          </w:divBdr>
        </w:div>
      </w:divsChild>
    </w:div>
    <w:div w:id="908998394">
      <w:bodyDiv w:val="1"/>
      <w:marLeft w:val="0"/>
      <w:marRight w:val="0"/>
      <w:marTop w:val="0"/>
      <w:marBottom w:val="0"/>
      <w:divBdr>
        <w:top w:val="none" w:sz="0" w:space="0" w:color="auto"/>
        <w:left w:val="none" w:sz="0" w:space="0" w:color="auto"/>
        <w:bottom w:val="none" w:sz="0" w:space="0" w:color="auto"/>
        <w:right w:val="none" w:sz="0" w:space="0" w:color="auto"/>
      </w:divBdr>
      <w:divsChild>
        <w:div w:id="266233152">
          <w:marLeft w:val="0"/>
          <w:marRight w:val="0"/>
          <w:marTop w:val="0"/>
          <w:marBottom w:val="0"/>
          <w:divBdr>
            <w:top w:val="none" w:sz="0" w:space="2" w:color="C4DEEE"/>
            <w:left w:val="none" w:sz="0" w:space="15" w:color="C4DEEE"/>
            <w:bottom w:val="none" w:sz="0" w:space="2" w:color="C4DEEE"/>
            <w:right w:val="none" w:sz="0" w:space="2" w:color="C4DEEE"/>
          </w:divBdr>
        </w:div>
        <w:div w:id="1022173238">
          <w:marLeft w:val="0"/>
          <w:marRight w:val="0"/>
          <w:marTop w:val="0"/>
          <w:marBottom w:val="0"/>
          <w:divBdr>
            <w:top w:val="none" w:sz="0" w:space="0" w:color="C4DEEE"/>
            <w:left w:val="none" w:sz="0" w:space="0" w:color="C4DEEE"/>
            <w:bottom w:val="none" w:sz="0" w:space="0" w:color="C4DEEE"/>
            <w:right w:val="none" w:sz="0" w:space="0" w:color="C4DEEE"/>
          </w:divBdr>
          <w:divsChild>
            <w:div w:id="539167563">
              <w:marLeft w:val="0"/>
              <w:marRight w:val="0"/>
              <w:marTop w:val="0"/>
              <w:marBottom w:val="0"/>
              <w:divBdr>
                <w:top w:val="none" w:sz="0" w:space="0" w:color="C4DEEE"/>
                <w:left w:val="none" w:sz="0" w:space="0" w:color="C4DEEE"/>
                <w:bottom w:val="none" w:sz="0" w:space="0" w:color="C4DEEE"/>
                <w:right w:val="none" w:sz="0" w:space="0" w:color="C4DEEE"/>
              </w:divBdr>
            </w:div>
          </w:divsChild>
        </w:div>
        <w:div w:id="1135178021">
          <w:marLeft w:val="0"/>
          <w:marRight w:val="0"/>
          <w:marTop w:val="0"/>
          <w:marBottom w:val="0"/>
          <w:divBdr>
            <w:top w:val="none" w:sz="0" w:space="0" w:color="C4DEEE"/>
            <w:left w:val="none" w:sz="0" w:space="0" w:color="C4DEEE"/>
            <w:bottom w:val="none" w:sz="0" w:space="0" w:color="C4DEEE"/>
            <w:right w:val="none" w:sz="0" w:space="0" w:color="C4DEEE"/>
          </w:divBdr>
          <w:divsChild>
            <w:div w:id="1219055400">
              <w:marLeft w:val="0"/>
              <w:marRight w:val="0"/>
              <w:marTop w:val="0"/>
              <w:marBottom w:val="0"/>
              <w:divBdr>
                <w:top w:val="none" w:sz="0" w:space="0" w:color="C4DEEE"/>
                <w:left w:val="none" w:sz="0" w:space="0" w:color="C4DEEE"/>
                <w:bottom w:val="none" w:sz="0" w:space="0" w:color="C4DEEE"/>
                <w:right w:val="none" w:sz="0" w:space="0" w:color="C4DEEE"/>
              </w:divBdr>
            </w:div>
          </w:divsChild>
        </w:div>
        <w:div w:id="1174493961">
          <w:marLeft w:val="0"/>
          <w:marRight w:val="0"/>
          <w:marTop w:val="0"/>
          <w:marBottom w:val="0"/>
          <w:divBdr>
            <w:top w:val="none" w:sz="0" w:space="0" w:color="C4DEEE"/>
            <w:left w:val="none" w:sz="0" w:space="0" w:color="C4DEEE"/>
            <w:bottom w:val="none" w:sz="0" w:space="0" w:color="C4DEEE"/>
            <w:right w:val="none" w:sz="0" w:space="0" w:color="C4DEEE"/>
          </w:divBdr>
        </w:div>
      </w:divsChild>
    </w:div>
    <w:div w:id="1108045607">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14929130">
      <w:bodyDiv w:val="1"/>
      <w:marLeft w:val="0"/>
      <w:marRight w:val="0"/>
      <w:marTop w:val="0"/>
      <w:marBottom w:val="0"/>
      <w:divBdr>
        <w:top w:val="none" w:sz="0" w:space="0" w:color="auto"/>
        <w:left w:val="none" w:sz="0" w:space="0" w:color="auto"/>
        <w:bottom w:val="none" w:sz="0" w:space="0" w:color="auto"/>
        <w:right w:val="none" w:sz="0" w:space="0" w:color="auto"/>
      </w:divBdr>
    </w:div>
    <w:div w:id="1235237551">
      <w:bodyDiv w:val="1"/>
      <w:marLeft w:val="0"/>
      <w:marRight w:val="0"/>
      <w:marTop w:val="0"/>
      <w:marBottom w:val="0"/>
      <w:divBdr>
        <w:top w:val="none" w:sz="0" w:space="0" w:color="auto"/>
        <w:left w:val="none" w:sz="0" w:space="0" w:color="auto"/>
        <w:bottom w:val="none" w:sz="0" w:space="0" w:color="auto"/>
        <w:right w:val="none" w:sz="0" w:space="0" w:color="auto"/>
      </w:divBdr>
    </w:div>
    <w:div w:id="1314991801">
      <w:bodyDiv w:val="1"/>
      <w:marLeft w:val="0"/>
      <w:marRight w:val="0"/>
      <w:marTop w:val="0"/>
      <w:marBottom w:val="0"/>
      <w:divBdr>
        <w:top w:val="none" w:sz="0" w:space="0" w:color="auto"/>
        <w:left w:val="none" w:sz="0" w:space="0" w:color="auto"/>
        <w:bottom w:val="none" w:sz="0" w:space="0" w:color="auto"/>
        <w:right w:val="none" w:sz="0" w:space="0" w:color="auto"/>
      </w:divBdr>
    </w:div>
    <w:div w:id="1399012284">
      <w:bodyDiv w:val="1"/>
      <w:marLeft w:val="0"/>
      <w:marRight w:val="0"/>
      <w:marTop w:val="0"/>
      <w:marBottom w:val="0"/>
      <w:divBdr>
        <w:top w:val="none" w:sz="0" w:space="0" w:color="auto"/>
        <w:left w:val="none" w:sz="0" w:space="0" w:color="auto"/>
        <w:bottom w:val="none" w:sz="0" w:space="0" w:color="auto"/>
        <w:right w:val="none" w:sz="0" w:space="0" w:color="auto"/>
      </w:divBdr>
      <w:divsChild>
        <w:div w:id="346249935">
          <w:marLeft w:val="0"/>
          <w:marRight w:val="0"/>
          <w:marTop w:val="0"/>
          <w:marBottom w:val="0"/>
          <w:divBdr>
            <w:top w:val="none" w:sz="0" w:space="0" w:color="C4DEEE"/>
            <w:left w:val="none" w:sz="0" w:space="0" w:color="C4DEEE"/>
            <w:bottom w:val="none" w:sz="0" w:space="0" w:color="C4DEEE"/>
            <w:right w:val="none" w:sz="0" w:space="0" w:color="C4DEEE"/>
          </w:divBdr>
          <w:divsChild>
            <w:div w:id="1904831406">
              <w:marLeft w:val="0"/>
              <w:marRight w:val="0"/>
              <w:marTop w:val="0"/>
              <w:marBottom w:val="0"/>
              <w:divBdr>
                <w:top w:val="none" w:sz="0" w:space="0" w:color="C4DEEE"/>
                <w:left w:val="none" w:sz="0" w:space="0" w:color="C4DEEE"/>
                <w:bottom w:val="none" w:sz="0" w:space="0" w:color="C4DEEE"/>
                <w:right w:val="none" w:sz="0" w:space="0" w:color="C4DEEE"/>
              </w:divBdr>
            </w:div>
          </w:divsChild>
        </w:div>
        <w:div w:id="1332218343">
          <w:marLeft w:val="0"/>
          <w:marRight w:val="0"/>
          <w:marTop w:val="0"/>
          <w:marBottom w:val="0"/>
          <w:divBdr>
            <w:top w:val="none" w:sz="0" w:space="0" w:color="C4DEEE"/>
            <w:left w:val="none" w:sz="0" w:space="0" w:color="C4DEEE"/>
            <w:bottom w:val="none" w:sz="0" w:space="0" w:color="C4DEEE"/>
            <w:right w:val="none" w:sz="0" w:space="0" w:color="C4DEEE"/>
          </w:divBdr>
          <w:divsChild>
            <w:div w:id="1209031865">
              <w:marLeft w:val="0"/>
              <w:marRight w:val="0"/>
              <w:marTop w:val="0"/>
              <w:marBottom w:val="0"/>
              <w:divBdr>
                <w:top w:val="none" w:sz="0" w:space="0" w:color="C4DEEE"/>
                <w:left w:val="none" w:sz="0" w:space="0" w:color="C4DEEE"/>
                <w:bottom w:val="none" w:sz="0" w:space="0" w:color="C4DEEE"/>
                <w:right w:val="none" w:sz="0" w:space="0" w:color="C4DEEE"/>
              </w:divBdr>
            </w:div>
          </w:divsChild>
        </w:div>
        <w:div w:id="2082210278">
          <w:marLeft w:val="0"/>
          <w:marRight w:val="0"/>
          <w:marTop w:val="0"/>
          <w:marBottom w:val="0"/>
          <w:divBdr>
            <w:top w:val="none" w:sz="0" w:space="2" w:color="C4DEEE"/>
            <w:left w:val="none" w:sz="0" w:space="15" w:color="C4DEEE"/>
            <w:bottom w:val="none" w:sz="0" w:space="2" w:color="C4DEEE"/>
            <w:right w:val="none" w:sz="0" w:space="2" w:color="C4DEEE"/>
          </w:divBdr>
        </w:div>
        <w:div w:id="2107069212">
          <w:marLeft w:val="0"/>
          <w:marRight w:val="0"/>
          <w:marTop w:val="0"/>
          <w:marBottom w:val="0"/>
          <w:divBdr>
            <w:top w:val="none" w:sz="0" w:space="0" w:color="C4DEEE"/>
            <w:left w:val="none" w:sz="0" w:space="0" w:color="C4DEEE"/>
            <w:bottom w:val="none" w:sz="0" w:space="0" w:color="C4DEEE"/>
            <w:right w:val="none" w:sz="0" w:space="0" w:color="C4DEEE"/>
          </w:divBdr>
        </w:div>
      </w:divsChild>
    </w:div>
    <w:div w:id="1435401474">
      <w:bodyDiv w:val="1"/>
      <w:marLeft w:val="0"/>
      <w:marRight w:val="0"/>
      <w:marTop w:val="0"/>
      <w:marBottom w:val="0"/>
      <w:divBdr>
        <w:top w:val="none" w:sz="0" w:space="0" w:color="auto"/>
        <w:left w:val="none" w:sz="0" w:space="0" w:color="auto"/>
        <w:bottom w:val="none" w:sz="0" w:space="0" w:color="auto"/>
        <w:right w:val="none" w:sz="0" w:space="0" w:color="auto"/>
      </w:divBdr>
    </w:div>
    <w:div w:id="1443376464">
      <w:bodyDiv w:val="1"/>
      <w:marLeft w:val="0"/>
      <w:marRight w:val="0"/>
      <w:marTop w:val="0"/>
      <w:marBottom w:val="0"/>
      <w:divBdr>
        <w:top w:val="none" w:sz="0" w:space="0" w:color="auto"/>
        <w:left w:val="none" w:sz="0" w:space="0" w:color="auto"/>
        <w:bottom w:val="none" w:sz="0" w:space="0" w:color="auto"/>
        <w:right w:val="none" w:sz="0" w:space="0" w:color="auto"/>
      </w:divBdr>
    </w:div>
    <w:div w:id="1658605502">
      <w:bodyDiv w:val="1"/>
      <w:marLeft w:val="0"/>
      <w:marRight w:val="0"/>
      <w:marTop w:val="0"/>
      <w:marBottom w:val="0"/>
      <w:divBdr>
        <w:top w:val="none" w:sz="0" w:space="0" w:color="auto"/>
        <w:left w:val="none" w:sz="0" w:space="0" w:color="auto"/>
        <w:bottom w:val="none" w:sz="0" w:space="0" w:color="auto"/>
        <w:right w:val="none" w:sz="0" w:space="0" w:color="auto"/>
      </w:divBdr>
    </w:div>
    <w:div w:id="1840927013">
      <w:bodyDiv w:val="1"/>
      <w:marLeft w:val="0"/>
      <w:marRight w:val="0"/>
      <w:marTop w:val="0"/>
      <w:marBottom w:val="0"/>
      <w:divBdr>
        <w:top w:val="none" w:sz="0" w:space="0" w:color="auto"/>
        <w:left w:val="none" w:sz="0" w:space="0" w:color="auto"/>
        <w:bottom w:val="none" w:sz="0" w:space="0" w:color="auto"/>
        <w:right w:val="none" w:sz="0" w:space="0" w:color="auto"/>
      </w:divBdr>
    </w:div>
    <w:div w:id="1997294646">
      <w:bodyDiv w:val="1"/>
      <w:marLeft w:val="0"/>
      <w:marRight w:val="0"/>
      <w:marTop w:val="0"/>
      <w:marBottom w:val="0"/>
      <w:divBdr>
        <w:top w:val="none" w:sz="0" w:space="0" w:color="auto"/>
        <w:left w:val="none" w:sz="0" w:space="0" w:color="auto"/>
        <w:bottom w:val="none" w:sz="0" w:space="0" w:color="auto"/>
        <w:right w:val="none" w:sz="0" w:space="0" w:color="auto"/>
      </w:divBdr>
    </w:div>
    <w:div w:id="20263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www.pbs.gov.au/pbs/home" TargetMode="External"/><Relationship Id="rId18" Type="http://schemas.openxmlformats.org/officeDocument/2006/relationships/hyperlink" Target="https://www.pbs.gov.au/industry/listing/elements/pbac-meetings/pbac-outcomes/2021-03/march-2021-pbac-web-outcomes.pdf"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hyperlink" Target="https://www.pbs.gov.au/info/industry/listing/elements/pbac-meetings/psd/2011-03/pbac-psd-imatinib-march11" TargetMode="External"/><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bs.gov.au/info/industry/listing/elements/pbac-meetings/psd/2009-07/pbac-psd-sunitinib-jul09" TargetMode="External"/><Relationship Id="rId20" Type="http://schemas.openxmlformats.org/officeDocument/2006/relationships/hyperlink" Target="https://www.pbs.gov.au/info/industry/listing/participants/public-release-docs/2017-02/imatinib-gastrointestinal-stromal-tumour-feb-20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entral.health\DFSGroupData\Sites\CO1\CO\PBD\PEB\EVAL\DUSC\DUSC%20Documents\Predicted%20vs%20actual%20usage\pbs.gov.au" TargetMode="External"/><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hyperlink" Target="http://www.pbs.gov.au/pbs/home" TargetMode="External"/><Relationship Id="rId19" Type="http://schemas.openxmlformats.org/officeDocument/2006/relationships/hyperlink" Target="https://www.pbs.gov.au/info/industry/listing/elements/pbac-meetings/psd/2021-07/ripretinib-tablet-50-mg-qinloc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file:///\\central.health\DFSGroupData\Sites\CO1\CO\PBD\PEB\EVAL\DUSC\DUSC%20Documents\Predicted%20vs%20actual%20usage\pbs.gov.au"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medicareaustralia.gov.au/provider/pbs/stats.jsp" TargetMode="External"/><Relationship Id="rId1" Type="http://schemas.openxmlformats.org/officeDocument/2006/relationships/hyperlink" Target="https://gicancer.org.au/cancer/gastro-intestinal-stromal-tumour-gis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GIST%20review/D%20GIST%20revi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GIST%20review/D%20GIST%20revie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GIST%20review/gist%20revie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GIST%20review/D%20GIST%20revie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GIST%20review/D%20GIST%20revie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GIST%20review/D%20GIST%20review.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GIST%20review/D%20GIST%20review.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[gist review.xlsx]Overall GIST!PivotTable8</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'Overall GIST'!$Q$1</c:f>
              <c:strCache>
                <c:ptCount val="1"/>
                <c:pt idx="0">
                  <c:v>Initating patients</c:v>
                </c:pt>
              </c:strCache>
            </c:strRef>
          </c:tx>
          <c:spPr>
            <a:ln w="28575" cap="rnd">
              <a:solidFill>
                <a:schemeClr val="accent1"/>
              </a:solidFill>
              <a:round/>
            </a:ln>
            <a:effectLst/>
          </c:spPr>
          <c:marker>
            <c:symbol val="none"/>
          </c:marker>
          <c:cat>
            <c:strRef>
              <c:f>'Overall GIST'!$P$2:$P$29</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'Overall GIST'!$Q$2:$Q$29</c:f>
              <c:numCache>
                <c:formatCode>_-* #,##0_-;\-* #,##0_-;_-* "-"??_-;_-@_-</c:formatCode>
                <c:ptCount val="27"/>
                <c:pt idx="0">
                  <c:v>60</c:v>
                </c:pt>
                <c:pt idx="1">
                  <c:v>63</c:v>
                </c:pt>
                <c:pt idx="2">
                  <c:v>60</c:v>
                </c:pt>
                <c:pt idx="3">
                  <c:v>54</c:v>
                </c:pt>
                <c:pt idx="4">
                  <c:v>37</c:v>
                </c:pt>
                <c:pt idx="5">
                  <c:v>54</c:v>
                </c:pt>
                <c:pt idx="6">
                  <c:v>63</c:v>
                </c:pt>
                <c:pt idx="7">
                  <c:v>83</c:v>
                </c:pt>
                <c:pt idx="8">
                  <c:v>93</c:v>
                </c:pt>
                <c:pt idx="9">
                  <c:v>67</c:v>
                </c:pt>
                <c:pt idx="10">
                  <c:v>62</c:v>
                </c:pt>
                <c:pt idx="11">
                  <c:v>67</c:v>
                </c:pt>
                <c:pt idx="12">
                  <c:v>70</c:v>
                </c:pt>
                <c:pt idx="13">
                  <c:v>54</c:v>
                </c:pt>
                <c:pt idx="14">
                  <c:v>71</c:v>
                </c:pt>
                <c:pt idx="15">
                  <c:v>100</c:v>
                </c:pt>
                <c:pt idx="16">
                  <c:v>122</c:v>
                </c:pt>
                <c:pt idx="17">
                  <c:v>129</c:v>
                </c:pt>
                <c:pt idx="18">
                  <c:v>117</c:v>
                </c:pt>
                <c:pt idx="19">
                  <c:v>105</c:v>
                </c:pt>
                <c:pt idx="20">
                  <c:v>95</c:v>
                </c:pt>
                <c:pt idx="21">
                  <c:v>107</c:v>
                </c:pt>
                <c:pt idx="22">
                  <c:v>80</c:v>
                </c:pt>
                <c:pt idx="23">
                  <c:v>106</c:v>
                </c:pt>
                <c:pt idx="24">
                  <c:v>93</c:v>
                </c:pt>
                <c:pt idx="25">
                  <c:v>90</c:v>
                </c:pt>
                <c:pt idx="26">
                  <c:v>84</c:v>
                </c:pt>
              </c:numCache>
            </c:numRef>
          </c:val>
          <c:smooth val="0"/>
          <c:extLst>
            <c:ext xmlns:c16="http://schemas.microsoft.com/office/drawing/2014/chart" uri="{C3380CC4-5D6E-409C-BE32-E72D297353CC}">
              <c16:uniqueId val="{00000000-30DE-459C-9FA2-4DFA7636496C}"/>
            </c:ext>
          </c:extLst>
        </c:ser>
        <c:ser>
          <c:idx val="1"/>
          <c:order val="1"/>
          <c:tx>
            <c:strRef>
              <c:f>'Overall GIST'!$R$1</c:f>
              <c:strCache>
                <c:ptCount val="1"/>
                <c:pt idx="0">
                  <c:v>Prevalent patients</c:v>
                </c:pt>
              </c:strCache>
            </c:strRef>
          </c:tx>
          <c:spPr>
            <a:ln w="28575" cap="rnd">
              <a:solidFill>
                <a:schemeClr val="accent2"/>
              </a:solidFill>
              <a:round/>
            </a:ln>
            <a:effectLst/>
          </c:spPr>
          <c:marker>
            <c:symbol val="none"/>
          </c:marker>
          <c:cat>
            <c:strRef>
              <c:f>'Overall GIST'!$P$2:$P$29</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'Overall GIST'!$R$2:$R$29</c:f>
              <c:numCache>
                <c:formatCode>_-* #,##0_-;\-* #,##0_-;_-* "-"??_-;_-@_-</c:formatCode>
                <c:ptCount val="27"/>
                <c:pt idx="0">
                  <c:v>658</c:v>
                </c:pt>
                <c:pt idx="1">
                  <c:v>687</c:v>
                </c:pt>
                <c:pt idx="2">
                  <c:v>692</c:v>
                </c:pt>
                <c:pt idx="3">
                  <c:v>686</c:v>
                </c:pt>
                <c:pt idx="4">
                  <c:v>684</c:v>
                </c:pt>
                <c:pt idx="5">
                  <c:v>686</c:v>
                </c:pt>
                <c:pt idx="6">
                  <c:v>695</c:v>
                </c:pt>
                <c:pt idx="7">
                  <c:v>676</c:v>
                </c:pt>
                <c:pt idx="8">
                  <c:v>676</c:v>
                </c:pt>
                <c:pt idx="9">
                  <c:v>644</c:v>
                </c:pt>
                <c:pt idx="10">
                  <c:v>666</c:v>
                </c:pt>
                <c:pt idx="11">
                  <c:v>663</c:v>
                </c:pt>
                <c:pt idx="12">
                  <c:v>656</c:v>
                </c:pt>
                <c:pt idx="13">
                  <c:v>659</c:v>
                </c:pt>
                <c:pt idx="14">
                  <c:v>678</c:v>
                </c:pt>
                <c:pt idx="15">
                  <c:v>739</c:v>
                </c:pt>
                <c:pt idx="16">
                  <c:v>834</c:v>
                </c:pt>
                <c:pt idx="17">
                  <c:v>913</c:v>
                </c:pt>
                <c:pt idx="18">
                  <c:v>968</c:v>
                </c:pt>
                <c:pt idx="19">
                  <c:v>976</c:v>
                </c:pt>
                <c:pt idx="20">
                  <c:v>941</c:v>
                </c:pt>
                <c:pt idx="21">
                  <c:v>941</c:v>
                </c:pt>
                <c:pt idx="22">
                  <c:v>945</c:v>
                </c:pt>
                <c:pt idx="23">
                  <c:v>968</c:v>
                </c:pt>
                <c:pt idx="24">
                  <c:v>982</c:v>
                </c:pt>
                <c:pt idx="25">
                  <c:v>984</c:v>
                </c:pt>
                <c:pt idx="26">
                  <c:v>969</c:v>
                </c:pt>
              </c:numCache>
            </c:numRef>
          </c:val>
          <c:smooth val="0"/>
          <c:extLst>
            <c:ext xmlns:c16="http://schemas.microsoft.com/office/drawing/2014/chart" uri="{C3380CC4-5D6E-409C-BE32-E72D297353CC}">
              <c16:uniqueId val="{00000001-30DE-459C-9FA2-4DFA7636496C}"/>
            </c:ext>
          </c:extLst>
        </c:ser>
        <c:dLbls>
          <c:showLegendKey val="0"/>
          <c:showVal val="0"/>
          <c:showCatName val="0"/>
          <c:showSerName val="0"/>
          <c:showPercent val="0"/>
          <c:showBubbleSize val="0"/>
        </c:dLbls>
        <c:marker val="1"/>
        <c:smooth val="0"/>
        <c:axId val="747206968"/>
        <c:axId val="747204808"/>
      </c:lineChart>
      <c:lineChart>
        <c:grouping val="stacked"/>
        <c:varyColors val="0"/>
        <c:ser>
          <c:idx val="2"/>
          <c:order val="2"/>
          <c:tx>
            <c:strRef>
              <c:f>'Overall GIST'!$S$1</c:f>
              <c:strCache>
                <c:ptCount val="1"/>
                <c:pt idx="0">
                  <c:v>Prescriptions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'Overall GIST'!$P$2:$P$29</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'Overall GIST'!$S$2:$S$29</c:f>
              <c:numCache>
                <c:formatCode>_-* #,##0_-;\-* #,##0_-;_-* "-"??_-;_-@_-</c:formatCode>
                <c:ptCount val="27"/>
                <c:pt idx="0">
                  <c:v>1821</c:v>
                </c:pt>
                <c:pt idx="1">
                  <c:v>1913</c:v>
                </c:pt>
                <c:pt idx="2">
                  <c:v>1994</c:v>
                </c:pt>
                <c:pt idx="3">
                  <c:v>1891</c:v>
                </c:pt>
                <c:pt idx="4">
                  <c:v>1843</c:v>
                </c:pt>
                <c:pt idx="5">
                  <c:v>1943</c:v>
                </c:pt>
                <c:pt idx="6">
                  <c:v>1941</c:v>
                </c:pt>
                <c:pt idx="7">
                  <c:v>1710</c:v>
                </c:pt>
                <c:pt idx="8">
                  <c:v>1809</c:v>
                </c:pt>
                <c:pt idx="9">
                  <c:v>1574</c:v>
                </c:pt>
                <c:pt idx="10">
                  <c:v>1702</c:v>
                </c:pt>
                <c:pt idx="11">
                  <c:v>1744</c:v>
                </c:pt>
                <c:pt idx="12">
                  <c:v>1711</c:v>
                </c:pt>
                <c:pt idx="13">
                  <c:v>1674</c:v>
                </c:pt>
                <c:pt idx="14">
                  <c:v>1799</c:v>
                </c:pt>
                <c:pt idx="15">
                  <c:v>1866</c:v>
                </c:pt>
                <c:pt idx="16">
                  <c:v>2025</c:v>
                </c:pt>
                <c:pt idx="17">
                  <c:v>2333</c:v>
                </c:pt>
                <c:pt idx="18">
                  <c:v>2489</c:v>
                </c:pt>
                <c:pt idx="19">
                  <c:v>2559</c:v>
                </c:pt>
                <c:pt idx="20">
                  <c:v>2436</c:v>
                </c:pt>
                <c:pt idx="21">
                  <c:v>2426</c:v>
                </c:pt>
                <c:pt idx="22">
                  <c:v>2534</c:v>
                </c:pt>
                <c:pt idx="23">
                  <c:v>2544</c:v>
                </c:pt>
                <c:pt idx="24">
                  <c:v>2513</c:v>
                </c:pt>
                <c:pt idx="25">
                  <c:v>2545</c:v>
                </c:pt>
                <c:pt idx="26">
                  <c:v>2507</c:v>
                </c:pt>
              </c:numCache>
            </c:numRef>
          </c:val>
          <c:smooth val="0"/>
          <c:extLst>
            <c:ext xmlns:c16="http://schemas.microsoft.com/office/drawing/2014/chart" uri="{C3380CC4-5D6E-409C-BE32-E72D297353CC}">
              <c16:uniqueId val="{00000002-30DE-459C-9FA2-4DFA7636496C}"/>
            </c:ext>
          </c:extLst>
        </c:ser>
        <c:dLbls>
          <c:showLegendKey val="0"/>
          <c:showVal val="0"/>
          <c:showCatName val="0"/>
          <c:showSerName val="0"/>
          <c:showPercent val="0"/>
          <c:showBubbleSize val="0"/>
        </c:dLbls>
        <c:marker val="1"/>
        <c:smooth val="0"/>
        <c:axId val="1174319496"/>
        <c:axId val="1174319136"/>
      </c:lineChart>
      <c:catAx>
        <c:axId val="747206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204808"/>
        <c:crosses val="autoZero"/>
        <c:auto val="1"/>
        <c:lblAlgn val="ctr"/>
        <c:lblOffset val="100"/>
        <c:noMultiLvlLbl val="0"/>
      </c:catAx>
      <c:valAx>
        <c:axId val="747204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206968"/>
        <c:crosses val="autoZero"/>
        <c:crossBetween val="between"/>
      </c:valAx>
      <c:valAx>
        <c:axId val="11743191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4319496"/>
        <c:crosses val="max"/>
        <c:crossBetween val="between"/>
      </c:valAx>
      <c:catAx>
        <c:axId val="1174319496"/>
        <c:scaling>
          <c:orientation val="minMax"/>
        </c:scaling>
        <c:delete val="1"/>
        <c:axPos val="b"/>
        <c:numFmt formatCode="General" sourceLinked="1"/>
        <c:majorTickMark val="out"/>
        <c:minorTickMark val="none"/>
        <c:tickLblPos val="nextTo"/>
        <c:crossAx val="11743191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 GIST review.xlsx]Sheet2!PivotTable23</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3">
                <a:alpha val="96000"/>
              </a:schemeClr>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tx2">
                <a:alpha val="99000"/>
              </a:schemeClr>
            </a:solidFill>
            <a:round/>
          </a:ln>
          <a:effectLst/>
        </c:spPr>
        <c:marker>
          <c:symbol val="circle"/>
          <c:size val="5"/>
          <c:spPr>
            <a:solidFill>
              <a:schemeClr val="tx2"/>
            </a:solidFill>
            <a:ln w="9525">
              <a:solidFill>
                <a:schemeClr val="tx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3">
                <a:alpha val="96000"/>
              </a:schemeClr>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tx2">
                <a:alpha val="99000"/>
              </a:schemeClr>
            </a:solidFill>
            <a:round/>
          </a:ln>
          <a:effectLst/>
        </c:spPr>
        <c:marker>
          <c:symbol val="circle"/>
          <c:size val="5"/>
          <c:spPr>
            <a:solidFill>
              <a:schemeClr val="tx2"/>
            </a:solidFill>
            <a:ln w="9525">
              <a:solidFill>
                <a:schemeClr val="tx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3">
                <a:alpha val="96000"/>
              </a:schemeClr>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2">
                <a:alpha val="99000"/>
              </a:schemeClr>
            </a:solidFill>
            <a:round/>
          </a:ln>
          <a:effectLst/>
        </c:spPr>
        <c:marker>
          <c:symbol val="circle"/>
          <c:size val="5"/>
          <c:spPr>
            <a:solidFill>
              <a:schemeClr val="tx2"/>
            </a:solidFill>
            <a:ln w="9525">
              <a:solidFill>
                <a:schemeClr val="tx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Sheet2!$N$1:$N$3</c:f>
              <c:strCache>
                <c:ptCount val="1"/>
                <c:pt idx="0">
                  <c:v>Adjuvant  - Initiating patients</c:v>
                </c:pt>
              </c:strCache>
            </c:strRef>
          </c:tx>
          <c:spPr>
            <a:ln w="28575" cap="rnd">
              <a:solidFill>
                <a:schemeClr val="accent1"/>
              </a:solidFill>
              <a:round/>
            </a:ln>
            <a:effectLst/>
          </c:spPr>
          <c:marker>
            <c:symbol val="none"/>
          </c:marker>
          <c:cat>
            <c:strRef>
              <c:f>Sheet2!$M$4:$M$31</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Sheet2!$N$4:$N$31</c:f>
              <c:numCache>
                <c:formatCode>General</c:formatCode>
                <c:ptCount val="27"/>
                <c:pt idx="0">
                  <c:v>25</c:v>
                </c:pt>
                <c:pt idx="1">
                  <c:v>25</c:v>
                </c:pt>
                <c:pt idx="2">
                  <c:v>33</c:v>
                </c:pt>
                <c:pt idx="3">
                  <c:v>26</c:v>
                </c:pt>
                <c:pt idx="4">
                  <c:v>15</c:v>
                </c:pt>
                <c:pt idx="5">
                  <c:v>18</c:v>
                </c:pt>
                <c:pt idx="6">
                  <c:v>39</c:v>
                </c:pt>
                <c:pt idx="7">
                  <c:v>94</c:v>
                </c:pt>
                <c:pt idx="8">
                  <c:v>99</c:v>
                </c:pt>
                <c:pt idx="9">
                  <c:v>64</c:v>
                </c:pt>
                <c:pt idx="10">
                  <c:v>62</c:v>
                </c:pt>
                <c:pt idx="11">
                  <c:v>56</c:v>
                </c:pt>
                <c:pt idx="12">
                  <c:v>54</c:v>
                </c:pt>
                <c:pt idx="13">
                  <c:v>46</c:v>
                </c:pt>
                <c:pt idx="14">
                  <c:v>53</c:v>
                </c:pt>
                <c:pt idx="15">
                  <c:v>85</c:v>
                </c:pt>
                <c:pt idx="16">
                  <c:v>118</c:v>
                </c:pt>
                <c:pt idx="17">
                  <c:v>106</c:v>
                </c:pt>
                <c:pt idx="18">
                  <c:v>109</c:v>
                </c:pt>
                <c:pt idx="19">
                  <c:v>96</c:v>
                </c:pt>
                <c:pt idx="20">
                  <c:v>93</c:v>
                </c:pt>
                <c:pt idx="21">
                  <c:v>92</c:v>
                </c:pt>
                <c:pt idx="22">
                  <c:v>75</c:v>
                </c:pt>
                <c:pt idx="23">
                  <c:v>83</c:v>
                </c:pt>
                <c:pt idx="24">
                  <c:v>68</c:v>
                </c:pt>
                <c:pt idx="25">
                  <c:v>74</c:v>
                </c:pt>
                <c:pt idx="26">
                  <c:v>61</c:v>
                </c:pt>
              </c:numCache>
            </c:numRef>
          </c:val>
          <c:smooth val="0"/>
          <c:extLst>
            <c:ext xmlns:c16="http://schemas.microsoft.com/office/drawing/2014/chart" uri="{C3380CC4-5D6E-409C-BE32-E72D297353CC}">
              <c16:uniqueId val="{00000000-D9E2-4B22-B98D-A2C2F07761DD}"/>
            </c:ext>
          </c:extLst>
        </c:ser>
        <c:ser>
          <c:idx val="1"/>
          <c:order val="1"/>
          <c:tx>
            <c:strRef>
              <c:f>Sheet2!$O$1:$O$3</c:f>
              <c:strCache>
                <c:ptCount val="1"/>
                <c:pt idx="0">
                  <c:v>Adjuvant  - Prevalent patients</c:v>
                </c:pt>
              </c:strCache>
            </c:strRef>
          </c:tx>
          <c:spPr>
            <a:ln w="28575" cap="rnd">
              <a:solidFill>
                <a:schemeClr val="accent1">
                  <a:alpha val="96000"/>
                </a:schemeClr>
              </a:solidFill>
              <a:round/>
            </a:ln>
            <a:effectLst/>
          </c:spPr>
          <c:marker>
            <c:symbol val="circle"/>
            <c:size val="5"/>
            <c:spPr>
              <a:solidFill>
                <a:schemeClr val="accent1"/>
              </a:solidFill>
              <a:ln w="9525">
                <a:solidFill>
                  <a:schemeClr val="accent1"/>
                </a:solidFill>
              </a:ln>
              <a:effectLst/>
            </c:spPr>
          </c:marker>
          <c:cat>
            <c:strRef>
              <c:f>Sheet2!$M$4:$M$31</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Sheet2!$O$4:$O$31</c:f>
              <c:numCache>
                <c:formatCode>General</c:formatCode>
                <c:ptCount val="27"/>
                <c:pt idx="0">
                  <c:v>184</c:v>
                </c:pt>
                <c:pt idx="1">
                  <c:v>182</c:v>
                </c:pt>
                <c:pt idx="2">
                  <c:v>192</c:v>
                </c:pt>
                <c:pt idx="3">
                  <c:v>193</c:v>
                </c:pt>
                <c:pt idx="4">
                  <c:v>187</c:v>
                </c:pt>
                <c:pt idx="5">
                  <c:v>177</c:v>
                </c:pt>
                <c:pt idx="6">
                  <c:v>191</c:v>
                </c:pt>
                <c:pt idx="7">
                  <c:v>265</c:v>
                </c:pt>
                <c:pt idx="8">
                  <c:v>306</c:v>
                </c:pt>
                <c:pt idx="9">
                  <c:v>291</c:v>
                </c:pt>
                <c:pt idx="10">
                  <c:v>291</c:v>
                </c:pt>
                <c:pt idx="11">
                  <c:v>295</c:v>
                </c:pt>
                <c:pt idx="12">
                  <c:v>285</c:v>
                </c:pt>
                <c:pt idx="13">
                  <c:v>284</c:v>
                </c:pt>
                <c:pt idx="14">
                  <c:v>295</c:v>
                </c:pt>
                <c:pt idx="15">
                  <c:v>318</c:v>
                </c:pt>
                <c:pt idx="16">
                  <c:v>393</c:v>
                </c:pt>
                <c:pt idx="17">
                  <c:v>451</c:v>
                </c:pt>
                <c:pt idx="18">
                  <c:v>494</c:v>
                </c:pt>
                <c:pt idx="19">
                  <c:v>530</c:v>
                </c:pt>
                <c:pt idx="20">
                  <c:v>507</c:v>
                </c:pt>
                <c:pt idx="21">
                  <c:v>508</c:v>
                </c:pt>
                <c:pt idx="22">
                  <c:v>495</c:v>
                </c:pt>
                <c:pt idx="23">
                  <c:v>513</c:v>
                </c:pt>
                <c:pt idx="24">
                  <c:v>487</c:v>
                </c:pt>
                <c:pt idx="25">
                  <c:v>487</c:v>
                </c:pt>
                <c:pt idx="26">
                  <c:v>469</c:v>
                </c:pt>
              </c:numCache>
            </c:numRef>
          </c:val>
          <c:smooth val="0"/>
          <c:extLst>
            <c:ext xmlns:c16="http://schemas.microsoft.com/office/drawing/2014/chart" uri="{C3380CC4-5D6E-409C-BE32-E72D297353CC}">
              <c16:uniqueId val="{00000001-D9E2-4B22-B98D-A2C2F07761DD}"/>
            </c:ext>
          </c:extLst>
        </c:ser>
        <c:ser>
          <c:idx val="2"/>
          <c:order val="2"/>
          <c:tx>
            <c:strRef>
              <c:f>Sheet2!$P$1:$P$3</c:f>
              <c:strCache>
                <c:ptCount val="1"/>
                <c:pt idx="0">
                  <c:v>Metastatic - Initiating patients</c:v>
                </c:pt>
              </c:strCache>
            </c:strRef>
          </c:tx>
          <c:spPr>
            <a:ln w="28575" cap="rnd">
              <a:solidFill>
                <a:schemeClr val="accent2"/>
              </a:solidFill>
              <a:round/>
            </a:ln>
            <a:effectLst/>
          </c:spPr>
          <c:marker>
            <c:symbol val="none"/>
          </c:marker>
          <c:cat>
            <c:strRef>
              <c:f>Sheet2!$M$4:$M$31</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Sheet2!$P$4:$P$31</c:f>
              <c:numCache>
                <c:formatCode>General</c:formatCode>
                <c:ptCount val="27"/>
                <c:pt idx="0">
                  <c:v>43</c:v>
                </c:pt>
                <c:pt idx="1">
                  <c:v>47</c:v>
                </c:pt>
                <c:pt idx="2">
                  <c:v>38</c:v>
                </c:pt>
                <c:pt idx="3">
                  <c:v>34</c:v>
                </c:pt>
                <c:pt idx="4">
                  <c:v>31</c:v>
                </c:pt>
                <c:pt idx="5">
                  <c:v>40</c:v>
                </c:pt>
                <c:pt idx="6">
                  <c:v>41</c:v>
                </c:pt>
                <c:pt idx="7">
                  <c:v>55</c:v>
                </c:pt>
                <c:pt idx="8">
                  <c:v>49</c:v>
                </c:pt>
                <c:pt idx="9">
                  <c:v>44</c:v>
                </c:pt>
                <c:pt idx="10">
                  <c:v>40</c:v>
                </c:pt>
                <c:pt idx="11">
                  <c:v>43</c:v>
                </c:pt>
                <c:pt idx="12">
                  <c:v>44</c:v>
                </c:pt>
                <c:pt idx="13">
                  <c:v>41</c:v>
                </c:pt>
                <c:pt idx="14">
                  <c:v>47</c:v>
                </c:pt>
                <c:pt idx="15">
                  <c:v>56</c:v>
                </c:pt>
                <c:pt idx="16">
                  <c:v>46</c:v>
                </c:pt>
                <c:pt idx="17">
                  <c:v>62</c:v>
                </c:pt>
                <c:pt idx="18">
                  <c:v>51</c:v>
                </c:pt>
                <c:pt idx="19">
                  <c:v>65</c:v>
                </c:pt>
                <c:pt idx="20">
                  <c:v>47</c:v>
                </c:pt>
                <c:pt idx="21">
                  <c:v>53</c:v>
                </c:pt>
                <c:pt idx="22">
                  <c:v>45</c:v>
                </c:pt>
                <c:pt idx="23">
                  <c:v>61</c:v>
                </c:pt>
                <c:pt idx="24">
                  <c:v>59</c:v>
                </c:pt>
                <c:pt idx="25">
                  <c:v>48</c:v>
                </c:pt>
                <c:pt idx="26">
                  <c:v>53</c:v>
                </c:pt>
              </c:numCache>
            </c:numRef>
          </c:val>
          <c:smooth val="0"/>
          <c:extLst>
            <c:ext xmlns:c16="http://schemas.microsoft.com/office/drawing/2014/chart" uri="{C3380CC4-5D6E-409C-BE32-E72D297353CC}">
              <c16:uniqueId val="{00000002-D9E2-4B22-B98D-A2C2F07761DD}"/>
            </c:ext>
          </c:extLst>
        </c:ser>
        <c:ser>
          <c:idx val="3"/>
          <c:order val="3"/>
          <c:tx>
            <c:strRef>
              <c:f>Sheet2!$Q$1:$Q$3</c:f>
              <c:strCache>
                <c:ptCount val="1"/>
                <c:pt idx="0">
                  <c:v>Metastatic - Prevalent patients</c:v>
                </c:pt>
              </c:strCache>
            </c:strRef>
          </c:tx>
          <c:spPr>
            <a:ln w="28575" cap="rnd">
              <a:solidFill>
                <a:schemeClr val="accent2">
                  <a:alpha val="89000"/>
                </a:schemeClr>
              </a:solidFill>
              <a:round/>
            </a:ln>
            <a:effectLst/>
          </c:spPr>
          <c:marker>
            <c:symbol val="circle"/>
            <c:size val="5"/>
            <c:spPr>
              <a:solidFill>
                <a:schemeClr val="accent2"/>
              </a:solidFill>
              <a:ln w="9525">
                <a:solidFill>
                  <a:schemeClr val="accent2"/>
                </a:solidFill>
              </a:ln>
              <a:effectLst/>
            </c:spPr>
          </c:marker>
          <c:cat>
            <c:strRef>
              <c:f>Sheet2!$M$4:$M$31</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Sheet2!$Q$4:$Q$31</c:f>
              <c:numCache>
                <c:formatCode>General</c:formatCode>
                <c:ptCount val="27"/>
                <c:pt idx="0">
                  <c:v>477</c:v>
                </c:pt>
                <c:pt idx="1">
                  <c:v>507</c:v>
                </c:pt>
                <c:pt idx="2">
                  <c:v>507</c:v>
                </c:pt>
                <c:pt idx="3">
                  <c:v>497</c:v>
                </c:pt>
                <c:pt idx="4">
                  <c:v>501</c:v>
                </c:pt>
                <c:pt idx="5">
                  <c:v>511</c:v>
                </c:pt>
                <c:pt idx="6">
                  <c:v>513</c:v>
                </c:pt>
                <c:pt idx="7">
                  <c:v>454</c:v>
                </c:pt>
                <c:pt idx="8">
                  <c:v>401</c:v>
                </c:pt>
                <c:pt idx="9">
                  <c:v>388</c:v>
                </c:pt>
                <c:pt idx="10">
                  <c:v>405</c:v>
                </c:pt>
                <c:pt idx="11">
                  <c:v>408</c:v>
                </c:pt>
                <c:pt idx="12">
                  <c:v>412</c:v>
                </c:pt>
                <c:pt idx="13">
                  <c:v>414</c:v>
                </c:pt>
                <c:pt idx="14">
                  <c:v>418</c:v>
                </c:pt>
                <c:pt idx="15">
                  <c:v>461</c:v>
                </c:pt>
                <c:pt idx="16">
                  <c:v>480</c:v>
                </c:pt>
                <c:pt idx="17">
                  <c:v>506</c:v>
                </c:pt>
                <c:pt idx="18">
                  <c:v>516</c:v>
                </c:pt>
                <c:pt idx="19">
                  <c:v>507</c:v>
                </c:pt>
                <c:pt idx="20">
                  <c:v>485</c:v>
                </c:pt>
                <c:pt idx="21">
                  <c:v>492</c:v>
                </c:pt>
                <c:pt idx="22">
                  <c:v>510</c:v>
                </c:pt>
                <c:pt idx="23">
                  <c:v>524</c:v>
                </c:pt>
                <c:pt idx="24">
                  <c:v>556</c:v>
                </c:pt>
                <c:pt idx="25">
                  <c:v>547</c:v>
                </c:pt>
                <c:pt idx="26">
                  <c:v>544</c:v>
                </c:pt>
              </c:numCache>
            </c:numRef>
          </c:val>
          <c:smooth val="0"/>
          <c:extLst>
            <c:ext xmlns:c16="http://schemas.microsoft.com/office/drawing/2014/chart" uri="{C3380CC4-5D6E-409C-BE32-E72D297353CC}">
              <c16:uniqueId val="{00000003-D9E2-4B22-B98D-A2C2F07761DD}"/>
            </c:ext>
          </c:extLst>
        </c:ser>
        <c:dLbls>
          <c:showLegendKey val="0"/>
          <c:showVal val="0"/>
          <c:showCatName val="0"/>
          <c:showSerName val="0"/>
          <c:showPercent val="0"/>
          <c:showBubbleSize val="0"/>
        </c:dLbls>
        <c:smooth val="0"/>
        <c:axId val="1410487360"/>
        <c:axId val="1410487720"/>
      </c:lineChart>
      <c:catAx>
        <c:axId val="1410487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487720"/>
        <c:crosses val="autoZero"/>
        <c:auto val="1"/>
        <c:lblAlgn val="ctr"/>
        <c:lblOffset val="100"/>
        <c:noMultiLvlLbl val="0"/>
      </c:catAx>
      <c:valAx>
        <c:axId val="1410487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layout>
            <c:manualLayout>
              <c:xMode val="edge"/>
              <c:yMode val="edge"/>
              <c:x val="2.9333333333333333E-2"/>
              <c:y val="0.158607720376416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48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 GIST review.xlsx]Sheet2!PivotTable24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Sheet2!$N$39:$N$40</c:f>
              <c:strCache>
                <c:ptCount val="1"/>
                <c:pt idx="0">
                  <c:v>Adjuvant </c:v>
                </c:pt>
              </c:strCache>
            </c:strRef>
          </c:tx>
          <c:spPr>
            <a:ln w="28575" cap="rnd">
              <a:solidFill>
                <a:schemeClr val="accent1"/>
              </a:solidFill>
              <a:round/>
            </a:ln>
            <a:effectLst/>
          </c:spPr>
          <c:marker>
            <c:symbol val="none"/>
          </c:marker>
          <c:cat>
            <c:strRef>
              <c:f>Sheet2!$M$41:$M$68</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Sheet2!$N$41:$N$68</c:f>
              <c:numCache>
                <c:formatCode>_-* #,##0_-;\-* #,##0_-;_-* "-"??_-;_-@_-</c:formatCode>
                <c:ptCount val="27"/>
                <c:pt idx="0">
                  <c:v>468</c:v>
                </c:pt>
                <c:pt idx="1">
                  <c:v>454</c:v>
                </c:pt>
                <c:pt idx="2">
                  <c:v>520</c:v>
                </c:pt>
                <c:pt idx="3">
                  <c:v>483</c:v>
                </c:pt>
                <c:pt idx="4">
                  <c:v>472</c:v>
                </c:pt>
                <c:pt idx="5">
                  <c:v>478</c:v>
                </c:pt>
                <c:pt idx="6">
                  <c:v>493</c:v>
                </c:pt>
                <c:pt idx="7">
                  <c:v>624</c:v>
                </c:pt>
                <c:pt idx="8">
                  <c:v>778</c:v>
                </c:pt>
                <c:pt idx="9">
                  <c:v>687</c:v>
                </c:pt>
                <c:pt idx="10">
                  <c:v>733</c:v>
                </c:pt>
                <c:pt idx="11">
                  <c:v>757</c:v>
                </c:pt>
                <c:pt idx="12">
                  <c:v>701</c:v>
                </c:pt>
                <c:pt idx="13">
                  <c:v>709</c:v>
                </c:pt>
                <c:pt idx="14">
                  <c:v>764</c:v>
                </c:pt>
                <c:pt idx="15">
                  <c:v>750</c:v>
                </c:pt>
                <c:pt idx="16">
                  <c:v>907</c:v>
                </c:pt>
                <c:pt idx="17">
                  <c:v>1097</c:v>
                </c:pt>
                <c:pt idx="18">
                  <c:v>1200</c:v>
                </c:pt>
                <c:pt idx="19">
                  <c:v>1352</c:v>
                </c:pt>
                <c:pt idx="20">
                  <c:v>1264</c:v>
                </c:pt>
                <c:pt idx="21">
                  <c:v>1223</c:v>
                </c:pt>
                <c:pt idx="22">
                  <c:v>1256</c:v>
                </c:pt>
                <c:pt idx="23">
                  <c:v>1276</c:v>
                </c:pt>
                <c:pt idx="24">
                  <c:v>1145</c:v>
                </c:pt>
                <c:pt idx="25">
                  <c:v>1185</c:v>
                </c:pt>
                <c:pt idx="26">
                  <c:v>1150</c:v>
                </c:pt>
              </c:numCache>
            </c:numRef>
          </c:val>
          <c:smooth val="0"/>
          <c:extLst>
            <c:ext xmlns:c16="http://schemas.microsoft.com/office/drawing/2014/chart" uri="{C3380CC4-5D6E-409C-BE32-E72D297353CC}">
              <c16:uniqueId val="{00000000-FF45-4D70-9213-8505EE4B8CC0}"/>
            </c:ext>
          </c:extLst>
        </c:ser>
        <c:ser>
          <c:idx val="1"/>
          <c:order val="1"/>
          <c:tx>
            <c:strRef>
              <c:f>Sheet2!$O$39:$O$40</c:f>
              <c:strCache>
                <c:ptCount val="1"/>
                <c:pt idx="0">
                  <c:v>Metastatic</c:v>
                </c:pt>
              </c:strCache>
            </c:strRef>
          </c:tx>
          <c:spPr>
            <a:ln w="28575" cap="rnd">
              <a:solidFill>
                <a:schemeClr val="accent2"/>
              </a:solidFill>
              <a:round/>
            </a:ln>
            <a:effectLst/>
          </c:spPr>
          <c:marker>
            <c:symbol val="none"/>
          </c:marker>
          <c:cat>
            <c:strRef>
              <c:f>Sheet2!$M$41:$M$68</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Sheet2!$O$41:$O$68</c:f>
              <c:numCache>
                <c:formatCode>_-* #,##0_-;\-* #,##0_-;_-* "-"??_-;_-@_-</c:formatCode>
                <c:ptCount val="27"/>
                <c:pt idx="0">
                  <c:v>1353</c:v>
                </c:pt>
                <c:pt idx="1">
                  <c:v>1459</c:v>
                </c:pt>
                <c:pt idx="2">
                  <c:v>1474</c:v>
                </c:pt>
                <c:pt idx="3">
                  <c:v>1408</c:v>
                </c:pt>
                <c:pt idx="4">
                  <c:v>1371</c:v>
                </c:pt>
                <c:pt idx="5">
                  <c:v>1465</c:v>
                </c:pt>
                <c:pt idx="6">
                  <c:v>1448</c:v>
                </c:pt>
                <c:pt idx="7">
                  <c:v>1086</c:v>
                </c:pt>
                <c:pt idx="8">
                  <c:v>1031</c:v>
                </c:pt>
                <c:pt idx="9">
                  <c:v>887</c:v>
                </c:pt>
                <c:pt idx="10">
                  <c:v>969</c:v>
                </c:pt>
                <c:pt idx="11">
                  <c:v>987</c:v>
                </c:pt>
                <c:pt idx="12">
                  <c:v>1010</c:v>
                </c:pt>
                <c:pt idx="13">
                  <c:v>965</c:v>
                </c:pt>
                <c:pt idx="14">
                  <c:v>1035</c:v>
                </c:pt>
                <c:pt idx="15">
                  <c:v>1116</c:v>
                </c:pt>
                <c:pt idx="16">
                  <c:v>1118</c:v>
                </c:pt>
                <c:pt idx="17">
                  <c:v>1236</c:v>
                </c:pt>
                <c:pt idx="18">
                  <c:v>1289</c:v>
                </c:pt>
                <c:pt idx="19">
                  <c:v>1207</c:v>
                </c:pt>
                <c:pt idx="20">
                  <c:v>1172</c:v>
                </c:pt>
                <c:pt idx="21">
                  <c:v>1203</c:v>
                </c:pt>
                <c:pt idx="22">
                  <c:v>1278</c:v>
                </c:pt>
                <c:pt idx="23">
                  <c:v>1268</c:v>
                </c:pt>
                <c:pt idx="24">
                  <c:v>1368</c:v>
                </c:pt>
                <c:pt idx="25">
                  <c:v>1360</c:v>
                </c:pt>
                <c:pt idx="26">
                  <c:v>1357</c:v>
                </c:pt>
              </c:numCache>
            </c:numRef>
          </c:val>
          <c:smooth val="0"/>
          <c:extLst>
            <c:ext xmlns:c16="http://schemas.microsoft.com/office/drawing/2014/chart" uri="{C3380CC4-5D6E-409C-BE32-E72D297353CC}">
              <c16:uniqueId val="{00000001-FF45-4D70-9213-8505EE4B8CC0}"/>
            </c:ext>
          </c:extLst>
        </c:ser>
        <c:dLbls>
          <c:showLegendKey val="0"/>
          <c:showVal val="0"/>
          <c:showCatName val="0"/>
          <c:showSerName val="0"/>
          <c:showPercent val="0"/>
          <c:showBubbleSize val="0"/>
        </c:dLbls>
        <c:smooth val="0"/>
        <c:axId val="1325801408"/>
        <c:axId val="1325800688"/>
      </c:lineChart>
      <c:catAx>
        <c:axId val="1325801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5800688"/>
        <c:crosses val="autoZero"/>
        <c:auto val="1"/>
        <c:lblAlgn val="ctr"/>
        <c:lblOffset val="100"/>
        <c:noMultiLvlLbl val="0"/>
      </c:catAx>
      <c:valAx>
        <c:axId val="132580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580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[gist review.xlsx]Metastatic drug!PivotTable11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'Metastatic drug'!$R$1:$R$2</c:f>
              <c:strCache>
                <c:ptCount val="1"/>
                <c:pt idx="0">
                  <c:v>IMATINIB</c:v>
                </c:pt>
              </c:strCache>
            </c:strRef>
          </c:tx>
          <c:spPr>
            <a:ln w="28575" cap="rnd">
              <a:solidFill>
                <a:schemeClr val="accent1"/>
              </a:solidFill>
              <a:round/>
            </a:ln>
            <a:effectLst/>
          </c:spPr>
          <c:marker>
            <c:symbol val="none"/>
          </c:marker>
          <c:cat>
            <c:strRef>
              <c:f>'Metastatic drug'!$Q$3:$Q$30</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'Metastatic drug'!$R$3:$R$30</c:f>
              <c:numCache>
                <c:formatCode>General</c:formatCode>
                <c:ptCount val="27"/>
                <c:pt idx="0">
                  <c:v>432</c:v>
                </c:pt>
                <c:pt idx="1">
                  <c:v>449</c:v>
                </c:pt>
                <c:pt idx="2">
                  <c:v>455</c:v>
                </c:pt>
                <c:pt idx="3">
                  <c:v>455</c:v>
                </c:pt>
                <c:pt idx="4">
                  <c:v>461</c:v>
                </c:pt>
                <c:pt idx="5">
                  <c:v>469</c:v>
                </c:pt>
                <c:pt idx="6">
                  <c:v>470</c:v>
                </c:pt>
                <c:pt idx="7">
                  <c:v>407</c:v>
                </c:pt>
                <c:pt idx="8">
                  <c:v>353</c:v>
                </c:pt>
                <c:pt idx="9">
                  <c:v>331</c:v>
                </c:pt>
                <c:pt idx="10">
                  <c:v>341</c:v>
                </c:pt>
                <c:pt idx="11">
                  <c:v>350</c:v>
                </c:pt>
                <c:pt idx="12">
                  <c:v>344</c:v>
                </c:pt>
                <c:pt idx="13">
                  <c:v>347</c:v>
                </c:pt>
                <c:pt idx="14">
                  <c:v>349</c:v>
                </c:pt>
                <c:pt idx="15">
                  <c:v>381</c:v>
                </c:pt>
                <c:pt idx="16">
                  <c:v>397</c:v>
                </c:pt>
                <c:pt idx="17">
                  <c:v>419</c:v>
                </c:pt>
                <c:pt idx="18">
                  <c:v>428</c:v>
                </c:pt>
                <c:pt idx="19">
                  <c:v>423</c:v>
                </c:pt>
                <c:pt idx="20">
                  <c:v>398</c:v>
                </c:pt>
                <c:pt idx="21">
                  <c:v>415</c:v>
                </c:pt>
                <c:pt idx="22">
                  <c:v>437</c:v>
                </c:pt>
                <c:pt idx="23">
                  <c:v>456</c:v>
                </c:pt>
                <c:pt idx="24">
                  <c:v>484</c:v>
                </c:pt>
                <c:pt idx="25">
                  <c:v>474</c:v>
                </c:pt>
                <c:pt idx="26">
                  <c:v>462</c:v>
                </c:pt>
              </c:numCache>
            </c:numRef>
          </c:val>
          <c:smooth val="0"/>
          <c:extLst>
            <c:ext xmlns:c16="http://schemas.microsoft.com/office/drawing/2014/chart" uri="{C3380CC4-5D6E-409C-BE32-E72D297353CC}">
              <c16:uniqueId val="{00000000-BC8C-4D6C-ACA2-722DA5B7CE76}"/>
            </c:ext>
          </c:extLst>
        </c:ser>
        <c:ser>
          <c:idx val="1"/>
          <c:order val="1"/>
          <c:tx>
            <c:strRef>
              <c:f>'Metastatic drug'!$S$1:$S$2</c:f>
              <c:strCache>
                <c:ptCount val="1"/>
                <c:pt idx="0">
                  <c:v>SUNITINIB</c:v>
                </c:pt>
              </c:strCache>
            </c:strRef>
          </c:tx>
          <c:spPr>
            <a:ln w="28575" cap="rnd">
              <a:solidFill>
                <a:schemeClr val="accent2"/>
              </a:solidFill>
              <a:round/>
            </a:ln>
            <a:effectLst/>
          </c:spPr>
          <c:marker>
            <c:symbol val="none"/>
          </c:marker>
          <c:cat>
            <c:strRef>
              <c:f>'Metastatic drug'!$Q$3:$Q$30</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'Metastatic drug'!$S$3:$S$30</c:f>
              <c:numCache>
                <c:formatCode>General</c:formatCode>
                <c:ptCount val="27"/>
                <c:pt idx="0">
                  <c:v>51</c:v>
                </c:pt>
                <c:pt idx="1">
                  <c:v>64</c:v>
                </c:pt>
                <c:pt idx="2">
                  <c:v>60</c:v>
                </c:pt>
                <c:pt idx="3">
                  <c:v>46</c:v>
                </c:pt>
                <c:pt idx="4">
                  <c:v>47</c:v>
                </c:pt>
                <c:pt idx="5">
                  <c:v>48</c:v>
                </c:pt>
                <c:pt idx="6">
                  <c:v>46</c:v>
                </c:pt>
                <c:pt idx="7">
                  <c:v>52</c:v>
                </c:pt>
                <c:pt idx="8">
                  <c:v>50</c:v>
                </c:pt>
                <c:pt idx="9">
                  <c:v>60</c:v>
                </c:pt>
                <c:pt idx="10">
                  <c:v>66</c:v>
                </c:pt>
                <c:pt idx="11">
                  <c:v>62</c:v>
                </c:pt>
                <c:pt idx="12">
                  <c:v>71</c:v>
                </c:pt>
                <c:pt idx="13">
                  <c:v>71</c:v>
                </c:pt>
                <c:pt idx="14">
                  <c:v>74</c:v>
                </c:pt>
                <c:pt idx="15">
                  <c:v>69</c:v>
                </c:pt>
                <c:pt idx="16">
                  <c:v>60</c:v>
                </c:pt>
                <c:pt idx="17">
                  <c:v>64</c:v>
                </c:pt>
                <c:pt idx="18">
                  <c:v>61</c:v>
                </c:pt>
                <c:pt idx="19">
                  <c:v>65</c:v>
                </c:pt>
                <c:pt idx="20">
                  <c:v>60</c:v>
                </c:pt>
                <c:pt idx="21">
                  <c:v>60</c:v>
                </c:pt>
                <c:pt idx="22">
                  <c:v>54</c:v>
                </c:pt>
                <c:pt idx="23">
                  <c:v>57</c:v>
                </c:pt>
                <c:pt idx="24">
                  <c:v>57</c:v>
                </c:pt>
                <c:pt idx="25">
                  <c:v>65</c:v>
                </c:pt>
                <c:pt idx="26">
                  <c:v>63</c:v>
                </c:pt>
              </c:numCache>
            </c:numRef>
          </c:val>
          <c:smooth val="0"/>
          <c:extLst>
            <c:ext xmlns:c16="http://schemas.microsoft.com/office/drawing/2014/chart" uri="{C3380CC4-5D6E-409C-BE32-E72D297353CC}">
              <c16:uniqueId val="{00000001-BC8C-4D6C-ACA2-722DA5B7CE76}"/>
            </c:ext>
          </c:extLst>
        </c:ser>
        <c:ser>
          <c:idx val="2"/>
          <c:order val="2"/>
          <c:tx>
            <c:strRef>
              <c:f>'Metastatic drug'!$T$1:$T$2</c:f>
              <c:strCache>
                <c:ptCount val="1"/>
                <c:pt idx="0">
                  <c:v>RIPRETINIB</c:v>
                </c:pt>
              </c:strCache>
            </c:strRef>
          </c:tx>
          <c:spPr>
            <a:ln w="28575" cap="rnd">
              <a:solidFill>
                <a:schemeClr val="accent3"/>
              </a:solidFill>
              <a:round/>
            </a:ln>
            <a:effectLst/>
          </c:spPr>
          <c:marker>
            <c:symbol val="none"/>
          </c:marker>
          <c:cat>
            <c:strRef>
              <c:f>'Metastatic drug'!$Q$3:$Q$30</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'Metastatic drug'!$T$3:$T$30</c:f>
              <c:numCache>
                <c:formatCode>General</c:formatCode>
                <c:ptCount val="27"/>
                <c:pt idx="15">
                  <c:v>27</c:v>
                </c:pt>
                <c:pt idx="16">
                  <c:v>39</c:v>
                </c:pt>
                <c:pt idx="17">
                  <c:v>50</c:v>
                </c:pt>
                <c:pt idx="18">
                  <c:v>49</c:v>
                </c:pt>
                <c:pt idx="19">
                  <c:v>48</c:v>
                </c:pt>
                <c:pt idx="20">
                  <c:v>44</c:v>
                </c:pt>
                <c:pt idx="21">
                  <c:v>42</c:v>
                </c:pt>
                <c:pt idx="22">
                  <c:v>43</c:v>
                </c:pt>
                <c:pt idx="23">
                  <c:v>34</c:v>
                </c:pt>
                <c:pt idx="24">
                  <c:v>40</c:v>
                </c:pt>
                <c:pt idx="25">
                  <c:v>39</c:v>
                </c:pt>
                <c:pt idx="26">
                  <c:v>50</c:v>
                </c:pt>
              </c:numCache>
            </c:numRef>
          </c:val>
          <c:smooth val="0"/>
          <c:extLst>
            <c:ext xmlns:c16="http://schemas.microsoft.com/office/drawing/2014/chart" uri="{C3380CC4-5D6E-409C-BE32-E72D297353CC}">
              <c16:uniqueId val="{00000002-BC8C-4D6C-ACA2-722DA5B7CE76}"/>
            </c:ext>
          </c:extLst>
        </c:ser>
        <c:dLbls>
          <c:showLegendKey val="0"/>
          <c:showVal val="0"/>
          <c:showCatName val="0"/>
          <c:showSerName val="0"/>
          <c:showPercent val="0"/>
          <c:showBubbleSize val="0"/>
        </c:dLbls>
        <c:smooth val="0"/>
        <c:axId val="1177535888"/>
        <c:axId val="1177538048"/>
      </c:lineChart>
      <c:catAx>
        <c:axId val="1177535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538048"/>
        <c:crosses val="autoZero"/>
        <c:auto val="1"/>
        <c:lblAlgn val="ctr"/>
        <c:lblOffset val="100"/>
        <c:noMultiLvlLbl val="0"/>
      </c:catAx>
      <c:valAx>
        <c:axId val="117753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53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 GIST review.xlsx]Sheet5!PivotTable4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Sheet5!$S$1:$S$2</c:f>
              <c:strCache>
                <c:ptCount val="1"/>
                <c:pt idx="0">
                  <c:v>Capsule 100 mg (as mesilate)</c:v>
                </c:pt>
              </c:strCache>
            </c:strRef>
          </c:tx>
          <c:spPr>
            <a:solidFill>
              <a:schemeClr val="accent1"/>
            </a:solidFill>
            <a:ln>
              <a:noFill/>
            </a:ln>
            <a:effectLst/>
          </c:spPr>
          <c:cat>
            <c:strRef>
              <c:f>Sheet5!$R$3:$R$30</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Sheet5!$S$3:$S$30</c:f>
              <c:numCache>
                <c:formatCode>General</c:formatCode>
                <c:ptCount val="27"/>
                <c:pt idx="15" formatCode="_-* #,##0_-;\-* #,##0_-;_-* &quot;-&quot;??_-;_-@_-">
                  <c:v>9</c:v>
                </c:pt>
                <c:pt idx="16" formatCode="_-* #,##0_-;\-* #,##0_-;_-* &quot;-&quot;??_-;_-@_-">
                  <c:v>32</c:v>
                </c:pt>
                <c:pt idx="17" formatCode="_-* #,##0_-;\-* #,##0_-;_-* &quot;-&quot;??_-;_-@_-">
                  <c:v>60</c:v>
                </c:pt>
                <c:pt idx="18" formatCode="_-* #,##0_-;\-* #,##0_-;_-* &quot;-&quot;??_-;_-@_-">
                  <c:v>73</c:v>
                </c:pt>
                <c:pt idx="19" formatCode="_-* #,##0_-;\-* #,##0_-;_-* &quot;-&quot;??_-;_-@_-">
                  <c:v>91</c:v>
                </c:pt>
                <c:pt idx="20" formatCode="_-* #,##0_-;\-* #,##0_-;_-* &quot;-&quot;??_-;_-@_-">
                  <c:v>86</c:v>
                </c:pt>
                <c:pt idx="21" formatCode="_-* #,##0_-;\-* #,##0_-;_-* &quot;-&quot;??_-;_-@_-">
                  <c:v>99</c:v>
                </c:pt>
                <c:pt idx="22" formatCode="_-* #,##0_-;\-* #,##0_-;_-* &quot;-&quot;??_-;_-@_-">
                  <c:v>104</c:v>
                </c:pt>
                <c:pt idx="23" formatCode="_-* #,##0_-;\-* #,##0_-;_-* &quot;-&quot;??_-;_-@_-">
                  <c:v>123</c:v>
                </c:pt>
                <c:pt idx="24" formatCode="_-* #,##0_-;\-* #,##0_-;_-* &quot;-&quot;??_-;_-@_-">
                  <c:v>110</c:v>
                </c:pt>
                <c:pt idx="25" formatCode="_-* #,##0_-;\-* #,##0_-;_-* &quot;-&quot;??_-;_-@_-">
                  <c:v>135</c:v>
                </c:pt>
                <c:pt idx="26" formatCode="_-* #,##0_-;\-* #,##0_-;_-* &quot;-&quot;??_-;_-@_-">
                  <c:v>127</c:v>
                </c:pt>
              </c:numCache>
            </c:numRef>
          </c:val>
          <c:extLst>
            <c:ext xmlns:c16="http://schemas.microsoft.com/office/drawing/2014/chart" uri="{C3380CC4-5D6E-409C-BE32-E72D297353CC}">
              <c16:uniqueId val="{00000000-DA44-4C39-AE6A-78DB4B14AF5A}"/>
            </c:ext>
          </c:extLst>
        </c:ser>
        <c:ser>
          <c:idx val="1"/>
          <c:order val="1"/>
          <c:tx>
            <c:strRef>
              <c:f>Sheet5!$T$1:$T$2</c:f>
              <c:strCache>
                <c:ptCount val="1"/>
                <c:pt idx="0">
                  <c:v>Capsule 400 mg (as mesilate)</c:v>
                </c:pt>
              </c:strCache>
            </c:strRef>
          </c:tx>
          <c:spPr>
            <a:solidFill>
              <a:schemeClr val="accent2"/>
            </a:solidFill>
            <a:ln>
              <a:noFill/>
            </a:ln>
            <a:effectLst/>
          </c:spPr>
          <c:cat>
            <c:strRef>
              <c:f>Sheet5!$R$3:$R$30</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Sheet5!$T$3:$T$30</c:f>
              <c:numCache>
                <c:formatCode>General</c:formatCode>
                <c:ptCount val="27"/>
                <c:pt idx="15" formatCode="_-* #,##0_-;\-* #,##0_-;_-* &quot;-&quot;??_-;_-@_-">
                  <c:v>39</c:v>
                </c:pt>
                <c:pt idx="16" formatCode="_-* #,##0_-;\-* #,##0_-;_-* &quot;-&quot;??_-;_-@_-">
                  <c:v>120</c:v>
                </c:pt>
                <c:pt idx="17" formatCode="_-* #,##0_-;\-* #,##0_-;_-* &quot;-&quot;??_-;_-@_-">
                  <c:v>184</c:v>
                </c:pt>
                <c:pt idx="18" formatCode="_-* #,##0_-;\-* #,##0_-;_-* &quot;-&quot;??_-;_-@_-">
                  <c:v>248</c:v>
                </c:pt>
                <c:pt idx="19" formatCode="_-* #,##0_-;\-* #,##0_-;_-* &quot;-&quot;??_-;_-@_-">
                  <c:v>291</c:v>
                </c:pt>
                <c:pt idx="20" formatCode="_-* #,##0_-;\-* #,##0_-;_-* &quot;-&quot;??_-;_-@_-">
                  <c:v>287</c:v>
                </c:pt>
                <c:pt idx="21" formatCode="_-* #,##0_-;\-* #,##0_-;_-* &quot;-&quot;??_-;_-@_-">
                  <c:v>319</c:v>
                </c:pt>
                <c:pt idx="22" formatCode="_-* #,##0_-;\-* #,##0_-;_-* &quot;-&quot;??_-;_-@_-">
                  <c:v>338</c:v>
                </c:pt>
                <c:pt idx="23" formatCode="_-* #,##0_-;\-* #,##0_-;_-* &quot;-&quot;??_-;_-@_-">
                  <c:v>366</c:v>
                </c:pt>
                <c:pt idx="24" formatCode="_-* #,##0_-;\-* #,##0_-;_-* &quot;-&quot;??_-;_-@_-">
                  <c:v>321</c:v>
                </c:pt>
                <c:pt idx="25" formatCode="_-* #,##0_-;\-* #,##0_-;_-* &quot;-&quot;??_-;_-@_-">
                  <c:v>330</c:v>
                </c:pt>
                <c:pt idx="26" formatCode="_-* #,##0_-;\-* #,##0_-;_-* &quot;-&quot;??_-;_-@_-">
                  <c:v>322</c:v>
                </c:pt>
              </c:numCache>
            </c:numRef>
          </c:val>
          <c:extLst>
            <c:ext xmlns:c16="http://schemas.microsoft.com/office/drawing/2014/chart" uri="{C3380CC4-5D6E-409C-BE32-E72D297353CC}">
              <c16:uniqueId val="{00000001-DA44-4C39-AE6A-78DB4B14AF5A}"/>
            </c:ext>
          </c:extLst>
        </c:ser>
        <c:ser>
          <c:idx val="2"/>
          <c:order val="2"/>
          <c:tx>
            <c:strRef>
              <c:f>Sheet5!$U$1:$U$2</c:f>
              <c:strCache>
                <c:ptCount val="1"/>
                <c:pt idx="0">
                  <c:v>Tablet 100 mg (as mesilate)</c:v>
                </c:pt>
              </c:strCache>
            </c:strRef>
          </c:tx>
          <c:spPr>
            <a:solidFill>
              <a:schemeClr val="accent3"/>
            </a:solidFill>
            <a:ln>
              <a:noFill/>
            </a:ln>
            <a:effectLst/>
          </c:spPr>
          <c:cat>
            <c:strRef>
              <c:f>Sheet5!$R$3:$R$30</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Sheet5!$U$3:$U$30</c:f>
              <c:numCache>
                <c:formatCode>_-* #,##0_-;\-* #,##0_-;_-* "-"??_-;_-@_-</c:formatCode>
                <c:ptCount val="27"/>
                <c:pt idx="0">
                  <c:v>66</c:v>
                </c:pt>
                <c:pt idx="1">
                  <c:v>54</c:v>
                </c:pt>
                <c:pt idx="2">
                  <c:v>63</c:v>
                </c:pt>
                <c:pt idx="3">
                  <c:v>65</c:v>
                </c:pt>
                <c:pt idx="4">
                  <c:v>82</c:v>
                </c:pt>
                <c:pt idx="5">
                  <c:v>73</c:v>
                </c:pt>
                <c:pt idx="6">
                  <c:v>70</c:v>
                </c:pt>
                <c:pt idx="7">
                  <c:v>109</c:v>
                </c:pt>
                <c:pt idx="8">
                  <c:v>146</c:v>
                </c:pt>
                <c:pt idx="9">
                  <c:v>144</c:v>
                </c:pt>
                <c:pt idx="10">
                  <c:v>180</c:v>
                </c:pt>
                <c:pt idx="11">
                  <c:v>201</c:v>
                </c:pt>
                <c:pt idx="12">
                  <c:v>191</c:v>
                </c:pt>
                <c:pt idx="13">
                  <c:v>190</c:v>
                </c:pt>
                <c:pt idx="14">
                  <c:v>209</c:v>
                </c:pt>
                <c:pt idx="15">
                  <c:v>183</c:v>
                </c:pt>
                <c:pt idx="16">
                  <c:v>182</c:v>
                </c:pt>
                <c:pt idx="17">
                  <c:v>203</c:v>
                </c:pt>
                <c:pt idx="18">
                  <c:v>234</c:v>
                </c:pt>
                <c:pt idx="19">
                  <c:v>245</c:v>
                </c:pt>
                <c:pt idx="20">
                  <c:v>263</c:v>
                </c:pt>
                <c:pt idx="21">
                  <c:v>272</c:v>
                </c:pt>
                <c:pt idx="22">
                  <c:v>247</c:v>
                </c:pt>
                <c:pt idx="23">
                  <c:v>224</c:v>
                </c:pt>
                <c:pt idx="24">
                  <c:v>181</c:v>
                </c:pt>
                <c:pt idx="25">
                  <c:v>204</c:v>
                </c:pt>
                <c:pt idx="26">
                  <c:v>201</c:v>
                </c:pt>
              </c:numCache>
            </c:numRef>
          </c:val>
          <c:extLst>
            <c:ext xmlns:c16="http://schemas.microsoft.com/office/drawing/2014/chart" uri="{C3380CC4-5D6E-409C-BE32-E72D297353CC}">
              <c16:uniqueId val="{00000002-DA44-4C39-AE6A-78DB4B14AF5A}"/>
            </c:ext>
          </c:extLst>
        </c:ser>
        <c:ser>
          <c:idx val="3"/>
          <c:order val="3"/>
          <c:tx>
            <c:strRef>
              <c:f>Sheet5!$V$1:$V$2</c:f>
              <c:strCache>
                <c:ptCount val="1"/>
                <c:pt idx="0">
                  <c:v>Tablet 400 mg (as mesilate)</c:v>
                </c:pt>
              </c:strCache>
            </c:strRef>
          </c:tx>
          <c:spPr>
            <a:solidFill>
              <a:schemeClr val="accent4"/>
            </a:solidFill>
            <a:ln>
              <a:noFill/>
            </a:ln>
            <a:effectLst/>
          </c:spPr>
          <c:cat>
            <c:strRef>
              <c:f>Sheet5!$R$3:$R$30</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Sheet5!$V$3:$V$30</c:f>
              <c:numCache>
                <c:formatCode>_-* #,##0_-;\-* #,##0_-;_-* "-"??_-;_-@_-</c:formatCode>
                <c:ptCount val="27"/>
                <c:pt idx="0">
                  <c:v>402</c:v>
                </c:pt>
                <c:pt idx="1">
                  <c:v>400</c:v>
                </c:pt>
                <c:pt idx="2">
                  <c:v>457</c:v>
                </c:pt>
                <c:pt idx="3">
                  <c:v>418</c:v>
                </c:pt>
                <c:pt idx="4">
                  <c:v>390</c:v>
                </c:pt>
                <c:pt idx="5">
                  <c:v>405</c:v>
                </c:pt>
                <c:pt idx="6">
                  <c:v>423</c:v>
                </c:pt>
                <c:pt idx="7">
                  <c:v>515</c:v>
                </c:pt>
                <c:pt idx="8">
                  <c:v>632</c:v>
                </c:pt>
                <c:pt idx="9">
                  <c:v>543</c:v>
                </c:pt>
                <c:pt idx="10">
                  <c:v>553</c:v>
                </c:pt>
                <c:pt idx="11">
                  <c:v>556</c:v>
                </c:pt>
                <c:pt idx="12">
                  <c:v>510</c:v>
                </c:pt>
                <c:pt idx="13">
                  <c:v>519</c:v>
                </c:pt>
                <c:pt idx="14">
                  <c:v>555</c:v>
                </c:pt>
                <c:pt idx="15">
                  <c:v>519</c:v>
                </c:pt>
                <c:pt idx="16">
                  <c:v>573</c:v>
                </c:pt>
                <c:pt idx="17">
                  <c:v>650</c:v>
                </c:pt>
                <c:pt idx="18">
                  <c:v>645</c:v>
                </c:pt>
                <c:pt idx="19">
                  <c:v>725</c:v>
                </c:pt>
                <c:pt idx="20">
                  <c:v>628</c:v>
                </c:pt>
                <c:pt idx="21">
                  <c:v>533</c:v>
                </c:pt>
                <c:pt idx="22">
                  <c:v>567</c:v>
                </c:pt>
                <c:pt idx="23">
                  <c:v>563</c:v>
                </c:pt>
                <c:pt idx="24">
                  <c:v>533</c:v>
                </c:pt>
                <c:pt idx="25">
                  <c:v>516</c:v>
                </c:pt>
                <c:pt idx="26">
                  <c:v>500</c:v>
                </c:pt>
              </c:numCache>
            </c:numRef>
          </c:val>
          <c:extLst>
            <c:ext xmlns:c16="http://schemas.microsoft.com/office/drawing/2014/chart" uri="{C3380CC4-5D6E-409C-BE32-E72D297353CC}">
              <c16:uniqueId val="{00000003-DA44-4C39-AE6A-78DB4B14AF5A}"/>
            </c:ext>
          </c:extLst>
        </c:ser>
        <c:dLbls>
          <c:showLegendKey val="0"/>
          <c:showVal val="0"/>
          <c:showCatName val="0"/>
          <c:showSerName val="0"/>
          <c:showPercent val="0"/>
          <c:showBubbleSize val="0"/>
        </c:dLbls>
        <c:axId val="420638368"/>
        <c:axId val="420638728"/>
      </c:areaChart>
      <c:catAx>
        <c:axId val="420638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638728"/>
        <c:crosses val="autoZero"/>
        <c:auto val="1"/>
        <c:lblAlgn val="ctr"/>
        <c:lblOffset val="100"/>
        <c:noMultiLvlLbl val="0"/>
      </c:catAx>
      <c:valAx>
        <c:axId val="420638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6383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 GIST review.xlsx]metastatic-form!PivotTable3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'metastatic-form'!$S$3:$S$4</c:f>
              <c:strCache>
                <c:ptCount val="1"/>
                <c:pt idx="0">
                  <c:v>Capsule 100 mg (as mesilate)</c:v>
                </c:pt>
              </c:strCache>
            </c:strRef>
          </c:tx>
          <c:spPr>
            <a:solidFill>
              <a:schemeClr val="accent1"/>
            </a:solidFill>
            <a:ln>
              <a:noFill/>
            </a:ln>
            <a:effectLst/>
          </c:spPr>
          <c:cat>
            <c:strRef>
              <c:f>'metastatic-form'!$R$5:$R$32</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'metastatic-form'!$S$5:$S$32</c:f>
              <c:numCache>
                <c:formatCode>General</c:formatCode>
                <c:ptCount val="27"/>
                <c:pt idx="16" formatCode="_-* #,##0_-;\-* #,##0_-;_-* &quot;-&quot;??_-;_-@_-">
                  <c:v>6</c:v>
                </c:pt>
                <c:pt idx="17" formatCode="_-* #,##0_-;\-* #,##0_-;_-* &quot;-&quot;??_-;_-@_-">
                  <c:v>30</c:v>
                </c:pt>
                <c:pt idx="18" formatCode="_-* #,##0_-;\-* #,##0_-;_-* &quot;-&quot;??_-;_-@_-">
                  <c:v>34</c:v>
                </c:pt>
                <c:pt idx="19" formatCode="_-* #,##0_-;\-* #,##0_-;_-* &quot;-&quot;??_-;_-@_-">
                  <c:v>25</c:v>
                </c:pt>
                <c:pt idx="20" formatCode="_-* #,##0_-;\-* #,##0_-;_-* &quot;-&quot;??_-;_-@_-">
                  <c:v>35</c:v>
                </c:pt>
                <c:pt idx="21" formatCode="_-* #,##0_-;\-* #,##0_-;_-* &quot;-&quot;??_-;_-@_-">
                  <c:v>40</c:v>
                </c:pt>
                <c:pt idx="22" formatCode="_-* #,##0_-;\-* #,##0_-;_-* &quot;-&quot;??_-;_-@_-">
                  <c:v>61</c:v>
                </c:pt>
                <c:pt idx="23" formatCode="_-* #,##0_-;\-* #,##0_-;_-* &quot;-&quot;??_-;_-@_-">
                  <c:v>61</c:v>
                </c:pt>
                <c:pt idx="24" formatCode="_-* #,##0_-;\-* #,##0_-;_-* &quot;-&quot;??_-;_-@_-">
                  <c:v>74</c:v>
                </c:pt>
                <c:pt idx="25" formatCode="_-* #,##0_-;\-* #,##0_-;_-* &quot;-&quot;??_-;_-@_-">
                  <c:v>73</c:v>
                </c:pt>
                <c:pt idx="26" formatCode="_-* #,##0_-;\-* #,##0_-;_-* &quot;-&quot;??_-;_-@_-">
                  <c:v>63</c:v>
                </c:pt>
              </c:numCache>
            </c:numRef>
          </c:val>
          <c:extLst>
            <c:ext xmlns:c16="http://schemas.microsoft.com/office/drawing/2014/chart" uri="{C3380CC4-5D6E-409C-BE32-E72D297353CC}">
              <c16:uniqueId val="{00000000-15A5-496F-80A1-5DD38F9B9C29}"/>
            </c:ext>
          </c:extLst>
        </c:ser>
        <c:ser>
          <c:idx val="1"/>
          <c:order val="1"/>
          <c:tx>
            <c:strRef>
              <c:f>'metastatic-form'!$T$3:$T$4</c:f>
              <c:strCache>
                <c:ptCount val="1"/>
                <c:pt idx="0">
                  <c:v>Capsule 400 mg (as mesilate)</c:v>
                </c:pt>
              </c:strCache>
            </c:strRef>
          </c:tx>
          <c:spPr>
            <a:solidFill>
              <a:schemeClr val="accent2"/>
            </a:solidFill>
            <a:ln>
              <a:noFill/>
            </a:ln>
            <a:effectLst/>
          </c:spPr>
          <c:cat>
            <c:strRef>
              <c:f>'metastatic-form'!$R$5:$R$32</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'metastatic-form'!$T$5:$T$32</c:f>
              <c:numCache>
                <c:formatCode>General</c:formatCode>
                <c:ptCount val="27"/>
                <c:pt idx="15" formatCode="_-* #,##0_-;\-* #,##0_-;_-* &quot;-&quot;??_-;_-@_-">
                  <c:v>17</c:v>
                </c:pt>
                <c:pt idx="16" formatCode="_-* #,##0_-;\-* #,##0_-;_-* &quot;-&quot;??_-;_-@_-">
                  <c:v>55</c:v>
                </c:pt>
                <c:pt idx="17" formatCode="_-* #,##0_-;\-* #,##0_-;_-* &quot;-&quot;??_-;_-@_-">
                  <c:v>102</c:v>
                </c:pt>
                <c:pt idx="18" formatCode="_-* #,##0_-;\-* #,##0_-;_-* &quot;-&quot;??_-;_-@_-">
                  <c:v>103</c:v>
                </c:pt>
                <c:pt idx="19" formatCode="_-* #,##0_-;\-* #,##0_-;_-* &quot;-&quot;??_-;_-@_-">
                  <c:v>99</c:v>
                </c:pt>
                <c:pt idx="20" formatCode="_-* #,##0_-;\-* #,##0_-;_-* &quot;-&quot;??_-;_-@_-">
                  <c:v>126</c:v>
                </c:pt>
                <c:pt idx="21" formatCode="_-* #,##0_-;\-* #,##0_-;_-* &quot;-&quot;??_-;_-@_-">
                  <c:v>140</c:v>
                </c:pt>
                <c:pt idx="22" formatCode="_-* #,##0_-;\-* #,##0_-;_-* &quot;-&quot;??_-;_-@_-">
                  <c:v>156</c:v>
                </c:pt>
                <c:pt idx="23" formatCode="_-* #,##0_-;\-* #,##0_-;_-* &quot;-&quot;??_-;_-@_-">
                  <c:v>158</c:v>
                </c:pt>
                <c:pt idx="24" formatCode="_-* #,##0_-;\-* #,##0_-;_-* &quot;-&quot;??_-;_-@_-">
                  <c:v>177</c:v>
                </c:pt>
                <c:pt idx="25" formatCode="_-* #,##0_-;\-* #,##0_-;_-* &quot;-&quot;??_-;_-@_-">
                  <c:v>237</c:v>
                </c:pt>
                <c:pt idx="26" formatCode="_-* #,##0_-;\-* #,##0_-;_-* &quot;-&quot;??_-;_-@_-">
                  <c:v>229</c:v>
                </c:pt>
              </c:numCache>
            </c:numRef>
          </c:val>
          <c:extLst>
            <c:ext xmlns:c16="http://schemas.microsoft.com/office/drawing/2014/chart" uri="{C3380CC4-5D6E-409C-BE32-E72D297353CC}">
              <c16:uniqueId val="{00000001-15A5-496F-80A1-5DD38F9B9C29}"/>
            </c:ext>
          </c:extLst>
        </c:ser>
        <c:ser>
          <c:idx val="2"/>
          <c:order val="2"/>
          <c:tx>
            <c:strRef>
              <c:f>'metastatic-form'!$U$3:$U$4</c:f>
              <c:strCache>
                <c:ptCount val="1"/>
                <c:pt idx="0">
                  <c:v>Tablet 100 mg (as mesilate)</c:v>
                </c:pt>
              </c:strCache>
            </c:strRef>
          </c:tx>
          <c:spPr>
            <a:solidFill>
              <a:schemeClr val="accent3"/>
            </a:solidFill>
            <a:ln>
              <a:noFill/>
            </a:ln>
            <a:effectLst/>
          </c:spPr>
          <c:cat>
            <c:strRef>
              <c:f>'metastatic-form'!$R$5:$R$32</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'metastatic-form'!$U$5:$U$32</c:f>
              <c:numCache>
                <c:formatCode>_-* #,##0_-;\-* #,##0_-;_-* "-"??_-;_-@_-</c:formatCode>
                <c:ptCount val="27"/>
                <c:pt idx="0">
                  <c:v>277</c:v>
                </c:pt>
                <c:pt idx="1">
                  <c:v>269</c:v>
                </c:pt>
                <c:pt idx="2">
                  <c:v>282</c:v>
                </c:pt>
                <c:pt idx="3">
                  <c:v>266</c:v>
                </c:pt>
                <c:pt idx="4">
                  <c:v>245</c:v>
                </c:pt>
                <c:pt idx="5">
                  <c:v>263</c:v>
                </c:pt>
                <c:pt idx="6">
                  <c:v>249</c:v>
                </c:pt>
                <c:pt idx="7">
                  <c:v>185</c:v>
                </c:pt>
                <c:pt idx="8">
                  <c:v>182</c:v>
                </c:pt>
                <c:pt idx="9">
                  <c:v>134</c:v>
                </c:pt>
                <c:pt idx="10">
                  <c:v>138</c:v>
                </c:pt>
                <c:pt idx="11">
                  <c:v>144</c:v>
                </c:pt>
                <c:pt idx="12">
                  <c:v>138</c:v>
                </c:pt>
                <c:pt idx="13">
                  <c:v>130</c:v>
                </c:pt>
                <c:pt idx="14">
                  <c:v>150</c:v>
                </c:pt>
                <c:pt idx="15">
                  <c:v>181</c:v>
                </c:pt>
                <c:pt idx="16">
                  <c:v>169</c:v>
                </c:pt>
                <c:pt idx="17">
                  <c:v>149</c:v>
                </c:pt>
                <c:pt idx="18">
                  <c:v>187</c:v>
                </c:pt>
                <c:pt idx="19">
                  <c:v>199</c:v>
                </c:pt>
                <c:pt idx="20">
                  <c:v>171</c:v>
                </c:pt>
                <c:pt idx="21">
                  <c:v>157</c:v>
                </c:pt>
                <c:pt idx="22">
                  <c:v>167</c:v>
                </c:pt>
                <c:pt idx="23">
                  <c:v>162</c:v>
                </c:pt>
                <c:pt idx="24">
                  <c:v>194</c:v>
                </c:pt>
                <c:pt idx="25">
                  <c:v>190</c:v>
                </c:pt>
                <c:pt idx="26">
                  <c:v>167</c:v>
                </c:pt>
              </c:numCache>
            </c:numRef>
          </c:val>
          <c:extLst>
            <c:ext xmlns:c16="http://schemas.microsoft.com/office/drawing/2014/chart" uri="{C3380CC4-5D6E-409C-BE32-E72D297353CC}">
              <c16:uniqueId val="{00000002-15A5-496F-80A1-5DD38F9B9C29}"/>
            </c:ext>
          </c:extLst>
        </c:ser>
        <c:ser>
          <c:idx val="3"/>
          <c:order val="3"/>
          <c:tx>
            <c:strRef>
              <c:f>'metastatic-form'!$V$3:$V$4</c:f>
              <c:strCache>
                <c:ptCount val="1"/>
                <c:pt idx="0">
                  <c:v>Tablet 400 mg (as mesilate)</c:v>
                </c:pt>
              </c:strCache>
            </c:strRef>
          </c:tx>
          <c:spPr>
            <a:solidFill>
              <a:schemeClr val="accent4"/>
            </a:solidFill>
            <a:ln>
              <a:noFill/>
            </a:ln>
            <a:effectLst/>
          </c:spPr>
          <c:cat>
            <c:strRef>
              <c:f>'metastatic-form'!$R$5:$R$32</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'metastatic-form'!$V$5:$V$32</c:f>
              <c:numCache>
                <c:formatCode>_-* #,##0_-;\-* #,##0_-;_-* "-"??_-;_-@_-</c:formatCode>
                <c:ptCount val="27"/>
                <c:pt idx="0">
                  <c:v>990</c:v>
                </c:pt>
                <c:pt idx="1">
                  <c:v>1072</c:v>
                </c:pt>
                <c:pt idx="2">
                  <c:v>1080</c:v>
                </c:pt>
                <c:pt idx="3">
                  <c:v>1051</c:v>
                </c:pt>
                <c:pt idx="4">
                  <c:v>1047</c:v>
                </c:pt>
                <c:pt idx="5">
                  <c:v>1120</c:v>
                </c:pt>
                <c:pt idx="6">
                  <c:v>1119</c:v>
                </c:pt>
                <c:pt idx="7">
                  <c:v>816</c:v>
                </c:pt>
                <c:pt idx="8">
                  <c:v>749</c:v>
                </c:pt>
                <c:pt idx="9">
                  <c:v>656</c:v>
                </c:pt>
                <c:pt idx="10">
                  <c:v>715</c:v>
                </c:pt>
                <c:pt idx="11">
                  <c:v>732</c:v>
                </c:pt>
                <c:pt idx="12">
                  <c:v>749</c:v>
                </c:pt>
                <c:pt idx="13">
                  <c:v>711</c:v>
                </c:pt>
                <c:pt idx="14">
                  <c:v>748</c:v>
                </c:pt>
                <c:pt idx="15">
                  <c:v>762</c:v>
                </c:pt>
                <c:pt idx="16">
                  <c:v>693</c:v>
                </c:pt>
                <c:pt idx="17">
                  <c:v>729</c:v>
                </c:pt>
                <c:pt idx="18">
                  <c:v>735</c:v>
                </c:pt>
                <c:pt idx="19">
                  <c:v>664</c:v>
                </c:pt>
                <c:pt idx="20">
                  <c:v>626</c:v>
                </c:pt>
                <c:pt idx="21">
                  <c:v>654</c:v>
                </c:pt>
                <c:pt idx="22">
                  <c:v>693</c:v>
                </c:pt>
                <c:pt idx="23">
                  <c:v>700</c:v>
                </c:pt>
                <c:pt idx="24">
                  <c:v>725</c:v>
                </c:pt>
                <c:pt idx="25">
                  <c:v>658</c:v>
                </c:pt>
                <c:pt idx="26">
                  <c:v>672</c:v>
                </c:pt>
              </c:numCache>
            </c:numRef>
          </c:val>
          <c:extLst>
            <c:ext xmlns:c16="http://schemas.microsoft.com/office/drawing/2014/chart" uri="{C3380CC4-5D6E-409C-BE32-E72D297353CC}">
              <c16:uniqueId val="{00000003-15A5-496F-80A1-5DD38F9B9C29}"/>
            </c:ext>
          </c:extLst>
        </c:ser>
        <c:ser>
          <c:idx val="4"/>
          <c:order val="4"/>
          <c:tx>
            <c:strRef>
              <c:f>'metastatic-form'!$W$3:$W$4</c:f>
              <c:strCache>
                <c:ptCount val="1"/>
                <c:pt idx="0">
                  <c:v>Tablet 600 mg (as mesilate)</c:v>
                </c:pt>
              </c:strCache>
            </c:strRef>
          </c:tx>
          <c:spPr>
            <a:solidFill>
              <a:schemeClr val="accent5"/>
            </a:solidFill>
            <a:ln>
              <a:noFill/>
            </a:ln>
            <a:effectLst/>
          </c:spPr>
          <c:cat>
            <c:strRef>
              <c:f>'metastatic-form'!$R$5:$R$32</c:f>
              <c:strCache>
                <c:ptCount val="27"/>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pt idx="13">
                  <c:v>2021Q2</c:v>
                </c:pt>
                <c:pt idx="14">
                  <c:v>2021Q3</c:v>
                </c:pt>
                <c:pt idx="15">
                  <c:v>2021Q4</c:v>
                </c:pt>
                <c:pt idx="16">
                  <c:v>2022Q1</c:v>
                </c:pt>
                <c:pt idx="17">
                  <c:v>2022Q2</c:v>
                </c:pt>
                <c:pt idx="18">
                  <c:v>2022Q3</c:v>
                </c:pt>
                <c:pt idx="19">
                  <c:v>2022Q4</c:v>
                </c:pt>
                <c:pt idx="20">
                  <c:v>2023Q1</c:v>
                </c:pt>
                <c:pt idx="21">
                  <c:v>2023Q2</c:v>
                </c:pt>
                <c:pt idx="22">
                  <c:v>2023Q3</c:v>
                </c:pt>
                <c:pt idx="23">
                  <c:v>2023Q4</c:v>
                </c:pt>
                <c:pt idx="24">
                  <c:v>2024Q1</c:v>
                </c:pt>
                <c:pt idx="25">
                  <c:v>2024Q2</c:v>
                </c:pt>
                <c:pt idx="26">
                  <c:v>2024Q3</c:v>
                </c:pt>
              </c:strCache>
            </c:strRef>
          </c:cat>
          <c:val>
            <c:numRef>
              <c:f>'metastatic-form'!$W$5:$W$32</c:f>
              <c:numCache>
                <c:formatCode>General</c:formatCode>
                <c:ptCount val="27"/>
                <c:pt idx="19" formatCode="_-* #,##0_-;\-* #,##0_-;_-* &quot;-&quot;??_-;_-@_-">
                  <c:v>5</c:v>
                </c:pt>
                <c:pt idx="20" formatCode="_-* #,##0_-;\-* #,##0_-;_-* &quot;-&quot;??_-;_-@_-">
                  <c:v>2</c:v>
                </c:pt>
                <c:pt idx="21" formatCode="_-* #,##0_-;\-* #,##0_-;_-* &quot;-&quot;??_-;_-@_-">
                  <c:v>1</c:v>
                </c:pt>
                <c:pt idx="22" formatCode="_-* #,##0_-;\-* #,##0_-;_-* &quot;-&quot;??_-;_-@_-">
                  <c:v>1</c:v>
                </c:pt>
                <c:pt idx="24" formatCode="_-* #,##0_-;\-* #,##0_-;_-* &quot;-&quot;??_-;_-@_-">
                  <c:v>2</c:v>
                </c:pt>
                <c:pt idx="25" formatCode="_-* #,##0_-;\-* #,##0_-;_-* &quot;-&quot;??_-;_-@_-">
                  <c:v>2</c:v>
                </c:pt>
                <c:pt idx="26" formatCode="_-* #,##0_-;\-* #,##0_-;_-* &quot;-&quot;??_-;_-@_-">
                  <c:v>1</c:v>
                </c:pt>
              </c:numCache>
            </c:numRef>
          </c:val>
          <c:extLst>
            <c:ext xmlns:c16="http://schemas.microsoft.com/office/drawing/2014/chart" uri="{C3380CC4-5D6E-409C-BE32-E72D297353CC}">
              <c16:uniqueId val="{00000004-15A5-496F-80A1-5DD38F9B9C29}"/>
            </c:ext>
          </c:extLst>
        </c:ser>
        <c:dLbls>
          <c:showLegendKey val="0"/>
          <c:showVal val="0"/>
          <c:showCatName val="0"/>
          <c:showSerName val="0"/>
          <c:showPercent val="0"/>
          <c:showBubbleSize val="0"/>
        </c:dLbls>
        <c:axId val="896194760"/>
        <c:axId val="896189000"/>
      </c:areaChart>
      <c:catAx>
        <c:axId val="896194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189000"/>
        <c:crosses val="autoZero"/>
        <c:auto val="1"/>
        <c:lblAlgn val="ctr"/>
        <c:lblOffset val="100"/>
        <c:noMultiLvlLbl val="0"/>
      </c:catAx>
      <c:valAx>
        <c:axId val="896189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1947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 GIST review.xlsx]adjuvant- age !PivotTable26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'adjuvant- age '!$O$1:$O$2</c:f>
              <c:strCache>
                <c:ptCount val="1"/>
                <c:pt idx="0">
                  <c:v>Female</c:v>
                </c:pt>
              </c:strCache>
            </c:strRef>
          </c:tx>
          <c:spPr>
            <a:solidFill>
              <a:schemeClr val="accent2"/>
            </a:solidFill>
            <a:ln>
              <a:noFill/>
            </a:ln>
            <a:effectLst/>
          </c:spPr>
          <c:invertIfNegative val="0"/>
          <c:cat>
            <c:strRef>
              <c:f>'adjuvant- age '!$N$3:$N$17</c:f>
              <c:strCache>
                <c:ptCount val="14"/>
                <c:pt idx="0">
                  <c:v>&lt;25 yrs</c:v>
                </c:pt>
                <c:pt idx="1">
                  <c:v>30-34 yrs</c:v>
                </c:pt>
                <c:pt idx="2">
                  <c:v>35-39 yrs</c:v>
                </c:pt>
                <c:pt idx="3">
                  <c:v>40-44 yrs</c:v>
                </c:pt>
                <c:pt idx="4">
                  <c:v>45-49 yrs</c:v>
                </c:pt>
                <c:pt idx="5">
                  <c:v>50-54 yrs</c:v>
                </c:pt>
                <c:pt idx="6">
                  <c:v>55-59 yrs</c:v>
                </c:pt>
                <c:pt idx="7">
                  <c:v>60-64 yrs</c:v>
                </c:pt>
                <c:pt idx="8">
                  <c:v>65-69 yrs</c:v>
                </c:pt>
                <c:pt idx="9">
                  <c:v>70-74 yrs</c:v>
                </c:pt>
                <c:pt idx="10">
                  <c:v>75-79 yrs</c:v>
                </c:pt>
                <c:pt idx="11">
                  <c:v>80-84 yrs</c:v>
                </c:pt>
                <c:pt idx="12">
                  <c:v>85-89 yrs</c:v>
                </c:pt>
                <c:pt idx="13">
                  <c:v>90+ yrs</c:v>
                </c:pt>
              </c:strCache>
            </c:strRef>
          </c:cat>
          <c:val>
            <c:numRef>
              <c:f>'adjuvant- age '!$O$3:$O$17</c:f>
              <c:numCache>
                <c:formatCode>General</c:formatCode>
                <c:ptCount val="14"/>
                <c:pt idx="0">
                  <c:v>16</c:v>
                </c:pt>
                <c:pt idx="1">
                  <c:v>14</c:v>
                </c:pt>
                <c:pt idx="2">
                  <c:v>20</c:v>
                </c:pt>
                <c:pt idx="3">
                  <c:v>30</c:v>
                </c:pt>
                <c:pt idx="4">
                  <c:v>47</c:v>
                </c:pt>
                <c:pt idx="5">
                  <c:v>86</c:v>
                </c:pt>
                <c:pt idx="6">
                  <c:v>90</c:v>
                </c:pt>
                <c:pt idx="7">
                  <c:v>125</c:v>
                </c:pt>
                <c:pt idx="8">
                  <c:v>157</c:v>
                </c:pt>
                <c:pt idx="9">
                  <c:v>150</c:v>
                </c:pt>
                <c:pt idx="10">
                  <c:v>93</c:v>
                </c:pt>
                <c:pt idx="11">
                  <c:v>96</c:v>
                </c:pt>
                <c:pt idx="12">
                  <c:v>47</c:v>
                </c:pt>
                <c:pt idx="13">
                  <c:v>19</c:v>
                </c:pt>
              </c:numCache>
            </c:numRef>
          </c:val>
          <c:extLst>
            <c:ext xmlns:c16="http://schemas.microsoft.com/office/drawing/2014/chart" uri="{C3380CC4-5D6E-409C-BE32-E72D297353CC}">
              <c16:uniqueId val="{00000000-BB57-47B0-AA1C-E6C3F084A438}"/>
            </c:ext>
          </c:extLst>
        </c:ser>
        <c:ser>
          <c:idx val="1"/>
          <c:order val="1"/>
          <c:tx>
            <c:strRef>
              <c:f>'adjuvant- age '!$P$1:$P$2</c:f>
              <c:strCache>
                <c:ptCount val="1"/>
                <c:pt idx="0">
                  <c:v>Male</c:v>
                </c:pt>
              </c:strCache>
            </c:strRef>
          </c:tx>
          <c:spPr>
            <a:solidFill>
              <a:schemeClr val="accent1"/>
            </a:solidFill>
            <a:ln>
              <a:noFill/>
            </a:ln>
            <a:effectLst/>
          </c:spPr>
          <c:invertIfNegative val="0"/>
          <c:cat>
            <c:strRef>
              <c:f>'adjuvant- age '!$N$3:$N$17</c:f>
              <c:strCache>
                <c:ptCount val="14"/>
                <c:pt idx="0">
                  <c:v>&lt;25 yrs</c:v>
                </c:pt>
                <c:pt idx="1">
                  <c:v>30-34 yrs</c:v>
                </c:pt>
                <c:pt idx="2">
                  <c:v>35-39 yrs</c:v>
                </c:pt>
                <c:pt idx="3">
                  <c:v>40-44 yrs</c:v>
                </c:pt>
                <c:pt idx="4">
                  <c:v>45-49 yrs</c:v>
                </c:pt>
                <c:pt idx="5">
                  <c:v>50-54 yrs</c:v>
                </c:pt>
                <c:pt idx="6">
                  <c:v>55-59 yrs</c:v>
                </c:pt>
                <c:pt idx="7">
                  <c:v>60-64 yrs</c:v>
                </c:pt>
                <c:pt idx="8">
                  <c:v>65-69 yrs</c:v>
                </c:pt>
                <c:pt idx="9">
                  <c:v>70-74 yrs</c:v>
                </c:pt>
                <c:pt idx="10">
                  <c:v>75-79 yrs</c:v>
                </c:pt>
                <c:pt idx="11">
                  <c:v>80-84 yrs</c:v>
                </c:pt>
                <c:pt idx="12">
                  <c:v>85-89 yrs</c:v>
                </c:pt>
                <c:pt idx="13">
                  <c:v>90+ yrs</c:v>
                </c:pt>
              </c:strCache>
            </c:strRef>
          </c:cat>
          <c:val>
            <c:numRef>
              <c:f>'adjuvant- age '!$P$3:$P$17</c:f>
              <c:numCache>
                <c:formatCode>General</c:formatCode>
                <c:ptCount val="14"/>
                <c:pt idx="0">
                  <c:v>21</c:v>
                </c:pt>
                <c:pt idx="1">
                  <c:v>20</c:v>
                </c:pt>
                <c:pt idx="2">
                  <c:v>39</c:v>
                </c:pt>
                <c:pt idx="3">
                  <c:v>46</c:v>
                </c:pt>
                <c:pt idx="4">
                  <c:v>63</c:v>
                </c:pt>
                <c:pt idx="5">
                  <c:v>109</c:v>
                </c:pt>
                <c:pt idx="6">
                  <c:v>139</c:v>
                </c:pt>
                <c:pt idx="7">
                  <c:v>181</c:v>
                </c:pt>
                <c:pt idx="8">
                  <c:v>188</c:v>
                </c:pt>
                <c:pt idx="9">
                  <c:v>206</c:v>
                </c:pt>
                <c:pt idx="10">
                  <c:v>160</c:v>
                </c:pt>
                <c:pt idx="11">
                  <c:v>113</c:v>
                </c:pt>
                <c:pt idx="12">
                  <c:v>51</c:v>
                </c:pt>
                <c:pt idx="13">
                  <c:v>24</c:v>
                </c:pt>
              </c:numCache>
            </c:numRef>
          </c:val>
          <c:extLst>
            <c:ext xmlns:c16="http://schemas.microsoft.com/office/drawing/2014/chart" uri="{C3380CC4-5D6E-409C-BE32-E72D297353CC}">
              <c16:uniqueId val="{00000001-BB57-47B0-AA1C-E6C3F084A438}"/>
            </c:ext>
          </c:extLst>
        </c:ser>
        <c:dLbls>
          <c:showLegendKey val="0"/>
          <c:showVal val="0"/>
          <c:showCatName val="0"/>
          <c:showSerName val="0"/>
          <c:showPercent val="0"/>
          <c:showBubbleSize val="0"/>
        </c:dLbls>
        <c:gapWidth val="219"/>
        <c:overlap val="-27"/>
        <c:axId val="1196627696"/>
        <c:axId val="1196634896"/>
      </c:barChart>
      <c:catAx>
        <c:axId val="1196627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634896"/>
        <c:crosses val="autoZero"/>
        <c:auto val="1"/>
        <c:lblAlgn val="ctr"/>
        <c:lblOffset val="100"/>
        <c:noMultiLvlLbl val="0"/>
      </c:catAx>
      <c:valAx>
        <c:axId val="1196634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a:p>
                <a:pPr>
                  <a:defRPr/>
                </a:pP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62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 GIST review.xlsx]metastatic - age!PivotTable27</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'metastatic - age'!$P$1:$P$2</c:f>
              <c:strCache>
                <c:ptCount val="1"/>
                <c:pt idx="0">
                  <c:v>Female</c:v>
                </c:pt>
              </c:strCache>
            </c:strRef>
          </c:tx>
          <c:spPr>
            <a:solidFill>
              <a:schemeClr val="accent2"/>
            </a:solidFill>
            <a:ln>
              <a:noFill/>
            </a:ln>
            <a:effectLst/>
          </c:spPr>
          <c:invertIfNegative val="0"/>
          <c:cat>
            <c:strRef>
              <c:f>'metastatic - age'!$O$3:$O$18</c:f>
              <c:strCache>
                <c:ptCount val="15"/>
                <c:pt idx="0">
                  <c:v>&lt; 25 yrs</c:v>
                </c:pt>
                <c:pt idx="1">
                  <c:v>25-29 yrs</c:v>
                </c:pt>
                <c:pt idx="2">
                  <c:v>30-34 yrs</c:v>
                </c:pt>
                <c:pt idx="3">
                  <c:v>35-39 yrs</c:v>
                </c:pt>
                <c:pt idx="4">
                  <c:v>40-44 yrs</c:v>
                </c:pt>
                <c:pt idx="5">
                  <c:v>45-49 yrs</c:v>
                </c:pt>
                <c:pt idx="6">
                  <c:v>50-54 yrs</c:v>
                </c:pt>
                <c:pt idx="7">
                  <c:v>55-59 yrs</c:v>
                </c:pt>
                <c:pt idx="8">
                  <c:v>60-64 yrs</c:v>
                </c:pt>
                <c:pt idx="9">
                  <c:v>65-69 yrs</c:v>
                </c:pt>
                <c:pt idx="10">
                  <c:v>70-74 yrs</c:v>
                </c:pt>
                <c:pt idx="11">
                  <c:v>75-79 yrs</c:v>
                </c:pt>
                <c:pt idx="12">
                  <c:v>80-84 yrs</c:v>
                </c:pt>
                <c:pt idx="13">
                  <c:v>85-89 yrs</c:v>
                </c:pt>
                <c:pt idx="14">
                  <c:v>90+ yrs</c:v>
                </c:pt>
              </c:strCache>
            </c:strRef>
          </c:cat>
          <c:val>
            <c:numRef>
              <c:f>'metastatic - age'!$P$3:$P$18</c:f>
              <c:numCache>
                <c:formatCode>General</c:formatCode>
                <c:ptCount val="15"/>
                <c:pt idx="0">
                  <c:v>25</c:v>
                </c:pt>
                <c:pt idx="1">
                  <c:v>14</c:v>
                </c:pt>
                <c:pt idx="2">
                  <c:v>28</c:v>
                </c:pt>
                <c:pt idx="3">
                  <c:v>37</c:v>
                </c:pt>
                <c:pt idx="4">
                  <c:v>55</c:v>
                </c:pt>
                <c:pt idx="5">
                  <c:v>59</c:v>
                </c:pt>
                <c:pt idx="6">
                  <c:v>118</c:v>
                </c:pt>
                <c:pt idx="7">
                  <c:v>136</c:v>
                </c:pt>
                <c:pt idx="8">
                  <c:v>156</c:v>
                </c:pt>
                <c:pt idx="9">
                  <c:v>168</c:v>
                </c:pt>
                <c:pt idx="10">
                  <c:v>175</c:v>
                </c:pt>
                <c:pt idx="11">
                  <c:v>155</c:v>
                </c:pt>
                <c:pt idx="12">
                  <c:v>120</c:v>
                </c:pt>
                <c:pt idx="13">
                  <c:v>61</c:v>
                </c:pt>
                <c:pt idx="14">
                  <c:v>16</c:v>
                </c:pt>
              </c:numCache>
            </c:numRef>
          </c:val>
          <c:extLst>
            <c:ext xmlns:c16="http://schemas.microsoft.com/office/drawing/2014/chart" uri="{C3380CC4-5D6E-409C-BE32-E72D297353CC}">
              <c16:uniqueId val="{00000000-3590-4C69-88F8-D86DBFC4B9B3}"/>
            </c:ext>
          </c:extLst>
        </c:ser>
        <c:ser>
          <c:idx val="1"/>
          <c:order val="1"/>
          <c:tx>
            <c:strRef>
              <c:f>'metastatic - age'!$Q$1:$Q$2</c:f>
              <c:strCache>
                <c:ptCount val="1"/>
                <c:pt idx="0">
                  <c:v>Male</c:v>
                </c:pt>
              </c:strCache>
            </c:strRef>
          </c:tx>
          <c:spPr>
            <a:solidFill>
              <a:schemeClr val="accent1"/>
            </a:solidFill>
            <a:ln>
              <a:noFill/>
            </a:ln>
            <a:effectLst/>
          </c:spPr>
          <c:invertIfNegative val="0"/>
          <c:cat>
            <c:strRef>
              <c:f>'metastatic - age'!$O$3:$O$18</c:f>
              <c:strCache>
                <c:ptCount val="15"/>
                <c:pt idx="0">
                  <c:v>&lt; 25 yrs</c:v>
                </c:pt>
                <c:pt idx="1">
                  <c:v>25-29 yrs</c:v>
                </c:pt>
                <c:pt idx="2">
                  <c:v>30-34 yrs</c:v>
                </c:pt>
                <c:pt idx="3">
                  <c:v>35-39 yrs</c:v>
                </c:pt>
                <c:pt idx="4">
                  <c:v>40-44 yrs</c:v>
                </c:pt>
                <c:pt idx="5">
                  <c:v>45-49 yrs</c:v>
                </c:pt>
                <c:pt idx="6">
                  <c:v>50-54 yrs</c:v>
                </c:pt>
                <c:pt idx="7">
                  <c:v>55-59 yrs</c:v>
                </c:pt>
                <c:pt idx="8">
                  <c:v>60-64 yrs</c:v>
                </c:pt>
                <c:pt idx="9">
                  <c:v>65-69 yrs</c:v>
                </c:pt>
                <c:pt idx="10">
                  <c:v>70-74 yrs</c:v>
                </c:pt>
                <c:pt idx="11">
                  <c:v>75-79 yrs</c:v>
                </c:pt>
                <c:pt idx="12">
                  <c:v>80-84 yrs</c:v>
                </c:pt>
                <c:pt idx="13">
                  <c:v>85-89 yrs</c:v>
                </c:pt>
                <c:pt idx="14">
                  <c:v>90+ yrs</c:v>
                </c:pt>
              </c:strCache>
            </c:strRef>
          </c:cat>
          <c:val>
            <c:numRef>
              <c:f>'metastatic - age'!$Q$3:$Q$18</c:f>
              <c:numCache>
                <c:formatCode>General</c:formatCode>
                <c:ptCount val="15"/>
                <c:pt idx="0">
                  <c:v>28</c:v>
                </c:pt>
                <c:pt idx="1">
                  <c:v>14</c:v>
                </c:pt>
                <c:pt idx="2">
                  <c:v>39</c:v>
                </c:pt>
                <c:pt idx="3">
                  <c:v>57</c:v>
                </c:pt>
                <c:pt idx="4">
                  <c:v>77</c:v>
                </c:pt>
                <c:pt idx="5">
                  <c:v>137</c:v>
                </c:pt>
                <c:pt idx="6">
                  <c:v>216</c:v>
                </c:pt>
                <c:pt idx="7">
                  <c:v>209</c:v>
                </c:pt>
                <c:pt idx="8">
                  <c:v>263</c:v>
                </c:pt>
                <c:pt idx="9">
                  <c:v>281</c:v>
                </c:pt>
                <c:pt idx="10">
                  <c:v>273</c:v>
                </c:pt>
                <c:pt idx="11">
                  <c:v>250</c:v>
                </c:pt>
                <c:pt idx="12">
                  <c:v>168</c:v>
                </c:pt>
                <c:pt idx="13">
                  <c:v>67</c:v>
                </c:pt>
                <c:pt idx="14">
                  <c:v>16</c:v>
                </c:pt>
              </c:numCache>
            </c:numRef>
          </c:val>
          <c:extLst>
            <c:ext xmlns:c16="http://schemas.microsoft.com/office/drawing/2014/chart" uri="{C3380CC4-5D6E-409C-BE32-E72D297353CC}">
              <c16:uniqueId val="{00000001-3590-4C69-88F8-D86DBFC4B9B3}"/>
            </c:ext>
          </c:extLst>
        </c:ser>
        <c:dLbls>
          <c:showLegendKey val="0"/>
          <c:showVal val="0"/>
          <c:showCatName val="0"/>
          <c:showSerName val="0"/>
          <c:showPercent val="0"/>
          <c:showBubbleSize val="0"/>
        </c:dLbls>
        <c:gapWidth val="219"/>
        <c:overlap val="-27"/>
        <c:axId val="1415991168"/>
        <c:axId val="1415984328"/>
      </c:barChart>
      <c:catAx>
        <c:axId val="1415991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984328"/>
        <c:crosses val="autoZero"/>
        <c:auto val="1"/>
        <c:lblAlgn val="ctr"/>
        <c:lblOffset val="100"/>
        <c:noMultiLvlLbl val="0"/>
      </c:catAx>
      <c:valAx>
        <c:axId val="1415984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99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29627</CharactersWithSpaces>
  <SharedDoc>false</SharedDoc>
  <HLinks>
    <vt:vector size="84" baseType="variant">
      <vt:variant>
        <vt:i4>8323178</vt:i4>
      </vt:variant>
      <vt:variant>
        <vt:i4>45</vt:i4>
      </vt:variant>
      <vt:variant>
        <vt:i4>0</vt:i4>
      </vt:variant>
      <vt:variant>
        <vt:i4>5</vt:i4>
      </vt:variant>
      <vt:variant>
        <vt:lpwstr>https://www.pbs.gov.au/info/industry/listing/participants/public-release-docs/2017-02/imatinib-gastrointestinal-stromal-tumour-feb-2017</vt:lpwstr>
      </vt:variant>
      <vt:variant>
        <vt:lpwstr/>
      </vt:variant>
      <vt:variant>
        <vt:i4>6815868</vt:i4>
      </vt:variant>
      <vt:variant>
        <vt:i4>42</vt:i4>
      </vt:variant>
      <vt:variant>
        <vt:i4>0</vt:i4>
      </vt:variant>
      <vt:variant>
        <vt:i4>5</vt:i4>
      </vt:variant>
      <vt:variant>
        <vt:lpwstr>https://www.pbs.gov.au/info/industry/listing/elements/pbac-meetings/psd/2021-07/ripretinib-tablet-50-mg-qinlock</vt:lpwstr>
      </vt:variant>
      <vt:variant>
        <vt:lpwstr/>
      </vt:variant>
      <vt:variant>
        <vt:i4>6029326</vt:i4>
      </vt:variant>
      <vt:variant>
        <vt:i4>39</vt:i4>
      </vt:variant>
      <vt:variant>
        <vt:i4>0</vt:i4>
      </vt:variant>
      <vt:variant>
        <vt:i4>5</vt:i4>
      </vt:variant>
      <vt:variant>
        <vt:lpwstr>https://www.pbs.gov.au/industry/listing/elements/pbac-meetings/pbac-outcomes/2021-03/march-2021-pbac-web-outcomes.pdf</vt:lpwstr>
      </vt:variant>
      <vt:variant>
        <vt:lpwstr/>
      </vt:variant>
      <vt:variant>
        <vt:i4>4194375</vt:i4>
      </vt:variant>
      <vt:variant>
        <vt:i4>36</vt:i4>
      </vt:variant>
      <vt:variant>
        <vt:i4>0</vt:i4>
      </vt:variant>
      <vt:variant>
        <vt:i4>5</vt:i4>
      </vt:variant>
      <vt:variant>
        <vt:lpwstr>https://www.pbs.gov.au/info/industry/listing/elements/pbac-meetings/psd/2011-03/pbac-psd-imatinib-march11</vt:lpwstr>
      </vt:variant>
      <vt:variant>
        <vt:lpwstr/>
      </vt:variant>
      <vt:variant>
        <vt:i4>262228</vt:i4>
      </vt:variant>
      <vt:variant>
        <vt:i4>33</vt:i4>
      </vt:variant>
      <vt:variant>
        <vt:i4>0</vt:i4>
      </vt:variant>
      <vt:variant>
        <vt:i4>5</vt:i4>
      </vt:variant>
      <vt:variant>
        <vt:lpwstr>https://www.pbs.gov.au/info/industry/listing/elements/pbac-meetings/psd/2009-07/pbac-psd-sunitinib-jul09</vt:lpwstr>
      </vt:variant>
      <vt:variant>
        <vt:lpwstr/>
      </vt:variant>
      <vt:variant>
        <vt:i4>3932188</vt:i4>
      </vt:variant>
      <vt:variant>
        <vt:i4>30</vt:i4>
      </vt:variant>
      <vt:variant>
        <vt:i4>0</vt:i4>
      </vt:variant>
      <vt:variant>
        <vt:i4>5</vt:i4>
      </vt:variant>
      <vt:variant>
        <vt:lpwstr>\\central.health\DFSGroupData\Sites\CO1\CO\PBD\PEB\EVAL\DUSC\DUSC Documents\Predicted vs actual usage\pbs.gov.au</vt:lpwstr>
      </vt:variant>
      <vt:variant>
        <vt:lpwstr/>
      </vt:variant>
      <vt:variant>
        <vt:i4>3932188</vt:i4>
      </vt:variant>
      <vt:variant>
        <vt:i4>27</vt:i4>
      </vt:variant>
      <vt:variant>
        <vt:i4>0</vt:i4>
      </vt:variant>
      <vt:variant>
        <vt:i4>5</vt:i4>
      </vt:variant>
      <vt:variant>
        <vt:lpwstr>\\central.health\DFSGroupData\Sites\CO1\CO\PBD\PEB\EVAL\DUSC\DUSC Documents\Predicted vs actual usage\pbs.gov.au</vt:lpwstr>
      </vt:variant>
      <vt:variant>
        <vt:lpwstr/>
      </vt:variant>
      <vt:variant>
        <vt:i4>3145774</vt:i4>
      </vt:variant>
      <vt:variant>
        <vt:i4>24</vt:i4>
      </vt:variant>
      <vt:variant>
        <vt:i4>0</vt:i4>
      </vt:variant>
      <vt:variant>
        <vt:i4>5</vt:i4>
      </vt:variant>
      <vt:variant>
        <vt:lpwstr>http://www.pbs.gov.au/pbs/home</vt:lpwstr>
      </vt:variant>
      <vt:variant>
        <vt:lpwstr/>
      </vt:variant>
      <vt:variant>
        <vt:i4>3145774</vt:i4>
      </vt:variant>
      <vt:variant>
        <vt:i4>21</vt:i4>
      </vt:variant>
      <vt:variant>
        <vt:i4>0</vt:i4>
      </vt:variant>
      <vt:variant>
        <vt:i4>5</vt:i4>
      </vt:variant>
      <vt:variant>
        <vt:lpwstr>http://www.pbs.gov.au/pbs/home</vt:lpwstr>
      </vt:variant>
      <vt:variant>
        <vt:lpwstr/>
      </vt:variant>
      <vt:variant>
        <vt:i4>3145774</vt:i4>
      </vt:variant>
      <vt:variant>
        <vt:i4>18</vt:i4>
      </vt:variant>
      <vt:variant>
        <vt:i4>0</vt:i4>
      </vt:variant>
      <vt:variant>
        <vt:i4>5</vt:i4>
      </vt:variant>
      <vt:variant>
        <vt:lpwstr>http://www.pbs.gov.au/pbs/home</vt:lpwstr>
      </vt:variant>
      <vt:variant>
        <vt:lpwstr/>
      </vt:variant>
      <vt:variant>
        <vt:i4>3145774</vt:i4>
      </vt:variant>
      <vt:variant>
        <vt:i4>15</vt:i4>
      </vt:variant>
      <vt:variant>
        <vt:i4>0</vt:i4>
      </vt:variant>
      <vt:variant>
        <vt:i4>5</vt:i4>
      </vt:variant>
      <vt:variant>
        <vt:lpwstr>http://www.pbs.gov.au/pbs/home</vt:lpwstr>
      </vt:variant>
      <vt:variant>
        <vt:lpwstr/>
      </vt:variant>
      <vt:variant>
        <vt:i4>852045</vt:i4>
      </vt:variant>
      <vt:variant>
        <vt:i4>12</vt:i4>
      </vt:variant>
      <vt:variant>
        <vt:i4>0</vt:i4>
      </vt:variant>
      <vt:variant>
        <vt:i4>5</vt:i4>
      </vt:variant>
      <vt:variant>
        <vt:lpwstr>http://www.tga.gov.au/consumers/information-medicines-cmi.htm</vt:lpwstr>
      </vt:variant>
      <vt:variant>
        <vt:lpwstr/>
      </vt:variant>
      <vt:variant>
        <vt:i4>5701701</vt:i4>
      </vt:variant>
      <vt:variant>
        <vt:i4>9</vt:i4>
      </vt:variant>
      <vt:variant>
        <vt:i4>0</vt:i4>
      </vt:variant>
      <vt:variant>
        <vt:i4>5</vt:i4>
      </vt:variant>
      <vt:variant>
        <vt:lpwstr>http://tga.gov.au/hp/information-medicines-pi.htm</vt:lpwstr>
      </vt:variant>
      <vt:variant>
        <vt:lpwstr/>
      </vt:variant>
      <vt:variant>
        <vt:i4>7012455</vt:i4>
      </vt:variant>
      <vt:variant>
        <vt:i4>0</vt:i4>
      </vt:variant>
      <vt:variant>
        <vt:i4>0</vt:i4>
      </vt:variant>
      <vt:variant>
        <vt:i4>5</vt:i4>
      </vt:variant>
      <vt:variant>
        <vt:lpwstr>http://www.medicareaustralia.gov.au/provider/pbs/stats.jsp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2025-09-15T00:24:00Z</dcterms:created>
  <dcterms:modified xsi:type="dcterms:W3CDTF">2025-09-15T00:46:00Z</dcterms:modified>
</cp:coreProperties>
</file>