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26DDF56E" w:rsidR="00832324" w:rsidRDefault="00EE2363" w:rsidP="00F73113">
      <w:pPr>
        <w:pStyle w:val="Title"/>
      </w:pPr>
      <w:r>
        <w:t>Fluticasone furoate</w:t>
      </w:r>
      <w:r w:rsidR="00C43288">
        <w:t xml:space="preserve"> with</w:t>
      </w:r>
      <w:r>
        <w:t xml:space="preserve"> umeclidinium</w:t>
      </w:r>
      <w:r w:rsidR="00C43288">
        <w:t xml:space="preserve"> and</w:t>
      </w:r>
      <w:r>
        <w:t xml:space="preserve"> vilanterol for severe asthma: 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3FD4943" w:rsidR="009053D3" w:rsidRPr="00F73113" w:rsidRDefault="00C43288" w:rsidP="00F73113">
      <w:pPr>
        <w:pStyle w:val="Meetingdate"/>
      </w:pPr>
      <w:r>
        <w:t>April 2025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647711CC" w:rsidR="005C6661" w:rsidRDefault="004B225F" w:rsidP="0095145B">
      <w:pPr>
        <w:pStyle w:val="NoSpacing"/>
      </w:pPr>
      <w:r>
        <w:t>To review the</w:t>
      </w:r>
      <w:r w:rsidR="0095145B" w:rsidRPr="0095145B">
        <w:t xml:space="preserve"> utilisation of single inhaler triple therapies for severe asthma to </w:t>
      </w:r>
      <w:r w:rsidR="00A50CAF">
        <w:t xml:space="preserve">consider if </w:t>
      </w:r>
      <w:r w:rsidR="0095145B" w:rsidRPr="0095145B">
        <w:t xml:space="preserve">reversion to Authority Required (telephone /online) </w:t>
      </w:r>
      <w:r w:rsidR="00E42608">
        <w:t xml:space="preserve">may be required </w:t>
      </w:r>
      <w:r w:rsidR="0095145B" w:rsidRPr="0095145B">
        <w:t>if use beyond the intent of the restriction is evident</w:t>
      </w:r>
      <w:r w:rsidR="00666AAA">
        <w:t>.</w:t>
      </w:r>
    </w:p>
    <w:p w14:paraId="14A6A3B3" w14:textId="77777777" w:rsidR="00300D1B" w:rsidRDefault="00300D1B" w:rsidP="0095145B">
      <w:pPr>
        <w:pStyle w:val="NoSpacing"/>
      </w:pPr>
    </w:p>
    <w:p w14:paraId="3030D3AD" w14:textId="7730FA70" w:rsidR="00300D1B" w:rsidRDefault="00606665" w:rsidP="0095145B">
      <w:pPr>
        <w:pStyle w:val="NoSpacing"/>
      </w:pPr>
      <w:r>
        <w:t>The single inhaler therapies of interest are:</w:t>
      </w:r>
    </w:p>
    <w:p w14:paraId="23D3D8B8" w14:textId="18D2EE93" w:rsidR="00606665" w:rsidRDefault="00BB2A95" w:rsidP="00606665">
      <w:pPr>
        <w:pStyle w:val="NoSpacing"/>
        <w:numPr>
          <w:ilvl w:val="0"/>
          <w:numId w:val="4"/>
        </w:numPr>
      </w:pPr>
      <w:r>
        <w:t xml:space="preserve">Trelegy Ellipta - </w:t>
      </w:r>
      <w:r w:rsidR="00606665">
        <w:t>Fluticasone furoate</w:t>
      </w:r>
      <w:r w:rsidR="005F5E4A">
        <w:t xml:space="preserve"> +</w:t>
      </w:r>
      <w:r w:rsidR="00606665">
        <w:t xml:space="preserve"> umeclidinium</w:t>
      </w:r>
      <w:r w:rsidR="005F5E4A">
        <w:t xml:space="preserve"> +</w:t>
      </w:r>
      <w:r w:rsidR="00606665">
        <w:t xml:space="preserve"> vilanterol </w:t>
      </w:r>
      <w:r w:rsidR="00E6081D">
        <w:t xml:space="preserve">henceforth referred to as </w:t>
      </w:r>
      <w:r w:rsidR="00F32BA6">
        <w:t>FF/VI/UMEC</w:t>
      </w:r>
      <w:r w:rsidR="005F5E4A">
        <w:t>.</w:t>
      </w:r>
    </w:p>
    <w:p w14:paraId="4D54C5C6" w14:textId="049D2103" w:rsidR="00E6081D" w:rsidRDefault="00ED35C4" w:rsidP="00606665">
      <w:pPr>
        <w:pStyle w:val="NoSpacing"/>
        <w:numPr>
          <w:ilvl w:val="0"/>
          <w:numId w:val="4"/>
        </w:numPr>
      </w:pPr>
      <w:r>
        <w:t>Trimbow – beclomethasone</w:t>
      </w:r>
      <w:r w:rsidR="005F5E4A">
        <w:t xml:space="preserve"> +</w:t>
      </w:r>
      <w:r>
        <w:t xml:space="preserve"> formoterol</w:t>
      </w:r>
      <w:r w:rsidR="005F5E4A">
        <w:t xml:space="preserve"> +</w:t>
      </w:r>
      <w:r>
        <w:t xml:space="preserve"> glycopyrronium henceforth referred to as </w:t>
      </w:r>
      <w:r w:rsidR="00783C63">
        <w:t>BEC/FOR/GLY</w:t>
      </w:r>
      <w:r w:rsidR="005F5E4A">
        <w:t>.</w:t>
      </w:r>
    </w:p>
    <w:p w14:paraId="01151348" w14:textId="617D6327" w:rsidR="00351994" w:rsidRDefault="00351994" w:rsidP="00606665">
      <w:pPr>
        <w:pStyle w:val="NoSpacing"/>
        <w:numPr>
          <w:ilvl w:val="0"/>
          <w:numId w:val="4"/>
        </w:numPr>
      </w:pPr>
      <w:r>
        <w:t xml:space="preserve">Enerzair Breezhaler – mometasone + indacaterol + glycopyrronium </w:t>
      </w:r>
      <w:r w:rsidR="005F5E4A">
        <w:t xml:space="preserve">henceforth referred to as </w:t>
      </w:r>
      <w:r w:rsidR="00783C63">
        <w:t>MF/IND/GLY</w:t>
      </w:r>
      <w:r w:rsidR="005F5E4A">
        <w:t>.</w:t>
      </w:r>
      <w:r w:rsidR="002444D7">
        <w:br/>
      </w:r>
    </w:p>
    <w:p w14:paraId="7C983A67" w14:textId="1414F355" w:rsidR="00D358C5" w:rsidRDefault="00244FA5" w:rsidP="0095145B">
      <w:pPr>
        <w:pStyle w:val="NoSpacing"/>
      </w:pPr>
      <w:r>
        <w:t>Other inhaler therapies referred to in the report are as follows:</w:t>
      </w:r>
    </w:p>
    <w:p w14:paraId="467825B3" w14:textId="60944FA2" w:rsidR="00244FA5" w:rsidRDefault="00244FA5" w:rsidP="00244FA5">
      <w:pPr>
        <w:pStyle w:val="NoSpacing"/>
        <w:numPr>
          <w:ilvl w:val="0"/>
          <w:numId w:val="9"/>
        </w:numPr>
      </w:pPr>
      <w:r>
        <w:t xml:space="preserve">Inhaled </w:t>
      </w:r>
      <w:r w:rsidR="008E148D">
        <w:t>c</w:t>
      </w:r>
      <w:r>
        <w:t>orticoster</w:t>
      </w:r>
      <w:r w:rsidR="008E148D">
        <w:t>oids (ICS)</w:t>
      </w:r>
    </w:p>
    <w:p w14:paraId="1CC30443" w14:textId="59416608" w:rsidR="008E148D" w:rsidRDefault="002444D7" w:rsidP="00244FA5">
      <w:pPr>
        <w:pStyle w:val="NoSpacing"/>
        <w:numPr>
          <w:ilvl w:val="0"/>
          <w:numId w:val="9"/>
        </w:numPr>
      </w:pPr>
      <w:r>
        <w:t>Short/l</w:t>
      </w:r>
      <w:r w:rsidR="008E148D">
        <w:t>ong</w:t>
      </w:r>
      <w:r w:rsidR="00B64AD7">
        <w:t>-</w:t>
      </w:r>
      <w:r w:rsidR="008E148D">
        <w:t>acting muscarinic antagonists (</w:t>
      </w:r>
      <w:r>
        <w:t>SAMA/</w:t>
      </w:r>
      <w:r w:rsidR="008E148D">
        <w:t>LAMA)</w:t>
      </w:r>
    </w:p>
    <w:p w14:paraId="6879B2EF" w14:textId="1C2EAFF4" w:rsidR="00B64AD7" w:rsidRDefault="008E148D" w:rsidP="007C6092">
      <w:pPr>
        <w:pStyle w:val="NoSpacing"/>
        <w:numPr>
          <w:ilvl w:val="0"/>
          <w:numId w:val="9"/>
        </w:numPr>
      </w:pPr>
      <w:r>
        <w:t>Short/long</w:t>
      </w:r>
      <w:r w:rsidR="00B64AD7">
        <w:t>-</w:t>
      </w:r>
      <w:r>
        <w:t>acting beta agonists (SABA/LABA)</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9F2CDD9" w14:textId="77777777" w:rsidR="0058556F" w:rsidRDefault="0058556F" w:rsidP="0058556F">
      <w:r>
        <w:t>MF/IND/GLY was first listed on the PBS for severe asthma on 1</w:t>
      </w:r>
      <w:r w:rsidRPr="00A4098D">
        <w:rPr>
          <w:vertAlign w:val="superscript"/>
        </w:rPr>
        <w:t>st</w:t>
      </w:r>
      <w:r>
        <w:t xml:space="preserve"> April 2021.</w:t>
      </w:r>
    </w:p>
    <w:p w14:paraId="32CFC816" w14:textId="77777777" w:rsidR="0058556F" w:rsidRDefault="0058556F" w:rsidP="0058556F">
      <w:r>
        <w:t>FF/VI/UMEC was first listed on the PBS for severe asthma on 1</w:t>
      </w:r>
      <w:r w:rsidRPr="00A4098D">
        <w:rPr>
          <w:vertAlign w:val="superscript"/>
        </w:rPr>
        <w:t>st</w:t>
      </w:r>
      <w:r>
        <w:t xml:space="preserve"> April 2022. </w:t>
      </w:r>
    </w:p>
    <w:p w14:paraId="683BCE0E" w14:textId="77777777" w:rsidR="0058556F" w:rsidRPr="00AB199C" w:rsidDel="00EE2BBB" w:rsidRDefault="0058556F" w:rsidP="0058556F">
      <w:r>
        <w:t>BEC/FOR/GLY was first listed on the PBS for severe asthma on 1</w:t>
      </w:r>
      <w:r w:rsidRPr="003D2AFB">
        <w:rPr>
          <w:vertAlign w:val="superscript"/>
        </w:rPr>
        <w:t>st</w:t>
      </w:r>
      <w:r>
        <w:t xml:space="preserve"> January 2023. </w:t>
      </w:r>
    </w:p>
    <w:p w14:paraId="526743BB" w14:textId="77777777" w:rsidR="005C6661" w:rsidRDefault="005C6661" w:rsidP="00CF5E22">
      <w:pPr>
        <w:pStyle w:val="Heading3"/>
      </w:pPr>
      <w:r>
        <w:t>Data Source / methodology</w:t>
      </w:r>
    </w:p>
    <w:p w14:paraId="2BF07C6E" w14:textId="77777777" w:rsidR="0058556F" w:rsidRDefault="0058556F" w:rsidP="0058556F">
      <w:pPr>
        <w:rPr>
          <w:b/>
          <w:i/>
        </w:rPr>
      </w:pPr>
      <w:r w:rsidRPr="00FC0D14">
        <w:t>PBS dispensing data was extracted from the PBS data maintained by the Department of Health and Aged Care, processed by Services Australia.</w:t>
      </w:r>
    </w:p>
    <w:p w14:paraId="36B88AC1" w14:textId="77777777" w:rsidR="002444D7" w:rsidRDefault="002444D7">
      <w:pPr>
        <w:spacing w:line="276" w:lineRule="auto"/>
        <w:rPr>
          <w:b/>
          <w:i/>
          <w:szCs w:val="28"/>
        </w:rPr>
      </w:pPr>
      <w:r>
        <w:br w:type="page"/>
      </w:r>
    </w:p>
    <w:p w14:paraId="7599E7C1" w14:textId="2251C9D4" w:rsidR="005C6661" w:rsidRDefault="005C6661" w:rsidP="00CF5E22">
      <w:pPr>
        <w:pStyle w:val="Heading3"/>
      </w:pPr>
      <w:r>
        <w:lastRenderedPageBreak/>
        <w:t>Key Findings</w:t>
      </w:r>
    </w:p>
    <w:p w14:paraId="013B8A7D" w14:textId="122FA205" w:rsidR="005C6661" w:rsidRDefault="00671FAE" w:rsidP="005C6661">
      <w:pPr>
        <w:pStyle w:val="NoSpacing"/>
        <w:numPr>
          <w:ilvl w:val="0"/>
          <w:numId w:val="1"/>
        </w:numPr>
      </w:pPr>
      <w:r>
        <w:t xml:space="preserve">In year 1 of listing there were 24,910 prevalent patients utilising </w:t>
      </w:r>
      <w:r w:rsidR="00D84201">
        <w:t>FF/VI/UMEC for severe asthma followed by 45,108 and 53,224 in subsequent listing years</w:t>
      </w:r>
      <w:r w:rsidR="00385456">
        <w:t xml:space="preserve"> noting that the third listing year is incomplete</w:t>
      </w:r>
      <w:r w:rsidR="00B777F7">
        <w:t>.</w:t>
      </w:r>
    </w:p>
    <w:p w14:paraId="5F3C85DF" w14:textId="20E34D6F" w:rsidR="00385456" w:rsidRDefault="00385456" w:rsidP="00C4069E">
      <w:pPr>
        <w:pStyle w:val="NoSpacing"/>
        <w:numPr>
          <w:ilvl w:val="0"/>
          <w:numId w:val="1"/>
        </w:numPr>
      </w:pPr>
      <w:r>
        <w:t xml:space="preserve">In year 1 of listing there </w:t>
      </w:r>
      <w:r w:rsidR="00A2178A">
        <w:t>were 97,287 prescriptions dispensed</w:t>
      </w:r>
      <w:r w:rsidR="00105366">
        <w:t xml:space="preserve"> for FF/VI/UMEC </w:t>
      </w:r>
      <w:r w:rsidR="00A2178A">
        <w:t>at a cost to government of $7.7 million</w:t>
      </w:r>
      <w:r w:rsidR="00B777F7">
        <w:t xml:space="preserve"> increasing to $19.6 million and $21.6 in subsequent listing years noting that the third listing year is incomplete.</w:t>
      </w:r>
    </w:p>
    <w:p w14:paraId="6607C908" w14:textId="3B65FE1D" w:rsidR="00CB1134" w:rsidRDefault="002757ED" w:rsidP="00C4069E">
      <w:pPr>
        <w:pStyle w:val="NoSpacing"/>
        <w:numPr>
          <w:ilvl w:val="0"/>
          <w:numId w:val="1"/>
        </w:numPr>
      </w:pPr>
      <w:r>
        <w:t xml:space="preserve">The number of prescriptions and cost to government </w:t>
      </w:r>
      <w:r w:rsidR="00CC00B2">
        <w:t xml:space="preserve">for FF/VI/UMEC </w:t>
      </w:r>
      <w:r>
        <w:t xml:space="preserve">was </w:t>
      </w:r>
      <w:r w:rsidR="0016105B" w:rsidRPr="002E1275">
        <w:rPr>
          <w:highlight w:val="black"/>
        </w:rPr>
        <w:t>XXX</w:t>
      </w:r>
      <w:r w:rsidR="0016105B">
        <w:rPr>
          <w:highlight w:val="black"/>
        </w:rPr>
        <w:t xml:space="preserve"> </w:t>
      </w:r>
      <w:r w:rsidR="0016105B" w:rsidRPr="002E1275">
        <w:rPr>
          <w:highlight w:val="black"/>
        </w:rPr>
        <w:t>XXX</w:t>
      </w:r>
      <w:r>
        <w:t xml:space="preserve"> than predicted in the first year of listing and </w:t>
      </w:r>
      <w:r w:rsidR="0016105B" w:rsidRPr="002E1275">
        <w:rPr>
          <w:highlight w:val="black"/>
        </w:rPr>
        <w:t>XXXXXXXXX</w:t>
      </w:r>
      <w:r w:rsidR="0016105B">
        <w:t xml:space="preserve"> </w:t>
      </w:r>
      <w:r>
        <w:t xml:space="preserve">in </w:t>
      </w:r>
      <w:r w:rsidR="00150609">
        <w:t xml:space="preserve">the second year. Current utilisation in the third year of listing suggests </w:t>
      </w:r>
      <w:r w:rsidR="00CB1134">
        <w:t xml:space="preserve">a similar percentage change to the second year. </w:t>
      </w:r>
    </w:p>
    <w:p w14:paraId="0F0657E5" w14:textId="3F4340E0" w:rsidR="00812364" w:rsidRDefault="00136022" w:rsidP="00C4069E">
      <w:pPr>
        <w:pStyle w:val="NoSpacing"/>
        <w:numPr>
          <w:ilvl w:val="0"/>
          <w:numId w:val="1"/>
        </w:numPr>
      </w:pPr>
      <w:r>
        <w:t xml:space="preserve">The number of new patients initiating single inhaler triple therapies </w:t>
      </w:r>
      <w:r w:rsidR="00F57704">
        <w:t xml:space="preserve">for severe asthma </w:t>
      </w:r>
      <w:r>
        <w:t xml:space="preserve">is greater than </w:t>
      </w:r>
      <w:r w:rsidR="00F57704">
        <w:t xml:space="preserve">the number of patients who initiated treatment </w:t>
      </w:r>
      <w:r w:rsidR="00FB042C">
        <w:t xml:space="preserve">with tiotropium </w:t>
      </w:r>
      <w:r w:rsidR="00710D74">
        <w:t>(</w:t>
      </w:r>
      <w:r w:rsidR="00FB042C">
        <w:t>item code 11043F</w:t>
      </w:r>
      <w:r w:rsidR="00710D74">
        <w:t>)</w:t>
      </w:r>
      <w:r w:rsidR="00FB042C">
        <w:t xml:space="preserve"> which was used as the basis for a market share approach </w:t>
      </w:r>
      <w:r w:rsidR="00812364">
        <w:t xml:space="preserve">in each of the PBAC submissions. </w:t>
      </w:r>
    </w:p>
    <w:p w14:paraId="6571FDD1" w14:textId="6BCB1409" w:rsidR="00FA3D94" w:rsidRDefault="00AC5731" w:rsidP="00C4069E">
      <w:pPr>
        <w:pStyle w:val="NoSpacing"/>
        <w:numPr>
          <w:ilvl w:val="0"/>
          <w:numId w:val="1"/>
        </w:numPr>
      </w:pPr>
      <w:r>
        <w:t>The number of patients initiating on to a single inhaler triple therapy that had a PBS treatment history</w:t>
      </w:r>
      <w:r w:rsidR="003769BF">
        <w:t xml:space="preserve"> that was identified as potentially</w:t>
      </w:r>
      <w:r>
        <w:t xml:space="preserve"> outside of the restriction for severe asthma was 14,625 </w:t>
      </w:r>
      <w:r w:rsidR="00FA3D94">
        <w:t>or</w:t>
      </w:r>
      <w:r>
        <w:t xml:space="preserve"> 14% of the initial patient numbers up to 3</w:t>
      </w:r>
      <w:r w:rsidR="003769BF">
        <w:t>0</w:t>
      </w:r>
      <w:r w:rsidR="003769BF" w:rsidRPr="008D578A">
        <w:rPr>
          <w:vertAlign w:val="superscript"/>
        </w:rPr>
        <w:t>th</w:t>
      </w:r>
      <w:r w:rsidR="008D578A">
        <w:t xml:space="preserve"> </w:t>
      </w:r>
      <w:r>
        <w:t>November 2024.</w:t>
      </w:r>
    </w:p>
    <w:p w14:paraId="351CC1EE" w14:textId="77777777" w:rsidR="00A340F2" w:rsidRDefault="00F03631" w:rsidP="00C4069E">
      <w:pPr>
        <w:pStyle w:val="ListParagraph"/>
        <w:numPr>
          <w:ilvl w:val="0"/>
          <w:numId w:val="1"/>
        </w:numPr>
      </w:pPr>
      <w:r>
        <w:t xml:space="preserve">29,090 patients or 28% of patients initiating a single inhaler triple therapy for severe asthma had evidence of more than six COPD restricted prescriptions in their PBS history. </w:t>
      </w:r>
    </w:p>
    <w:p w14:paraId="412C23F7" w14:textId="7419E7EC" w:rsidR="00B777F7" w:rsidRDefault="008E14F1" w:rsidP="00C4069E">
      <w:pPr>
        <w:pStyle w:val="ListParagraph"/>
        <w:numPr>
          <w:ilvl w:val="0"/>
          <w:numId w:val="1"/>
        </w:numPr>
      </w:pPr>
      <w:r>
        <w:t>The total cost to government of inhaler therapies (excluding nebulised products) has remained steady at approximately $600 million per year since 2018</w:t>
      </w:r>
      <w:r w:rsidR="00A340F2">
        <w:t>.</w:t>
      </w:r>
      <w:r w:rsidR="00A340F2" w:rsidRPr="00A340F2">
        <w:t xml:space="preserve"> </w:t>
      </w:r>
      <w:r w:rsidR="00A340F2">
        <w:t>ICS/LABA preparations reduced by $6.5 million dollars per year to $168 million</w:t>
      </w:r>
      <w:r w:rsidR="003975B3">
        <w:t xml:space="preserve"> in 2024</w:t>
      </w:r>
      <w:r w:rsidR="00A340F2">
        <w:t xml:space="preserve"> from $207 million</w:t>
      </w:r>
      <w:r w:rsidR="003975B3">
        <w:t xml:space="preserve"> in 2018</w:t>
      </w:r>
      <w:r w:rsidR="00A340F2">
        <w:t>. LAMA products</w:t>
      </w:r>
      <w:r w:rsidR="00140EC2">
        <w:t xml:space="preserve"> reduced</w:t>
      </w:r>
      <w:r w:rsidR="00A340F2">
        <w:t xml:space="preserve"> </w:t>
      </w:r>
      <w:r w:rsidR="00140EC2">
        <w:t>by</w:t>
      </w:r>
      <w:r w:rsidR="00A340F2">
        <w:t xml:space="preserve"> $22.5 million dollar</w:t>
      </w:r>
      <w:r w:rsidR="00140EC2">
        <w:t>s</w:t>
      </w:r>
      <w:r w:rsidR="00A340F2">
        <w:t xml:space="preserve"> per year from $250 million to $115 million</w:t>
      </w:r>
      <w:r w:rsidR="003975B3">
        <w:t xml:space="preserve"> in 2024</w:t>
      </w:r>
      <w:r w:rsidR="00A340F2">
        <w:t xml:space="preserve">. </w:t>
      </w:r>
      <w:r w:rsidR="00140EC2">
        <w:t>S</w:t>
      </w:r>
      <w:r w:rsidR="00A340F2">
        <w:t>ABA</w:t>
      </w:r>
      <w:r w:rsidR="00140EC2">
        <w:t xml:space="preserve"> products </w:t>
      </w:r>
      <w:r w:rsidR="00E154AB">
        <w:t xml:space="preserve">increased by </w:t>
      </w:r>
      <w:r w:rsidR="00A340F2">
        <w:t>$5.5 million per year</w:t>
      </w:r>
      <w:r w:rsidR="00D61355">
        <w:t xml:space="preserve"> up to $110 million in 2024</w:t>
      </w:r>
      <w:r w:rsidR="00E154AB">
        <w:t>.</w:t>
      </w:r>
      <w:r w:rsidR="00A340F2">
        <w:t xml:space="preserve"> ICS/LABA/LAMA </w:t>
      </w:r>
      <w:r w:rsidR="00E154AB">
        <w:t>products ha</w:t>
      </w:r>
      <w:r w:rsidR="00A029BF">
        <w:t>d</w:t>
      </w:r>
      <w:r w:rsidR="00E154AB">
        <w:t xml:space="preserve"> grown by</w:t>
      </w:r>
      <w:r w:rsidR="00A340F2">
        <w:t xml:space="preserve"> $18.1 million growth rate per year</w:t>
      </w:r>
      <w:r w:rsidR="00D61355">
        <w:t xml:space="preserve"> up to $116 million in 2024</w:t>
      </w:r>
      <w:r w:rsidR="00A340F2">
        <w:t>.</w:t>
      </w:r>
    </w:p>
    <w:p w14:paraId="5EF93B11" w14:textId="008621DC" w:rsidR="00C4069E" w:rsidRPr="00671FAE" w:rsidRDefault="00C4069E" w:rsidP="00C4069E">
      <w:pPr>
        <w:pStyle w:val="ListParagraph"/>
        <w:numPr>
          <w:ilvl w:val="0"/>
          <w:numId w:val="1"/>
        </w:numPr>
      </w:pPr>
      <w:r>
        <w:t xml:space="preserve">The proportion of the ICS/LABA market attributable to COPD prescriptions has remained steady at approximately 15% per year with $25 million in 2024 while the remaining 85% </w:t>
      </w:r>
      <w:r w:rsidR="00BB1DBD">
        <w:t>wa</w:t>
      </w:r>
      <w:r>
        <w:t>s from asthma prescriptions at $143 million in 2024. With the listing of ICS/LABA/LAMA for severe asthma</w:t>
      </w:r>
      <w:r w:rsidR="00BB1DBD">
        <w:t>,</w:t>
      </w:r>
      <w:r>
        <w:t xml:space="preserve"> the proportion of cost attributable to COPD has been reducing. In 2024 the cost attributable to COPD prescriptions was 65% of the total $116 million at $75.4 million and for asthma this was 35% of the total at $40.6 million.   </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7A75E8AF" w14:textId="33B1DF33" w:rsidR="007D3F1A" w:rsidRDefault="007D3F1A" w:rsidP="007D3F1A">
      <w:pPr>
        <w:pStyle w:val="NoSpacing"/>
      </w:pPr>
      <w:r>
        <w:t>To review the</w:t>
      </w:r>
      <w:r w:rsidRPr="0095145B">
        <w:t xml:space="preserve"> utilisation of single inhaler triple therapies for severe asthma to </w:t>
      </w:r>
      <w:r w:rsidR="0059201D">
        <w:t xml:space="preserve">consider if </w:t>
      </w:r>
      <w:r w:rsidRPr="0095145B">
        <w:t>reversion to Authority Required (telephone /online)</w:t>
      </w:r>
      <w:r w:rsidR="0059201D">
        <w:t xml:space="preserve"> may be required</w:t>
      </w:r>
      <w:r w:rsidRPr="0095145B">
        <w:t xml:space="preserve"> if use beyond the intent of the restriction is evident</w:t>
      </w:r>
      <w:r>
        <w:t>.</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01079EAF" w14:textId="01D2D5C3" w:rsidR="00815A22" w:rsidRDefault="00CE027A" w:rsidP="00EE2BBB">
      <w:r>
        <w:t xml:space="preserve">Asthma is a </w:t>
      </w:r>
      <w:r w:rsidR="003E7B28">
        <w:t>long term condition that affects 1 in 9 Australians with over 400 deaths due to asthma each year.</w:t>
      </w:r>
      <w:r w:rsidR="003E7B28">
        <w:rPr>
          <w:rStyle w:val="FootnoteReference"/>
        </w:rPr>
        <w:footnoteReference w:id="1"/>
      </w:r>
      <w:r w:rsidR="00C90060">
        <w:t xml:space="preserve"> Asthma </w:t>
      </w:r>
      <w:r w:rsidR="0087613B">
        <w:t xml:space="preserve">is the inflammation </w:t>
      </w:r>
      <w:r w:rsidR="005864F0">
        <w:t xml:space="preserve">and </w:t>
      </w:r>
      <w:r w:rsidR="00FA3245">
        <w:t xml:space="preserve">airway </w:t>
      </w:r>
      <w:r w:rsidR="005864F0">
        <w:t>muscle tightening</w:t>
      </w:r>
      <w:r w:rsidR="00096BA5">
        <w:t xml:space="preserve"> in response to a trigger which can vary between people. </w:t>
      </w:r>
      <w:r w:rsidR="00BE2E4F">
        <w:t>Asthma cannot be cured but</w:t>
      </w:r>
      <w:r w:rsidR="00E45260">
        <w:t xml:space="preserve"> symptoms may be controlled through the use of medications.</w:t>
      </w:r>
      <w:r w:rsidR="00B8013E">
        <w:t xml:space="preserve"> </w:t>
      </w:r>
    </w:p>
    <w:p w14:paraId="703E868B" w14:textId="41BC59E7" w:rsidR="00E45260" w:rsidRPr="00C256F6" w:rsidRDefault="00E45260" w:rsidP="00EE2BBB">
      <w:pPr>
        <w:rPr>
          <w:vertAlign w:val="superscript"/>
        </w:rPr>
      </w:pPr>
      <w:r>
        <w:t xml:space="preserve">Severe asthma </w:t>
      </w:r>
      <w:r w:rsidR="00E93371">
        <w:t xml:space="preserve">represents a sub-type of asthma that is difficult to control </w:t>
      </w:r>
      <w:r w:rsidR="00B8013E">
        <w:t>and typically requires m</w:t>
      </w:r>
      <w:r w:rsidR="00D33631">
        <w:t>ultiple medic</w:t>
      </w:r>
      <w:r w:rsidR="00B65E68">
        <w:t>ations administered at higher doses</w:t>
      </w:r>
      <w:r w:rsidR="008B125D">
        <w:t xml:space="preserve">. </w:t>
      </w:r>
      <w:r w:rsidR="00705FD5">
        <w:t xml:space="preserve">Fixed-dose combination inhalers </w:t>
      </w:r>
      <w:r w:rsidR="00D415BD">
        <w:t xml:space="preserve">which include an inhaled corticosteroid (ICS), long-acting beta agonist (LABA), </w:t>
      </w:r>
      <w:r w:rsidR="0057617F">
        <w:t xml:space="preserve">and a long-acting muscarinic antagonist (LAMA) </w:t>
      </w:r>
      <w:r w:rsidR="00345EC5">
        <w:t xml:space="preserve">are frequently used for the management of severe asthma to reduce the burden of </w:t>
      </w:r>
      <w:r w:rsidR="00105820">
        <w:t xml:space="preserve">needing to use multiple inhalers. </w:t>
      </w:r>
    </w:p>
    <w:p w14:paraId="0183A567" w14:textId="413DF87B" w:rsidR="007247B9" w:rsidRDefault="007247B9" w:rsidP="00CF5E22">
      <w:pPr>
        <w:pStyle w:val="Heading2"/>
      </w:pPr>
      <w:r>
        <w:t>Pharmacology</w:t>
      </w:r>
    </w:p>
    <w:p w14:paraId="4C72B2D2" w14:textId="7D6FACAA" w:rsidR="00E8197F" w:rsidRDefault="00E8197F" w:rsidP="00AE4BAC">
      <w:r>
        <w:t>Corticosteroid component:</w:t>
      </w:r>
      <w:r w:rsidR="00131D99">
        <w:br/>
        <w:t>B</w:t>
      </w:r>
      <w:r w:rsidR="002C5656">
        <w:t xml:space="preserve">inds to glucocorticoid receptors resulting in the increased transcription of genes related to anti-inflammatory proteins. </w:t>
      </w:r>
    </w:p>
    <w:p w14:paraId="70E58EDF" w14:textId="0CFB3E8A" w:rsidR="00131D99" w:rsidRDefault="004D073A" w:rsidP="00131D99">
      <w:r>
        <w:t>Beta agonist component:</w:t>
      </w:r>
      <w:r>
        <w:br/>
        <w:t xml:space="preserve">Binds to </w:t>
      </w:r>
      <w:r w:rsidR="00481103">
        <w:t xml:space="preserve">and activates beta receptors </w:t>
      </w:r>
      <w:r w:rsidR="00C40276">
        <w:t xml:space="preserve">of the bronchial smooth muscle promoting relaxation and </w:t>
      </w:r>
      <w:r w:rsidR="00131D99">
        <w:t>dilation.</w:t>
      </w:r>
    </w:p>
    <w:p w14:paraId="1092115F" w14:textId="77EDB1F5" w:rsidR="00F22CFB" w:rsidRDefault="00F22CFB" w:rsidP="00131D99">
      <w:r>
        <w:t>Muscarinic</w:t>
      </w:r>
      <w:r w:rsidR="00131D99">
        <w:t xml:space="preserve"> </w:t>
      </w:r>
      <w:r>
        <w:t>antagonist component:</w:t>
      </w:r>
      <w:r>
        <w:br/>
        <w:t xml:space="preserve">Binds to </w:t>
      </w:r>
      <w:r w:rsidR="00B53421">
        <w:t xml:space="preserve">and deactivates </w:t>
      </w:r>
      <w:r w:rsidR="00605D00">
        <w:t xml:space="preserve">muscarinic receptors </w:t>
      </w:r>
      <w:r w:rsidR="00CF2E95">
        <w:t xml:space="preserve">on bronchial smooth muscle promoting dilation of the airways. </w:t>
      </w:r>
    </w:p>
    <w:p w14:paraId="6AC18C88" w14:textId="403FF6A3"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52D54CD" w14:textId="66C6A467" w:rsidR="00CE7033" w:rsidRDefault="00F32BA6" w:rsidP="00F53D24">
      <w:r>
        <w:t>FF/VI/UMEC</w:t>
      </w:r>
      <w:r w:rsidR="00BB75D8">
        <w:t xml:space="preserve"> is indicated for the maintenance treatment of asthma in</w:t>
      </w:r>
      <w:r w:rsidR="00F53D24">
        <w:t xml:space="preserve"> adult patients who are not adequately controlled with a combination of </w:t>
      </w:r>
      <w:r w:rsidR="002D6C15">
        <w:t>ICS</w:t>
      </w:r>
      <w:r w:rsidR="00F53D24">
        <w:t xml:space="preserve"> and </w:t>
      </w:r>
      <w:r w:rsidR="002D6C15">
        <w:t>LABA</w:t>
      </w:r>
      <w:r w:rsidR="00F53D24">
        <w:t>.</w:t>
      </w:r>
      <w:r w:rsidR="00CE7033">
        <w:t xml:space="preserve"> </w:t>
      </w:r>
    </w:p>
    <w:p w14:paraId="23191E29" w14:textId="5CF036A1" w:rsidR="00D23B96" w:rsidRDefault="00F32BA6" w:rsidP="00F53D24">
      <w:r>
        <w:t>FF/VI/UMEC</w:t>
      </w:r>
      <w:r w:rsidR="00CE7033">
        <w:t xml:space="preserve"> is also indicated for the </w:t>
      </w:r>
      <w:r w:rsidR="002D6C15">
        <w:t>maintenance</w:t>
      </w:r>
      <w:r w:rsidR="00CE7033">
        <w:t xml:space="preserve"> treatment of adults with moderate to severe COPD</w:t>
      </w:r>
      <w:r w:rsidR="00C5077F">
        <w:t xml:space="preserve"> who require treatment with a LAMA+LABA+ICS. It is not indicated for initiation of therapy in COPD. </w:t>
      </w:r>
    </w:p>
    <w:p w14:paraId="1AB33409" w14:textId="2479CA22" w:rsidR="00C5077F" w:rsidRDefault="00783C63" w:rsidP="00F53D24">
      <w:r>
        <w:lastRenderedPageBreak/>
        <w:t>BEC/FOR/GLY</w:t>
      </w:r>
      <w:r w:rsidR="00C14277">
        <w:t xml:space="preserve"> </w:t>
      </w:r>
      <w:r w:rsidR="003E5917">
        <w:t>is indicated for the</w:t>
      </w:r>
      <w:r w:rsidR="006F6A53">
        <w:t xml:space="preserve"> m</w:t>
      </w:r>
      <w:r w:rsidR="006F6A53" w:rsidRPr="006F6A53">
        <w:t xml:space="preserve">aintenance treatment of asthma, in adults not adequately controlled with a maintenance combination of a </w:t>
      </w:r>
      <w:r w:rsidR="002D6C15">
        <w:t>LABA</w:t>
      </w:r>
      <w:r w:rsidR="006F6A53" w:rsidRPr="006F6A53">
        <w:t xml:space="preserve"> and medium dose </w:t>
      </w:r>
      <w:r w:rsidR="00AE02AC">
        <w:t>ICS</w:t>
      </w:r>
      <w:r w:rsidR="006F6A53" w:rsidRPr="006F6A53">
        <w:t>, and who experienced one or more asthma exacerbations in the previous year.</w:t>
      </w:r>
    </w:p>
    <w:p w14:paraId="602D635A" w14:textId="58C34CF8" w:rsidR="006F6A53" w:rsidRPr="00D23B96" w:rsidRDefault="00783C63" w:rsidP="00F53D24">
      <w:r>
        <w:t>BEC/FOR/GLY</w:t>
      </w:r>
      <w:r w:rsidR="006F6A53">
        <w:t xml:space="preserve"> in the lower dosage form (100/6/10) is indicated for </w:t>
      </w:r>
      <w:r w:rsidR="002D6C15" w:rsidRPr="002D6C15">
        <w:t>maintenance treatment in adult patients with moderate to severe COPD who are not adequately treated by a combination of an ICS and a LABA or a combination of a LABA and a LAMA.</w:t>
      </w:r>
    </w:p>
    <w:p w14:paraId="1E393897" w14:textId="13F1F075" w:rsidR="001420B3" w:rsidRDefault="00783C63" w:rsidP="00A35800">
      <w:r>
        <w:t>MF/IND/GLY</w:t>
      </w:r>
      <w:r w:rsidR="00EA7CCF">
        <w:t xml:space="preserve"> is indicated for the </w:t>
      </w:r>
      <w:r w:rsidR="00EA7CCF" w:rsidRPr="00EA7CCF">
        <w:t xml:space="preserve">maintenance treatment of asthma in adult patients not adequately controlled with a maintenance combination of a </w:t>
      </w:r>
      <w:r w:rsidR="00EA7CCF">
        <w:t>LABA</w:t>
      </w:r>
      <w:r w:rsidR="00EA7CCF" w:rsidRPr="00EA7CCF">
        <w:t xml:space="preserve"> and an </w:t>
      </w:r>
      <w:r w:rsidR="00EA7CCF">
        <w:t>ICS</w:t>
      </w:r>
      <w:r w:rsidR="00EA7CCF" w:rsidRPr="00EA7CCF">
        <w:t xml:space="preserve"> who experienced one or more asthma exacerbations in the previous year</w:t>
      </w:r>
      <w:r w:rsidR="00EA7CCF">
        <w:t>.</w:t>
      </w:r>
    </w:p>
    <w:p w14:paraId="15E919C1" w14:textId="1B3BA560" w:rsidR="006B709B" w:rsidRDefault="006B709B" w:rsidP="00CF5E22">
      <w:pPr>
        <w:pStyle w:val="Heading2"/>
      </w:pPr>
      <w:r>
        <w:t>Dosage and administration</w:t>
      </w:r>
    </w:p>
    <w:p w14:paraId="51E22FB7" w14:textId="7E64A348" w:rsidR="003370D0" w:rsidRPr="00975296" w:rsidRDefault="003370D0" w:rsidP="00CF5E22">
      <w:pPr>
        <w:pStyle w:val="Tabletitle"/>
      </w:pPr>
      <w:r w:rsidRPr="00975296">
        <w:t xml:space="preserve">Table </w:t>
      </w:r>
      <w:r w:rsidR="00975296" w:rsidRPr="00975296">
        <w:t>1</w:t>
      </w:r>
      <w:r w:rsidRPr="00975296">
        <w:t xml:space="preserve">: </w:t>
      </w:r>
      <w:r w:rsidR="009663B6" w:rsidRPr="00975296">
        <w:t xml:space="preserve">Dosage and administration of </w:t>
      </w:r>
      <w:r w:rsidR="00975296" w:rsidRPr="00975296">
        <w:t>single inhaler triple therapy products for severe asthma</w:t>
      </w:r>
    </w:p>
    <w:tbl>
      <w:tblPr>
        <w:tblStyle w:val="TableGrid"/>
        <w:tblW w:w="9180" w:type="dxa"/>
        <w:tblLook w:val="04A0" w:firstRow="1" w:lastRow="0" w:firstColumn="1" w:lastColumn="0" w:noHBand="0" w:noVBand="1"/>
      </w:tblPr>
      <w:tblGrid>
        <w:gridCol w:w="2660"/>
        <w:gridCol w:w="3544"/>
        <w:gridCol w:w="2976"/>
      </w:tblGrid>
      <w:tr w:rsidR="00AB3733" w:rsidRPr="00A35800" w14:paraId="17C962C4" w14:textId="77777777" w:rsidTr="00503998">
        <w:trPr>
          <w:tblHeader/>
        </w:trPr>
        <w:tc>
          <w:tcPr>
            <w:tcW w:w="2660" w:type="dxa"/>
            <w:shd w:val="clear" w:color="auto" w:fill="BFBFBF" w:themeFill="background1" w:themeFillShade="BF"/>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3544" w:type="dxa"/>
            <w:shd w:val="clear" w:color="auto" w:fill="BFBFBF" w:themeFill="background1" w:themeFillShade="BF"/>
          </w:tcPr>
          <w:p w14:paraId="2A01F4BF" w14:textId="0953B87D" w:rsidR="00AB3733" w:rsidRPr="00A35800" w:rsidRDefault="00214D49" w:rsidP="00A35800">
            <w:pPr>
              <w:pStyle w:val="Tableheading"/>
              <w:rPr>
                <w:sz w:val="20"/>
                <w:szCs w:val="20"/>
              </w:rPr>
            </w:pPr>
            <w:r>
              <w:rPr>
                <w:sz w:val="20"/>
                <w:szCs w:val="20"/>
              </w:rPr>
              <w:t>Dose</w:t>
            </w:r>
          </w:p>
        </w:tc>
        <w:tc>
          <w:tcPr>
            <w:tcW w:w="2976" w:type="dxa"/>
            <w:shd w:val="clear" w:color="auto" w:fill="BFBFBF" w:themeFill="background1" w:themeFillShade="BF"/>
          </w:tcPr>
          <w:p w14:paraId="28170FE4" w14:textId="5A3CB993" w:rsidR="00AB3733" w:rsidRPr="00A35800" w:rsidRDefault="00214D49" w:rsidP="00A35800">
            <w:pPr>
              <w:pStyle w:val="Tableheading"/>
              <w:rPr>
                <w:sz w:val="20"/>
                <w:szCs w:val="20"/>
              </w:rPr>
            </w:pPr>
            <w:r>
              <w:rPr>
                <w:sz w:val="20"/>
                <w:szCs w:val="20"/>
              </w:rPr>
              <w:t>F</w:t>
            </w:r>
            <w:r w:rsidR="00AB3733" w:rsidRPr="00A35800">
              <w:rPr>
                <w:sz w:val="20"/>
                <w:szCs w:val="20"/>
              </w:rPr>
              <w:t xml:space="preserve">requency of administration </w:t>
            </w:r>
          </w:p>
        </w:tc>
      </w:tr>
      <w:tr w:rsidR="00AB3733" w:rsidRPr="00A35800" w14:paraId="348A165B" w14:textId="77777777" w:rsidTr="003370D0">
        <w:tc>
          <w:tcPr>
            <w:tcW w:w="2660" w:type="dxa"/>
          </w:tcPr>
          <w:p w14:paraId="1E8F6737" w14:textId="77777777" w:rsidR="00AB3733" w:rsidRDefault="00233222" w:rsidP="00A35800">
            <w:pPr>
              <w:pStyle w:val="Tablewriting"/>
            </w:pPr>
            <w:r>
              <w:t>Trelegy Ellipta</w:t>
            </w:r>
          </w:p>
          <w:p w14:paraId="23DEB0E0" w14:textId="35D081AA" w:rsidR="0060032A" w:rsidRPr="00A35800" w:rsidRDefault="0060032A" w:rsidP="00A35800">
            <w:pPr>
              <w:pStyle w:val="Tablewriting"/>
            </w:pPr>
            <w:r w:rsidRPr="0060032A">
              <w:t>GlaxoSmithKline Australia Pty Ltd</w:t>
            </w:r>
          </w:p>
        </w:tc>
        <w:tc>
          <w:tcPr>
            <w:tcW w:w="3544" w:type="dxa"/>
          </w:tcPr>
          <w:p w14:paraId="50CE0350" w14:textId="77777777" w:rsidR="00AB3733" w:rsidRDefault="00F461E3" w:rsidP="00A35800">
            <w:pPr>
              <w:pStyle w:val="Tablewriting"/>
            </w:pPr>
            <w:r w:rsidRPr="00F461E3">
              <w:t>fluticasone furoate 100 mcg, umeclidinium 62.5 mcg, vilanterol 25 mcg/dose</w:t>
            </w:r>
          </w:p>
          <w:p w14:paraId="68443BDB" w14:textId="77777777" w:rsidR="00F461E3" w:rsidRDefault="00F461E3" w:rsidP="00A35800">
            <w:pPr>
              <w:pStyle w:val="Tablewriting"/>
            </w:pPr>
          </w:p>
          <w:p w14:paraId="313459A4" w14:textId="3703D871" w:rsidR="00F461E3" w:rsidRPr="00A35800" w:rsidRDefault="00214D49" w:rsidP="00A35800">
            <w:pPr>
              <w:pStyle w:val="Tablewriting"/>
            </w:pPr>
            <w:r w:rsidRPr="00214D49">
              <w:t>fluticasone furoate 200 mcg, umeclidinium 62.5 mcg, vilanterol 25 mcg/dose</w:t>
            </w:r>
          </w:p>
        </w:tc>
        <w:tc>
          <w:tcPr>
            <w:tcW w:w="2976" w:type="dxa"/>
          </w:tcPr>
          <w:p w14:paraId="405FC15E" w14:textId="587650DE" w:rsidR="00AB3733" w:rsidRPr="00A35800" w:rsidRDefault="00214D49" w:rsidP="00A35800">
            <w:pPr>
              <w:pStyle w:val="Tablewriting"/>
            </w:pPr>
            <w:r>
              <w:t>Once daily</w:t>
            </w:r>
          </w:p>
        </w:tc>
      </w:tr>
      <w:tr w:rsidR="00214D49" w:rsidRPr="00A35800" w14:paraId="76822314" w14:textId="77777777" w:rsidTr="003370D0">
        <w:tc>
          <w:tcPr>
            <w:tcW w:w="2660" w:type="dxa"/>
          </w:tcPr>
          <w:p w14:paraId="048E51C8" w14:textId="77777777" w:rsidR="00214D49" w:rsidRDefault="003C2B24" w:rsidP="00A35800">
            <w:pPr>
              <w:pStyle w:val="Tablewriting"/>
            </w:pPr>
            <w:r>
              <w:t>Trimbow</w:t>
            </w:r>
          </w:p>
          <w:p w14:paraId="1558E1ED" w14:textId="17CCE79B" w:rsidR="003C2B24" w:rsidRDefault="003C2B24" w:rsidP="00A35800">
            <w:pPr>
              <w:pStyle w:val="Tablewriting"/>
            </w:pPr>
            <w:r w:rsidRPr="003C2B24">
              <w:t>Chiesi Australia Pty Ltd</w:t>
            </w:r>
          </w:p>
        </w:tc>
        <w:tc>
          <w:tcPr>
            <w:tcW w:w="3544" w:type="dxa"/>
          </w:tcPr>
          <w:p w14:paraId="056CDA99" w14:textId="77777777" w:rsidR="00214D49" w:rsidRDefault="00AA5950" w:rsidP="00A35800">
            <w:pPr>
              <w:pStyle w:val="Tablewriting"/>
            </w:pPr>
            <w:r w:rsidRPr="00AA5950">
              <w:t>beclometasone 100 mcg, formoterol 6 mcg, glycopyrronium 10 mcg/dose</w:t>
            </w:r>
          </w:p>
          <w:p w14:paraId="085800B8" w14:textId="77777777" w:rsidR="00AA5950" w:rsidRDefault="00AA5950" w:rsidP="00A35800">
            <w:pPr>
              <w:pStyle w:val="Tablewriting"/>
            </w:pPr>
          </w:p>
          <w:p w14:paraId="0DDFF374" w14:textId="2FEC44FE" w:rsidR="00AA5950" w:rsidRPr="00F461E3" w:rsidRDefault="00AA5950" w:rsidP="00A35800">
            <w:pPr>
              <w:pStyle w:val="Tablewriting"/>
            </w:pPr>
            <w:r w:rsidRPr="00AA5950">
              <w:t>beclometasone 200 mcg, formoterol 6 mcg, glycopyrronium 10 mcg/dose</w:t>
            </w:r>
          </w:p>
        </w:tc>
        <w:tc>
          <w:tcPr>
            <w:tcW w:w="2976" w:type="dxa"/>
          </w:tcPr>
          <w:p w14:paraId="638B6A84" w14:textId="7FAC5B7B" w:rsidR="00214D49" w:rsidRDefault="00AA5950" w:rsidP="00A35800">
            <w:pPr>
              <w:pStyle w:val="Tablewriting"/>
            </w:pPr>
            <w:r>
              <w:t>Two inhalations of either strength twice daily</w:t>
            </w:r>
          </w:p>
        </w:tc>
      </w:tr>
      <w:tr w:rsidR="00AA5950" w:rsidRPr="00975296" w14:paraId="1D4EEAF0" w14:textId="77777777" w:rsidTr="003370D0">
        <w:tc>
          <w:tcPr>
            <w:tcW w:w="2660" w:type="dxa"/>
          </w:tcPr>
          <w:p w14:paraId="711589A6" w14:textId="77777777" w:rsidR="00AA5950" w:rsidRPr="00975296" w:rsidRDefault="001A63A2" w:rsidP="00A35800">
            <w:pPr>
              <w:pStyle w:val="Tablewriting"/>
            </w:pPr>
            <w:r w:rsidRPr="00975296">
              <w:t>Enerzair</w:t>
            </w:r>
          </w:p>
          <w:p w14:paraId="34A27144" w14:textId="1A6C3019" w:rsidR="006F7D5C" w:rsidRPr="00975296" w:rsidRDefault="006F7D5C" w:rsidP="00A35800">
            <w:pPr>
              <w:pStyle w:val="Tablewriting"/>
            </w:pPr>
            <w:r w:rsidRPr="00975296">
              <w:t>Novartis Pharmaceuticals Australia Pty Limited</w:t>
            </w:r>
          </w:p>
        </w:tc>
        <w:tc>
          <w:tcPr>
            <w:tcW w:w="3544" w:type="dxa"/>
          </w:tcPr>
          <w:p w14:paraId="1E07B169" w14:textId="77777777" w:rsidR="00AA5950" w:rsidRPr="00975296" w:rsidRDefault="00D70BE9" w:rsidP="00A35800">
            <w:pPr>
              <w:pStyle w:val="Tablewriting"/>
            </w:pPr>
            <w:r w:rsidRPr="00975296">
              <w:t>indacaterol 114 mcg, glycopyrronium 46 mcg, mometasone furoate 68 mcg (cap)</w:t>
            </w:r>
          </w:p>
          <w:p w14:paraId="024D1C07" w14:textId="77777777" w:rsidR="00D70BE9" w:rsidRPr="00975296" w:rsidRDefault="00D70BE9" w:rsidP="00A35800">
            <w:pPr>
              <w:pStyle w:val="Tablewriting"/>
            </w:pPr>
          </w:p>
          <w:p w14:paraId="56E01E79" w14:textId="35D3F3F5" w:rsidR="00D70BE9" w:rsidRPr="00975296" w:rsidRDefault="00D70BE9" w:rsidP="00A35800">
            <w:pPr>
              <w:pStyle w:val="Tablewriting"/>
            </w:pPr>
            <w:r w:rsidRPr="00975296">
              <w:t> indacaterol 114 mcg, glycopyrronium 46 mcg, mometasone furoate 136 mcg (cap)</w:t>
            </w:r>
          </w:p>
        </w:tc>
        <w:tc>
          <w:tcPr>
            <w:tcW w:w="2976" w:type="dxa"/>
          </w:tcPr>
          <w:p w14:paraId="6EFDE534" w14:textId="0B0AD1F6" w:rsidR="00AA5950" w:rsidRPr="00975296" w:rsidRDefault="00D70BE9" w:rsidP="00A35800">
            <w:pPr>
              <w:pStyle w:val="Tablewriting"/>
            </w:pPr>
            <w:r w:rsidRPr="00975296">
              <w:t xml:space="preserve">One capsule of either strength inhaled </w:t>
            </w:r>
            <w:r w:rsidR="006F7D5C" w:rsidRPr="00975296">
              <w:t>once daily</w:t>
            </w:r>
          </w:p>
        </w:tc>
      </w:tr>
    </w:tbl>
    <w:p w14:paraId="08559CD9" w14:textId="41FF9E39" w:rsidR="00A35800" w:rsidRPr="00975296" w:rsidRDefault="003370D0" w:rsidP="00A35800">
      <w:pPr>
        <w:pStyle w:val="Notes"/>
      </w:pPr>
      <w:r w:rsidRPr="00975296">
        <w:t>Source:</w:t>
      </w:r>
      <w:r w:rsidR="00EE179E" w:rsidRPr="00975296">
        <w:t xml:space="preserve"> Australian Medicines Handbook</w:t>
      </w:r>
      <w:r w:rsidR="007F3321" w:rsidRPr="00975296">
        <w:rPr>
          <w:rStyle w:val="FootnoteReference"/>
        </w:rPr>
        <w:footnoteReference w:id="2"/>
      </w:r>
    </w:p>
    <w:p w14:paraId="6682A05C" w14:textId="77777777"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141738D7" w14:textId="77777777" w:rsidR="00CC7B91" w:rsidRDefault="00CC7B91">
      <w:pPr>
        <w:spacing w:line="276" w:lineRule="auto"/>
        <w:rPr>
          <w:b/>
          <w:sz w:val="28"/>
        </w:rPr>
      </w:pPr>
      <w:r>
        <w:br w:type="page"/>
      </w:r>
    </w:p>
    <w:p w14:paraId="46E2BB42" w14:textId="72CBEB85" w:rsidR="00DF0B13" w:rsidRPr="007247B9" w:rsidDel="00EE2BBB" w:rsidRDefault="00DF0B13" w:rsidP="00CF5E22">
      <w:pPr>
        <w:pStyle w:val="Heading2"/>
      </w:pPr>
      <w:r w:rsidRPr="007247B9" w:rsidDel="00EE2BBB">
        <w:lastRenderedPageBreak/>
        <w:t>PBS listing details</w:t>
      </w:r>
      <w:r w:rsidR="00D151EB" w:rsidDel="00EE2BBB">
        <w:t xml:space="preserve"> (as at </w:t>
      </w:r>
      <w:r w:rsidR="00CC7B91">
        <w:t>30 November 2024</w:t>
      </w:r>
      <w:r w:rsidR="00D151EB" w:rsidDel="00EE2BBB">
        <w:t>)</w:t>
      </w:r>
    </w:p>
    <w:p w14:paraId="1D47784A" w14:textId="7D3EF1B7" w:rsidR="001420B3" w:rsidRPr="001420B3" w:rsidDel="00EE2BBB" w:rsidRDefault="001420B3" w:rsidP="00CF5E22">
      <w:pPr>
        <w:pStyle w:val="Tabletitle"/>
      </w:pPr>
      <w:r w:rsidRPr="001420B3" w:rsidDel="00EE2BBB">
        <w:t xml:space="preserve">Table </w:t>
      </w:r>
      <w:r w:rsidR="00CC7B91">
        <w:t>2</w:t>
      </w:r>
      <w:r w:rsidRPr="001420B3" w:rsidDel="00EE2BBB">
        <w:t xml:space="preserve">: </w:t>
      </w:r>
      <w:r w:rsidR="009663B6" w:rsidDel="00EE2BBB">
        <w:t>PB</w:t>
      </w:r>
      <w:r w:rsidR="00D151EB" w:rsidDel="00EE2BBB">
        <w:t xml:space="preserve">S listing of </w:t>
      </w:r>
      <w:r w:rsidR="00CC7B91">
        <w:t>single inhaler triple therapies for severe asthma.</w:t>
      </w:r>
      <w:r w:rsidR="00D151EB" w:rsidDel="00EE2BBB">
        <w:t xml:space="preserve"> </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1D71BC" w:rsidRPr="00A35800" w:rsidDel="00EE2BBB" w14:paraId="2AF9D84B" w14:textId="0D323411" w:rsidTr="0093111F">
        <w:trPr>
          <w:trHeight w:val="552"/>
          <w:tblHeader/>
        </w:trPr>
        <w:tc>
          <w:tcPr>
            <w:tcW w:w="969" w:type="dxa"/>
            <w:shd w:val="clear" w:color="auto" w:fill="auto"/>
          </w:tcPr>
          <w:p w14:paraId="0A3E3442" w14:textId="2ACB00BA" w:rsidR="001D71BC" w:rsidRPr="00A35800" w:rsidDel="00EE2BBB" w:rsidRDefault="001D71BC" w:rsidP="00A35800">
            <w:pPr>
              <w:pStyle w:val="Tablewriting"/>
            </w:pPr>
            <w:r>
              <w:t>12917W</w:t>
            </w:r>
          </w:p>
        </w:tc>
        <w:tc>
          <w:tcPr>
            <w:tcW w:w="2400" w:type="dxa"/>
            <w:vMerge w:val="restart"/>
            <w:shd w:val="clear" w:color="auto" w:fill="auto"/>
          </w:tcPr>
          <w:p w14:paraId="0F676F51" w14:textId="4FC622E2" w:rsidR="001D71BC" w:rsidRPr="00A35800" w:rsidDel="00EE2BBB" w:rsidRDefault="001D71BC" w:rsidP="00A35800">
            <w:pPr>
              <w:pStyle w:val="Tablewriting"/>
            </w:pPr>
            <w:r w:rsidRPr="00446AA8">
              <w:t>fluticasone furoate 200 microgram/actuation + umeclidinium 62.5 microgram/actuation + vilanterol 25 microgram/actuation powder for inhalation, 30 actuations</w:t>
            </w:r>
          </w:p>
        </w:tc>
        <w:tc>
          <w:tcPr>
            <w:tcW w:w="1701" w:type="dxa"/>
            <w:shd w:val="clear" w:color="auto" w:fill="auto"/>
          </w:tcPr>
          <w:p w14:paraId="0E2637C4" w14:textId="6D9B533C" w:rsidR="001D71BC" w:rsidRPr="00A35800" w:rsidDel="00EE2BBB" w:rsidRDefault="001D71BC" w:rsidP="00A35800">
            <w:pPr>
              <w:pStyle w:val="Tablewriting"/>
            </w:pPr>
            <w:r>
              <w:t>1</w:t>
            </w:r>
          </w:p>
        </w:tc>
        <w:tc>
          <w:tcPr>
            <w:tcW w:w="850" w:type="dxa"/>
            <w:vMerge w:val="restart"/>
            <w:shd w:val="clear" w:color="auto" w:fill="auto"/>
          </w:tcPr>
          <w:p w14:paraId="6B361CAA" w14:textId="30619CB4" w:rsidR="001D71BC" w:rsidRPr="00A35800" w:rsidDel="00EE2BBB" w:rsidRDefault="001D71BC" w:rsidP="00A35800">
            <w:pPr>
              <w:pStyle w:val="Tablewriting"/>
            </w:pPr>
            <w:r>
              <w:t>5</w:t>
            </w:r>
          </w:p>
        </w:tc>
        <w:tc>
          <w:tcPr>
            <w:tcW w:w="1040" w:type="dxa"/>
            <w:shd w:val="clear" w:color="auto" w:fill="auto"/>
          </w:tcPr>
          <w:p w14:paraId="15F68405" w14:textId="335DB492" w:rsidR="001D71BC" w:rsidRPr="00A35800" w:rsidDel="00EE2BBB" w:rsidRDefault="001D71BC" w:rsidP="00A35800">
            <w:pPr>
              <w:pStyle w:val="Tablewriting"/>
            </w:pPr>
            <w:r>
              <w:t>$93.04</w:t>
            </w:r>
          </w:p>
        </w:tc>
        <w:tc>
          <w:tcPr>
            <w:tcW w:w="2104" w:type="dxa"/>
            <w:vMerge w:val="restart"/>
            <w:shd w:val="clear" w:color="auto" w:fill="auto"/>
          </w:tcPr>
          <w:p w14:paraId="112E72BC" w14:textId="77777777" w:rsidR="001D71BC" w:rsidRDefault="001D71BC" w:rsidP="00095128">
            <w:pPr>
              <w:pStyle w:val="Tablewriting"/>
            </w:pPr>
            <w:r>
              <w:t>Trelegy Ellipta</w:t>
            </w:r>
          </w:p>
          <w:p w14:paraId="2D337AC6" w14:textId="3DF45B28" w:rsidR="001D71BC" w:rsidRPr="00A35800" w:rsidDel="00EE2BBB" w:rsidRDefault="001D71BC" w:rsidP="00095128">
            <w:pPr>
              <w:pStyle w:val="Tablewriting"/>
            </w:pPr>
            <w:r w:rsidRPr="0060032A">
              <w:t>GlaxoSmithKline Australia Pty Ltd</w:t>
            </w:r>
          </w:p>
        </w:tc>
      </w:tr>
      <w:tr w:rsidR="001D71BC" w:rsidRPr="00A35800" w:rsidDel="00EE2BBB" w14:paraId="5A26F6DA" w14:textId="5F9D4936" w:rsidTr="0093111F">
        <w:trPr>
          <w:trHeight w:val="546"/>
          <w:tblHeader/>
        </w:trPr>
        <w:tc>
          <w:tcPr>
            <w:tcW w:w="969" w:type="dxa"/>
            <w:shd w:val="clear" w:color="auto" w:fill="auto"/>
          </w:tcPr>
          <w:p w14:paraId="76F26606" w14:textId="0290309C" w:rsidR="001D71BC" w:rsidRPr="00A35800" w:rsidDel="00EE2BBB" w:rsidRDefault="001D71BC" w:rsidP="00A35800">
            <w:pPr>
              <w:pStyle w:val="Tablewriting"/>
            </w:pPr>
            <w:r>
              <w:t>14382Y</w:t>
            </w:r>
          </w:p>
        </w:tc>
        <w:tc>
          <w:tcPr>
            <w:tcW w:w="2400" w:type="dxa"/>
            <w:vMerge/>
            <w:shd w:val="clear" w:color="auto" w:fill="auto"/>
          </w:tcPr>
          <w:p w14:paraId="4C40F7E7" w14:textId="6A600047" w:rsidR="001D71BC" w:rsidRPr="00A35800" w:rsidDel="00EE2BBB" w:rsidRDefault="001D71BC" w:rsidP="00A35800">
            <w:pPr>
              <w:pStyle w:val="Tablewriting"/>
            </w:pPr>
          </w:p>
        </w:tc>
        <w:tc>
          <w:tcPr>
            <w:tcW w:w="1701" w:type="dxa"/>
            <w:shd w:val="clear" w:color="auto" w:fill="auto"/>
          </w:tcPr>
          <w:p w14:paraId="73733F58" w14:textId="277D0746" w:rsidR="001D71BC" w:rsidRPr="00A35800" w:rsidDel="00EE2BBB" w:rsidRDefault="001D71BC" w:rsidP="00A35800">
            <w:pPr>
              <w:pStyle w:val="Tablewriting"/>
            </w:pPr>
            <w:r>
              <w:t>2</w:t>
            </w:r>
          </w:p>
        </w:tc>
        <w:tc>
          <w:tcPr>
            <w:tcW w:w="850" w:type="dxa"/>
            <w:vMerge/>
            <w:shd w:val="clear" w:color="auto" w:fill="auto"/>
          </w:tcPr>
          <w:p w14:paraId="2751F86C" w14:textId="4114C675" w:rsidR="001D71BC" w:rsidRPr="00A35800" w:rsidDel="00EE2BBB" w:rsidRDefault="001D71BC" w:rsidP="00A35800">
            <w:pPr>
              <w:pStyle w:val="Tablewriting"/>
            </w:pPr>
          </w:p>
        </w:tc>
        <w:tc>
          <w:tcPr>
            <w:tcW w:w="1040" w:type="dxa"/>
            <w:shd w:val="clear" w:color="auto" w:fill="auto"/>
          </w:tcPr>
          <w:p w14:paraId="0EB41EFB" w14:textId="49C77BDB" w:rsidR="001D71BC" w:rsidRPr="00A35800" w:rsidDel="00EE2BBB" w:rsidRDefault="001D71BC" w:rsidP="00A35800">
            <w:pPr>
              <w:pStyle w:val="Tablewriting"/>
            </w:pPr>
            <w:r>
              <w:t>$175.57</w:t>
            </w:r>
          </w:p>
        </w:tc>
        <w:tc>
          <w:tcPr>
            <w:tcW w:w="2104" w:type="dxa"/>
            <w:vMerge/>
            <w:shd w:val="clear" w:color="auto" w:fill="auto"/>
          </w:tcPr>
          <w:p w14:paraId="2F152B32" w14:textId="53903DBC" w:rsidR="001D71BC" w:rsidRPr="00A35800" w:rsidDel="00EE2BBB" w:rsidRDefault="001D71BC" w:rsidP="00A35800">
            <w:pPr>
              <w:pStyle w:val="Tablewriting"/>
            </w:pPr>
          </w:p>
        </w:tc>
      </w:tr>
      <w:tr w:rsidR="001D71BC" w:rsidRPr="00A35800" w:rsidDel="00EE2BBB" w14:paraId="373FBCBF" w14:textId="77777777" w:rsidTr="0093111F">
        <w:trPr>
          <w:trHeight w:val="546"/>
          <w:tblHeader/>
        </w:trPr>
        <w:tc>
          <w:tcPr>
            <w:tcW w:w="969" w:type="dxa"/>
            <w:shd w:val="clear" w:color="auto" w:fill="auto"/>
          </w:tcPr>
          <w:p w14:paraId="1E90770A" w14:textId="3A9FA269" w:rsidR="001D71BC" w:rsidRDefault="001D71BC" w:rsidP="00A35800">
            <w:pPr>
              <w:pStyle w:val="Tablewriting"/>
            </w:pPr>
            <w:r>
              <w:t>13200R</w:t>
            </w:r>
          </w:p>
        </w:tc>
        <w:tc>
          <w:tcPr>
            <w:tcW w:w="2400" w:type="dxa"/>
            <w:shd w:val="clear" w:color="auto" w:fill="auto"/>
          </w:tcPr>
          <w:p w14:paraId="27338C02" w14:textId="44FFFE61" w:rsidR="001D71BC" w:rsidRPr="00A35800" w:rsidDel="00EE2BBB" w:rsidRDefault="001D71BC" w:rsidP="00A35800">
            <w:pPr>
              <w:pStyle w:val="Tablewriting"/>
            </w:pPr>
            <w:r w:rsidRPr="00383184">
              <w:t>beclometasone dipropionate 200 microgram/actuation + formoterol fumarate dihydrate 6 microgram/actuation + glycopyrronium 10 microgram/actuation inhalation, 120 actuations</w:t>
            </w:r>
          </w:p>
        </w:tc>
        <w:tc>
          <w:tcPr>
            <w:tcW w:w="1701" w:type="dxa"/>
            <w:vMerge w:val="restart"/>
            <w:shd w:val="clear" w:color="auto" w:fill="auto"/>
          </w:tcPr>
          <w:p w14:paraId="7F8EE63D" w14:textId="2FFE2F19" w:rsidR="001D71BC" w:rsidRDefault="001D71BC" w:rsidP="00A35800">
            <w:pPr>
              <w:pStyle w:val="Tablewriting"/>
            </w:pPr>
            <w:r>
              <w:t>1</w:t>
            </w:r>
          </w:p>
        </w:tc>
        <w:tc>
          <w:tcPr>
            <w:tcW w:w="850" w:type="dxa"/>
            <w:vMerge w:val="restart"/>
            <w:shd w:val="clear" w:color="auto" w:fill="auto"/>
          </w:tcPr>
          <w:p w14:paraId="2823B73C" w14:textId="2BC58334" w:rsidR="001D71BC" w:rsidRDefault="001D71BC" w:rsidP="00A35800">
            <w:pPr>
              <w:pStyle w:val="Tablewriting"/>
            </w:pPr>
            <w:r>
              <w:t>5</w:t>
            </w:r>
          </w:p>
        </w:tc>
        <w:tc>
          <w:tcPr>
            <w:tcW w:w="1040" w:type="dxa"/>
            <w:shd w:val="clear" w:color="auto" w:fill="auto"/>
          </w:tcPr>
          <w:p w14:paraId="7D39430C" w14:textId="61AAA19E" w:rsidR="001D71BC" w:rsidRDefault="001D71BC" w:rsidP="00A35800">
            <w:pPr>
              <w:pStyle w:val="Tablewriting"/>
            </w:pPr>
            <w:r w:rsidRPr="00830C5B">
              <w:t>$79.93</w:t>
            </w:r>
          </w:p>
        </w:tc>
        <w:tc>
          <w:tcPr>
            <w:tcW w:w="2104" w:type="dxa"/>
            <w:vMerge w:val="restart"/>
            <w:shd w:val="clear" w:color="auto" w:fill="auto"/>
          </w:tcPr>
          <w:p w14:paraId="16A9453C" w14:textId="77777777" w:rsidR="001D71BC" w:rsidRDefault="001D71BC" w:rsidP="00AC14E0">
            <w:pPr>
              <w:pStyle w:val="Tablewriting"/>
            </w:pPr>
            <w:r>
              <w:t>Trimbow</w:t>
            </w:r>
          </w:p>
          <w:p w14:paraId="18CE23CA" w14:textId="76D1D9F2" w:rsidR="001D71BC" w:rsidRPr="00A35800" w:rsidDel="00EE2BBB" w:rsidRDefault="001D71BC" w:rsidP="00AC14E0">
            <w:pPr>
              <w:pStyle w:val="Tablewriting"/>
            </w:pPr>
            <w:r w:rsidRPr="003C2B24">
              <w:t>Chiesi Australia Pty Ltd</w:t>
            </w:r>
          </w:p>
        </w:tc>
      </w:tr>
      <w:tr w:rsidR="001D71BC" w:rsidRPr="00A35800" w:rsidDel="00EE2BBB" w14:paraId="1A6EB370" w14:textId="77777777" w:rsidTr="0093111F">
        <w:trPr>
          <w:trHeight w:val="546"/>
          <w:tblHeader/>
        </w:trPr>
        <w:tc>
          <w:tcPr>
            <w:tcW w:w="969" w:type="dxa"/>
            <w:shd w:val="clear" w:color="auto" w:fill="auto"/>
          </w:tcPr>
          <w:p w14:paraId="5D470D44" w14:textId="4B1358D8" w:rsidR="001D71BC" w:rsidRDefault="001D71BC" w:rsidP="00A35800">
            <w:pPr>
              <w:pStyle w:val="Tablewriting"/>
            </w:pPr>
            <w:r>
              <w:t>14606R</w:t>
            </w:r>
          </w:p>
        </w:tc>
        <w:tc>
          <w:tcPr>
            <w:tcW w:w="2400" w:type="dxa"/>
            <w:shd w:val="clear" w:color="auto" w:fill="auto"/>
          </w:tcPr>
          <w:p w14:paraId="09D4C08C" w14:textId="14777D86" w:rsidR="001D71BC" w:rsidRPr="00A35800" w:rsidDel="00EE2BBB" w:rsidRDefault="001D71BC" w:rsidP="00A35800">
            <w:pPr>
              <w:pStyle w:val="Tablewriting"/>
            </w:pPr>
            <w:r w:rsidRPr="00383184">
              <w:t>beclometasone dipropionate 100 microgram/actuation + formoterol fumarate dihydrate 6 microgram/actuation + glycopyrronium 10 microgram/actuation inhalation, 120 actuations</w:t>
            </w:r>
          </w:p>
        </w:tc>
        <w:tc>
          <w:tcPr>
            <w:tcW w:w="1701" w:type="dxa"/>
            <w:vMerge/>
            <w:shd w:val="clear" w:color="auto" w:fill="auto"/>
          </w:tcPr>
          <w:p w14:paraId="41EB8257" w14:textId="137D248F" w:rsidR="001D71BC" w:rsidRDefault="001D71BC" w:rsidP="00A35800">
            <w:pPr>
              <w:pStyle w:val="Tablewriting"/>
            </w:pPr>
          </w:p>
        </w:tc>
        <w:tc>
          <w:tcPr>
            <w:tcW w:w="850" w:type="dxa"/>
            <w:vMerge/>
            <w:shd w:val="clear" w:color="auto" w:fill="auto"/>
          </w:tcPr>
          <w:p w14:paraId="02F42863" w14:textId="22BF7F89" w:rsidR="001D71BC" w:rsidRDefault="001D71BC" w:rsidP="00A35800">
            <w:pPr>
              <w:pStyle w:val="Tablewriting"/>
            </w:pPr>
          </w:p>
        </w:tc>
        <w:tc>
          <w:tcPr>
            <w:tcW w:w="1040" w:type="dxa"/>
            <w:shd w:val="clear" w:color="auto" w:fill="auto"/>
          </w:tcPr>
          <w:p w14:paraId="6BBE1D34" w14:textId="6953C59E" w:rsidR="001D71BC" w:rsidRDefault="001D71BC" w:rsidP="00A35800">
            <w:pPr>
              <w:pStyle w:val="Tablewriting"/>
            </w:pPr>
            <w:r w:rsidRPr="00AC14E0">
              <w:t>$74.80</w:t>
            </w:r>
          </w:p>
        </w:tc>
        <w:tc>
          <w:tcPr>
            <w:tcW w:w="2104" w:type="dxa"/>
            <w:vMerge/>
            <w:shd w:val="clear" w:color="auto" w:fill="auto"/>
          </w:tcPr>
          <w:p w14:paraId="7773396B" w14:textId="77777777" w:rsidR="001D71BC" w:rsidRPr="00A35800" w:rsidDel="00EE2BBB" w:rsidRDefault="001D71BC" w:rsidP="00A35800">
            <w:pPr>
              <w:pStyle w:val="Tablewriting"/>
            </w:pPr>
          </w:p>
        </w:tc>
      </w:tr>
      <w:tr w:rsidR="001D71BC" w:rsidRPr="00A35800" w:rsidDel="00EE2BBB" w14:paraId="57D8D968" w14:textId="77777777" w:rsidTr="0093111F">
        <w:trPr>
          <w:trHeight w:val="546"/>
          <w:tblHeader/>
        </w:trPr>
        <w:tc>
          <w:tcPr>
            <w:tcW w:w="969" w:type="dxa"/>
            <w:shd w:val="clear" w:color="auto" w:fill="auto"/>
          </w:tcPr>
          <w:p w14:paraId="4DD6EC8D" w14:textId="5A20DAD1" w:rsidR="001D71BC" w:rsidRDefault="001D71BC" w:rsidP="00A35800">
            <w:pPr>
              <w:pStyle w:val="Tablewriting"/>
            </w:pPr>
            <w:r>
              <w:t>12295D</w:t>
            </w:r>
          </w:p>
        </w:tc>
        <w:tc>
          <w:tcPr>
            <w:tcW w:w="2400" w:type="dxa"/>
            <w:vMerge w:val="restart"/>
            <w:shd w:val="clear" w:color="auto" w:fill="auto"/>
          </w:tcPr>
          <w:p w14:paraId="493DCD04" w14:textId="43C01FEA" w:rsidR="001D71BC" w:rsidRPr="00383184" w:rsidRDefault="001D71BC" w:rsidP="00A35800">
            <w:pPr>
              <w:pStyle w:val="Tablewriting"/>
            </w:pPr>
            <w:r w:rsidRPr="004160DF">
              <w:t>indacaterol 114 microgram + glycopyrronium 46 microgram + mometasone furoate 136 microgram powder for inhalation, 30 capsules</w:t>
            </w:r>
          </w:p>
        </w:tc>
        <w:tc>
          <w:tcPr>
            <w:tcW w:w="1701" w:type="dxa"/>
            <w:shd w:val="clear" w:color="auto" w:fill="auto"/>
          </w:tcPr>
          <w:p w14:paraId="62EEEC97" w14:textId="508FAF3E" w:rsidR="001D71BC" w:rsidRDefault="001D71BC" w:rsidP="00A35800">
            <w:pPr>
              <w:pStyle w:val="Tablewriting"/>
            </w:pPr>
            <w:r>
              <w:t>1</w:t>
            </w:r>
          </w:p>
        </w:tc>
        <w:tc>
          <w:tcPr>
            <w:tcW w:w="850" w:type="dxa"/>
            <w:vMerge w:val="restart"/>
            <w:shd w:val="clear" w:color="auto" w:fill="auto"/>
          </w:tcPr>
          <w:p w14:paraId="02F74A68" w14:textId="53472540" w:rsidR="001D71BC" w:rsidRDefault="001D71BC" w:rsidP="00A35800">
            <w:pPr>
              <w:pStyle w:val="Tablewriting"/>
            </w:pPr>
            <w:r>
              <w:t>5</w:t>
            </w:r>
          </w:p>
        </w:tc>
        <w:tc>
          <w:tcPr>
            <w:tcW w:w="1040" w:type="dxa"/>
            <w:shd w:val="clear" w:color="auto" w:fill="auto"/>
          </w:tcPr>
          <w:p w14:paraId="63EE1A52" w14:textId="3C0D81B4" w:rsidR="001D71BC" w:rsidRPr="00AC14E0" w:rsidRDefault="001D71BC" w:rsidP="00A35800">
            <w:pPr>
              <w:pStyle w:val="Tablewriting"/>
            </w:pPr>
            <w:r>
              <w:t>$89.05</w:t>
            </w:r>
          </w:p>
        </w:tc>
        <w:tc>
          <w:tcPr>
            <w:tcW w:w="2104" w:type="dxa"/>
            <w:vMerge w:val="restart"/>
            <w:shd w:val="clear" w:color="auto" w:fill="auto"/>
          </w:tcPr>
          <w:p w14:paraId="1F0D0A45" w14:textId="77777777" w:rsidR="001D71BC" w:rsidRDefault="001D71BC" w:rsidP="001D71BC">
            <w:pPr>
              <w:pStyle w:val="Tablewriting"/>
            </w:pPr>
            <w:r>
              <w:t>Enerzair</w:t>
            </w:r>
          </w:p>
          <w:p w14:paraId="4074B1E1" w14:textId="524FC904" w:rsidR="001D71BC" w:rsidRPr="00A35800" w:rsidDel="00EE2BBB" w:rsidRDefault="001D71BC" w:rsidP="001D71BC">
            <w:pPr>
              <w:pStyle w:val="Tablewriting"/>
            </w:pPr>
            <w:r w:rsidRPr="006F7D5C">
              <w:t>Novartis Pharmaceuticals Australia Pty Limited</w:t>
            </w:r>
          </w:p>
        </w:tc>
      </w:tr>
      <w:tr w:rsidR="001D71BC" w:rsidRPr="00A35800" w:rsidDel="00EE2BBB" w14:paraId="67B20DAE" w14:textId="77777777" w:rsidTr="0093111F">
        <w:trPr>
          <w:trHeight w:val="546"/>
          <w:tblHeader/>
        </w:trPr>
        <w:tc>
          <w:tcPr>
            <w:tcW w:w="969" w:type="dxa"/>
            <w:shd w:val="clear" w:color="auto" w:fill="auto"/>
          </w:tcPr>
          <w:p w14:paraId="038DEFAF" w14:textId="62918C31" w:rsidR="001D71BC" w:rsidRDefault="001D71BC" w:rsidP="00A35800">
            <w:pPr>
              <w:pStyle w:val="Tablewriting"/>
            </w:pPr>
            <w:r>
              <w:t>14399W</w:t>
            </w:r>
          </w:p>
        </w:tc>
        <w:tc>
          <w:tcPr>
            <w:tcW w:w="2400" w:type="dxa"/>
            <w:vMerge/>
            <w:shd w:val="clear" w:color="auto" w:fill="auto"/>
          </w:tcPr>
          <w:p w14:paraId="7730ADEA" w14:textId="77777777" w:rsidR="001D71BC" w:rsidRPr="00383184" w:rsidRDefault="001D71BC" w:rsidP="00A35800">
            <w:pPr>
              <w:pStyle w:val="Tablewriting"/>
            </w:pPr>
          </w:p>
        </w:tc>
        <w:tc>
          <w:tcPr>
            <w:tcW w:w="1701" w:type="dxa"/>
            <w:shd w:val="clear" w:color="auto" w:fill="auto"/>
          </w:tcPr>
          <w:p w14:paraId="218CE3B2" w14:textId="3342ADFF" w:rsidR="001D71BC" w:rsidRDefault="001D71BC" w:rsidP="00A35800">
            <w:pPr>
              <w:pStyle w:val="Tablewriting"/>
            </w:pPr>
            <w:r>
              <w:t>2</w:t>
            </w:r>
          </w:p>
        </w:tc>
        <w:tc>
          <w:tcPr>
            <w:tcW w:w="850" w:type="dxa"/>
            <w:vMerge/>
            <w:shd w:val="clear" w:color="auto" w:fill="auto"/>
          </w:tcPr>
          <w:p w14:paraId="3507D68B" w14:textId="77777777" w:rsidR="001D71BC" w:rsidRDefault="001D71BC" w:rsidP="00A35800">
            <w:pPr>
              <w:pStyle w:val="Tablewriting"/>
            </w:pPr>
          </w:p>
        </w:tc>
        <w:tc>
          <w:tcPr>
            <w:tcW w:w="1040" w:type="dxa"/>
            <w:shd w:val="clear" w:color="auto" w:fill="auto"/>
          </w:tcPr>
          <w:p w14:paraId="08BE52CA" w14:textId="7AC3E895" w:rsidR="001D71BC" w:rsidRPr="00AC14E0" w:rsidRDefault="001D71BC" w:rsidP="00A35800">
            <w:pPr>
              <w:pStyle w:val="Tablewriting"/>
            </w:pPr>
            <w:r>
              <w:t>$167.19</w:t>
            </w:r>
          </w:p>
        </w:tc>
        <w:tc>
          <w:tcPr>
            <w:tcW w:w="2104" w:type="dxa"/>
            <w:vMerge/>
            <w:shd w:val="clear" w:color="auto" w:fill="auto"/>
          </w:tcPr>
          <w:p w14:paraId="087ABD05" w14:textId="77777777" w:rsidR="001D71BC" w:rsidRPr="00A35800" w:rsidDel="00EE2BBB" w:rsidRDefault="001D71BC" w:rsidP="00A35800">
            <w:pPr>
              <w:pStyle w:val="Tablewriting"/>
            </w:pPr>
          </w:p>
        </w:tc>
      </w:tr>
      <w:tr w:rsidR="001D71BC" w:rsidRPr="00A35800" w:rsidDel="00EE2BBB" w14:paraId="26B8B1A4" w14:textId="77777777" w:rsidTr="0093111F">
        <w:trPr>
          <w:trHeight w:val="546"/>
          <w:tblHeader/>
        </w:trPr>
        <w:tc>
          <w:tcPr>
            <w:tcW w:w="969" w:type="dxa"/>
            <w:shd w:val="clear" w:color="auto" w:fill="auto"/>
          </w:tcPr>
          <w:p w14:paraId="557B7ABC" w14:textId="65B0C0F8" w:rsidR="001D71BC" w:rsidRDefault="001D71BC" w:rsidP="00A35800">
            <w:pPr>
              <w:pStyle w:val="Tablewriting"/>
            </w:pPr>
            <w:r>
              <w:t>12298G</w:t>
            </w:r>
          </w:p>
        </w:tc>
        <w:tc>
          <w:tcPr>
            <w:tcW w:w="2400" w:type="dxa"/>
            <w:vMerge w:val="restart"/>
            <w:shd w:val="clear" w:color="auto" w:fill="auto"/>
          </w:tcPr>
          <w:p w14:paraId="7D20574F" w14:textId="4FFDAE63" w:rsidR="001D71BC" w:rsidRPr="00383184" w:rsidRDefault="001D71BC" w:rsidP="00A35800">
            <w:pPr>
              <w:pStyle w:val="Tablewriting"/>
            </w:pPr>
            <w:r w:rsidRPr="004160DF">
              <w:t>indacaterol 114 microgram + glycopyrronium 46 microgram + mometasone furoate 68 microgram powder for inhalation, 30 capsules</w:t>
            </w:r>
          </w:p>
        </w:tc>
        <w:tc>
          <w:tcPr>
            <w:tcW w:w="1701" w:type="dxa"/>
            <w:shd w:val="clear" w:color="auto" w:fill="auto"/>
          </w:tcPr>
          <w:p w14:paraId="5CC269CF" w14:textId="2019ECA0" w:rsidR="001D71BC" w:rsidRDefault="001D71BC" w:rsidP="00A35800">
            <w:pPr>
              <w:pStyle w:val="Tablewriting"/>
            </w:pPr>
            <w:r>
              <w:t>1</w:t>
            </w:r>
          </w:p>
        </w:tc>
        <w:tc>
          <w:tcPr>
            <w:tcW w:w="850" w:type="dxa"/>
            <w:vMerge/>
            <w:shd w:val="clear" w:color="auto" w:fill="auto"/>
          </w:tcPr>
          <w:p w14:paraId="29620AA2" w14:textId="77777777" w:rsidR="001D71BC" w:rsidRDefault="001D71BC" w:rsidP="00A35800">
            <w:pPr>
              <w:pStyle w:val="Tablewriting"/>
            </w:pPr>
          </w:p>
        </w:tc>
        <w:tc>
          <w:tcPr>
            <w:tcW w:w="1040" w:type="dxa"/>
            <w:shd w:val="clear" w:color="auto" w:fill="auto"/>
          </w:tcPr>
          <w:p w14:paraId="313EB9ED" w14:textId="15B27875" w:rsidR="001D71BC" w:rsidRPr="00AC14E0" w:rsidRDefault="001D71BC" w:rsidP="00A35800">
            <w:pPr>
              <w:pStyle w:val="Tablewriting"/>
            </w:pPr>
            <w:r>
              <w:t>$73.22</w:t>
            </w:r>
          </w:p>
        </w:tc>
        <w:tc>
          <w:tcPr>
            <w:tcW w:w="2104" w:type="dxa"/>
            <w:vMerge/>
            <w:shd w:val="clear" w:color="auto" w:fill="auto"/>
          </w:tcPr>
          <w:p w14:paraId="4E6F811A" w14:textId="77777777" w:rsidR="001D71BC" w:rsidRPr="00A35800" w:rsidDel="00EE2BBB" w:rsidRDefault="001D71BC" w:rsidP="00A35800">
            <w:pPr>
              <w:pStyle w:val="Tablewriting"/>
            </w:pPr>
          </w:p>
        </w:tc>
      </w:tr>
      <w:tr w:rsidR="001D71BC" w:rsidRPr="00A35800" w:rsidDel="00EE2BBB" w14:paraId="471F65FD" w14:textId="77777777" w:rsidTr="0093111F">
        <w:trPr>
          <w:trHeight w:val="546"/>
          <w:tblHeader/>
        </w:trPr>
        <w:tc>
          <w:tcPr>
            <w:tcW w:w="969" w:type="dxa"/>
            <w:shd w:val="clear" w:color="auto" w:fill="auto"/>
          </w:tcPr>
          <w:p w14:paraId="7FAFD713" w14:textId="56C4997A" w:rsidR="001D71BC" w:rsidRDefault="001D71BC" w:rsidP="00A35800">
            <w:pPr>
              <w:pStyle w:val="Tablewriting"/>
            </w:pPr>
            <w:r>
              <w:t>14471P</w:t>
            </w:r>
          </w:p>
        </w:tc>
        <w:tc>
          <w:tcPr>
            <w:tcW w:w="2400" w:type="dxa"/>
            <w:vMerge/>
            <w:shd w:val="clear" w:color="auto" w:fill="auto"/>
          </w:tcPr>
          <w:p w14:paraId="17DAF382" w14:textId="77777777" w:rsidR="001D71BC" w:rsidRPr="00383184" w:rsidRDefault="001D71BC" w:rsidP="00A35800">
            <w:pPr>
              <w:pStyle w:val="Tablewriting"/>
            </w:pPr>
          </w:p>
        </w:tc>
        <w:tc>
          <w:tcPr>
            <w:tcW w:w="1701" w:type="dxa"/>
            <w:shd w:val="clear" w:color="auto" w:fill="auto"/>
          </w:tcPr>
          <w:p w14:paraId="45BC8297" w14:textId="1D977990" w:rsidR="001D71BC" w:rsidRDefault="001D71BC" w:rsidP="00A35800">
            <w:pPr>
              <w:pStyle w:val="Tablewriting"/>
            </w:pPr>
            <w:r>
              <w:t>2</w:t>
            </w:r>
          </w:p>
        </w:tc>
        <w:tc>
          <w:tcPr>
            <w:tcW w:w="850" w:type="dxa"/>
            <w:vMerge/>
            <w:shd w:val="clear" w:color="auto" w:fill="auto"/>
          </w:tcPr>
          <w:p w14:paraId="6BEAB5D1" w14:textId="77777777" w:rsidR="001D71BC" w:rsidRDefault="001D71BC" w:rsidP="00A35800">
            <w:pPr>
              <w:pStyle w:val="Tablewriting"/>
            </w:pPr>
          </w:p>
        </w:tc>
        <w:tc>
          <w:tcPr>
            <w:tcW w:w="1040" w:type="dxa"/>
            <w:shd w:val="clear" w:color="auto" w:fill="auto"/>
          </w:tcPr>
          <w:p w14:paraId="264E0066" w14:textId="6854BBB8" w:rsidR="001D71BC" w:rsidRPr="00AC14E0" w:rsidRDefault="001D71BC" w:rsidP="00A35800">
            <w:pPr>
              <w:pStyle w:val="Tablewriting"/>
            </w:pPr>
            <w:r>
              <w:t>$133.95</w:t>
            </w:r>
          </w:p>
        </w:tc>
        <w:tc>
          <w:tcPr>
            <w:tcW w:w="2104" w:type="dxa"/>
            <w:vMerge/>
            <w:shd w:val="clear" w:color="auto" w:fill="auto"/>
          </w:tcPr>
          <w:p w14:paraId="19720B12" w14:textId="77777777" w:rsidR="001D71BC" w:rsidRPr="00A35800" w:rsidDel="00EE2BBB" w:rsidRDefault="001D71BC" w:rsidP="00A35800">
            <w:pPr>
              <w:pStyle w:val="Tablewriting"/>
            </w:pPr>
          </w:p>
        </w:tc>
      </w:tr>
    </w:tbl>
    <w:p w14:paraId="1183F151" w14:textId="6A433B45"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p>
    <w:p w14:paraId="68B5B29F" w14:textId="77777777" w:rsidR="002C7B93" w:rsidRDefault="002C7B93" w:rsidP="00CF5E22">
      <w:pPr>
        <w:pStyle w:val="Heading3"/>
      </w:pPr>
    </w:p>
    <w:p w14:paraId="133A34FB" w14:textId="77777777" w:rsidR="002C7B93" w:rsidRDefault="002C7B93" w:rsidP="00CF5E22">
      <w:pPr>
        <w:pStyle w:val="Heading3"/>
      </w:pPr>
    </w:p>
    <w:p w14:paraId="1AFA1485" w14:textId="1D925E59" w:rsidR="004C3186" w:rsidDel="00EE2BBB" w:rsidRDefault="004C3186" w:rsidP="00CF5E22">
      <w:pPr>
        <w:pStyle w:val="Heading3"/>
      </w:pPr>
      <w:r w:rsidDel="00EE2BBB">
        <w:lastRenderedPageBreak/>
        <w:t>Restriction</w:t>
      </w:r>
    </w:p>
    <w:p w14:paraId="06F1F6BB" w14:textId="10FF8A77" w:rsidR="004C3186" w:rsidRDefault="001A7EE1" w:rsidP="001A7EE1">
      <w:r w:rsidRPr="001A7EE1">
        <w:t xml:space="preserve">The </w:t>
      </w:r>
      <w:r>
        <w:t xml:space="preserve">restriction for </w:t>
      </w:r>
      <w:r w:rsidR="00F32BA6">
        <w:t>FF/VI/UMEC</w:t>
      </w:r>
      <w:r w:rsidR="00C740CE">
        <w:t xml:space="preserve">, </w:t>
      </w:r>
      <w:r w:rsidR="00783C63">
        <w:t>BEC/FOR/GLY</w:t>
      </w:r>
      <w:r w:rsidR="00C740CE">
        <w:t xml:space="preserve">, and </w:t>
      </w:r>
      <w:r w:rsidR="00783C63">
        <w:t>MF/IND/GLY</w:t>
      </w:r>
      <w:r w:rsidR="00C740CE">
        <w:t xml:space="preserve"> for </w:t>
      </w:r>
      <w:r w:rsidR="00B8316C">
        <w:t xml:space="preserve">severe </w:t>
      </w:r>
      <w:r w:rsidR="00C740CE">
        <w:t>asthma are similar</w:t>
      </w:r>
      <w:r w:rsidR="00750653">
        <w:t>:</w:t>
      </w:r>
    </w:p>
    <w:p w14:paraId="45AE763F" w14:textId="77777777" w:rsidR="00750653" w:rsidRPr="00750653" w:rsidRDefault="00750653" w:rsidP="00750653">
      <w:r w:rsidRPr="00750653">
        <w:rPr>
          <w:b/>
          <w:bCs/>
        </w:rPr>
        <w:t>Clinical criteria:</w:t>
      </w:r>
    </w:p>
    <w:p w14:paraId="50FB2B1F" w14:textId="77777777" w:rsidR="00750653" w:rsidRPr="00750653" w:rsidRDefault="00750653" w:rsidP="00750653">
      <w:pPr>
        <w:numPr>
          <w:ilvl w:val="0"/>
          <w:numId w:val="5"/>
        </w:numPr>
      </w:pPr>
      <w:r w:rsidRPr="00750653">
        <w:t>Patient must have experienced at least one severe asthma exacerbation in the 12 months prior to having first commenced treatment for severe asthma, which required systemic corticosteroid treatment despite each of: (i) receiving optimised asthma therapy, (ii) being assessed for adherence to therapy, (iii) being assessed for correct inhaler technique.</w:t>
      </w:r>
    </w:p>
    <w:p w14:paraId="4EB2351A" w14:textId="77777777" w:rsidR="00750653" w:rsidRPr="00750653" w:rsidRDefault="00750653" w:rsidP="00750653">
      <w:r w:rsidRPr="00750653">
        <w:rPr>
          <w:b/>
          <w:bCs/>
        </w:rPr>
        <w:t>Population criteria:</w:t>
      </w:r>
    </w:p>
    <w:p w14:paraId="25AC156B" w14:textId="77777777" w:rsidR="00750653" w:rsidRPr="00750653" w:rsidRDefault="00750653" w:rsidP="00750653">
      <w:pPr>
        <w:numPr>
          <w:ilvl w:val="0"/>
          <w:numId w:val="6"/>
        </w:numPr>
      </w:pPr>
      <w:r w:rsidRPr="00750653">
        <w:t>Patient must be at least 18 years of age.</w:t>
      </w:r>
    </w:p>
    <w:p w14:paraId="02F04249" w14:textId="3B0F40F3" w:rsidR="00750653" w:rsidRPr="001A7EE1" w:rsidDel="00EE2BBB" w:rsidRDefault="00750653" w:rsidP="001A7EE1">
      <w:r w:rsidRPr="00750653">
        <w:t>Optimised asthma therapy includes adherence to the maintenance combination of an inhaled corticosteroid (at least 800 micrograms budesonide per day or equivalent) and a long acting beta-2 agonist.</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379A168E" w14:textId="3F223541" w:rsidR="00AB199C" w:rsidRDefault="00783C63" w:rsidP="002818C2">
      <w:r>
        <w:t>MF/IND/GLY</w:t>
      </w:r>
      <w:r w:rsidR="00B30DBC">
        <w:t xml:space="preserve"> was first listed on the PBS for severe asthma on </w:t>
      </w:r>
      <w:r w:rsidR="00A4098D">
        <w:t>1</w:t>
      </w:r>
      <w:r w:rsidR="00A4098D" w:rsidRPr="00A4098D">
        <w:rPr>
          <w:vertAlign w:val="superscript"/>
        </w:rPr>
        <w:t>st</w:t>
      </w:r>
      <w:r w:rsidR="00A4098D">
        <w:t xml:space="preserve"> April 2021.</w:t>
      </w:r>
    </w:p>
    <w:p w14:paraId="06531D1C" w14:textId="41EA01B2" w:rsidR="00A4098D" w:rsidRDefault="00F32BA6" w:rsidP="002818C2">
      <w:r>
        <w:t>FF/VI/UMEC</w:t>
      </w:r>
      <w:r w:rsidR="00A4098D">
        <w:t xml:space="preserve"> was first listed on the PBS for severe asthma on 1</w:t>
      </w:r>
      <w:r w:rsidR="00A4098D" w:rsidRPr="00A4098D">
        <w:rPr>
          <w:vertAlign w:val="superscript"/>
        </w:rPr>
        <w:t>st</w:t>
      </w:r>
      <w:r w:rsidR="00A4098D">
        <w:t xml:space="preserve"> April 2022. </w:t>
      </w:r>
    </w:p>
    <w:p w14:paraId="397BCC32" w14:textId="4651DF82" w:rsidR="00A4098D" w:rsidRPr="00AB199C" w:rsidDel="00EE2BBB" w:rsidRDefault="00783C63" w:rsidP="002818C2">
      <w:r>
        <w:t>BEC/FOR/GLY</w:t>
      </w:r>
      <w:r w:rsidR="003D2AFB">
        <w:t xml:space="preserve"> was first listed on the PBS for severe asthma on 1</w:t>
      </w:r>
      <w:r w:rsidR="003D2AFB" w:rsidRPr="003D2AFB">
        <w:rPr>
          <w:vertAlign w:val="superscript"/>
        </w:rPr>
        <w:t>st</w:t>
      </w:r>
      <w:r w:rsidR="003D2AFB">
        <w:t xml:space="preserve"> January 2023. </w:t>
      </w:r>
    </w:p>
    <w:p w14:paraId="39EF75ED" w14:textId="73256AB5" w:rsidR="00675BB1" w:rsidRPr="00675BB1" w:rsidDel="00EE2BBB" w:rsidRDefault="00675BB1" w:rsidP="00CF5E22">
      <w:pPr>
        <w:pStyle w:val="Heading3"/>
      </w:pPr>
      <w:r w:rsidRPr="00675BB1" w:rsidDel="00EE2BBB">
        <w:t>Changes to listing</w:t>
      </w:r>
    </w:p>
    <w:p w14:paraId="1123BF10" w14:textId="77777777" w:rsidR="00DB5F13" w:rsidRDefault="009B2FFF" w:rsidP="00A35800">
      <w:r>
        <w:t>Each listing</w:t>
      </w:r>
      <w:r w:rsidR="007B40D2">
        <w:t xml:space="preserve"> </w:t>
      </w:r>
      <w:r>
        <w:t xml:space="preserve">was </w:t>
      </w:r>
      <w:r w:rsidR="007B40D2">
        <w:t>align</w:t>
      </w:r>
      <w:r w:rsidR="001C4AF8">
        <w:t>ed</w:t>
      </w:r>
      <w:r w:rsidR="007B40D2">
        <w:t xml:space="preserve"> </w:t>
      </w:r>
      <w:r w:rsidR="001C4AF8">
        <w:t>by</w:t>
      </w:r>
      <w:r w:rsidR="007B40D2">
        <w:t xml:space="preserve"> clinical criteria </w:t>
      </w:r>
      <w:r w:rsidR="00083114">
        <w:t>and 60 day dispensing</w:t>
      </w:r>
      <w:r w:rsidR="00181271">
        <w:t xml:space="preserve"> was introduced</w:t>
      </w:r>
      <w:r w:rsidR="00083114">
        <w:t xml:space="preserve"> for </w:t>
      </w:r>
      <w:r w:rsidR="00F32BA6">
        <w:t>FF/VI/UMEC</w:t>
      </w:r>
      <w:r w:rsidR="00083114">
        <w:t xml:space="preserve"> and </w:t>
      </w:r>
      <w:r w:rsidR="00783C63">
        <w:t>MF/IND/GLY</w:t>
      </w:r>
      <w:r w:rsidR="00181271">
        <w:t xml:space="preserve"> </w:t>
      </w:r>
      <w:r w:rsidR="007F5EA9">
        <w:t>o</w:t>
      </w:r>
      <w:r w:rsidR="00181271">
        <w:t xml:space="preserve">n </w:t>
      </w:r>
      <w:r w:rsidR="007F5EA9">
        <w:t>1</w:t>
      </w:r>
      <w:r w:rsidR="007F5EA9" w:rsidRPr="007F5EA9">
        <w:rPr>
          <w:vertAlign w:val="superscript"/>
        </w:rPr>
        <w:t>st</w:t>
      </w:r>
      <w:r w:rsidR="007F5EA9">
        <w:t xml:space="preserve"> September 2024</w:t>
      </w:r>
      <w:r w:rsidR="00083114">
        <w:t>.</w:t>
      </w:r>
    </w:p>
    <w:p w14:paraId="232720EF" w14:textId="7169EB24" w:rsidR="009C35F2" w:rsidDel="00EE2BBB" w:rsidRDefault="00DB5F13" w:rsidP="00A35800">
      <w:r>
        <w:t>With the listing of FF/VI/UMEC on 1</w:t>
      </w:r>
      <w:r w:rsidRPr="00DB5F13">
        <w:rPr>
          <w:vertAlign w:val="superscript"/>
        </w:rPr>
        <w:t>st</w:t>
      </w:r>
      <w:r>
        <w:t xml:space="preserve"> April 2022 the </w:t>
      </w:r>
      <w:r w:rsidR="00D734FA">
        <w:t>restriction authority level</w:t>
      </w:r>
      <w:r w:rsidR="00C672C6">
        <w:t xml:space="preserve"> for all severe asthma triple therapies</w:t>
      </w:r>
      <w:r w:rsidR="00D734FA">
        <w:t xml:space="preserve"> were reduced from Authority Required (telephone/online) to Authority Required (STREAMLINED). </w:t>
      </w:r>
    </w:p>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4F195F7" w14:textId="106B310A" w:rsidR="006A44F5" w:rsidRDefault="009406ED" w:rsidP="009406ED">
      <w:r w:rsidRPr="009406ED">
        <w:t xml:space="preserve">The PBAC </w:t>
      </w:r>
      <w:r>
        <w:t xml:space="preserve">considered </w:t>
      </w:r>
      <w:r w:rsidR="004505EB">
        <w:t>MF/IND/GLY in the July 2020 PBAC meeting. The PBAC noted</w:t>
      </w:r>
      <w:r w:rsidR="00236CDE">
        <w:t xml:space="preserve"> the</w:t>
      </w:r>
      <w:r w:rsidR="004505EB">
        <w:t xml:space="preserve"> </w:t>
      </w:r>
      <w:r w:rsidRPr="009406ED">
        <w:t>financial estimates</w:t>
      </w:r>
      <w:r w:rsidR="00236CDE">
        <w:t xml:space="preserve"> were</w:t>
      </w:r>
      <w:r w:rsidRPr="009406ED">
        <w:t xml:space="preserve"> sensitiv</w:t>
      </w:r>
      <w:r w:rsidR="00236CDE">
        <w:t>e</w:t>
      </w:r>
      <w:r w:rsidRPr="009406ED">
        <w:t xml:space="preserve"> to substitution rates and the assumption that medium and high dose MF/IND/GLY will only substitute for high dose ICS/LABA plus LAMA. The PBAC considered that these concerns would be addressed by </w:t>
      </w:r>
      <w:r w:rsidR="00D11D4C">
        <w:t xml:space="preserve">listing on </w:t>
      </w:r>
      <w:r w:rsidRPr="009406ED">
        <w:t xml:space="preserve">a cost-minimisation basis against the least costly combination of ICS/LABA plus LAMA. </w:t>
      </w:r>
      <w:r w:rsidR="00D11D4C">
        <w:t>T</w:t>
      </w:r>
      <w:r w:rsidRPr="009406ED">
        <w:t xml:space="preserve">he PBAC remained </w:t>
      </w:r>
      <w:r w:rsidRPr="009406ED">
        <w:lastRenderedPageBreak/>
        <w:t>concerned about the risk of inappropriate use in patients with less severe asthma otherwise managed on ICS or ICS/LABA</w:t>
      </w:r>
      <w:r w:rsidR="00D11D4C">
        <w:t xml:space="preserve"> and</w:t>
      </w:r>
      <w:r w:rsidR="0074672C">
        <w:t xml:space="preserve"> </w:t>
      </w:r>
      <w:r w:rsidR="00E91F25">
        <w:t xml:space="preserve">patients aged under 18 years of age who would be outside of the trial population. The PBAC </w:t>
      </w:r>
      <w:r w:rsidRPr="009406ED">
        <w:t>considered a higher restriction level (Authority Required – Telephone/Electronic /Emergency) would be appropriate to minimise this risk</w:t>
      </w:r>
      <w:r w:rsidR="00E208A0" w:rsidRPr="009406ED">
        <w:t>.</w:t>
      </w:r>
      <w:r w:rsidR="00AB199C">
        <w:t xml:space="preserve"> </w:t>
      </w:r>
    </w:p>
    <w:p w14:paraId="70539E18" w14:textId="01A6E398" w:rsidR="00D94863" w:rsidRDefault="00D94863" w:rsidP="00D94863">
      <w:r>
        <w:t xml:space="preserve">For further details refer to </w:t>
      </w:r>
      <w:r w:rsidRPr="00F65F0D">
        <w:t xml:space="preserve">the </w:t>
      </w:r>
      <w:hyperlink r:id="rId13" w:history="1">
        <w:r w:rsidR="00EF1A50" w:rsidRPr="006977AB">
          <w:rPr>
            <w:rStyle w:val="Hyperlink"/>
          </w:rPr>
          <w:t>Public Summary Document</w:t>
        </w:r>
      </w:hyperlink>
      <w:r w:rsidR="00EF1A50">
        <w:t xml:space="preserve"> from the July 2020</w:t>
      </w:r>
      <w:r>
        <w:t xml:space="preserve"> PBAC meeting.</w:t>
      </w:r>
    </w:p>
    <w:p w14:paraId="196A0F7A" w14:textId="7E6F0286" w:rsidR="006977AB" w:rsidRDefault="00A67EA4" w:rsidP="00D94863">
      <w:r>
        <w:t xml:space="preserve">The PBAC considered </w:t>
      </w:r>
      <w:r w:rsidR="00F32BA6">
        <w:t>FF/VI/UMEC</w:t>
      </w:r>
      <w:r w:rsidR="0033172E">
        <w:t xml:space="preserve"> for severe asthma at the November 2021 meeting. </w:t>
      </w:r>
      <w:r w:rsidR="005F7CB3">
        <w:t xml:space="preserve">The PBAC noted the same concerns related to the inappropriate use of </w:t>
      </w:r>
      <w:r w:rsidR="00F32BA6">
        <w:t>FF/VI/UMEC</w:t>
      </w:r>
      <w:r w:rsidR="005F7CB3">
        <w:t xml:space="preserve"> in children and adolescents</w:t>
      </w:r>
      <w:r w:rsidR="00002B56">
        <w:t xml:space="preserve">. The PBAC considered that the listing of </w:t>
      </w:r>
      <w:r w:rsidR="00F32BA6">
        <w:t>FF/VI/UMEC</w:t>
      </w:r>
      <w:r w:rsidR="00002B56">
        <w:t xml:space="preserve"> should be at the </w:t>
      </w:r>
      <w:r w:rsidR="003F279C">
        <w:t xml:space="preserve">Authority Required (STREAMLINED) level to maintain consistencies between single inhaler triple therapies </w:t>
      </w:r>
      <w:r w:rsidR="00692A8D">
        <w:t xml:space="preserve">across COPD and asthma indications. The PBAC noted that this recommendation should then flow on to the MF/IND/GLY listing. </w:t>
      </w:r>
      <w:r w:rsidR="00CB0B13">
        <w:t xml:space="preserve">The PBAC noted that a DUSC review should be undertaken after sufficient time has elapsed with a view to reverting the </w:t>
      </w:r>
      <w:r w:rsidR="00E6469A">
        <w:t xml:space="preserve">restriction levels to Authority Required (telephone/online) if use is beyond the intent of the restriction. </w:t>
      </w:r>
    </w:p>
    <w:p w14:paraId="5627FFB7" w14:textId="254C5652" w:rsidR="003C5F63" w:rsidRDefault="003C5F63" w:rsidP="003C5F63">
      <w:r>
        <w:t xml:space="preserve">For further details refer to </w:t>
      </w:r>
      <w:r w:rsidRPr="00F65F0D">
        <w:t xml:space="preserve">the </w:t>
      </w:r>
      <w:hyperlink r:id="rId14" w:history="1">
        <w:r w:rsidRPr="006977AB">
          <w:rPr>
            <w:rStyle w:val="Hyperlink"/>
          </w:rPr>
          <w:t>Public Summary Document</w:t>
        </w:r>
      </w:hyperlink>
      <w:r>
        <w:t xml:space="preserve"> from the November 2021 PBAC meeting.</w:t>
      </w:r>
    </w:p>
    <w:p w14:paraId="17EF706B" w14:textId="548A5871" w:rsidR="003A5426" w:rsidRDefault="00C167F0" w:rsidP="003C5F63">
      <w:r>
        <w:t xml:space="preserve">The PBAC considered BEC/FOR/GLY at the March 2022 meeting. </w:t>
      </w:r>
      <w:r w:rsidR="00AC1F58" w:rsidRPr="00AC1F58">
        <w:t>The PBAC noted the estimated use and financial implications of BEC/FOR/GLY</w:t>
      </w:r>
      <w:r w:rsidR="00BB5B46">
        <w:t xml:space="preserve"> on a cost-minimised basis</w:t>
      </w:r>
      <w:r w:rsidR="00AC1F58" w:rsidRPr="00AC1F58">
        <w:t xml:space="preserve"> and considered </w:t>
      </w:r>
      <w:r w:rsidR="00C256DB">
        <w:t xml:space="preserve">it appropriate. </w:t>
      </w:r>
    </w:p>
    <w:p w14:paraId="6A8D9F5F" w14:textId="533B73DB" w:rsidR="003C5F63" w:rsidRPr="00F65F0D" w:rsidRDefault="00C256DB" w:rsidP="00D94863">
      <w:r>
        <w:t xml:space="preserve">For further details refer to </w:t>
      </w:r>
      <w:r w:rsidRPr="00F65F0D">
        <w:t xml:space="preserve">the </w:t>
      </w:r>
      <w:hyperlink r:id="rId15" w:history="1">
        <w:r w:rsidRPr="006977AB">
          <w:rPr>
            <w:rStyle w:val="Hyperlink"/>
          </w:rPr>
          <w:t>Public Summary Document</w:t>
        </w:r>
      </w:hyperlink>
      <w:r>
        <w:t xml:space="preserve"> from the March 2022 PBAC meeting.</w:t>
      </w:r>
    </w:p>
    <w:p w14:paraId="2D2C2D4E" w14:textId="62FE5A60" w:rsidR="00010CD5" w:rsidRDefault="00ED633B" w:rsidP="00CF5E22">
      <w:pPr>
        <w:pStyle w:val="Heading2"/>
      </w:pPr>
      <w:r>
        <w:t>A</w:t>
      </w:r>
      <w:r w:rsidR="000F2F51">
        <w:t xml:space="preserve">pproach </w:t>
      </w:r>
      <w:r>
        <w:t xml:space="preserve">taken to </w:t>
      </w:r>
      <w:r w:rsidR="000F2F51">
        <w:t>estimat</w:t>
      </w:r>
      <w:r>
        <w:t>e</w:t>
      </w:r>
      <w:r w:rsidR="000F2F51">
        <w:t xml:space="preserve"> utilisatio</w:t>
      </w:r>
      <w:r w:rsidR="00E52EE0">
        <w:t>n</w:t>
      </w:r>
    </w:p>
    <w:p w14:paraId="2A2990FA" w14:textId="75C06C77" w:rsidR="00E52EE0" w:rsidRDefault="0046165A" w:rsidP="00E52EE0">
      <w:r>
        <w:t>The MF/IND/GLY submission considered by PBAC in July 2020 used a market share approach</w:t>
      </w:r>
      <w:r w:rsidR="00CC4FDA">
        <w:t xml:space="preserve"> based on the yearly prescriptions of tiotropium </w:t>
      </w:r>
      <w:r w:rsidR="00E6231F">
        <w:t>(</w:t>
      </w:r>
      <w:r w:rsidR="00482DE2">
        <w:t>item code 11043F</w:t>
      </w:r>
      <w:r w:rsidR="00E6231F">
        <w:t>)</w:t>
      </w:r>
      <w:r w:rsidR="00482DE2">
        <w:t xml:space="preserve"> which is restricted to </w:t>
      </w:r>
      <w:r w:rsidR="00E30F16">
        <w:t xml:space="preserve">severe asthma in adults in combination with an ICS and LABA unless contraindicated. </w:t>
      </w:r>
      <w:r w:rsidR="00D253DE">
        <w:t>Growth</w:t>
      </w:r>
      <w:r w:rsidR="00C209CA">
        <w:t xml:space="preserve">, substitution and uptake rates were then applied to estimate utilisation. </w:t>
      </w:r>
    </w:p>
    <w:p w14:paraId="081471CD" w14:textId="19708D2E" w:rsidR="001B0223" w:rsidRDefault="001B0223" w:rsidP="00E52EE0">
      <w:r>
        <w:t xml:space="preserve">The FF/VI/UMEC </w:t>
      </w:r>
      <w:r w:rsidR="002B7F7C">
        <w:t>submission considered by PBAC in November 2021 utilised a similar m</w:t>
      </w:r>
      <w:r w:rsidR="007E0FAB">
        <w:t xml:space="preserve">arket share approach given the limited data available for MF/IND/GLY </w:t>
      </w:r>
      <w:r w:rsidR="00D233C3">
        <w:t xml:space="preserve">having only been listed for seven months at the time of the </w:t>
      </w:r>
      <w:r w:rsidR="00AC3397">
        <w:t xml:space="preserve">committee meeting. </w:t>
      </w:r>
    </w:p>
    <w:p w14:paraId="3B7BDD39" w14:textId="4E20B5A4" w:rsidR="004A40E9" w:rsidRPr="00E52EE0" w:rsidRDefault="004A40E9" w:rsidP="00E52EE0">
      <w:r>
        <w:t xml:space="preserve">The BEC/FOR/GLY </w:t>
      </w:r>
      <w:r w:rsidR="00A43E27">
        <w:t xml:space="preserve">submission considered by the PBAC in March 2022 </w:t>
      </w:r>
      <w:r w:rsidR="007A3A80">
        <w:t xml:space="preserve">was able to use a market share approach using MF/IND/GLY prescription numbers to estimate utilisation. </w:t>
      </w:r>
    </w:p>
    <w:p w14:paraId="0312FFEC" w14:textId="5C6A9662" w:rsidR="00E677DD" w:rsidRPr="005E22C2" w:rsidRDefault="00E677DD" w:rsidP="00CF5E22">
      <w:pPr>
        <w:pStyle w:val="Heading1"/>
      </w:pPr>
      <w:r w:rsidRPr="005E22C2">
        <w:t>Method</w:t>
      </w:r>
      <w:r w:rsidR="001B5D37" w:rsidRPr="005E22C2">
        <w:t>s</w:t>
      </w:r>
    </w:p>
    <w:p w14:paraId="4CF2344C" w14:textId="4F80CEDE" w:rsidR="00BC2B14" w:rsidRDefault="00BC2B14" w:rsidP="00BC2B14">
      <w:r>
        <w:t>Data from 1 Jan 20</w:t>
      </w:r>
      <w:r w:rsidR="00FF14A6">
        <w:t>1</w:t>
      </w:r>
      <w:r>
        <w:t>4 to 3</w:t>
      </w:r>
      <w:r w:rsidR="00107570">
        <w:t>1</w:t>
      </w:r>
      <w:r>
        <w:t xml:space="preserve"> </w:t>
      </w:r>
      <w:r w:rsidR="00107570">
        <w:t>December</w:t>
      </w:r>
      <w:r>
        <w:t xml:space="preserve"> 2024 were extracted from the PBS data maintained by Department of Health and Aged Care, processed by Services Australia on or before </w:t>
      </w:r>
      <w:r>
        <w:br/>
      </w:r>
      <w:r w:rsidR="008D578A">
        <w:t>6</w:t>
      </w:r>
      <w:r w:rsidR="008D578A" w:rsidRPr="008D578A">
        <w:rPr>
          <w:vertAlign w:val="superscript"/>
        </w:rPr>
        <w:t>th</w:t>
      </w:r>
      <w:r w:rsidR="008D578A">
        <w:t xml:space="preserve"> </w:t>
      </w:r>
      <w:r>
        <w:t xml:space="preserve"> </w:t>
      </w:r>
      <w:r w:rsidR="009A3275">
        <w:t>December</w:t>
      </w:r>
      <w:r>
        <w:t xml:space="preserve"> 2024 for the PBS item codes corresponding to </w:t>
      </w:r>
      <w:r w:rsidR="008B5C1B" w:rsidRPr="008B5C1B">
        <w:t xml:space="preserve">Anatomical Therapeutic </w:t>
      </w:r>
      <w:r w:rsidR="008B5C1B" w:rsidRPr="008B5C1B">
        <w:lastRenderedPageBreak/>
        <w:t xml:space="preserve">Chemical </w:t>
      </w:r>
      <w:r w:rsidR="008B5C1B">
        <w:t xml:space="preserve">(ATC) </w:t>
      </w:r>
      <w:r w:rsidR="008B5C1B" w:rsidRPr="008B5C1B">
        <w:t>classification code</w:t>
      </w:r>
      <w:r w:rsidR="008B5C1B">
        <w:t>s</w:t>
      </w:r>
      <w:r w:rsidR="008B5C1B" w:rsidRPr="008B5C1B">
        <w:t xml:space="preserve"> R03A and R03B</w:t>
      </w:r>
      <w:r>
        <w:t xml:space="preserve">. PBS prescription data were used to determine the number of prescriptions supplied and the PBS expenditure based on the published list prices. These data were also used to count the number of patients, both incident (new to treatment) and prevalent (number treated in each time period, i.e. year). PBS prescription data also contains age and gender information. This information was used to perform a breakdown of patients by age and gender at initiation of </w:t>
      </w:r>
      <w:r w:rsidR="00130729">
        <w:t>single inhaler triple</w:t>
      </w:r>
      <w:r>
        <w:t xml:space="preserve"> therapy. </w:t>
      </w:r>
    </w:p>
    <w:p w14:paraId="393BD013" w14:textId="35AB25A0" w:rsidR="0036379A" w:rsidRDefault="00107570" w:rsidP="00216587">
      <w:pPr>
        <w:rPr>
          <w:rFonts w:eastAsiaTheme="majorEastAsia" w:cstheme="majorBidi"/>
          <w:b/>
          <w:bCs/>
          <w:sz w:val="32"/>
          <w:szCs w:val="32"/>
        </w:rPr>
      </w:pPr>
      <w:bookmarkStart w:id="0" w:name="_Hlk187317384"/>
      <w:r>
        <w:t xml:space="preserve">The Sankey diagrams have been noted </w:t>
      </w:r>
      <w:r w:rsidR="000B1CAD">
        <w:t>to contain data up to 30</w:t>
      </w:r>
      <w:r w:rsidR="008D578A" w:rsidRPr="008D578A">
        <w:rPr>
          <w:vertAlign w:val="superscript"/>
        </w:rPr>
        <w:t>th</w:t>
      </w:r>
      <w:r w:rsidR="008D578A">
        <w:t xml:space="preserve"> </w:t>
      </w:r>
      <w:r w:rsidR="000B1CAD">
        <w:t>November 2024.</w:t>
      </w:r>
      <w:r w:rsidR="008D578A">
        <w:t xml:space="preserve"> These diagrams were produced by first establishing an initiator pool of patients who started single inhaler triple therapy and extracting the previous PBS history of inhaler use for these patients. Item codes from this history were matched to inhaler type, i.e. fluticasone with salmeterol was matched to ‘ICS/LABA’. Stepwise analysis of a patient’s history </w:t>
      </w:r>
      <w:r w:rsidR="0058506A">
        <w:t xml:space="preserve">as they moved through their asthma treatment journey became cumbersome with increasingly fragmented and individualised possibilities. It was decided to instead note the presence of each class of medicine in a patient’s journey and therefore one prescription of a SABA and one prescription of an ICS would mark that patient as having had a SABA + ICS in their treatment history. </w:t>
      </w:r>
      <w:r w:rsidR="0045487E">
        <w:t xml:space="preserve">Prescriptions utilising item codes with a streamlined authority code for COPD were summed for each patient. As most inhalers are given as six month supplies </w:t>
      </w:r>
      <w:r w:rsidR="00A33981">
        <w:t>then</w:t>
      </w:r>
      <w:r w:rsidR="0045487E">
        <w:t xml:space="preserve"> a sum of more than six in a patient’s history </w:t>
      </w:r>
      <w:r w:rsidR="00A33981">
        <w:t>implies</w:t>
      </w:r>
      <w:r w:rsidR="0045487E">
        <w:t xml:space="preserve"> more than one original prescription from a prescriber was marked specifically for COPD</w:t>
      </w:r>
      <w:r w:rsidR="00A33981">
        <w:t>.</w:t>
      </w:r>
      <w:r w:rsidR="0045487E">
        <w:t xml:space="preserve"> </w:t>
      </w:r>
      <w:r w:rsidR="00A33981">
        <w:t>This was then</w:t>
      </w:r>
      <w:r w:rsidR="0045487E">
        <w:t xml:space="preserve"> used to estimate the potential COPD </w:t>
      </w:r>
      <w:r w:rsidR="00A33981">
        <w:t>population</w:t>
      </w:r>
      <w:r w:rsidR="0045487E">
        <w:t xml:space="preserve">. </w:t>
      </w:r>
      <w:r w:rsidR="0058506A">
        <w:t xml:space="preserve">These pathways were </w:t>
      </w:r>
      <w:r w:rsidR="00A33981">
        <w:t>all</w:t>
      </w:r>
      <w:r w:rsidR="0058506A">
        <w:t xml:space="preserve"> collated and </w:t>
      </w:r>
      <w:r w:rsidR="0045487E">
        <w:t xml:space="preserve">the </w:t>
      </w:r>
      <w:r w:rsidR="00A33981">
        <w:t>‘</w:t>
      </w:r>
      <w:r w:rsidR="0045487E">
        <w:t>networkD3</w:t>
      </w:r>
      <w:r w:rsidR="00A33981">
        <w:t>’</w:t>
      </w:r>
      <w:r w:rsidR="0045487E">
        <w:t xml:space="preserve"> R package was used to create the Sankey diagram. </w:t>
      </w:r>
      <w:bookmarkEnd w:id="0"/>
      <w:r w:rsidR="0036379A">
        <w:br w:type="page"/>
      </w:r>
    </w:p>
    <w:p w14:paraId="4F91A98A" w14:textId="43EEBFAB"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561F4684" w14:textId="22846E3A" w:rsidR="00A35800" w:rsidRDefault="001128FF" w:rsidP="0036379A">
      <w:pPr>
        <w:pStyle w:val="Figurecaption"/>
        <w:rPr>
          <w:rStyle w:val="TabletitleChar"/>
        </w:rPr>
      </w:pPr>
      <w:r>
        <w:rPr>
          <w:noProof/>
        </w:rPr>
        <w:drawing>
          <wp:inline distT="0" distB="0" distL="0" distR="0" wp14:anchorId="2E01F1B7" wp14:editId="365C757D">
            <wp:extent cx="5760000" cy="4320000"/>
            <wp:effectExtent l="0" t="0" r="12700" b="4445"/>
            <wp:docPr id="513959974" name="Chart 1">
              <a:extLst xmlns:a="http://schemas.openxmlformats.org/drawingml/2006/main">
                <a:ext uri="{FF2B5EF4-FFF2-40B4-BE49-F238E27FC236}">
                  <a16:creationId xmlns:a16="http://schemas.microsoft.com/office/drawing/2014/main" id="{0B5DA429-8B79-3023-7B3E-6704A0F97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1353A" w:rsidRPr="00AF60A4">
        <w:rPr>
          <w:rStyle w:val="TabletitleChar"/>
        </w:rPr>
        <w:t xml:space="preserve">Figure 1: </w:t>
      </w:r>
      <w:r w:rsidR="00AF60A4">
        <w:rPr>
          <w:rStyle w:val="TabletitleChar"/>
        </w:rPr>
        <w:t xml:space="preserve">Number of prevalent patients utilising </w:t>
      </w:r>
      <w:r w:rsidR="00807920">
        <w:rPr>
          <w:rStyle w:val="TabletitleChar"/>
        </w:rPr>
        <w:t xml:space="preserve">single inhaler triple therapies and </w:t>
      </w:r>
      <w:r w:rsidR="00851BA2">
        <w:rPr>
          <w:rStyle w:val="TabletitleChar"/>
        </w:rPr>
        <w:t>tiotropium</w:t>
      </w:r>
      <w:r w:rsidR="00807920">
        <w:rPr>
          <w:rStyle w:val="TabletitleChar"/>
        </w:rPr>
        <w:t xml:space="preserve"> for severe asthma</w:t>
      </w:r>
      <w:r w:rsidR="00851BA2">
        <w:rPr>
          <w:rStyle w:val="TabletitleChar"/>
        </w:rPr>
        <w:t>.</w:t>
      </w:r>
    </w:p>
    <w:p w14:paraId="1430ED85" w14:textId="7A0DC437" w:rsidR="0036379A" w:rsidRPr="0036379A" w:rsidRDefault="00190B1E" w:rsidP="0036379A">
      <w:r>
        <w:t xml:space="preserve">Tiotropium </w:t>
      </w:r>
      <w:r w:rsidR="00E67036">
        <w:t>(</w:t>
      </w:r>
      <w:r w:rsidR="001F4CB6">
        <w:t xml:space="preserve">item </w:t>
      </w:r>
      <w:r w:rsidR="00B761A7">
        <w:t xml:space="preserve">code </w:t>
      </w:r>
      <w:r w:rsidR="001F4CB6">
        <w:t>11043F</w:t>
      </w:r>
      <w:r w:rsidR="00E67036">
        <w:t>)</w:t>
      </w:r>
      <w:r w:rsidR="001F4CB6">
        <w:t xml:space="preserve"> </w:t>
      </w:r>
      <w:r w:rsidR="00B761A7">
        <w:t>was listed on the PBS in 2017 for the treatment of severe asthma and</w:t>
      </w:r>
      <w:r w:rsidR="00DD3199">
        <w:t xml:space="preserve"> its utilisation</w:t>
      </w:r>
      <w:r w:rsidR="00B761A7">
        <w:t xml:space="preserve"> was used in </w:t>
      </w:r>
      <w:r w:rsidR="0030246B">
        <w:t xml:space="preserve">establishing the financial estimates for all single inhaler triple therapies which were listed from 2021 onwards. </w:t>
      </w:r>
      <w:r w:rsidR="00EC512F">
        <w:t xml:space="preserve">Figure 1 shows that tiotropium utilisation for severe asthma peaked in 2020 prior to the listing of any </w:t>
      </w:r>
      <w:r w:rsidR="005E2F98">
        <w:t>single inhaler triple therapies</w:t>
      </w:r>
      <w:r w:rsidR="00581633">
        <w:t>.</w:t>
      </w:r>
      <w:r w:rsidR="005E2F98">
        <w:t xml:space="preserve"> </w:t>
      </w:r>
      <w:r w:rsidR="00581633">
        <w:t>H</w:t>
      </w:r>
      <w:r w:rsidR="005E2F98">
        <w:t xml:space="preserve">owever the number of prevalent patients declined substantially upon the listing of FF/VI/UMEC. </w:t>
      </w:r>
      <w:r w:rsidR="008465EF">
        <w:t xml:space="preserve">Both FF/VI/UMEC and BEC/FOR/GLY have increased substantially since listing </w:t>
      </w:r>
      <w:r w:rsidR="00E43DC6">
        <w:t>reaching 56,956 and 39,104 prevalent patients</w:t>
      </w:r>
      <w:r w:rsidR="00914F23">
        <w:t xml:space="preserve"> in 2024</w:t>
      </w:r>
      <w:r w:rsidR="00E43DC6">
        <w:t xml:space="preserve"> </w:t>
      </w:r>
      <w:r w:rsidR="00541293" w:rsidRPr="00541293">
        <w:t>respectively</w:t>
      </w:r>
      <w:r w:rsidR="00E43DC6">
        <w:t xml:space="preserve">, </w:t>
      </w:r>
      <w:r w:rsidR="005468F1">
        <w:t xml:space="preserve">while </w:t>
      </w:r>
      <w:r w:rsidR="00AD64AA">
        <w:t>MF/IND/GLY</w:t>
      </w:r>
      <w:r w:rsidR="00914F23">
        <w:t xml:space="preserve"> has maintained a number of ~2,400 </w:t>
      </w:r>
      <w:r w:rsidR="005E6FAA">
        <w:t xml:space="preserve">per year in 2022-2024. </w:t>
      </w:r>
      <w:r w:rsidR="00AD64AA">
        <w:t xml:space="preserve"> </w:t>
      </w:r>
    </w:p>
    <w:p w14:paraId="3C847ED0" w14:textId="77777777" w:rsidR="00921CCA" w:rsidRDefault="00921CCA" w:rsidP="00FE645A">
      <w:pPr>
        <w:pStyle w:val="Figurecaption"/>
      </w:pPr>
    </w:p>
    <w:p w14:paraId="055B4D5D" w14:textId="77777777" w:rsidR="002B7757" w:rsidRDefault="002B7757" w:rsidP="002B7757"/>
    <w:p w14:paraId="05B78570" w14:textId="039C38DD" w:rsidR="005D1046" w:rsidRDefault="005D1046" w:rsidP="00FE645A">
      <w:pPr>
        <w:pStyle w:val="Figurecaption"/>
      </w:pPr>
      <w:r>
        <w:rPr>
          <w:noProof/>
        </w:rPr>
        <w:lastRenderedPageBreak/>
        <w:drawing>
          <wp:inline distT="0" distB="0" distL="0" distR="0" wp14:anchorId="1B3E2232" wp14:editId="7BD28617">
            <wp:extent cx="5760000" cy="4320000"/>
            <wp:effectExtent l="0" t="0" r="12700" b="4445"/>
            <wp:docPr id="423091307" name="Chart 1">
              <a:extLst xmlns:a="http://schemas.openxmlformats.org/drawingml/2006/main">
                <a:ext uri="{FF2B5EF4-FFF2-40B4-BE49-F238E27FC236}">
                  <a16:creationId xmlns:a16="http://schemas.microsoft.com/office/drawing/2014/main" id="{294792FE-5D0C-0458-3068-5F84674C2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25A6B9" w14:textId="4239A4CA" w:rsidR="000F2A80" w:rsidRDefault="000F2A80" w:rsidP="00FE645A">
      <w:pPr>
        <w:pStyle w:val="Figurecaption"/>
        <w:rPr>
          <w:rStyle w:val="TabletitleChar"/>
        </w:rPr>
      </w:pPr>
      <w:r w:rsidRPr="00AF60A4">
        <w:rPr>
          <w:rStyle w:val="TabletitleChar"/>
        </w:rPr>
        <w:t xml:space="preserve">Figure </w:t>
      </w:r>
      <w:r>
        <w:rPr>
          <w:rStyle w:val="TabletitleChar"/>
        </w:rPr>
        <w:t>2</w:t>
      </w:r>
      <w:r w:rsidRPr="00AF60A4">
        <w:rPr>
          <w:rStyle w:val="TabletitleChar"/>
        </w:rPr>
        <w:t xml:space="preserve">: </w:t>
      </w:r>
      <w:r>
        <w:rPr>
          <w:rStyle w:val="TabletitleChar"/>
        </w:rPr>
        <w:t xml:space="preserve">Number of </w:t>
      </w:r>
      <w:r w:rsidR="00FA318A">
        <w:rPr>
          <w:rStyle w:val="TabletitleChar"/>
        </w:rPr>
        <w:t>initiating</w:t>
      </w:r>
      <w:r>
        <w:rPr>
          <w:rStyle w:val="TabletitleChar"/>
        </w:rPr>
        <w:t xml:space="preserve"> patients utilising single inhaler triple therapies and tiotropium for severe asthma.</w:t>
      </w:r>
    </w:p>
    <w:p w14:paraId="4BE5A9E7" w14:textId="4C2C7906" w:rsidR="00FA318A" w:rsidRDefault="003016ED" w:rsidP="00FA318A">
      <w:r>
        <w:t xml:space="preserve">Figure 2 shows the declining number of initiating patients on tiotropium </w:t>
      </w:r>
      <w:r w:rsidR="000976A7">
        <w:t xml:space="preserve">since listing in 2017 with </w:t>
      </w:r>
      <w:r w:rsidR="00010DDE">
        <w:t xml:space="preserve">14,964 new patients in 2024. </w:t>
      </w:r>
      <w:r w:rsidR="00653A78">
        <w:t xml:space="preserve">The number of initiators on </w:t>
      </w:r>
      <w:r w:rsidR="00010DDE">
        <w:t xml:space="preserve">FF/VI/UMEC </w:t>
      </w:r>
      <w:r w:rsidR="00EE3BED">
        <w:t xml:space="preserve">appears steady with 27,918 and </w:t>
      </w:r>
      <w:r w:rsidR="00AF3453">
        <w:t>27,975 in 2023 and 2024 respectively and appears to have plateaued upon the listing of BEC/FOR/GLY</w:t>
      </w:r>
      <w:r w:rsidR="001D3B5C">
        <w:t xml:space="preserve"> in 2023 which had 26,911 new patients in 2024. MF/IND/GLY </w:t>
      </w:r>
      <w:r w:rsidR="003F205C">
        <w:t>had 697 new patients in 2024</w:t>
      </w:r>
      <w:r w:rsidR="001D3B5C">
        <w:t>.</w:t>
      </w:r>
    </w:p>
    <w:p w14:paraId="717B1D19" w14:textId="74A0A1D5" w:rsidR="005D1046" w:rsidRDefault="005D1046" w:rsidP="00FE645A">
      <w:pPr>
        <w:pStyle w:val="Figurecaption"/>
      </w:pPr>
      <w:r>
        <w:rPr>
          <w:noProof/>
        </w:rPr>
        <w:lastRenderedPageBreak/>
        <w:drawing>
          <wp:inline distT="0" distB="0" distL="0" distR="0" wp14:anchorId="516D6DFA" wp14:editId="339B2DCF">
            <wp:extent cx="5760000" cy="4320000"/>
            <wp:effectExtent l="0" t="0" r="12700" b="4445"/>
            <wp:docPr id="1824951583" name="Chart 1">
              <a:extLst xmlns:a="http://schemas.openxmlformats.org/drawingml/2006/main">
                <a:ext uri="{FF2B5EF4-FFF2-40B4-BE49-F238E27FC236}">
                  <a16:creationId xmlns:a16="http://schemas.microsoft.com/office/drawing/2014/main" id="{2726B99D-A40E-4A61-C3A3-44DAAE315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E39F27" w14:textId="1CCD42B0" w:rsidR="00177BD1" w:rsidRDefault="00177BD1" w:rsidP="00177BD1">
      <w:pPr>
        <w:pStyle w:val="Figurecaption"/>
        <w:rPr>
          <w:rStyle w:val="TabletitleChar"/>
        </w:rPr>
      </w:pPr>
      <w:r w:rsidRPr="00AF60A4">
        <w:rPr>
          <w:rStyle w:val="TabletitleChar"/>
        </w:rPr>
        <w:t xml:space="preserve">Figure </w:t>
      </w:r>
      <w:r>
        <w:rPr>
          <w:rStyle w:val="TabletitleChar"/>
        </w:rPr>
        <w:t>3</w:t>
      </w:r>
      <w:r w:rsidRPr="00AF60A4">
        <w:rPr>
          <w:rStyle w:val="TabletitleChar"/>
        </w:rPr>
        <w:t xml:space="preserve">: </w:t>
      </w:r>
      <w:r>
        <w:rPr>
          <w:rStyle w:val="TabletitleChar"/>
        </w:rPr>
        <w:t>Number of prescriptions of single inhaler triple therapies and tiotropium for severe asthma.</w:t>
      </w:r>
    </w:p>
    <w:p w14:paraId="40C3E96F" w14:textId="1B9C3D1C" w:rsidR="005D1046" w:rsidRDefault="002403D6" w:rsidP="00877CA2">
      <w:r>
        <w:t xml:space="preserve">Figure 3 shows the number of prescriptions of single inhaler triple therapies as well as tiotropium for severe asthma. </w:t>
      </w:r>
      <w:r w:rsidR="00C70F70">
        <w:t>The number of prescriptions for tiotropium has decreased steadily since the listing of the single inhaler triple therapies while</w:t>
      </w:r>
      <w:r w:rsidR="004023E4">
        <w:t xml:space="preserve"> the number of prescriptions for</w:t>
      </w:r>
      <w:r w:rsidR="00C70F70">
        <w:t xml:space="preserve"> FF/VI/UMEC and BEC/FOR/GLY </w:t>
      </w:r>
      <w:r w:rsidR="004023E4">
        <w:t xml:space="preserve">mirrors the trend of prevalent patients and is increasing substantially each year since listing. </w:t>
      </w:r>
    </w:p>
    <w:p w14:paraId="27BD88CE" w14:textId="7BCEA122" w:rsidR="005D1046" w:rsidRPr="00A35800" w:rsidRDefault="005D1046" w:rsidP="00FE645A">
      <w:pPr>
        <w:pStyle w:val="Figurecaption"/>
      </w:pPr>
    </w:p>
    <w:p w14:paraId="5603EBDC" w14:textId="77777777" w:rsidR="0075020C" w:rsidRDefault="0075020C">
      <w:pPr>
        <w:spacing w:line="276" w:lineRule="auto"/>
        <w:rPr>
          <w:b/>
          <w:i/>
          <w:szCs w:val="28"/>
        </w:rPr>
      </w:pPr>
      <w:r>
        <w:br w:type="page"/>
      </w:r>
    </w:p>
    <w:p w14:paraId="5A356748" w14:textId="41A458B5" w:rsidR="00A23FD0" w:rsidRDefault="00736041" w:rsidP="00CF5E22">
      <w:pPr>
        <w:pStyle w:val="Heading3"/>
      </w:pPr>
      <w:r w:rsidRPr="005E22C2">
        <w:lastRenderedPageBreak/>
        <w:t>Utilisation by relevant sub-populations</w:t>
      </w:r>
      <w:r w:rsidR="00DB37A7">
        <w:t xml:space="preserve"> and patient level analysis</w:t>
      </w:r>
    </w:p>
    <w:p w14:paraId="4D2D00FE" w14:textId="260C1B7C" w:rsidR="00A23FD0" w:rsidRDefault="001013F2" w:rsidP="00A23FD0">
      <w:r>
        <w:rPr>
          <w:noProof/>
        </w:rPr>
        <w:drawing>
          <wp:inline distT="0" distB="0" distL="0" distR="0" wp14:anchorId="2396CEFB" wp14:editId="46FD9DA9">
            <wp:extent cx="5734050" cy="6418226"/>
            <wp:effectExtent l="0" t="0" r="0" b="1905"/>
            <wp:docPr id="753136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a:stretch/>
                  </pic:blipFill>
                  <pic:spPr bwMode="auto">
                    <a:xfrm>
                      <a:off x="0" y="0"/>
                      <a:ext cx="5740471" cy="6425413"/>
                    </a:xfrm>
                    <a:prstGeom prst="rect">
                      <a:avLst/>
                    </a:prstGeom>
                    <a:noFill/>
                    <a:ln>
                      <a:noFill/>
                    </a:ln>
                    <a:extLst>
                      <a:ext uri="{53640926-AAD7-44D8-BBD7-CCE9431645EC}">
                        <a14:shadowObscured xmlns:a14="http://schemas.microsoft.com/office/drawing/2010/main"/>
                      </a:ext>
                    </a:extLst>
                  </pic:spPr>
                </pic:pic>
              </a:graphicData>
            </a:graphic>
          </wp:inline>
        </w:drawing>
      </w:r>
    </w:p>
    <w:p w14:paraId="74E8AC75" w14:textId="22F7EBE9" w:rsidR="00D22AB0" w:rsidRDefault="0075020C" w:rsidP="00832FB5">
      <w:pPr>
        <w:pStyle w:val="Figurecaption"/>
        <w:rPr>
          <w:rStyle w:val="TabletitleChar"/>
        </w:rPr>
      </w:pPr>
      <w:r w:rsidRPr="00AF60A4">
        <w:rPr>
          <w:rStyle w:val="TabletitleChar"/>
        </w:rPr>
        <w:t xml:space="preserve">Figure </w:t>
      </w:r>
      <w:r>
        <w:rPr>
          <w:rStyle w:val="TabletitleChar"/>
        </w:rPr>
        <w:t>4</w:t>
      </w:r>
      <w:r w:rsidRPr="00AF60A4">
        <w:rPr>
          <w:rStyle w:val="TabletitleChar"/>
        </w:rPr>
        <w:t xml:space="preserve">: </w:t>
      </w:r>
      <w:r>
        <w:rPr>
          <w:rStyle w:val="TabletitleChar"/>
        </w:rPr>
        <w:t xml:space="preserve">Age range of patients initiating on </w:t>
      </w:r>
      <w:r w:rsidR="00D22AB0">
        <w:rPr>
          <w:rStyle w:val="TabletitleChar"/>
        </w:rPr>
        <w:t>single inhaler triple therapies for severe asthma</w:t>
      </w:r>
      <w:r>
        <w:rPr>
          <w:rStyle w:val="TabletitleChar"/>
        </w:rPr>
        <w:t>.</w:t>
      </w:r>
    </w:p>
    <w:p w14:paraId="0B9B0CAD" w14:textId="0D379258" w:rsidR="0075020C" w:rsidRDefault="00832FB5" w:rsidP="00832FB5">
      <w:r>
        <w:t>Figure 4</w:t>
      </w:r>
      <w:r w:rsidR="000266F2">
        <w:t xml:space="preserve"> shows the initiating ages of patients starting single inhaler triple therapy. </w:t>
      </w:r>
      <w:r w:rsidR="00AA0094">
        <w:t xml:space="preserve">The majority of patients starting single inhaler triple therapies were aged between 60-80 years of age with a peak generally seen at </w:t>
      </w:r>
      <w:r w:rsidR="006A6429">
        <w:t xml:space="preserve">75 years of age for all three therapies. Of the </w:t>
      </w:r>
      <w:r w:rsidR="00DC6173">
        <w:t>~</w:t>
      </w:r>
      <w:r w:rsidR="006B1636">
        <w:t>10</w:t>
      </w:r>
      <w:r w:rsidR="00DC6173">
        <w:t>0</w:t>
      </w:r>
      <w:r w:rsidR="006B1636">
        <w:t xml:space="preserve">,00 people who have initiated a single inhaler triple therapy </w:t>
      </w:r>
      <w:r w:rsidR="00F808B4">
        <w:t>up to 2024</w:t>
      </w:r>
      <w:r w:rsidR="00331B36">
        <w:t>,</w:t>
      </w:r>
      <w:r w:rsidR="00F808B4">
        <w:t xml:space="preserve"> only </w:t>
      </w:r>
      <w:r w:rsidR="00370D9E">
        <w:t>295 were under the age of 18 with the majority of these patients aged between 16-17</w:t>
      </w:r>
      <w:r w:rsidR="002E58EF">
        <w:t xml:space="preserve">. </w:t>
      </w:r>
      <w:r w:rsidR="00BF5182">
        <w:t xml:space="preserve">There were no significant differences </w:t>
      </w:r>
      <w:r w:rsidR="00DF6F54">
        <w:t xml:space="preserve">in distributions when categorised based on gender. </w:t>
      </w:r>
    </w:p>
    <w:p w14:paraId="3B16DE1F" w14:textId="77777777" w:rsidR="00832FB5" w:rsidRDefault="00832FB5">
      <w:pPr>
        <w:spacing w:line="276" w:lineRule="auto"/>
        <w:rPr>
          <w:b/>
          <w:i/>
          <w:szCs w:val="28"/>
        </w:rPr>
      </w:pPr>
    </w:p>
    <w:p w14:paraId="4A453093" w14:textId="7BE22699" w:rsidR="00C2475B" w:rsidRDefault="00201FAD" w:rsidP="00C2475B">
      <w:pPr>
        <w:pStyle w:val="Figurecaption"/>
        <w:rPr>
          <w:rStyle w:val="TabletitleChar"/>
        </w:rPr>
      </w:pPr>
      <w:r w:rsidRPr="00201FAD">
        <w:rPr>
          <w:noProof/>
        </w:rPr>
        <w:drawing>
          <wp:anchor distT="0" distB="0" distL="114300" distR="114300" simplePos="0" relativeHeight="251658240" behindDoc="0" locked="0" layoutInCell="1" allowOverlap="1" wp14:anchorId="186007B6" wp14:editId="154ECAE1">
            <wp:simplePos x="0" y="0"/>
            <wp:positionH relativeFrom="column">
              <wp:posOffset>1270</wp:posOffset>
            </wp:positionH>
            <wp:positionV relativeFrom="paragraph">
              <wp:posOffset>3810</wp:posOffset>
            </wp:positionV>
            <wp:extent cx="5563376" cy="7506748"/>
            <wp:effectExtent l="0" t="0" r="0" b="0"/>
            <wp:wrapSquare wrapText="bothSides"/>
            <wp:docPr id="9157021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02113" name="Picture 1" descr="A screenshot of a computer&#10;&#10;Description automatically generated"/>
                    <pic:cNvPicPr/>
                  </pic:nvPicPr>
                  <pic:blipFill>
                    <a:blip r:embed="rId20"/>
                    <a:stretch>
                      <a:fillRect/>
                    </a:stretch>
                  </pic:blipFill>
                  <pic:spPr>
                    <a:xfrm>
                      <a:off x="0" y="0"/>
                      <a:ext cx="5563376" cy="7506748"/>
                    </a:xfrm>
                    <a:prstGeom prst="rect">
                      <a:avLst/>
                    </a:prstGeom>
                  </pic:spPr>
                </pic:pic>
              </a:graphicData>
            </a:graphic>
            <wp14:sizeRelH relativeFrom="page">
              <wp14:pctWidth>0</wp14:pctWidth>
            </wp14:sizeRelH>
            <wp14:sizeRelV relativeFrom="page">
              <wp14:pctHeight>0</wp14:pctHeight>
            </wp14:sizeRelV>
          </wp:anchor>
        </w:drawing>
      </w:r>
      <w:r w:rsidR="00C2475B" w:rsidRPr="00AF60A4">
        <w:rPr>
          <w:rStyle w:val="TabletitleChar"/>
        </w:rPr>
        <w:t xml:space="preserve">Figure </w:t>
      </w:r>
      <w:r w:rsidR="00C2475B">
        <w:rPr>
          <w:rStyle w:val="TabletitleChar"/>
        </w:rPr>
        <w:t>5</w:t>
      </w:r>
      <w:r w:rsidR="00C2475B" w:rsidRPr="00AF60A4">
        <w:rPr>
          <w:rStyle w:val="TabletitleChar"/>
        </w:rPr>
        <w:t xml:space="preserve">: </w:t>
      </w:r>
      <w:r w:rsidR="008B1850">
        <w:rPr>
          <w:rStyle w:val="TabletitleChar"/>
        </w:rPr>
        <w:t xml:space="preserve">Previous inhaler </w:t>
      </w:r>
      <w:r w:rsidR="000405B1">
        <w:rPr>
          <w:rStyle w:val="TabletitleChar"/>
        </w:rPr>
        <w:t>therapies used by patients initiating on to a single inhaler triple therapy</w:t>
      </w:r>
      <w:r w:rsidR="00A26205">
        <w:rPr>
          <w:rStyle w:val="TabletitleChar"/>
        </w:rPr>
        <w:t xml:space="preserve"> for severe asthma</w:t>
      </w:r>
      <w:r w:rsidR="00C2475B">
        <w:rPr>
          <w:rStyle w:val="TabletitleChar"/>
        </w:rPr>
        <w:t>.</w:t>
      </w:r>
    </w:p>
    <w:p w14:paraId="1ED5ED99" w14:textId="3BD63101" w:rsidR="0071447B" w:rsidRDefault="000405B1" w:rsidP="000405B1">
      <w:r>
        <w:lastRenderedPageBreak/>
        <w:t>Figure 5 shows the pathway th</w:t>
      </w:r>
      <w:r w:rsidR="0058154F">
        <w:t xml:space="preserve">rough previous inhaler therapies that patients have gone through before initiating a single inhaler triple therapy. </w:t>
      </w:r>
      <w:r w:rsidR="007E7231">
        <w:t xml:space="preserve">The majority of the </w:t>
      </w:r>
      <w:r w:rsidR="000A1214">
        <w:t>~</w:t>
      </w:r>
      <w:r w:rsidR="007E7231">
        <w:t>10</w:t>
      </w:r>
      <w:r w:rsidR="000A7133">
        <w:t>0</w:t>
      </w:r>
      <w:r w:rsidR="007E7231">
        <w:t>,00</w:t>
      </w:r>
      <w:r w:rsidR="000A7133">
        <w:t>0</w:t>
      </w:r>
      <w:r w:rsidR="007E7231">
        <w:t xml:space="preserve"> patients who have initiated </w:t>
      </w:r>
      <w:r w:rsidR="00B91042">
        <w:t xml:space="preserve">single inhaler triple therapy have come from a stream which shows </w:t>
      </w:r>
      <w:r w:rsidR="003F6CED">
        <w:t>the utilisation of both an ICS and LABA therapy</w:t>
      </w:r>
      <w:r w:rsidR="009C4BCF">
        <w:t xml:space="preserve"> which is in line with the restrictions for severe asthma. </w:t>
      </w:r>
      <w:r w:rsidR="00573CAE">
        <w:t xml:space="preserve">There is a group of approximately </w:t>
      </w:r>
      <w:r w:rsidR="009F28C6">
        <w:t xml:space="preserve">5,900 patients who have </w:t>
      </w:r>
      <w:r w:rsidR="00C0132C">
        <w:t>no</w:t>
      </w:r>
      <w:r w:rsidR="00FC5FE1">
        <w:t xml:space="preserve"> PBS history of a LABA or ICS and would fall outside of the current restriction. There is also a group of 8,702 patients who</w:t>
      </w:r>
      <w:r w:rsidR="00C16591">
        <w:t xml:space="preserve"> have no previous history of prior therapy and have initiated straight onto triple therapy. </w:t>
      </w:r>
      <w:r w:rsidR="00056D4B">
        <w:t xml:space="preserve">It should be noted that pathways </w:t>
      </w:r>
      <w:r w:rsidR="00DA4738">
        <w:t>with less than 1,000 patients were excluded from Figure 5 to reduce clutter</w:t>
      </w:r>
      <w:r w:rsidR="008538E4">
        <w:t xml:space="preserve">. </w:t>
      </w:r>
    </w:p>
    <w:p w14:paraId="7A91E0D5" w14:textId="77777777" w:rsidR="00C16591" w:rsidRDefault="00C16591" w:rsidP="000405B1"/>
    <w:p w14:paraId="50FFF1BD" w14:textId="2BE3AF4E" w:rsidR="00E20860" w:rsidRDefault="00E20860" w:rsidP="0071447B">
      <w:r w:rsidRPr="00E20860">
        <w:rPr>
          <w:noProof/>
        </w:rPr>
        <w:lastRenderedPageBreak/>
        <w:drawing>
          <wp:inline distT="0" distB="0" distL="0" distR="0" wp14:anchorId="58C90CD7" wp14:editId="43E3820B">
            <wp:extent cx="5506218" cy="7344800"/>
            <wp:effectExtent l="0" t="0" r="0" b="8890"/>
            <wp:docPr id="3500570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57083" name="Picture 1" descr="A screenshot of a computer&#10;&#10;Description automatically generated"/>
                    <pic:cNvPicPr/>
                  </pic:nvPicPr>
                  <pic:blipFill>
                    <a:blip r:embed="rId21"/>
                    <a:stretch>
                      <a:fillRect/>
                    </a:stretch>
                  </pic:blipFill>
                  <pic:spPr>
                    <a:xfrm>
                      <a:off x="0" y="0"/>
                      <a:ext cx="5506218" cy="7344800"/>
                    </a:xfrm>
                    <a:prstGeom prst="rect">
                      <a:avLst/>
                    </a:prstGeom>
                  </pic:spPr>
                </pic:pic>
              </a:graphicData>
            </a:graphic>
          </wp:inline>
        </w:drawing>
      </w:r>
    </w:p>
    <w:p w14:paraId="1B4439B5" w14:textId="2EBDB348" w:rsidR="00C16591" w:rsidRDefault="00C16591" w:rsidP="00C16591">
      <w:pPr>
        <w:pStyle w:val="Figurecaption"/>
        <w:rPr>
          <w:rStyle w:val="TabletitleChar"/>
        </w:rPr>
      </w:pPr>
      <w:r w:rsidRPr="00AF60A4">
        <w:rPr>
          <w:rStyle w:val="TabletitleChar"/>
        </w:rPr>
        <w:t xml:space="preserve">Figure </w:t>
      </w:r>
      <w:r>
        <w:rPr>
          <w:rStyle w:val="TabletitleChar"/>
        </w:rPr>
        <w:t>6</w:t>
      </w:r>
      <w:r w:rsidRPr="00AF60A4">
        <w:rPr>
          <w:rStyle w:val="TabletitleChar"/>
        </w:rPr>
        <w:t xml:space="preserve">: </w:t>
      </w:r>
      <w:r>
        <w:rPr>
          <w:rStyle w:val="TabletitleChar"/>
        </w:rPr>
        <w:t>Previous inhaler therapies used by patients initiating on to a single inhaler triple therapy</w:t>
      </w:r>
      <w:r w:rsidR="00530C90">
        <w:rPr>
          <w:rStyle w:val="TabletitleChar"/>
        </w:rPr>
        <w:t xml:space="preserve"> </w:t>
      </w:r>
      <w:r w:rsidR="00A62805">
        <w:rPr>
          <w:rStyle w:val="TabletitleChar"/>
        </w:rPr>
        <w:t xml:space="preserve">for severe asthma </w:t>
      </w:r>
      <w:r w:rsidR="007B313F">
        <w:rPr>
          <w:rStyle w:val="TabletitleChar"/>
        </w:rPr>
        <w:t xml:space="preserve">and </w:t>
      </w:r>
      <w:r w:rsidR="00530C90">
        <w:rPr>
          <w:rStyle w:val="TabletitleChar"/>
        </w:rPr>
        <w:t xml:space="preserve">including a </w:t>
      </w:r>
      <w:r w:rsidR="00A62805">
        <w:rPr>
          <w:rStyle w:val="TabletitleChar"/>
        </w:rPr>
        <w:t>marker for</w:t>
      </w:r>
      <w:r w:rsidR="007B313F">
        <w:rPr>
          <w:rStyle w:val="TabletitleChar"/>
        </w:rPr>
        <w:t xml:space="preserve"> possible</w:t>
      </w:r>
      <w:r w:rsidR="00A62805">
        <w:rPr>
          <w:rStyle w:val="TabletitleChar"/>
        </w:rPr>
        <w:t xml:space="preserve"> COPD</w:t>
      </w:r>
      <w:r w:rsidR="007B313F">
        <w:rPr>
          <w:rStyle w:val="TabletitleChar"/>
        </w:rPr>
        <w:t xml:space="preserve"> patients</w:t>
      </w:r>
      <w:r>
        <w:rPr>
          <w:rStyle w:val="TabletitleChar"/>
        </w:rPr>
        <w:t>.</w:t>
      </w:r>
    </w:p>
    <w:p w14:paraId="50511926" w14:textId="77777777" w:rsidR="00B036C4" w:rsidRDefault="00B036C4">
      <w:pPr>
        <w:spacing w:line="276" w:lineRule="auto"/>
      </w:pPr>
      <w:r>
        <w:br w:type="page"/>
      </w:r>
    </w:p>
    <w:p w14:paraId="35AF5453" w14:textId="2AD880A3" w:rsidR="00C16591" w:rsidRDefault="00860155" w:rsidP="0071447B">
      <w:r>
        <w:lastRenderedPageBreak/>
        <w:t>Figure 6 is similar to Figure 5 in showing patient pathways</w:t>
      </w:r>
      <w:r w:rsidR="00AB54C8">
        <w:t xml:space="preserve"> to initiating single inhaler triple therapy</w:t>
      </w:r>
      <w:r w:rsidR="00A827A9">
        <w:t>,</w:t>
      </w:r>
      <w:r w:rsidR="00AB54C8">
        <w:t xml:space="preserve"> however it differs to show </w:t>
      </w:r>
      <w:r w:rsidR="00FD26E9">
        <w:t>those</w:t>
      </w:r>
      <w:r w:rsidR="00FD0E4B">
        <w:t xml:space="preserve"> patients</w:t>
      </w:r>
      <w:r w:rsidR="00256AF0">
        <w:t xml:space="preserve"> who may have COPD rather than severe asthma. This estimate</w:t>
      </w:r>
      <w:r w:rsidR="00F311B6">
        <w:t xml:space="preserve"> shows that 29,090 or </w:t>
      </w:r>
      <w:r w:rsidR="008E2BEB">
        <w:t>28%</w:t>
      </w:r>
      <w:r w:rsidR="00F63B90">
        <w:t xml:space="preserve"> of initiators</w:t>
      </w:r>
      <w:r w:rsidR="00FD0E4B">
        <w:t xml:space="preserve"> have had more than six authority prescriptions specifically </w:t>
      </w:r>
      <w:r w:rsidR="0019536B">
        <w:t>using a COPD streamlined authority code in their history.</w:t>
      </w:r>
      <w:r w:rsidR="008538E4">
        <w:t xml:space="preserve"> It should be noted that pathways with less than 500 patients were excluded </w:t>
      </w:r>
      <w:r w:rsidR="00B331D8">
        <w:t>from Figure 6 and is the reason that there is</w:t>
      </w:r>
      <w:r w:rsidR="00951BCE">
        <w:t xml:space="preserve"> </w:t>
      </w:r>
      <w:r w:rsidR="00560049">
        <w:t xml:space="preserve">a </w:t>
      </w:r>
      <w:r w:rsidR="00951BCE">
        <w:t>slightly</w:t>
      </w:r>
      <w:r w:rsidR="00B331D8">
        <w:t xml:space="preserve"> higher number of </w:t>
      </w:r>
      <w:r w:rsidR="00951BCE">
        <w:t xml:space="preserve">patients in total compared to Figure 5. </w:t>
      </w:r>
    </w:p>
    <w:p w14:paraId="306FB154" w14:textId="6D02B46C" w:rsidR="005F05DF" w:rsidRDefault="005F05DF">
      <w:pPr>
        <w:spacing w:line="276" w:lineRule="auto"/>
      </w:pPr>
      <w:r>
        <w:br w:type="page"/>
      </w:r>
    </w:p>
    <w:p w14:paraId="03BBC411" w14:textId="308846A4" w:rsidR="00201FAD" w:rsidRDefault="00AA6634" w:rsidP="0071447B">
      <w:r w:rsidRPr="00AA6634">
        <w:rPr>
          <w:noProof/>
        </w:rPr>
        <w:lastRenderedPageBreak/>
        <w:drawing>
          <wp:inline distT="0" distB="0" distL="0" distR="0" wp14:anchorId="770AD02D" wp14:editId="7FEBC748">
            <wp:extent cx="5496692" cy="7354326"/>
            <wp:effectExtent l="0" t="0" r="8890" b="0"/>
            <wp:docPr id="697258266"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58266" name="Picture 1" descr="A close-up of a computer screen&#10;&#10;Description automatically generated"/>
                    <pic:cNvPicPr/>
                  </pic:nvPicPr>
                  <pic:blipFill>
                    <a:blip r:embed="rId22"/>
                    <a:stretch>
                      <a:fillRect/>
                    </a:stretch>
                  </pic:blipFill>
                  <pic:spPr>
                    <a:xfrm>
                      <a:off x="0" y="0"/>
                      <a:ext cx="5496692" cy="7354326"/>
                    </a:xfrm>
                    <a:prstGeom prst="rect">
                      <a:avLst/>
                    </a:prstGeom>
                  </pic:spPr>
                </pic:pic>
              </a:graphicData>
            </a:graphic>
          </wp:inline>
        </w:drawing>
      </w:r>
    </w:p>
    <w:p w14:paraId="281C0072" w14:textId="5C22E0A4" w:rsidR="0035582C" w:rsidRDefault="0035582C" w:rsidP="0035582C">
      <w:pPr>
        <w:pStyle w:val="Figurecaption"/>
        <w:rPr>
          <w:rStyle w:val="TabletitleChar"/>
        </w:rPr>
      </w:pPr>
      <w:r w:rsidRPr="00AF60A4">
        <w:rPr>
          <w:rStyle w:val="TabletitleChar"/>
        </w:rPr>
        <w:t xml:space="preserve">Figure </w:t>
      </w:r>
      <w:r>
        <w:rPr>
          <w:rStyle w:val="TabletitleChar"/>
        </w:rPr>
        <w:t>7</w:t>
      </w:r>
      <w:r w:rsidRPr="00AF60A4">
        <w:rPr>
          <w:rStyle w:val="TabletitleChar"/>
        </w:rPr>
        <w:t xml:space="preserve">: </w:t>
      </w:r>
      <w:r>
        <w:rPr>
          <w:rStyle w:val="TabletitleChar"/>
        </w:rPr>
        <w:t xml:space="preserve">Previous inhaler therapies used by patients initiating on to a single inhaler triple therapy for severe asthma </w:t>
      </w:r>
      <w:r w:rsidR="00F63046">
        <w:rPr>
          <w:rStyle w:val="TabletitleChar"/>
        </w:rPr>
        <w:t>by single inhaler type</w:t>
      </w:r>
      <w:r>
        <w:rPr>
          <w:rStyle w:val="TabletitleChar"/>
        </w:rPr>
        <w:t>.</w:t>
      </w:r>
    </w:p>
    <w:p w14:paraId="44825650" w14:textId="77777777" w:rsidR="00B036C4" w:rsidRDefault="00B036C4">
      <w:pPr>
        <w:spacing w:line="276" w:lineRule="auto"/>
      </w:pPr>
      <w:r>
        <w:br w:type="page"/>
      </w:r>
    </w:p>
    <w:p w14:paraId="46629D37" w14:textId="4C0DB269" w:rsidR="0035582C" w:rsidRDefault="00D6047A" w:rsidP="0071447B">
      <w:r>
        <w:lastRenderedPageBreak/>
        <w:t>Figure 7 shows the patient pathways of patients be</w:t>
      </w:r>
      <w:r w:rsidR="00D22DC4">
        <w:t xml:space="preserve">ginning single inhaler triple therapy by therapy type. </w:t>
      </w:r>
      <w:r w:rsidR="00652F9B">
        <w:t xml:space="preserve">The majority of patients who started straight onto an single inhaler triple therapy without any history of previous </w:t>
      </w:r>
      <w:r w:rsidR="00FB56B3">
        <w:t xml:space="preserve">inhaler use were </w:t>
      </w:r>
      <w:r w:rsidR="0059015B">
        <w:t xml:space="preserve">started on FF/VI/UMEC or BEC/FOR/GLY. </w:t>
      </w:r>
    </w:p>
    <w:p w14:paraId="1EBA4ADC" w14:textId="77777777" w:rsidR="00F05135" w:rsidRDefault="00F05135" w:rsidP="0071447B"/>
    <w:p w14:paraId="24C9C7E3" w14:textId="56D76191" w:rsidR="00F05135" w:rsidRDefault="00F05135" w:rsidP="0071447B">
      <w:r>
        <w:rPr>
          <w:noProof/>
        </w:rPr>
        <w:drawing>
          <wp:inline distT="0" distB="0" distL="0" distR="0" wp14:anchorId="1FC6DE8E" wp14:editId="29C7B8E3">
            <wp:extent cx="5760000" cy="4320000"/>
            <wp:effectExtent l="0" t="0" r="12700" b="4445"/>
            <wp:docPr id="1205203967" name="Chart 1">
              <a:extLst xmlns:a="http://schemas.openxmlformats.org/drawingml/2006/main">
                <a:ext uri="{FF2B5EF4-FFF2-40B4-BE49-F238E27FC236}">
                  <a16:creationId xmlns:a16="http://schemas.microsoft.com/office/drawing/2014/main" id="{2E37CBD1-0EEB-3049-35E9-1CEFD82F3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062149" w14:textId="4BCA4F5C" w:rsidR="00ED5120" w:rsidRDefault="00ED5120" w:rsidP="00ED5120">
      <w:pPr>
        <w:pStyle w:val="Figurecaption"/>
        <w:rPr>
          <w:rStyle w:val="TabletitleChar"/>
        </w:rPr>
      </w:pPr>
      <w:r w:rsidRPr="00AF60A4">
        <w:rPr>
          <w:rStyle w:val="TabletitleChar"/>
        </w:rPr>
        <w:t xml:space="preserve">Figure </w:t>
      </w:r>
      <w:r>
        <w:rPr>
          <w:rStyle w:val="TabletitleChar"/>
        </w:rPr>
        <w:t>8</w:t>
      </w:r>
      <w:r w:rsidRPr="00AF60A4">
        <w:rPr>
          <w:rStyle w:val="TabletitleChar"/>
        </w:rPr>
        <w:t xml:space="preserve">: </w:t>
      </w:r>
      <w:r w:rsidR="004441C5">
        <w:rPr>
          <w:rStyle w:val="TabletitleChar"/>
        </w:rPr>
        <w:t>Prescriber type of first prescription for a single inhaler triple therapy</w:t>
      </w:r>
      <w:r>
        <w:rPr>
          <w:rStyle w:val="TabletitleChar"/>
        </w:rPr>
        <w:t>.</w:t>
      </w:r>
      <w:r w:rsidR="00932B65">
        <w:rPr>
          <w:rStyle w:val="TabletitleChar"/>
        </w:rPr>
        <w:br/>
      </w:r>
      <w:r w:rsidR="00932B65" w:rsidRPr="000A482E">
        <w:rPr>
          <w:rStyle w:val="TabletitleChar"/>
          <w:b w:val="0"/>
          <w:bCs/>
          <w:sz w:val="18"/>
          <w:szCs w:val="18"/>
        </w:rPr>
        <w:t xml:space="preserve">Note: VRGP – Vocationally Registered General Practitioner, NONVRGP </w:t>
      </w:r>
      <w:r w:rsidR="000A482E" w:rsidRPr="000A482E">
        <w:rPr>
          <w:rStyle w:val="TabletitleChar"/>
          <w:b w:val="0"/>
          <w:bCs/>
          <w:sz w:val="18"/>
          <w:szCs w:val="18"/>
        </w:rPr>
        <w:t>–</w:t>
      </w:r>
      <w:r w:rsidR="00932B65" w:rsidRPr="000A482E">
        <w:rPr>
          <w:rStyle w:val="TabletitleChar"/>
          <w:b w:val="0"/>
          <w:bCs/>
          <w:sz w:val="18"/>
          <w:szCs w:val="18"/>
        </w:rPr>
        <w:t xml:space="preserve"> Non</w:t>
      </w:r>
      <w:r w:rsidR="000A482E" w:rsidRPr="000A482E">
        <w:rPr>
          <w:rStyle w:val="TabletitleChar"/>
          <w:b w:val="0"/>
          <w:bCs/>
          <w:sz w:val="18"/>
          <w:szCs w:val="18"/>
        </w:rPr>
        <w:t>-</w:t>
      </w:r>
      <w:r w:rsidR="00932B65" w:rsidRPr="000A482E">
        <w:rPr>
          <w:rStyle w:val="TabletitleChar"/>
          <w:b w:val="0"/>
          <w:bCs/>
          <w:sz w:val="18"/>
          <w:szCs w:val="18"/>
        </w:rPr>
        <w:t>V</w:t>
      </w:r>
      <w:r w:rsidR="000A482E" w:rsidRPr="000A482E">
        <w:rPr>
          <w:rStyle w:val="TabletitleChar"/>
          <w:b w:val="0"/>
          <w:bCs/>
          <w:sz w:val="18"/>
          <w:szCs w:val="18"/>
        </w:rPr>
        <w:t>ocationally Registered General Practitioner.</w:t>
      </w:r>
    </w:p>
    <w:p w14:paraId="04223A1B" w14:textId="41D686F6" w:rsidR="00ED5120" w:rsidRPr="0071447B" w:rsidRDefault="00B668C4" w:rsidP="0071447B">
      <w:r>
        <w:t xml:space="preserve">Figure 8 shows the </w:t>
      </w:r>
      <w:r w:rsidR="004441C5">
        <w:t xml:space="preserve">prescriber type of the first prescription for patients starting a single inhaler triple therapy. The trend between all three </w:t>
      </w:r>
      <w:r w:rsidR="00B538A7">
        <w:t xml:space="preserve">medicines is similar with the </w:t>
      </w:r>
      <w:r w:rsidR="00CE0E7B">
        <w:t>primary</w:t>
      </w:r>
      <w:r w:rsidR="00B538A7">
        <w:t xml:space="preserve"> prescribers being </w:t>
      </w:r>
      <w:r w:rsidR="00F559EB">
        <w:t xml:space="preserve">general practitioners (non/vocationally registered and trainees) and </w:t>
      </w:r>
      <w:r w:rsidR="006815E9">
        <w:t xml:space="preserve">respiratory physicians. </w:t>
      </w:r>
      <w:r w:rsidR="006727DD">
        <w:t xml:space="preserve">FF/VI/UMEC </w:t>
      </w:r>
      <w:r w:rsidR="007668C1">
        <w:t xml:space="preserve">had a higher proportion of VRGPs prescribing initial prescriptions compared to the other </w:t>
      </w:r>
      <w:r w:rsidR="00CE0E7B">
        <w:t xml:space="preserve">therapies. </w:t>
      </w:r>
    </w:p>
    <w:p w14:paraId="1E029C14" w14:textId="77777777" w:rsidR="00DC05AD" w:rsidRDefault="00DC05AD">
      <w:pPr>
        <w:spacing w:line="276" w:lineRule="auto"/>
        <w:rPr>
          <w:b/>
          <w:sz w:val="28"/>
        </w:rPr>
      </w:pPr>
      <w:r>
        <w:br w:type="page"/>
      </w:r>
    </w:p>
    <w:p w14:paraId="69FDA1C7" w14:textId="648A0585" w:rsidR="002E71F7"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41195B65" w14:textId="2F4637A7" w:rsidR="002E71F7" w:rsidRDefault="00643B7A" w:rsidP="002E71F7">
      <w:r>
        <w:rPr>
          <w:noProof/>
        </w:rPr>
        <w:drawing>
          <wp:inline distT="0" distB="0" distL="0" distR="0" wp14:anchorId="693C98F8" wp14:editId="6C90BE41">
            <wp:extent cx="5968173" cy="6543675"/>
            <wp:effectExtent l="0" t="0" r="0" b="0"/>
            <wp:docPr id="1854396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r="6198"/>
                    <a:stretch/>
                  </pic:blipFill>
                  <pic:spPr bwMode="auto">
                    <a:xfrm>
                      <a:off x="0" y="0"/>
                      <a:ext cx="5972811" cy="6548761"/>
                    </a:xfrm>
                    <a:prstGeom prst="rect">
                      <a:avLst/>
                    </a:prstGeom>
                    <a:noFill/>
                    <a:ln>
                      <a:noFill/>
                    </a:ln>
                    <a:extLst>
                      <a:ext uri="{53640926-AAD7-44D8-BBD7-CCE9431645EC}">
                        <a14:shadowObscured xmlns:a14="http://schemas.microsoft.com/office/drawing/2010/main"/>
                      </a:ext>
                    </a:extLst>
                  </pic:spPr>
                </pic:pic>
              </a:graphicData>
            </a:graphic>
          </wp:inline>
        </w:drawing>
      </w:r>
    </w:p>
    <w:p w14:paraId="1079B14B" w14:textId="3EA992B5" w:rsidR="00DC05AD" w:rsidRDefault="00DC05AD" w:rsidP="00DC05AD">
      <w:pPr>
        <w:pStyle w:val="Figurecaption"/>
        <w:rPr>
          <w:rStyle w:val="TabletitleChar"/>
        </w:rPr>
      </w:pPr>
      <w:r w:rsidRPr="00AF60A4">
        <w:rPr>
          <w:rStyle w:val="TabletitleChar"/>
        </w:rPr>
        <w:t xml:space="preserve">Figure </w:t>
      </w:r>
      <w:r>
        <w:rPr>
          <w:rStyle w:val="TabletitleChar"/>
        </w:rPr>
        <w:t>9</w:t>
      </w:r>
      <w:r w:rsidRPr="00AF60A4">
        <w:rPr>
          <w:rStyle w:val="TabletitleChar"/>
        </w:rPr>
        <w:t xml:space="preserve">: </w:t>
      </w:r>
      <w:r w:rsidR="0002490C">
        <w:rPr>
          <w:rStyle w:val="TabletitleChar"/>
        </w:rPr>
        <w:t xml:space="preserve">Cost to government </w:t>
      </w:r>
      <w:r w:rsidR="00A76CC0">
        <w:rPr>
          <w:rStyle w:val="TabletitleChar"/>
        </w:rPr>
        <w:t xml:space="preserve">for all inhaler therapies </w:t>
      </w:r>
      <w:r w:rsidR="00E249D2">
        <w:rPr>
          <w:rStyle w:val="TabletitleChar"/>
        </w:rPr>
        <w:t>(Anatomical Therapeutic C</w:t>
      </w:r>
      <w:r w:rsidR="000778E3">
        <w:rPr>
          <w:rStyle w:val="TabletitleChar"/>
        </w:rPr>
        <w:t xml:space="preserve">hemical </w:t>
      </w:r>
      <w:r w:rsidR="00664FDD">
        <w:rPr>
          <w:rStyle w:val="TabletitleChar"/>
        </w:rPr>
        <w:t xml:space="preserve">classification </w:t>
      </w:r>
      <w:r w:rsidR="000778E3">
        <w:rPr>
          <w:rStyle w:val="TabletitleChar"/>
        </w:rPr>
        <w:t>code</w:t>
      </w:r>
      <w:r w:rsidR="00E249D2">
        <w:rPr>
          <w:rStyle w:val="TabletitleChar"/>
        </w:rPr>
        <w:t xml:space="preserve"> </w:t>
      </w:r>
      <w:r w:rsidR="000A0C0F">
        <w:rPr>
          <w:rStyle w:val="TabletitleChar"/>
        </w:rPr>
        <w:t>R03A and R03B)</w:t>
      </w:r>
      <w:r w:rsidR="000778E3">
        <w:rPr>
          <w:rStyle w:val="TabletitleChar"/>
        </w:rPr>
        <w:t xml:space="preserve"> excluding nebulised preparations</w:t>
      </w:r>
      <w:r>
        <w:rPr>
          <w:rStyle w:val="TabletitleChar"/>
        </w:rPr>
        <w:t>.</w:t>
      </w:r>
    </w:p>
    <w:p w14:paraId="2A837704" w14:textId="0322BC18" w:rsidR="002D44E6" w:rsidRDefault="006E3B46" w:rsidP="002E71F7">
      <w:r>
        <w:t xml:space="preserve">Figure 9 shows that the cost to government of all inhaler therapies </w:t>
      </w:r>
      <w:r w:rsidR="00584A9C">
        <w:t>has remained steady over the last six years at around $600 million per year</w:t>
      </w:r>
      <w:r w:rsidR="002C7268">
        <w:t xml:space="preserve">. </w:t>
      </w:r>
      <w:r w:rsidR="00CF4AA0">
        <w:t>There</w:t>
      </w:r>
      <w:r w:rsidR="00E962F6">
        <w:t xml:space="preserve"> has been substantial changes within the different classes of medications that make up the market </w:t>
      </w:r>
      <w:r w:rsidR="00CF4AA0">
        <w:t xml:space="preserve">despite the </w:t>
      </w:r>
      <w:r w:rsidR="00503C76">
        <w:t xml:space="preserve">steady overall cost to government. Over the last six years there has been a significant reduction in the costs of </w:t>
      </w:r>
      <w:r w:rsidR="000F4541">
        <w:t>ICS/LABA preparations which have reduced by</w:t>
      </w:r>
      <w:r w:rsidR="00ED69E1">
        <w:t xml:space="preserve"> $6.5 million dollars per year to </w:t>
      </w:r>
      <w:r w:rsidR="00FD0B0C">
        <w:t xml:space="preserve">$168 million from $207 million. A larger reduction has been seen in the LAMA </w:t>
      </w:r>
      <w:r w:rsidR="00E53F10">
        <w:t xml:space="preserve">market with </w:t>
      </w:r>
      <w:r w:rsidR="00E53F10">
        <w:lastRenderedPageBreak/>
        <w:t xml:space="preserve">a $22.5 million dollar reduction per year from $250 million to $115 million. </w:t>
      </w:r>
      <w:r w:rsidR="0035656E">
        <w:t>The</w:t>
      </w:r>
      <w:r w:rsidR="00726393">
        <w:t xml:space="preserve"> i</w:t>
      </w:r>
      <w:r w:rsidR="008C6C82">
        <w:t xml:space="preserve">ncrease in the SABA market accounts for a small proportion of the decreases in the other markets with a </w:t>
      </w:r>
      <w:r w:rsidR="00F469D2">
        <w:t xml:space="preserve">$5.5 million per year growth rate while the ICS/LABA/LAMA market accounts for a larger proportion with a </w:t>
      </w:r>
      <w:r w:rsidR="007C2C07">
        <w:t xml:space="preserve">$18.1 million growth rate per year. </w:t>
      </w:r>
      <w:r w:rsidR="00E962F6">
        <w:t xml:space="preserve"> </w:t>
      </w:r>
    </w:p>
    <w:p w14:paraId="6696A71A" w14:textId="77777777" w:rsidR="002D44E6" w:rsidRDefault="002D44E6">
      <w:pPr>
        <w:spacing w:line="276" w:lineRule="auto"/>
      </w:pPr>
      <w:r>
        <w:br w:type="page"/>
      </w:r>
    </w:p>
    <w:p w14:paraId="17C437CC" w14:textId="6A436EB4" w:rsidR="00643B7A" w:rsidRDefault="00831F5A" w:rsidP="002E71F7">
      <w:r>
        <w:rPr>
          <w:noProof/>
        </w:rPr>
        <w:lastRenderedPageBreak/>
        <w:drawing>
          <wp:inline distT="0" distB="0" distL="0" distR="0" wp14:anchorId="00A95BD8" wp14:editId="31216C45">
            <wp:extent cx="5686425" cy="6581775"/>
            <wp:effectExtent l="0" t="0" r="9525" b="9525"/>
            <wp:docPr id="1020003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6425" cy="6581775"/>
                    </a:xfrm>
                    <a:prstGeom prst="rect">
                      <a:avLst/>
                    </a:prstGeom>
                    <a:noFill/>
                    <a:ln>
                      <a:noFill/>
                    </a:ln>
                  </pic:spPr>
                </pic:pic>
              </a:graphicData>
            </a:graphic>
          </wp:inline>
        </w:drawing>
      </w:r>
    </w:p>
    <w:p w14:paraId="2CA5BAB8" w14:textId="26FDB0A1" w:rsidR="003C700E" w:rsidRDefault="003C700E" w:rsidP="003C700E">
      <w:pPr>
        <w:pStyle w:val="Figurecaption"/>
        <w:rPr>
          <w:rStyle w:val="TabletitleChar"/>
        </w:rPr>
      </w:pPr>
      <w:r w:rsidRPr="00AF60A4">
        <w:rPr>
          <w:rStyle w:val="TabletitleChar"/>
        </w:rPr>
        <w:t xml:space="preserve">Figure </w:t>
      </w:r>
      <w:r>
        <w:rPr>
          <w:rStyle w:val="TabletitleChar"/>
        </w:rPr>
        <w:t>10</w:t>
      </w:r>
      <w:r w:rsidRPr="00AF60A4">
        <w:rPr>
          <w:rStyle w:val="TabletitleChar"/>
        </w:rPr>
        <w:t xml:space="preserve">: </w:t>
      </w:r>
      <w:r>
        <w:rPr>
          <w:rStyle w:val="TabletitleChar"/>
        </w:rPr>
        <w:t>Cost to government for all inhaler therapies (Anatomical Therapeutic Chemical classification code R03A and R03B) excluding nebulised preparations</w:t>
      </w:r>
      <w:r w:rsidR="002D44E6">
        <w:rPr>
          <w:rStyle w:val="TabletitleChar"/>
        </w:rPr>
        <w:t xml:space="preserve"> for Authority </w:t>
      </w:r>
      <w:r w:rsidR="00AB6F4C">
        <w:rPr>
          <w:rStyle w:val="TabletitleChar"/>
        </w:rPr>
        <w:t>Required</w:t>
      </w:r>
      <w:r w:rsidR="002D44E6">
        <w:rPr>
          <w:rStyle w:val="TabletitleChar"/>
        </w:rPr>
        <w:t xml:space="preserve"> </w:t>
      </w:r>
      <w:r w:rsidR="00A0291C">
        <w:rPr>
          <w:rStyle w:val="TabletitleChar"/>
        </w:rPr>
        <w:t xml:space="preserve">(STREAMLINED) </w:t>
      </w:r>
      <w:r w:rsidR="000150B0">
        <w:rPr>
          <w:rStyle w:val="TabletitleChar"/>
        </w:rPr>
        <w:t>PBS restrictions</w:t>
      </w:r>
      <w:r>
        <w:rPr>
          <w:rStyle w:val="TabletitleChar"/>
        </w:rPr>
        <w:t>.</w:t>
      </w:r>
      <w:r w:rsidR="00B56629">
        <w:rPr>
          <w:rStyle w:val="TabletitleChar"/>
        </w:rPr>
        <w:t xml:space="preserve"> Total</w:t>
      </w:r>
      <w:r w:rsidR="00517816">
        <w:rPr>
          <w:rStyle w:val="TabletitleChar"/>
        </w:rPr>
        <w:t xml:space="preserve"> cost to government</w:t>
      </w:r>
      <w:r w:rsidR="00B56629">
        <w:rPr>
          <w:rStyle w:val="TabletitleChar"/>
        </w:rPr>
        <w:t xml:space="preserve"> in 2024</w:t>
      </w:r>
      <w:r w:rsidR="00517816">
        <w:rPr>
          <w:rStyle w:val="TabletitleChar"/>
        </w:rPr>
        <w:t xml:space="preserve"> are given </w:t>
      </w:r>
      <w:r w:rsidR="00B56629">
        <w:rPr>
          <w:rStyle w:val="TabletitleChar"/>
        </w:rPr>
        <w:t xml:space="preserve">on the right and categorised based on </w:t>
      </w:r>
      <w:r w:rsidR="00B32E57">
        <w:rPr>
          <w:rStyle w:val="TabletitleChar"/>
        </w:rPr>
        <w:t xml:space="preserve">therapy type with each shade in a given section representing </w:t>
      </w:r>
      <w:r w:rsidR="003C14FC">
        <w:rPr>
          <w:rStyle w:val="TabletitleChar"/>
        </w:rPr>
        <w:t xml:space="preserve">the cost </w:t>
      </w:r>
      <w:r w:rsidR="009C2DE6">
        <w:rPr>
          <w:rStyle w:val="TabletitleChar"/>
        </w:rPr>
        <w:t xml:space="preserve">estimated to be </w:t>
      </w:r>
      <w:r w:rsidR="003C14FC">
        <w:rPr>
          <w:rStyle w:val="TabletitleChar"/>
        </w:rPr>
        <w:t>attributed to either COPD or asthma restriction code</w:t>
      </w:r>
      <w:r w:rsidR="008348B6">
        <w:rPr>
          <w:rStyle w:val="TabletitleChar"/>
        </w:rPr>
        <w:t>s</w:t>
      </w:r>
      <w:r w:rsidR="00D84B54">
        <w:rPr>
          <w:rStyle w:val="TabletitleChar"/>
        </w:rPr>
        <w:t>.</w:t>
      </w:r>
      <w:r w:rsidR="00B56629">
        <w:rPr>
          <w:rStyle w:val="TabletitleChar"/>
        </w:rPr>
        <w:t xml:space="preserve"> </w:t>
      </w:r>
      <w:r w:rsidR="00815B62">
        <w:rPr>
          <w:rStyle w:val="TabletitleChar"/>
        </w:rPr>
        <w:br/>
      </w:r>
      <w:r w:rsidR="00815B62" w:rsidRPr="00F81168">
        <w:rPr>
          <w:rStyle w:val="TabletitleChar"/>
          <w:b w:val="0"/>
          <w:bCs/>
          <w:sz w:val="18"/>
          <w:szCs w:val="18"/>
        </w:rPr>
        <w:t xml:space="preserve">Note: The data for this graph </w:t>
      </w:r>
      <w:r w:rsidR="004E2F58">
        <w:rPr>
          <w:rStyle w:val="TabletitleChar"/>
          <w:b w:val="0"/>
          <w:bCs/>
          <w:sz w:val="18"/>
          <w:szCs w:val="18"/>
        </w:rPr>
        <w:t xml:space="preserve">was extracted based on matching </w:t>
      </w:r>
      <w:r w:rsidR="0009567F">
        <w:rPr>
          <w:rStyle w:val="TabletitleChar"/>
          <w:b w:val="0"/>
          <w:bCs/>
          <w:sz w:val="18"/>
          <w:szCs w:val="18"/>
        </w:rPr>
        <w:t xml:space="preserve">Item codes and </w:t>
      </w:r>
      <w:r w:rsidR="00F05981">
        <w:rPr>
          <w:rStyle w:val="TabletitleChar"/>
          <w:b w:val="0"/>
          <w:bCs/>
          <w:sz w:val="18"/>
          <w:szCs w:val="18"/>
        </w:rPr>
        <w:t>Streamlined authority codes with prescription</w:t>
      </w:r>
      <w:r w:rsidR="00CD28FE">
        <w:rPr>
          <w:rStyle w:val="TabletitleChar"/>
          <w:b w:val="0"/>
          <w:bCs/>
          <w:sz w:val="18"/>
          <w:szCs w:val="18"/>
        </w:rPr>
        <w:t xml:space="preserve"> data, it therefore </w:t>
      </w:r>
      <w:r w:rsidR="00815B62" w:rsidRPr="00F81168">
        <w:rPr>
          <w:rStyle w:val="TabletitleChar"/>
          <w:b w:val="0"/>
          <w:bCs/>
          <w:sz w:val="18"/>
          <w:szCs w:val="18"/>
        </w:rPr>
        <w:t xml:space="preserve">consists </w:t>
      </w:r>
      <w:r w:rsidR="00F813BD">
        <w:rPr>
          <w:rStyle w:val="TabletitleChar"/>
          <w:b w:val="0"/>
          <w:bCs/>
          <w:sz w:val="18"/>
          <w:szCs w:val="18"/>
        </w:rPr>
        <w:t>primarily</w:t>
      </w:r>
      <w:r w:rsidR="009E17F0" w:rsidRPr="00F81168">
        <w:rPr>
          <w:rStyle w:val="TabletitleChar"/>
          <w:b w:val="0"/>
          <w:bCs/>
          <w:sz w:val="18"/>
          <w:szCs w:val="18"/>
        </w:rPr>
        <w:t xml:space="preserve"> </w:t>
      </w:r>
      <w:r w:rsidR="00815B62" w:rsidRPr="00F81168">
        <w:rPr>
          <w:rStyle w:val="TabletitleChar"/>
          <w:b w:val="0"/>
          <w:bCs/>
          <w:sz w:val="18"/>
          <w:szCs w:val="18"/>
        </w:rPr>
        <w:t xml:space="preserve">of </w:t>
      </w:r>
      <w:r w:rsidR="009E17F0" w:rsidRPr="00F81168">
        <w:rPr>
          <w:rStyle w:val="TabletitleChar"/>
          <w:b w:val="0"/>
          <w:bCs/>
          <w:sz w:val="18"/>
          <w:szCs w:val="18"/>
        </w:rPr>
        <w:t xml:space="preserve">Authority Required (STREAMLINED) prescriptions </w:t>
      </w:r>
      <w:r w:rsidR="00CD28FE">
        <w:rPr>
          <w:rStyle w:val="TabletitleChar"/>
          <w:b w:val="0"/>
          <w:bCs/>
          <w:sz w:val="18"/>
          <w:szCs w:val="18"/>
        </w:rPr>
        <w:t xml:space="preserve">and should be considered </w:t>
      </w:r>
      <w:r w:rsidR="00DC5E85">
        <w:rPr>
          <w:rStyle w:val="TabletitleChar"/>
          <w:b w:val="0"/>
          <w:bCs/>
          <w:sz w:val="18"/>
          <w:szCs w:val="18"/>
        </w:rPr>
        <w:t>less accurate</w:t>
      </w:r>
      <w:r w:rsidR="00F81168" w:rsidRPr="00F81168">
        <w:rPr>
          <w:rStyle w:val="TabletitleChar"/>
          <w:b w:val="0"/>
          <w:bCs/>
          <w:sz w:val="18"/>
          <w:szCs w:val="18"/>
        </w:rPr>
        <w:t xml:space="preserve"> when compared to Figure 9</w:t>
      </w:r>
      <w:r w:rsidR="00DE4346" w:rsidRPr="00F81168">
        <w:rPr>
          <w:rStyle w:val="TabletitleChar"/>
          <w:b w:val="0"/>
          <w:bCs/>
          <w:sz w:val="18"/>
          <w:szCs w:val="18"/>
        </w:rPr>
        <w:t>.</w:t>
      </w:r>
      <w:r w:rsidR="00C501B7" w:rsidRPr="00C501B7">
        <w:rPr>
          <w:rStyle w:val="TabletitleChar"/>
          <w:sz w:val="18"/>
          <w:szCs w:val="18"/>
        </w:rPr>
        <w:t xml:space="preserve"> </w:t>
      </w:r>
    </w:p>
    <w:p w14:paraId="14AF31A1" w14:textId="77777777" w:rsidR="00D84B54" w:rsidRDefault="00D84B54" w:rsidP="002E71F7"/>
    <w:p w14:paraId="171F73AF" w14:textId="61B59C61" w:rsidR="003C700E" w:rsidRDefault="00CB2EB8" w:rsidP="002E71F7">
      <w:r>
        <w:lastRenderedPageBreak/>
        <w:t xml:space="preserve">Figure 10 shows the cost to government </w:t>
      </w:r>
      <w:r w:rsidR="004E1FE2">
        <w:t>for all inhaler therapies</w:t>
      </w:r>
      <w:r w:rsidR="00404CFF">
        <w:t xml:space="preserve"> (excluding nebulised</w:t>
      </w:r>
      <w:r w:rsidR="0009567F">
        <w:t xml:space="preserve"> medications)</w:t>
      </w:r>
      <w:r w:rsidR="004E1FE2">
        <w:t xml:space="preserve"> which are currently listed on the PBS and </w:t>
      </w:r>
      <w:r w:rsidR="00815B62">
        <w:t>have</w:t>
      </w:r>
      <w:r w:rsidR="004E1FE2">
        <w:t xml:space="preserve"> an Authority Required (STREAMLINED) </w:t>
      </w:r>
      <w:r w:rsidR="00815B62">
        <w:t xml:space="preserve">restriction. </w:t>
      </w:r>
      <w:r w:rsidR="00D949BD">
        <w:t xml:space="preserve">The proportion of the ICS/LABA market attributable to </w:t>
      </w:r>
      <w:r w:rsidR="00DE3433">
        <w:t>COPD</w:t>
      </w:r>
      <w:r w:rsidR="00D930D1">
        <w:t xml:space="preserve"> prescriptions</w:t>
      </w:r>
      <w:r w:rsidR="00DE3433">
        <w:t xml:space="preserve"> has remained steady at approximately 15% per year</w:t>
      </w:r>
      <w:r w:rsidR="00173FA8">
        <w:t xml:space="preserve"> with </w:t>
      </w:r>
      <w:r w:rsidR="00F70A86">
        <w:t>$25</w:t>
      </w:r>
      <w:r w:rsidR="005B7F38">
        <w:t xml:space="preserve"> million in 2024</w:t>
      </w:r>
      <w:r w:rsidR="00DE3433">
        <w:t xml:space="preserve"> while </w:t>
      </w:r>
      <w:r w:rsidR="00D930D1">
        <w:t xml:space="preserve">the remaining 85% is from </w:t>
      </w:r>
      <w:r w:rsidR="00DE3433">
        <w:t>asthma</w:t>
      </w:r>
      <w:r w:rsidR="00D930D1">
        <w:t xml:space="preserve"> prescriptions</w:t>
      </w:r>
      <w:r w:rsidR="005B7F38">
        <w:t xml:space="preserve"> at $143 million in 2024</w:t>
      </w:r>
      <w:r w:rsidR="00D930D1">
        <w:t>.</w:t>
      </w:r>
      <w:r w:rsidR="005B7F38">
        <w:t xml:space="preserve"> </w:t>
      </w:r>
      <w:r w:rsidR="00F53CFA">
        <w:t xml:space="preserve">With the listing of ICS/LABA/LAMA </w:t>
      </w:r>
      <w:r w:rsidR="000C6B68">
        <w:t>for severe asthma the proportion of cost attributable to COPD has been reducing</w:t>
      </w:r>
      <w:r w:rsidR="00320D3A">
        <w:t>. In 2024 the cost attributable to COPD prescriptions was 65% of the total $116 million</w:t>
      </w:r>
      <w:r w:rsidR="008006E6">
        <w:t xml:space="preserve"> at</w:t>
      </w:r>
      <w:r w:rsidR="00320D3A">
        <w:t xml:space="preserve"> </w:t>
      </w:r>
      <w:r w:rsidR="008006E6">
        <w:t xml:space="preserve">$75.4 million and for asthma this was 35% of the total at </w:t>
      </w:r>
      <w:r w:rsidR="00E94034">
        <w:t xml:space="preserve">$40.6 million. </w:t>
      </w:r>
      <w:r w:rsidR="00173FA8">
        <w:t xml:space="preserve"> </w:t>
      </w:r>
      <w:r w:rsidR="00DE3433">
        <w:t xml:space="preserve"> </w:t>
      </w:r>
    </w:p>
    <w:p w14:paraId="135EEE21" w14:textId="77777777" w:rsidR="003C700E" w:rsidRPr="002E71F7" w:rsidRDefault="003C700E" w:rsidP="002E71F7"/>
    <w:p w14:paraId="03ECBBA4" w14:textId="611FAC1E" w:rsidR="002F7BB7" w:rsidRDefault="00521F45" w:rsidP="00F73113">
      <w:pPr>
        <w:pStyle w:val="Heading2"/>
      </w:pPr>
      <w:r>
        <w:rPr>
          <w:noProof/>
        </w:rPr>
        <w:drawing>
          <wp:inline distT="0" distB="0" distL="0" distR="0" wp14:anchorId="171ADF15" wp14:editId="004A2EF6">
            <wp:extent cx="5687695" cy="3554966"/>
            <wp:effectExtent l="0" t="0" r="8255" b="7620"/>
            <wp:docPr id="206894612" name="Chart 1">
              <a:extLst xmlns:a="http://schemas.openxmlformats.org/drawingml/2006/main">
                <a:ext uri="{FF2B5EF4-FFF2-40B4-BE49-F238E27FC236}">
                  <a16:creationId xmlns:a16="http://schemas.microsoft.com/office/drawing/2014/main" id="{B4FF9669-0E57-12DB-3D17-F7163B04F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139ADC3" w14:textId="11526439" w:rsidR="002F7BB7" w:rsidRPr="00700D0B" w:rsidRDefault="00E94034" w:rsidP="00700D0B">
      <w:pPr>
        <w:rPr>
          <w:b/>
        </w:rPr>
      </w:pPr>
      <w:r w:rsidRPr="00AF60A4">
        <w:rPr>
          <w:rStyle w:val="TabletitleChar"/>
        </w:rPr>
        <w:t xml:space="preserve">Figure </w:t>
      </w:r>
      <w:r>
        <w:rPr>
          <w:rStyle w:val="TabletitleChar"/>
        </w:rPr>
        <w:t>11</w:t>
      </w:r>
      <w:r w:rsidRPr="00AF60A4">
        <w:rPr>
          <w:rStyle w:val="TabletitleChar"/>
        </w:rPr>
        <w:t xml:space="preserve">: </w:t>
      </w:r>
      <w:r>
        <w:rPr>
          <w:rStyle w:val="TabletitleChar"/>
        </w:rPr>
        <w:t>Cost to government for all single inhaler triple therap</w:t>
      </w:r>
      <w:r w:rsidR="009D2978">
        <w:rPr>
          <w:rStyle w:val="TabletitleChar"/>
        </w:rPr>
        <w:t>ies for severe asthma.</w:t>
      </w:r>
    </w:p>
    <w:p w14:paraId="03C51EBD" w14:textId="77A72C09" w:rsidR="009C7249" w:rsidRDefault="00EE580E" w:rsidP="000B0931">
      <w:pPr>
        <w:rPr>
          <w:b/>
          <w:sz w:val="28"/>
        </w:rPr>
      </w:pPr>
      <w:r>
        <w:t xml:space="preserve">Figure 11 shows the cost to government for all single inhaler triple therapies for severe asthma and </w:t>
      </w:r>
      <w:r w:rsidR="002F1AA8">
        <w:t xml:space="preserve">shows the growth of the market from $5 million in 2022 to $40 million in 2024. </w:t>
      </w:r>
      <w:r w:rsidR="001F1663">
        <w:t>The majority of the cost in 2024 is associated with FF/VI/UMEC at $26.7 million while BEC/FOR/GLY</w:t>
      </w:r>
      <w:r w:rsidR="00156A35">
        <w:t xml:space="preserve"> made up $12.5 million and the remaining $1 million </w:t>
      </w:r>
      <w:r w:rsidR="006536D9">
        <w:t xml:space="preserve">was MF/IND/GLY. </w:t>
      </w:r>
      <w:r w:rsidR="009C7249">
        <w:br w:type="page"/>
      </w:r>
    </w:p>
    <w:p w14:paraId="5F22B4D8" w14:textId="1C1243F0"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295C1AA" w14:textId="4F85E353" w:rsidR="00601F7B" w:rsidRPr="001B5E01" w:rsidRDefault="00601F7B" w:rsidP="00601F7B">
      <w:pPr>
        <w:pStyle w:val="Tabletitle"/>
      </w:pPr>
      <w:r>
        <w:t xml:space="preserve">Table </w:t>
      </w:r>
      <w:r w:rsidR="000B0931">
        <w:t>3</w:t>
      </w:r>
      <w:r>
        <w:t>: Actual versus predicted utilisation and cost to the PBS/RPBS of FF/VI/UMEC for severe asthma.</w:t>
      </w:r>
    </w:p>
    <w:tbl>
      <w:tblPr>
        <w:tblStyle w:val="TableGrid"/>
        <w:tblW w:w="0" w:type="auto"/>
        <w:tblLook w:val="04A0" w:firstRow="1" w:lastRow="0" w:firstColumn="1" w:lastColumn="0" w:noHBand="0" w:noVBand="1"/>
      </w:tblPr>
      <w:tblGrid>
        <w:gridCol w:w="1299"/>
        <w:gridCol w:w="1130"/>
        <w:gridCol w:w="1559"/>
        <w:gridCol w:w="1560"/>
        <w:gridCol w:w="1559"/>
      </w:tblGrid>
      <w:tr w:rsidR="0083444A" w14:paraId="39DF4395" w14:textId="77777777" w:rsidTr="00B45E66">
        <w:tc>
          <w:tcPr>
            <w:tcW w:w="2429" w:type="dxa"/>
            <w:gridSpan w:val="2"/>
            <w:vMerge w:val="restart"/>
            <w:shd w:val="clear" w:color="auto" w:fill="BFBFBF" w:themeFill="background1" w:themeFillShade="BF"/>
          </w:tcPr>
          <w:p w14:paraId="251F895B" w14:textId="77777777" w:rsidR="0083444A" w:rsidRDefault="0083444A" w:rsidP="000F208D">
            <w:pPr>
              <w:pStyle w:val="Tablewriting"/>
            </w:pPr>
          </w:p>
        </w:tc>
        <w:tc>
          <w:tcPr>
            <w:tcW w:w="1559" w:type="dxa"/>
            <w:shd w:val="clear" w:color="auto" w:fill="BFBFBF" w:themeFill="background1" w:themeFillShade="BF"/>
          </w:tcPr>
          <w:p w14:paraId="45E523C7" w14:textId="77777777" w:rsidR="0083444A" w:rsidRPr="00A63CC6" w:rsidRDefault="0083444A" w:rsidP="000F208D">
            <w:pPr>
              <w:pStyle w:val="Tablewriting"/>
              <w:rPr>
                <w:b/>
                <w:bCs/>
              </w:rPr>
            </w:pPr>
            <w:r w:rsidRPr="00A63CC6">
              <w:rPr>
                <w:b/>
                <w:bCs/>
              </w:rPr>
              <w:t>Year 1</w:t>
            </w:r>
          </w:p>
        </w:tc>
        <w:tc>
          <w:tcPr>
            <w:tcW w:w="1560" w:type="dxa"/>
            <w:shd w:val="clear" w:color="auto" w:fill="BFBFBF" w:themeFill="background1" w:themeFillShade="BF"/>
          </w:tcPr>
          <w:p w14:paraId="029A5A38" w14:textId="77777777" w:rsidR="0083444A" w:rsidRPr="00A63CC6" w:rsidRDefault="0083444A" w:rsidP="000F208D">
            <w:pPr>
              <w:pStyle w:val="Tablewriting"/>
              <w:rPr>
                <w:b/>
                <w:bCs/>
              </w:rPr>
            </w:pPr>
            <w:r w:rsidRPr="00A63CC6">
              <w:rPr>
                <w:b/>
                <w:bCs/>
              </w:rPr>
              <w:t>Year 2</w:t>
            </w:r>
          </w:p>
        </w:tc>
        <w:tc>
          <w:tcPr>
            <w:tcW w:w="1559" w:type="dxa"/>
            <w:shd w:val="clear" w:color="auto" w:fill="BFBFBF" w:themeFill="background1" w:themeFillShade="BF"/>
          </w:tcPr>
          <w:p w14:paraId="7683D069" w14:textId="77777777" w:rsidR="0083444A" w:rsidRPr="00A63CC6" w:rsidRDefault="0083444A" w:rsidP="000F208D">
            <w:pPr>
              <w:pStyle w:val="Tablewriting"/>
              <w:rPr>
                <w:b/>
                <w:bCs/>
              </w:rPr>
            </w:pPr>
            <w:r w:rsidRPr="00A63CC6">
              <w:rPr>
                <w:b/>
                <w:bCs/>
              </w:rPr>
              <w:t>Year 3</w:t>
            </w:r>
          </w:p>
        </w:tc>
      </w:tr>
      <w:tr w:rsidR="0083444A" w14:paraId="4D6E68DE" w14:textId="77777777" w:rsidTr="00B45E66">
        <w:tc>
          <w:tcPr>
            <w:tcW w:w="2429" w:type="dxa"/>
            <w:gridSpan w:val="2"/>
            <w:vMerge/>
            <w:shd w:val="clear" w:color="auto" w:fill="BFBFBF" w:themeFill="background1" w:themeFillShade="BF"/>
          </w:tcPr>
          <w:p w14:paraId="45308A37" w14:textId="77777777" w:rsidR="0083444A" w:rsidRDefault="0083444A" w:rsidP="000F208D">
            <w:pPr>
              <w:pStyle w:val="Tablewriting"/>
            </w:pPr>
          </w:p>
        </w:tc>
        <w:tc>
          <w:tcPr>
            <w:tcW w:w="1559" w:type="dxa"/>
            <w:shd w:val="clear" w:color="auto" w:fill="BFBFBF" w:themeFill="background1" w:themeFillShade="BF"/>
          </w:tcPr>
          <w:p w14:paraId="723326B6" w14:textId="07090C26" w:rsidR="0083444A" w:rsidRPr="00A63CC6" w:rsidRDefault="0083444A" w:rsidP="000F208D">
            <w:pPr>
              <w:pStyle w:val="Tablewriting"/>
              <w:rPr>
                <w:b/>
                <w:bCs/>
              </w:rPr>
            </w:pPr>
            <w:r w:rsidRPr="00A63CC6">
              <w:rPr>
                <w:b/>
                <w:bCs/>
              </w:rPr>
              <w:t>1</w:t>
            </w:r>
            <w:r w:rsidRPr="00A63CC6">
              <w:rPr>
                <w:b/>
                <w:bCs/>
                <w:vertAlign w:val="superscript"/>
              </w:rPr>
              <w:t>st</w:t>
            </w:r>
            <w:r w:rsidRPr="00A63CC6">
              <w:rPr>
                <w:b/>
                <w:bCs/>
              </w:rPr>
              <w:t xml:space="preserve"> </w:t>
            </w:r>
            <w:r>
              <w:rPr>
                <w:b/>
                <w:bCs/>
              </w:rPr>
              <w:t>April</w:t>
            </w:r>
            <w:r w:rsidRPr="00A63CC6">
              <w:rPr>
                <w:b/>
                <w:bCs/>
              </w:rPr>
              <w:t xml:space="preserve"> 202</w:t>
            </w:r>
            <w:r>
              <w:rPr>
                <w:b/>
                <w:bCs/>
              </w:rPr>
              <w:t>2</w:t>
            </w:r>
            <w:r w:rsidRPr="00A63CC6">
              <w:rPr>
                <w:b/>
                <w:bCs/>
              </w:rPr>
              <w:t xml:space="preserve"> to 3</w:t>
            </w:r>
            <w:r>
              <w:rPr>
                <w:b/>
                <w:bCs/>
              </w:rPr>
              <w:t>1</w:t>
            </w:r>
            <w:r w:rsidRPr="00A63CC6">
              <w:rPr>
                <w:b/>
                <w:bCs/>
                <w:vertAlign w:val="superscript"/>
              </w:rPr>
              <w:t>th</w:t>
            </w:r>
            <w:r w:rsidRPr="00A63CC6">
              <w:rPr>
                <w:b/>
                <w:bCs/>
              </w:rPr>
              <w:t xml:space="preserve"> </w:t>
            </w:r>
            <w:r>
              <w:rPr>
                <w:b/>
                <w:bCs/>
              </w:rPr>
              <w:t>March</w:t>
            </w:r>
            <w:r w:rsidRPr="00A63CC6">
              <w:rPr>
                <w:b/>
                <w:bCs/>
              </w:rPr>
              <w:t xml:space="preserve"> 202</w:t>
            </w:r>
            <w:r>
              <w:rPr>
                <w:b/>
                <w:bCs/>
              </w:rPr>
              <w:t>3</w:t>
            </w:r>
          </w:p>
        </w:tc>
        <w:tc>
          <w:tcPr>
            <w:tcW w:w="1560" w:type="dxa"/>
            <w:shd w:val="clear" w:color="auto" w:fill="BFBFBF" w:themeFill="background1" w:themeFillShade="BF"/>
          </w:tcPr>
          <w:p w14:paraId="2F60FFF1" w14:textId="0D722E28" w:rsidR="0083444A" w:rsidRPr="00A63CC6" w:rsidRDefault="0083444A" w:rsidP="000F208D">
            <w:pPr>
              <w:pStyle w:val="Tablewriting"/>
              <w:rPr>
                <w:b/>
                <w:bCs/>
              </w:rPr>
            </w:pPr>
            <w:r w:rsidRPr="00A63CC6">
              <w:rPr>
                <w:b/>
                <w:bCs/>
              </w:rPr>
              <w:t>1</w:t>
            </w:r>
            <w:r w:rsidRPr="00A63CC6">
              <w:rPr>
                <w:b/>
                <w:bCs/>
                <w:vertAlign w:val="superscript"/>
              </w:rPr>
              <w:t>st</w:t>
            </w:r>
            <w:r w:rsidRPr="00A63CC6">
              <w:rPr>
                <w:b/>
                <w:bCs/>
              </w:rPr>
              <w:t xml:space="preserve"> </w:t>
            </w:r>
            <w:r>
              <w:rPr>
                <w:b/>
                <w:bCs/>
              </w:rPr>
              <w:t>April</w:t>
            </w:r>
            <w:r w:rsidRPr="00A63CC6">
              <w:rPr>
                <w:b/>
                <w:bCs/>
              </w:rPr>
              <w:t xml:space="preserve"> 202</w:t>
            </w:r>
            <w:r>
              <w:rPr>
                <w:b/>
                <w:bCs/>
              </w:rPr>
              <w:t>3</w:t>
            </w:r>
            <w:r w:rsidRPr="00A63CC6">
              <w:rPr>
                <w:b/>
                <w:bCs/>
              </w:rPr>
              <w:t xml:space="preserve"> to 3</w:t>
            </w:r>
            <w:r>
              <w:rPr>
                <w:b/>
                <w:bCs/>
              </w:rPr>
              <w:t>1</w:t>
            </w:r>
            <w:r w:rsidRPr="00A63CC6">
              <w:rPr>
                <w:b/>
                <w:bCs/>
                <w:vertAlign w:val="superscript"/>
              </w:rPr>
              <w:t>th</w:t>
            </w:r>
            <w:r w:rsidRPr="00A63CC6">
              <w:rPr>
                <w:b/>
                <w:bCs/>
              </w:rPr>
              <w:t xml:space="preserve"> </w:t>
            </w:r>
            <w:r>
              <w:rPr>
                <w:b/>
                <w:bCs/>
              </w:rPr>
              <w:t>March</w:t>
            </w:r>
            <w:r w:rsidRPr="00A63CC6">
              <w:rPr>
                <w:b/>
                <w:bCs/>
              </w:rPr>
              <w:t xml:space="preserve"> 202</w:t>
            </w:r>
            <w:r>
              <w:rPr>
                <w:b/>
                <w:bCs/>
              </w:rPr>
              <w:t>4</w:t>
            </w:r>
          </w:p>
        </w:tc>
        <w:tc>
          <w:tcPr>
            <w:tcW w:w="1559" w:type="dxa"/>
            <w:shd w:val="clear" w:color="auto" w:fill="BFBFBF" w:themeFill="background1" w:themeFillShade="BF"/>
          </w:tcPr>
          <w:p w14:paraId="374782B7" w14:textId="63085019" w:rsidR="0083444A" w:rsidRPr="00A63CC6" w:rsidRDefault="0083444A" w:rsidP="000F208D">
            <w:pPr>
              <w:pStyle w:val="Tablewriting"/>
              <w:rPr>
                <w:b/>
                <w:bCs/>
              </w:rPr>
            </w:pPr>
            <w:r w:rsidRPr="00A63CC6">
              <w:rPr>
                <w:b/>
                <w:bCs/>
              </w:rPr>
              <w:t>1</w:t>
            </w:r>
            <w:r w:rsidRPr="00A63CC6">
              <w:rPr>
                <w:b/>
                <w:bCs/>
                <w:vertAlign w:val="superscript"/>
              </w:rPr>
              <w:t>st</w:t>
            </w:r>
            <w:r w:rsidRPr="00A63CC6">
              <w:rPr>
                <w:b/>
                <w:bCs/>
              </w:rPr>
              <w:t xml:space="preserve"> </w:t>
            </w:r>
            <w:r>
              <w:rPr>
                <w:b/>
                <w:bCs/>
              </w:rPr>
              <w:t>April</w:t>
            </w:r>
            <w:r w:rsidRPr="00A63CC6">
              <w:rPr>
                <w:b/>
                <w:bCs/>
              </w:rPr>
              <w:t xml:space="preserve"> 202</w:t>
            </w:r>
            <w:r>
              <w:rPr>
                <w:b/>
                <w:bCs/>
              </w:rPr>
              <w:t>4</w:t>
            </w:r>
            <w:r w:rsidRPr="00A63CC6">
              <w:rPr>
                <w:b/>
                <w:bCs/>
              </w:rPr>
              <w:t xml:space="preserve"> to 3</w:t>
            </w:r>
            <w:r>
              <w:rPr>
                <w:b/>
                <w:bCs/>
              </w:rPr>
              <w:t>1</w:t>
            </w:r>
            <w:r w:rsidRPr="00A63CC6">
              <w:rPr>
                <w:b/>
                <w:bCs/>
                <w:vertAlign w:val="superscript"/>
              </w:rPr>
              <w:t>th</w:t>
            </w:r>
            <w:r w:rsidRPr="00A63CC6">
              <w:rPr>
                <w:b/>
                <w:bCs/>
              </w:rPr>
              <w:t xml:space="preserve"> </w:t>
            </w:r>
            <w:r>
              <w:rPr>
                <w:b/>
                <w:bCs/>
              </w:rPr>
              <w:t>March</w:t>
            </w:r>
            <w:r w:rsidRPr="00A63CC6">
              <w:rPr>
                <w:b/>
                <w:bCs/>
              </w:rPr>
              <w:t xml:space="preserve"> 202</w:t>
            </w:r>
            <w:r>
              <w:rPr>
                <w:b/>
                <w:bCs/>
              </w:rPr>
              <w:t>5</w:t>
            </w:r>
            <w:r w:rsidRPr="00A63CC6">
              <w:rPr>
                <w:b/>
                <w:bCs/>
              </w:rPr>
              <w:t>*</w:t>
            </w:r>
          </w:p>
        </w:tc>
      </w:tr>
      <w:tr w:rsidR="00B758E0" w14:paraId="7E894DA0" w14:textId="77777777" w:rsidTr="000704B6">
        <w:tc>
          <w:tcPr>
            <w:tcW w:w="1299" w:type="dxa"/>
            <w:vAlign w:val="center"/>
          </w:tcPr>
          <w:p w14:paraId="526F9533" w14:textId="435642D4" w:rsidR="00B758E0" w:rsidRPr="00A63CC6" w:rsidRDefault="00B758E0" w:rsidP="00B758E0">
            <w:pPr>
              <w:pStyle w:val="Tablewriting"/>
              <w:rPr>
                <w:b/>
                <w:bCs/>
              </w:rPr>
            </w:pPr>
            <w:r>
              <w:rPr>
                <w:rFonts w:ascii="Calibri" w:hAnsi="Calibri"/>
                <w:b/>
                <w:bCs/>
              </w:rPr>
              <w:t>Patients</w:t>
            </w:r>
          </w:p>
        </w:tc>
        <w:tc>
          <w:tcPr>
            <w:tcW w:w="1130" w:type="dxa"/>
            <w:vAlign w:val="center"/>
          </w:tcPr>
          <w:p w14:paraId="1DBBB147" w14:textId="6619D1EB" w:rsidR="00B758E0" w:rsidRPr="00A63CC6" w:rsidRDefault="00B758E0" w:rsidP="00B758E0">
            <w:pPr>
              <w:pStyle w:val="Tablewriting"/>
              <w:rPr>
                <w:b/>
                <w:bCs/>
              </w:rPr>
            </w:pPr>
            <w:r>
              <w:rPr>
                <w:rFonts w:ascii="Calibri" w:hAnsi="Calibri"/>
                <w:b/>
                <w:bCs/>
              </w:rPr>
              <w:t>Actual</w:t>
            </w:r>
          </w:p>
        </w:tc>
        <w:tc>
          <w:tcPr>
            <w:tcW w:w="1559" w:type="dxa"/>
            <w:vAlign w:val="center"/>
          </w:tcPr>
          <w:p w14:paraId="448CABE9" w14:textId="4818DE7A" w:rsidR="00B758E0" w:rsidRDefault="00B758E0" w:rsidP="00B758E0">
            <w:pPr>
              <w:pStyle w:val="Tablewriting"/>
            </w:pPr>
            <w:r>
              <w:rPr>
                <w:rFonts w:ascii="Calibri" w:hAnsi="Calibri"/>
              </w:rPr>
              <w:t>24,910</w:t>
            </w:r>
          </w:p>
        </w:tc>
        <w:tc>
          <w:tcPr>
            <w:tcW w:w="1560" w:type="dxa"/>
            <w:vAlign w:val="center"/>
          </w:tcPr>
          <w:p w14:paraId="63ABEF8C" w14:textId="2DFD1D04" w:rsidR="00B758E0" w:rsidRDefault="00B758E0" w:rsidP="00B758E0">
            <w:pPr>
              <w:pStyle w:val="Tablewriting"/>
            </w:pPr>
            <w:r>
              <w:rPr>
                <w:rFonts w:ascii="Calibri" w:hAnsi="Calibri"/>
              </w:rPr>
              <w:t>45,108</w:t>
            </w:r>
          </w:p>
        </w:tc>
        <w:tc>
          <w:tcPr>
            <w:tcW w:w="1559" w:type="dxa"/>
            <w:vAlign w:val="center"/>
          </w:tcPr>
          <w:p w14:paraId="5611A8E5" w14:textId="097CAE94" w:rsidR="00B758E0" w:rsidRDefault="00B758E0" w:rsidP="00B758E0">
            <w:pPr>
              <w:pStyle w:val="Tablewriting"/>
            </w:pPr>
            <w:r>
              <w:rPr>
                <w:rFonts w:ascii="Calibri" w:hAnsi="Calibri"/>
              </w:rPr>
              <w:t>53,224</w:t>
            </w:r>
          </w:p>
        </w:tc>
      </w:tr>
      <w:tr w:rsidR="00B758E0" w14:paraId="42654D63" w14:textId="77777777" w:rsidTr="000704B6">
        <w:tc>
          <w:tcPr>
            <w:tcW w:w="1299" w:type="dxa"/>
            <w:vMerge w:val="restart"/>
            <w:vAlign w:val="center"/>
          </w:tcPr>
          <w:p w14:paraId="456C8741" w14:textId="7754223E" w:rsidR="00B758E0" w:rsidRPr="00A63CC6" w:rsidRDefault="00B758E0" w:rsidP="00B758E0">
            <w:pPr>
              <w:pStyle w:val="Tablewriting"/>
              <w:rPr>
                <w:b/>
                <w:bCs/>
              </w:rPr>
            </w:pPr>
            <w:r>
              <w:rPr>
                <w:rFonts w:ascii="Calibri" w:hAnsi="Calibri"/>
                <w:b/>
                <w:bCs/>
              </w:rPr>
              <w:t>Prescriptions</w:t>
            </w:r>
          </w:p>
        </w:tc>
        <w:tc>
          <w:tcPr>
            <w:tcW w:w="1130" w:type="dxa"/>
            <w:vAlign w:val="center"/>
          </w:tcPr>
          <w:p w14:paraId="6F8D9304" w14:textId="6B04E0BB" w:rsidR="00B758E0" w:rsidRPr="00A63CC6" w:rsidRDefault="00B758E0" w:rsidP="00B758E0">
            <w:pPr>
              <w:pStyle w:val="Tablewriting"/>
              <w:rPr>
                <w:b/>
                <w:bCs/>
              </w:rPr>
            </w:pPr>
            <w:r>
              <w:rPr>
                <w:rFonts w:ascii="Calibri" w:hAnsi="Calibri"/>
                <w:b/>
                <w:bCs/>
              </w:rPr>
              <w:t>Predicted</w:t>
            </w:r>
          </w:p>
        </w:tc>
        <w:tc>
          <w:tcPr>
            <w:tcW w:w="1559" w:type="dxa"/>
            <w:vAlign w:val="center"/>
          </w:tcPr>
          <w:p w14:paraId="254DE875" w14:textId="34609B59" w:rsidR="00B758E0" w:rsidRPr="00C866CE" w:rsidRDefault="0016105B" w:rsidP="00B758E0">
            <w:pPr>
              <w:pStyle w:val="Tablewriting"/>
              <w:rPr>
                <w:highlight w:val="yellow"/>
              </w:rPr>
            </w:pPr>
            <w:r w:rsidRPr="002E1275">
              <w:rPr>
                <w:highlight w:val="black"/>
              </w:rPr>
              <w:t>XXXXXX</w:t>
            </w:r>
          </w:p>
        </w:tc>
        <w:tc>
          <w:tcPr>
            <w:tcW w:w="1560" w:type="dxa"/>
            <w:vAlign w:val="center"/>
          </w:tcPr>
          <w:p w14:paraId="38DB887A" w14:textId="75C4F9D2" w:rsidR="00B758E0" w:rsidRPr="00C866CE" w:rsidRDefault="0016105B" w:rsidP="00B758E0">
            <w:pPr>
              <w:pStyle w:val="Tablewriting"/>
              <w:rPr>
                <w:highlight w:val="yellow"/>
              </w:rPr>
            </w:pPr>
            <w:r w:rsidRPr="002E1275">
              <w:rPr>
                <w:highlight w:val="black"/>
              </w:rPr>
              <w:t>XXXXXX</w:t>
            </w:r>
          </w:p>
        </w:tc>
        <w:tc>
          <w:tcPr>
            <w:tcW w:w="1559" w:type="dxa"/>
            <w:vAlign w:val="center"/>
          </w:tcPr>
          <w:p w14:paraId="590F7E18" w14:textId="5118D36C" w:rsidR="00B758E0" w:rsidRPr="00C866CE" w:rsidRDefault="0016105B" w:rsidP="00B758E0">
            <w:pPr>
              <w:pStyle w:val="Tablewriting"/>
              <w:rPr>
                <w:highlight w:val="yellow"/>
              </w:rPr>
            </w:pPr>
            <w:r w:rsidRPr="002E1275">
              <w:rPr>
                <w:highlight w:val="black"/>
              </w:rPr>
              <w:t>XXXXXX</w:t>
            </w:r>
          </w:p>
        </w:tc>
      </w:tr>
      <w:tr w:rsidR="00B758E0" w14:paraId="410A3CEF" w14:textId="77777777" w:rsidTr="000704B6">
        <w:tc>
          <w:tcPr>
            <w:tcW w:w="1299" w:type="dxa"/>
            <w:vMerge/>
            <w:vAlign w:val="center"/>
          </w:tcPr>
          <w:p w14:paraId="4356B3AB" w14:textId="77777777" w:rsidR="00B758E0" w:rsidRPr="00A63CC6" w:rsidRDefault="00B758E0" w:rsidP="00B758E0">
            <w:pPr>
              <w:pStyle w:val="Tablewriting"/>
              <w:rPr>
                <w:b/>
                <w:bCs/>
              </w:rPr>
            </w:pPr>
          </w:p>
        </w:tc>
        <w:tc>
          <w:tcPr>
            <w:tcW w:w="1130" w:type="dxa"/>
            <w:vAlign w:val="center"/>
          </w:tcPr>
          <w:p w14:paraId="703785C1" w14:textId="7A213195" w:rsidR="00B758E0" w:rsidRPr="00A63CC6" w:rsidRDefault="00B758E0" w:rsidP="00B758E0">
            <w:pPr>
              <w:pStyle w:val="Tablewriting"/>
              <w:rPr>
                <w:b/>
                <w:bCs/>
              </w:rPr>
            </w:pPr>
            <w:r>
              <w:rPr>
                <w:rFonts w:ascii="Calibri" w:hAnsi="Calibri"/>
                <w:b/>
                <w:bCs/>
              </w:rPr>
              <w:t>Actual</w:t>
            </w:r>
          </w:p>
        </w:tc>
        <w:tc>
          <w:tcPr>
            <w:tcW w:w="1559" w:type="dxa"/>
            <w:vAlign w:val="center"/>
          </w:tcPr>
          <w:p w14:paraId="1D1326C4" w14:textId="277E8441" w:rsidR="00B758E0" w:rsidRDefault="00B758E0" w:rsidP="00B758E0">
            <w:pPr>
              <w:pStyle w:val="Tablewriting"/>
            </w:pPr>
            <w:r>
              <w:rPr>
                <w:rFonts w:ascii="Calibri" w:hAnsi="Calibri"/>
              </w:rPr>
              <w:t>97,287</w:t>
            </w:r>
          </w:p>
        </w:tc>
        <w:tc>
          <w:tcPr>
            <w:tcW w:w="1560" w:type="dxa"/>
            <w:vAlign w:val="center"/>
          </w:tcPr>
          <w:p w14:paraId="02C2E52E" w14:textId="2FAF7389" w:rsidR="00B758E0" w:rsidRDefault="00B758E0" w:rsidP="00B758E0">
            <w:pPr>
              <w:pStyle w:val="Tablewriting"/>
            </w:pPr>
            <w:r>
              <w:rPr>
                <w:rFonts w:ascii="Calibri" w:hAnsi="Calibri"/>
              </w:rPr>
              <w:t>241,271</w:t>
            </w:r>
          </w:p>
        </w:tc>
        <w:tc>
          <w:tcPr>
            <w:tcW w:w="1559" w:type="dxa"/>
            <w:vAlign w:val="center"/>
          </w:tcPr>
          <w:p w14:paraId="09DEBD20" w14:textId="2B875191" w:rsidR="00B758E0" w:rsidRDefault="00B758E0" w:rsidP="00B758E0">
            <w:pPr>
              <w:pStyle w:val="Tablewriting"/>
            </w:pPr>
            <w:r>
              <w:rPr>
                <w:rFonts w:ascii="Calibri" w:hAnsi="Calibri"/>
              </w:rPr>
              <w:t>259,547</w:t>
            </w:r>
          </w:p>
        </w:tc>
      </w:tr>
      <w:tr w:rsidR="00B758E0" w14:paraId="0389E0F4" w14:textId="77777777" w:rsidTr="000704B6">
        <w:tc>
          <w:tcPr>
            <w:tcW w:w="1299" w:type="dxa"/>
            <w:vMerge/>
            <w:vAlign w:val="center"/>
          </w:tcPr>
          <w:p w14:paraId="40D07229" w14:textId="77777777" w:rsidR="00B758E0" w:rsidRPr="00A63CC6" w:rsidRDefault="00B758E0" w:rsidP="00B758E0">
            <w:pPr>
              <w:pStyle w:val="Tablewriting"/>
              <w:rPr>
                <w:b/>
                <w:bCs/>
              </w:rPr>
            </w:pPr>
          </w:p>
        </w:tc>
        <w:tc>
          <w:tcPr>
            <w:tcW w:w="1130" w:type="dxa"/>
            <w:vAlign w:val="center"/>
          </w:tcPr>
          <w:p w14:paraId="17B8552E" w14:textId="1AE4FFF0" w:rsidR="00B758E0" w:rsidRPr="00A63CC6" w:rsidRDefault="00B758E0" w:rsidP="00B758E0">
            <w:pPr>
              <w:pStyle w:val="Tablewriting"/>
              <w:rPr>
                <w:b/>
                <w:bCs/>
              </w:rPr>
            </w:pPr>
            <w:r>
              <w:rPr>
                <w:rFonts w:ascii="Calibri" w:hAnsi="Calibri"/>
                <w:b/>
                <w:bCs/>
              </w:rPr>
              <w:t>Difference</w:t>
            </w:r>
          </w:p>
        </w:tc>
        <w:tc>
          <w:tcPr>
            <w:tcW w:w="1559" w:type="dxa"/>
            <w:vAlign w:val="center"/>
          </w:tcPr>
          <w:p w14:paraId="15A887BA" w14:textId="115F1332" w:rsidR="00B758E0" w:rsidRPr="00C866CE" w:rsidRDefault="0016105B" w:rsidP="00B758E0">
            <w:pPr>
              <w:pStyle w:val="Tablewriting"/>
              <w:rPr>
                <w:highlight w:val="yellow"/>
              </w:rPr>
            </w:pPr>
            <w:r w:rsidRPr="002E1275">
              <w:rPr>
                <w:highlight w:val="black"/>
              </w:rPr>
              <w:t>XXX</w:t>
            </w:r>
          </w:p>
        </w:tc>
        <w:tc>
          <w:tcPr>
            <w:tcW w:w="1560" w:type="dxa"/>
            <w:vAlign w:val="center"/>
          </w:tcPr>
          <w:p w14:paraId="7D6B9F04" w14:textId="69BE24B0" w:rsidR="00B758E0" w:rsidRPr="00C866CE" w:rsidRDefault="0016105B" w:rsidP="00B758E0">
            <w:pPr>
              <w:pStyle w:val="Tablewriting"/>
              <w:rPr>
                <w:highlight w:val="yellow"/>
              </w:rPr>
            </w:pPr>
            <w:r w:rsidRPr="002E1275">
              <w:rPr>
                <w:highlight w:val="black"/>
              </w:rPr>
              <w:t>XXX</w:t>
            </w:r>
          </w:p>
        </w:tc>
        <w:tc>
          <w:tcPr>
            <w:tcW w:w="1559" w:type="dxa"/>
            <w:vAlign w:val="center"/>
          </w:tcPr>
          <w:p w14:paraId="24C0625A" w14:textId="766F61CF" w:rsidR="00B758E0" w:rsidRDefault="00B758E0" w:rsidP="00B758E0">
            <w:pPr>
              <w:pStyle w:val="Tablewriting"/>
            </w:pPr>
            <w:r>
              <w:rPr>
                <w:rFonts w:ascii="Calibri" w:hAnsi="Calibri"/>
              </w:rPr>
              <w:t>NA</w:t>
            </w:r>
          </w:p>
        </w:tc>
      </w:tr>
      <w:tr w:rsidR="00B758E0" w14:paraId="3A0BB580" w14:textId="77777777" w:rsidTr="000704B6">
        <w:tc>
          <w:tcPr>
            <w:tcW w:w="1299" w:type="dxa"/>
            <w:vMerge w:val="restart"/>
            <w:vAlign w:val="center"/>
          </w:tcPr>
          <w:p w14:paraId="5B87A457" w14:textId="162DE61B" w:rsidR="00B758E0" w:rsidRPr="00A63CC6" w:rsidRDefault="00B758E0" w:rsidP="00B758E0">
            <w:pPr>
              <w:pStyle w:val="Tablewriting"/>
              <w:rPr>
                <w:b/>
                <w:bCs/>
              </w:rPr>
            </w:pPr>
            <w:r>
              <w:rPr>
                <w:rFonts w:ascii="Calibri" w:hAnsi="Calibri"/>
                <w:b/>
                <w:bCs/>
              </w:rPr>
              <w:t>Net Cost PBS/RPBS</w:t>
            </w:r>
          </w:p>
        </w:tc>
        <w:tc>
          <w:tcPr>
            <w:tcW w:w="1130" w:type="dxa"/>
            <w:vAlign w:val="center"/>
          </w:tcPr>
          <w:p w14:paraId="7DB8842E" w14:textId="526A662F" w:rsidR="00B758E0" w:rsidRPr="00A63CC6" w:rsidRDefault="00B758E0" w:rsidP="00B758E0">
            <w:pPr>
              <w:pStyle w:val="Tablewriting"/>
              <w:rPr>
                <w:b/>
                <w:bCs/>
              </w:rPr>
            </w:pPr>
            <w:r>
              <w:rPr>
                <w:rFonts w:ascii="Calibri" w:hAnsi="Calibri"/>
                <w:b/>
                <w:bCs/>
              </w:rPr>
              <w:t>Predicted</w:t>
            </w:r>
          </w:p>
        </w:tc>
        <w:tc>
          <w:tcPr>
            <w:tcW w:w="1559" w:type="dxa"/>
            <w:vAlign w:val="center"/>
          </w:tcPr>
          <w:p w14:paraId="2AB3CC1A" w14:textId="24407E7D" w:rsidR="00B758E0" w:rsidRPr="00C866CE" w:rsidRDefault="0016105B" w:rsidP="00B758E0">
            <w:pPr>
              <w:pStyle w:val="Tablewriting"/>
              <w:rPr>
                <w:highlight w:val="yellow"/>
              </w:rPr>
            </w:pPr>
            <w:r w:rsidRPr="002E1275">
              <w:rPr>
                <w:highlight w:val="black"/>
              </w:rPr>
              <w:t>XXXXXXXXX</w:t>
            </w:r>
          </w:p>
        </w:tc>
        <w:tc>
          <w:tcPr>
            <w:tcW w:w="1560" w:type="dxa"/>
            <w:vAlign w:val="center"/>
          </w:tcPr>
          <w:p w14:paraId="4EA9D0CB" w14:textId="2F434980" w:rsidR="00B758E0" w:rsidRPr="00C866CE" w:rsidRDefault="0016105B" w:rsidP="00B758E0">
            <w:pPr>
              <w:pStyle w:val="Tablewriting"/>
              <w:rPr>
                <w:highlight w:val="yellow"/>
              </w:rPr>
            </w:pPr>
            <w:r w:rsidRPr="002E1275">
              <w:rPr>
                <w:highlight w:val="black"/>
              </w:rPr>
              <w:t>XXXXXXXXX</w:t>
            </w:r>
          </w:p>
        </w:tc>
        <w:tc>
          <w:tcPr>
            <w:tcW w:w="1559" w:type="dxa"/>
            <w:vAlign w:val="center"/>
          </w:tcPr>
          <w:p w14:paraId="63BBE34C" w14:textId="3A70D01A" w:rsidR="00B758E0" w:rsidRPr="00C866CE" w:rsidRDefault="0016105B" w:rsidP="00B758E0">
            <w:pPr>
              <w:pStyle w:val="Tablewriting"/>
              <w:rPr>
                <w:highlight w:val="yellow"/>
              </w:rPr>
            </w:pPr>
            <w:r w:rsidRPr="002E1275">
              <w:rPr>
                <w:highlight w:val="black"/>
              </w:rPr>
              <w:t>XXXXXXXXX</w:t>
            </w:r>
          </w:p>
        </w:tc>
      </w:tr>
      <w:tr w:rsidR="00B758E0" w14:paraId="6A0953BB" w14:textId="77777777" w:rsidTr="000704B6">
        <w:tc>
          <w:tcPr>
            <w:tcW w:w="1299" w:type="dxa"/>
            <w:vMerge/>
            <w:vAlign w:val="center"/>
          </w:tcPr>
          <w:p w14:paraId="6E3EAFA3" w14:textId="77777777" w:rsidR="00B758E0" w:rsidRPr="00A63CC6" w:rsidRDefault="00B758E0" w:rsidP="00B758E0">
            <w:pPr>
              <w:pStyle w:val="Tablewriting"/>
              <w:rPr>
                <w:b/>
                <w:bCs/>
              </w:rPr>
            </w:pPr>
          </w:p>
        </w:tc>
        <w:tc>
          <w:tcPr>
            <w:tcW w:w="1130" w:type="dxa"/>
            <w:vAlign w:val="center"/>
          </w:tcPr>
          <w:p w14:paraId="75E4ECA2" w14:textId="63FC31D5" w:rsidR="00B758E0" w:rsidRPr="00A63CC6" w:rsidRDefault="00B758E0" w:rsidP="00B758E0">
            <w:pPr>
              <w:pStyle w:val="Tablewriting"/>
              <w:rPr>
                <w:b/>
                <w:bCs/>
              </w:rPr>
            </w:pPr>
            <w:r>
              <w:rPr>
                <w:rFonts w:ascii="Calibri" w:hAnsi="Calibri"/>
                <w:b/>
                <w:bCs/>
              </w:rPr>
              <w:t>Actual</w:t>
            </w:r>
          </w:p>
        </w:tc>
        <w:tc>
          <w:tcPr>
            <w:tcW w:w="1559" w:type="dxa"/>
            <w:vAlign w:val="center"/>
          </w:tcPr>
          <w:p w14:paraId="6A56FCC2" w14:textId="61FF6668" w:rsidR="00B758E0" w:rsidRDefault="00B758E0" w:rsidP="00B758E0">
            <w:pPr>
              <w:pStyle w:val="Tablewriting"/>
            </w:pPr>
            <w:r>
              <w:rPr>
                <w:rFonts w:ascii="Calibri" w:hAnsi="Calibri"/>
              </w:rPr>
              <w:t>$7,701,770</w:t>
            </w:r>
          </w:p>
        </w:tc>
        <w:tc>
          <w:tcPr>
            <w:tcW w:w="1560" w:type="dxa"/>
            <w:vAlign w:val="center"/>
          </w:tcPr>
          <w:p w14:paraId="262B8CB3" w14:textId="4AE9DED7" w:rsidR="00B758E0" w:rsidRDefault="00B758E0" w:rsidP="00B758E0">
            <w:pPr>
              <w:pStyle w:val="Tablewriting"/>
            </w:pPr>
            <w:r>
              <w:rPr>
                <w:rFonts w:ascii="Calibri" w:hAnsi="Calibri"/>
              </w:rPr>
              <w:t>$19,624,566</w:t>
            </w:r>
          </w:p>
        </w:tc>
        <w:tc>
          <w:tcPr>
            <w:tcW w:w="1559" w:type="dxa"/>
            <w:vAlign w:val="center"/>
          </w:tcPr>
          <w:p w14:paraId="6FC169EB" w14:textId="4A3C3253" w:rsidR="00B758E0" w:rsidRDefault="00B758E0" w:rsidP="00B758E0">
            <w:pPr>
              <w:pStyle w:val="Tablewriting"/>
            </w:pPr>
            <w:r>
              <w:rPr>
                <w:rFonts w:ascii="Calibri" w:hAnsi="Calibri"/>
              </w:rPr>
              <w:t>$21,587,385</w:t>
            </w:r>
          </w:p>
        </w:tc>
      </w:tr>
      <w:tr w:rsidR="00B758E0" w14:paraId="299A2FB8" w14:textId="77777777" w:rsidTr="000704B6">
        <w:tc>
          <w:tcPr>
            <w:tcW w:w="1299" w:type="dxa"/>
            <w:vMerge/>
            <w:vAlign w:val="center"/>
          </w:tcPr>
          <w:p w14:paraId="02DE146A" w14:textId="77777777" w:rsidR="00B758E0" w:rsidRPr="00A63CC6" w:rsidRDefault="00B758E0" w:rsidP="00B758E0">
            <w:pPr>
              <w:pStyle w:val="Tablewriting"/>
              <w:rPr>
                <w:b/>
                <w:bCs/>
              </w:rPr>
            </w:pPr>
          </w:p>
        </w:tc>
        <w:tc>
          <w:tcPr>
            <w:tcW w:w="1130" w:type="dxa"/>
            <w:vAlign w:val="center"/>
          </w:tcPr>
          <w:p w14:paraId="1CC1D411" w14:textId="3B8B32C6" w:rsidR="00B758E0" w:rsidRPr="00A63CC6" w:rsidRDefault="00B758E0" w:rsidP="00B758E0">
            <w:pPr>
              <w:pStyle w:val="Tablewriting"/>
              <w:rPr>
                <w:b/>
                <w:bCs/>
              </w:rPr>
            </w:pPr>
            <w:r>
              <w:rPr>
                <w:rFonts w:ascii="Calibri" w:hAnsi="Calibri"/>
                <w:b/>
                <w:bCs/>
              </w:rPr>
              <w:t>Difference</w:t>
            </w:r>
          </w:p>
        </w:tc>
        <w:tc>
          <w:tcPr>
            <w:tcW w:w="1559" w:type="dxa"/>
            <w:vAlign w:val="center"/>
          </w:tcPr>
          <w:p w14:paraId="52F15470" w14:textId="57EF4CFB" w:rsidR="00B758E0" w:rsidRPr="00C866CE" w:rsidRDefault="0016105B" w:rsidP="00B758E0">
            <w:pPr>
              <w:pStyle w:val="Tablewriting"/>
              <w:rPr>
                <w:highlight w:val="yellow"/>
              </w:rPr>
            </w:pPr>
            <w:r w:rsidRPr="002E1275">
              <w:rPr>
                <w:highlight w:val="black"/>
              </w:rPr>
              <w:t>XXX</w:t>
            </w:r>
          </w:p>
        </w:tc>
        <w:tc>
          <w:tcPr>
            <w:tcW w:w="1560" w:type="dxa"/>
            <w:vAlign w:val="center"/>
          </w:tcPr>
          <w:p w14:paraId="0F412961" w14:textId="665EA414" w:rsidR="00B758E0" w:rsidRPr="00C866CE" w:rsidRDefault="0016105B" w:rsidP="00B758E0">
            <w:pPr>
              <w:pStyle w:val="Tablewriting"/>
              <w:rPr>
                <w:highlight w:val="yellow"/>
              </w:rPr>
            </w:pPr>
            <w:r w:rsidRPr="002E1275">
              <w:rPr>
                <w:highlight w:val="black"/>
              </w:rPr>
              <w:t>XXX</w:t>
            </w:r>
          </w:p>
        </w:tc>
        <w:tc>
          <w:tcPr>
            <w:tcW w:w="1559" w:type="dxa"/>
            <w:vAlign w:val="center"/>
          </w:tcPr>
          <w:p w14:paraId="51DD15CD" w14:textId="1421E33E" w:rsidR="00B758E0" w:rsidRDefault="00B758E0" w:rsidP="00B758E0">
            <w:pPr>
              <w:pStyle w:val="Tablewriting"/>
            </w:pPr>
            <w:r>
              <w:rPr>
                <w:rFonts w:ascii="Calibri" w:hAnsi="Calibri"/>
              </w:rPr>
              <w:t>NA</w:t>
            </w:r>
          </w:p>
        </w:tc>
      </w:tr>
    </w:tbl>
    <w:p w14:paraId="1B255BF2" w14:textId="3E5668CE" w:rsidR="0083444A" w:rsidRDefault="0083444A" w:rsidP="0083444A">
      <w:pPr>
        <w:pStyle w:val="Notes"/>
      </w:pPr>
      <w:r w:rsidRPr="003710A4">
        <w:t>*</w:t>
      </w:r>
      <w:r>
        <w:t xml:space="preserve"> Year 3 contains data up to December 2024 and is not representative of a full listing year. </w:t>
      </w:r>
    </w:p>
    <w:p w14:paraId="2160A4C5" w14:textId="555B8051" w:rsidR="00ED08B9" w:rsidRDefault="00717362" w:rsidP="000B0931">
      <w:r>
        <w:t xml:space="preserve">The first year of listing of FF/VI/UMEC resulted in </w:t>
      </w:r>
      <w:r w:rsidR="00CC7F86">
        <w:t>24,910 prevalent patients followed by a</w:t>
      </w:r>
      <w:r w:rsidR="00562B91">
        <w:t xml:space="preserve">n increase of 80% to 45,108 in year 2. </w:t>
      </w:r>
      <w:r w:rsidR="00C97EBF">
        <w:t xml:space="preserve">In the </w:t>
      </w:r>
      <w:r w:rsidR="009D1651">
        <w:t xml:space="preserve">9 months of available data for listing year three there were 53,224 prevalent patients </w:t>
      </w:r>
      <w:r w:rsidR="00491CDD">
        <w:t xml:space="preserve">and is indicative of </w:t>
      </w:r>
      <w:r w:rsidR="0009407C">
        <w:t>slowing growth.</w:t>
      </w:r>
      <w:r w:rsidR="00491CDD">
        <w:t xml:space="preserve"> </w:t>
      </w:r>
      <w:r w:rsidR="00BF3BBD">
        <w:t>The submission for FF/VI/UMEC used a market share approach in estimating the financial implications</w:t>
      </w:r>
      <w:r w:rsidR="00D71B69">
        <w:t xml:space="preserve"> and consequently </w:t>
      </w:r>
      <w:r>
        <w:t xml:space="preserve">there were no predicted patient values. </w:t>
      </w:r>
      <w:r w:rsidR="009E55A3">
        <w:t xml:space="preserve">The actual numbers of prescriptions and </w:t>
      </w:r>
      <w:r w:rsidR="00756834">
        <w:t xml:space="preserve">cost to government were </w:t>
      </w:r>
      <w:r w:rsidR="0016105B" w:rsidRPr="002E1275">
        <w:rPr>
          <w:highlight w:val="black"/>
        </w:rPr>
        <w:t>XXXXXXXXXXXXXXXX</w:t>
      </w:r>
      <w:r w:rsidR="0016105B">
        <w:t xml:space="preserve"> </w:t>
      </w:r>
      <w:r w:rsidR="00756834">
        <w:t>than predicted</w:t>
      </w:r>
      <w:r w:rsidR="00475E49">
        <w:t xml:space="preserve">. </w:t>
      </w:r>
      <w:r w:rsidR="00B80FFD">
        <w:t xml:space="preserve">In the first year of listing the </w:t>
      </w:r>
      <w:r w:rsidR="00D0410A">
        <w:t>change</w:t>
      </w:r>
      <w:r w:rsidR="00B80FFD">
        <w:t xml:space="preserve"> between actual and predicted prescriptions was </w:t>
      </w:r>
      <w:r w:rsidR="00397366">
        <w:t>a</w:t>
      </w:r>
      <w:r w:rsidR="00D0410A">
        <w:t>n</w:t>
      </w:r>
      <w:r w:rsidR="00397366">
        <w:t xml:space="preserve"> </w:t>
      </w:r>
      <w:r w:rsidR="0016105B" w:rsidRPr="002E1275">
        <w:rPr>
          <w:highlight w:val="black"/>
        </w:rPr>
        <w:t>XXXXXXXXXXXXXXXX</w:t>
      </w:r>
      <w:r w:rsidR="0016105B">
        <w:t xml:space="preserve"> and</w:t>
      </w:r>
      <w:r w:rsidR="00605983">
        <w:t xml:space="preserve"> in year 2 of listing there was an </w:t>
      </w:r>
      <w:r w:rsidR="0016105B" w:rsidRPr="006C4F97">
        <w:rPr>
          <w:highlight w:val="black"/>
        </w:rPr>
        <w:t>XXXXXXXXXXXXXXXX</w:t>
      </w:r>
      <w:r w:rsidR="00605983" w:rsidRPr="0016105B">
        <w:t>.</w:t>
      </w:r>
      <w:r w:rsidR="0004617F" w:rsidRPr="0016105B">
        <w:t xml:space="preserve"> The</w:t>
      </w:r>
      <w:r w:rsidR="0004617F">
        <w:t xml:space="preserve"> listing year to date of year 3 </w:t>
      </w:r>
      <w:r w:rsidR="003A3DC9">
        <w:t>also suggests a similar increase in year 3.</w:t>
      </w:r>
      <w:r w:rsidR="00375F96">
        <w:t xml:space="preserve"> Th</w:t>
      </w:r>
      <w:r w:rsidR="003A3DC9">
        <w:t>e</w:t>
      </w:r>
      <w:r w:rsidR="00375F96">
        <w:t>s</w:t>
      </w:r>
      <w:r w:rsidR="003A3DC9">
        <w:t>e</w:t>
      </w:r>
      <w:r w:rsidR="00375F96">
        <w:t xml:space="preserve"> </w:t>
      </w:r>
      <w:r w:rsidR="0016105B" w:rsidRPr="002E1275">
        <w:rPr>
          <w:highlight w:val="black"/>
        </w:rPr>
        <w:t>XXXXXXXX</w:t>
      </w:r>
      <w:r w:rsidR="0016105B">
        <w:t xml:space="preserve"> are</w:t>
      </w:r>
      <w:r w:rsidR="00375F96">
        <w:t xml:space="preserve"> mirrored in the net cost to government</w:t>
      </w:r>
      <w:r w:rsidR="0004617F">
        <w:t xml:space="preserve">. </w:t>
      </w:r>
    </w:p>
    <w:p w14:paraId="77AD1C1C" w14:textId="77777777" w:rsidR="00323DC9" w:rsidRPr="008C47F2" w:rsidRDefault="00323DC9" w:rsidP="000B0931">
      <w:pPr>
        <w:rPr>
          <w:b/>
          <w:bCs/>
        </w:rPr>
      </w:pPr>
      <w:r w:rsidRPr="008C47F2">
        <w:rPr>
          <w:b/>
          <w:bCs/>
        </w:rPr>
        <w:t>Committee-in-confidence</w:t>
      </w:r>
    </w:p>
    <w:p w14:paraId="5E7DF635" w14:textId="2C6F85E2" w:rsidR="00F268CD" w:rsidRPr="002E1275" w:rsidRDefault="002E1275" w:rsidP="000B0931">
      <w:pPr>
        <w:rPr>
          <w:highlight w:val="black"/>
        </w:rPr>
      </w:pPr>
      <w:r w:rsidRPr="002E1275">
        <w:rPr>
          <w:highlight w:val="black"/>
        </w:rPr>
        <w:t>XXXXXXXXXXXXXXXXXXXXXXXXXXXXXXXXXXXXXXXXXXXXXXXXXXXXXXXXXXXXXXXXXXXXXXXXXXXXXXX</w:t>
      </w:r>
      <w:r w:rsidR="0097544E" w:rsidRPr="002E1275">
        <w:rPr>
          <w:highlight w:val="black"/>
        </w:rPr>
        <w:t xml:space="preserve">. </w:t>
      </w:r>
    </w:p>
    <w:p w14:paraId="1E147666" w14:textId="722F4CEA" w:rsidR="002E1275" w:rsidRPr="002E1275" w:rsidRDefault="002E1275" w:rsidP="002E1275">
      <w:pPr>
        <w:rPr>
          <w:highlight w:val="black"/>
        </w:rPr>
      </w:pPr>
      <w:r w:rsidRPr="002E1275">
        <w:rPr>
          <w:highlight w:val="black"/>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p>
    <w:p w14:paraId="704BDAED" w14:textId="09A57B1A" w:rsidR="009C7249" w:rsidRPr="008C47F2" w:rsidRDefault="008C47F2">
      <w:pPr>
        <w:spacing w:line="276" w:lineRule="auto"/>
        <w:rPr>
          <w:rFonts w:eastAsiaTheme="majorEastAsia" w:cstheme="majorBidi"/>
          <w:b/>
          <w:bCs/>
          <w:sz w:val="32"/>
          <w:szCs w:val="32"/>
        </w:rPr>
      </w:pPr>
      <w:r w:rsidRPr="008C47F2">
        <w:rPr>
          <w:b/>
          <w:bCs/>
        </w:rPr>
        <w:t>End Committee-in-confidence</w:t>
      </w:r>
      <w:r w:rsidR="006D547B" w:rsidRPr="008C47F2">
        <w:rPr>
          <w:b/>
          <w:bCs/>
        </w:rPr>
        <w:t xml:space="preserve"> </w:t>
      </w:r>
      <w:r w:rsidR="009C7249" w:rsidRPr="008C47F2">
        <w:rPr>
          <w:b/>
          <w:bCs/>
        </w:rPr>
        <w:br w:type="page"/>
      </w:r>
    </w:p>
    <w:p w14:paraId="3555DFBA" w14:textId="7077EA3B" w:rsidR="00591512" w:rsidRDefault="00AB3733" w:rsidP="00F73113">
      <w:pPr>
        <w:pStyle w:val="Heading1"/>
      </w:pPr>
      <w:r>
        <w:lastRenderedPageBreak/>
        <w:t>D</w:t>
      </w:r>
      <w:r w:rsidR="007346C7" w:rsidRPr="005E22C2">
        <w:t>iscussion</w:t>
      </w:r>
      <w:r w:rsidR="00400364">
        <w:t xml:space="preserve"> and DUSC Consideration</w:t>
      </w:r>
    </w:p>
    <w:p w14:paraId="62C20161" w14:textId="77777777" w:rsidR="00400364" w:rsidRPr="00400364" w:rsidRDefault="00400364" w:rsidP="00400364">
      <w:r>
        <w:t xml:space="preserve">The PBAC (July 2020) noted concerns regarding the use of single inhaler triple therapies in children and adolescents in the MF/IND/GLY submission consideration in July 2020 as well as the submission for FF/VI/UMEC. </w:t>
      </w:r>
      <w:r w:rsidRPr="00400364">
        <w:t xml:space="preserve">DUSC noted that use in this population was minimal with only 295 patients aged less than 18 years and the majority of them aged 16-17 years. </w:t>
      </w:r>
    </w:p>
    <w:p w14:paraId="0E2B32BC" w14:textId="77777777" w:rsidR="00400364" w:rsidRPr="00A4093D" w:rsidRDefault="00400364" w:rsidP="00400364">
      <w:pPr>
        <w:rPr>
          <w:i/>
          <w:iCs/>
        </w:rPr>
      </w:pPr>
      <w:r>
        <w:t xml:space="preserve">All three submissions for single inhaler triple therapy used market share approaches based on the number of prescriptions of tiotropium (item code 11043F). Figure 1 shows that in 2022 there were 64,704 prevalent patients on tiotropium (item code 11043F) a decrease of 11,600 from 2020. This appeared to correspond closely to the rise of single inhaler triple therapies with FF/VI/UMEC having 18,821 prevalent patients in 2022 since listing in April of that year. The number of patients using tiotropium further decreased in the years following 2022 however the increase in patient counts of FF/VI/UMEC and BEC/FOR/GLY indicated a growth in the market with counts far exceeding the decrease in tiotropium utilisation. </w:t>
      </w:r>
      <w:r w:rsidRPr="00400364">
        <w:t>DUSC acknowledged and agreed with the sponsor comments that current utilisation of single inhaler triple therapies are still below the estimated annual prevalence of severe asthma in Australia.</w:t>
      </w:r>
      <w:r>
        <w:rPr>
          <w:i/>
          <w:iCs/>
        </w:rPr>
        <w:t xml:space="preserve"> </w:t>
      </w:r>
    </w:p>
    <w:p w14:paraId="5DC64D85" w14:textId="77777777" w:rsidR="00400364" w:rsidRPr="00400364" w:rsidRDefault="00400364" w:rsidP="00400364">
      <w:r>
        <w:t>There were a substantial number of patients utilising COPD prescriptions prior to initiating on a single inhaler triple therapy. These patients can be seen in Figure 6 where 29,090 patients had evidence of more than six COPD restricted prescriptions in their PBS history. This number is likely an overestimate given that Streamlined codes can be applied to prescriptions incorrectly. However there is still strong evidence to suggest that up to 28% of patients initiated on the severe asthma restriction for single inhaler triple therapies had COPD</w:t>
      </w:r>
      <w:r w:rsidRPr="00400364">
        <w:t>. DUSC acknowledged responses from sponsors and consumers and noted the overlapping nature of the two diseases and considered that further investigation may be required.</w:t>
      </w:r>
    </w:p>
    <w:p w14:paraId="7DDC7BA7" w14:textId="50F72D84" w:rsidR="009C7249" w:rsidRPr="00400364" w:rsidRDefault="00400364" w:rsidP="00400364">
      <w:pPr>
        <w:rPr>
          <w:rFonts w:eastAsiaTheme="majorEastAsia" w:cstheme="majorBidi"/>
          <w:b/>
          <w:bCs/>
          <w:sz w:val="32"/>
          <w:szCs w:val="32"/>
        </w:rPr>
      </w:pPr>
      <w:r>
        <w:t>The total cost to government of inhaler therapies had remained steady at approximately $600 million per year since 2018 despite the introduction of single inhaler triple therapies. This was likely due to a decrease in utilisation of the constituent medicines within the triple therapy products. The reduction in the use of these products and the subsequent rise in the use of single inhaler triple therapies restricted to severe lung diseases represented a potential quality use of medicines issue. The convenience of a single inhaler product trumping traditional step-wised approaches to treatment may be resulting in overexposure to higher concentrations of ingredients than necessary for symptom management</w:t>
      </w:r>
      <w:r w:rsidRPr="00400364">
        <w:t xml:space="preserve">. DUSC noted the comments from the Centre of Excellence in Severe Asthma which acknowledged concerns of potential overutilisation. The Centre of Excellence suggested a compromise that the PBAC may wish to consider altering the current restriction to ‘include evidence of impaired lung function OR persistent airflow limitation OR suboptimal response to current medication after a suitable period’. DUSC considered that these additions to the restriction may help to ensure appropriate use of single inhaler therapies while ensuring equal access for all Australians. </w:t>
      </w:r>
      <w:r w:rsidR="009C7249" w:rsidRPr="00400364">
        <w:br w:type="page"/>
      </w:r>
    </w:p>
    <w:p w14:paraId="5E255D49" w14:textId="77777777" w:rsidR="00400364" w:rsidRDefault="00400364" w:rsidP="00400364">
      <w:pPr>
        <w:pStyle w:val="Heading1"/>
      </w:pPr>
      <w:r>
        <w:lastRenderedPageBreak/>
        <w:t>DUSC actions</w:t>
      </w:r>
    </w:p>
    <w:p w14:paraId="5A789382" w14:textId="77777777" w:rsidR="00400364" w:rsidRPr="00365E02" w:rsidRDefault="00400364" w:rsidP="00400364">
      <w:pPr>
        <w:rPr>
          <w:iCs/>
          <w:highlight w:val="yellow"/>
        </w:rPr>
      </w:pPr>
      <w:r w:rsidRPr="00365E02">
        <w:rPr>
          <w:iCs/>
        </w:rPr>
        <w:t>DUSC requested that the report be provided to the PBAC for consideration</w:t>
      </w:r>
      <w:r>
        <w:rPr>
          <w:iCs/>
        </w:rPr>
        <w:t xml:space="preserve">. </w:t>
      </w:r>
    </w:p>
    <w:p w14:paraId="5EBFC1D5" w14:textId="77777777" w:rsidR="00400364" w:rsidRDefault="00400364" w:rsidP="00400364">
      <w:pPr>
        <w:pStyle w:val="Heading1"/>
      </w:pPr>
      <w:r w:rsidRPr="0092516A">
        <w:t>Context for analysis</w:t>
      </w:r>
    </w:p>
    <w:p w14:paraId="7D7BFFE3" w14:textId="77777777" w:rsidR="00400364" w:rsidRDefault="00400364" w:rsidP="00400364">
      <w:r>
        <w:t>The DUSC is a Sub Committee of the Pharmaceutical Benefits Advisory Committee (PBAC). The DUSC assesses estimates on projected usage and financial cost of medicines.</w:t>
      </w:r>
    </w:p>
    <w:p w14:paraId="19149CCE" w14:textId="77777777" w:rsidR="00400364" w:rsidRDefault="00400364" w:rsidP="0040036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6D04FB2" w14:textId="77777777" w:rsidR="00400364" w:rsidRDefault="00400364" w:rsidP="0040036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08E36BB" w14:textId="77777777" w:rsidR="00400364" w:rsidRDefault="00400364" w:rsidP="00400364">
      <w:r>
        <w:t>The utilisation analysis report was provided to the pharmaceutical sponsors of each drug and comments on the report were provided to DUSC prior to its consideration of the analysis.</w:t>
      </w:r>
    </w:p>
    <w:p w14:paraId="2AD68052" w14:textId="77777777" w:rsidR="00400364" w:rsidRDefault="00400364" w:rsidP="00400364">
      <w:pPr>
        <w:pStyle w:val="Heading1"/>
      </w:pPr>
      <w:r>
        <w:t>Sponsor</w:t>
      </w:r>
      <w:r w:rsidRPr="0092516A">
        <w:t>s</w:t>
      </w:r>
      <w:r>
        <w:t>’</w:t>
      </w:r>
      <w:r w:rsidRPr="0092516A">
        <w:t xml:space="preserve"> comments</w:t>
      </w:r>
    </w:p>
    <w:p w14:paraId="0205A235" w14:textId="2BA1BDB1" w:rsidR="00400364" w:rsidRPr="00D156C4" w:rsidRDefault="00D156C4" w:rsidP="00400364">
      <w:r w:rsidRPr="00D156C4">
        <w:t>GSK is dedicated to the quality use of medicines and educating best practice in asthma management to achieve best patient outcomes. Data presented in the report only reflects trends in the number of prescriptions claimed through the PBS and is not necessarily indicative of specific treatment pathways for asthma patients. GSK remains dedicated to collaborating with stakeholders to improve patient care and health outcomes through evidence-based practices and education</w:t>
      </w:r>
      <w:r w:rsidR="00400364" w:rsidRPr="00D156C4">
        <w:t>.</w:t>
      </w:r>
    </w:p>
    <w:p w14:paraId="2D2C8B9E" w14:textId="77777777" w:rsidR="00400364" w:rsidRDefault="00400364" w:rsidP="00400364">
      <w:pPr>
        <w:pStyle w:val="Heading1"/>
      </w:pPr>
      <w:r w:rsidRPr="00A4020E">
        <w:t>Disclaimer</w:t>
      </w:r>
    </w:p>
    <w:p w14:paraId="20F5075E" w14:textId="77777777" w:rsidR="00400364" w:rsidRDefault="00400364" w:rsidP="0040036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732858E4" w14:textId="77777777" w:rsidR="00400364" w:rsidRDefault="00400364" w:rsidP="00400364">
      <w:r>
        <w:t xml:space="preserve">The Department of Health, Disability and Ageing has made all reasonable efforts to ensure that information provided in this report is accurate. The information provided in this report was up-to-date when it was considered by the Drug Utilisation Sub-committee of the </w:t>
      </w:r>
      <w:r>
        <w:lastRenderedPageBreak/>
        <w:t>Pharmaceutical Benefits Advisory Committee.  The context for that information may have changed since publication.</w:t>
      </w:r>
    </w:p>
    <w:p w14:paraId="6DE7286C" w14:textId="77777777" w:rsidR="00400364" w:rsidRDefault="00400364" w:rsidP="00400364">
      <w:r>
        <w:t xml:space="preserve">To the extent provided by law, the Department of Health, Disability and Ageing, makes no warranties or representations as to accuracy or completeness of information contained in this report. </w:t>
      </w:r>
    </w:p>
    <w:p w14:paraId="5806B257" w14:textId="77777777" w:rsidR="00400364" w:rsidRDefault="00400364" w:rsidP="00400364">
      <w:r>
        <w:t>To the fullest extent permitted by law, neither the Department of Health, Disability and Ageing nor any Department of Health, Disability and Ageing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3F49E3B" w14:textId="77777777" w:rsidR="00400364" w:rsidRDefault="00400364" w:rsidP="00400364">
      <w:pPr>
        <w:spacing w:line="276" w:lineRule="auto"/>
        <w:rPr>
          <w:rFonts w:eastAsiaTheme="majorEastAsia" w:cstheme="majorBidi"/>
          <w:b/>
          <w:bCs/>
          <w:sz w:val="32"/>
          <w:szCs w:val="32"/>
        </w:rPr>
      </w:pPr>
      <w:r>
        <w:br w:type="page"/>
      </w:r>
    </w:p>
    <w:p w14:paraId="35AA6988" w14:textId="0E80BF17" w:rsidR="004B306F" w:rsidRDefault="004B306F" w:rsidP="00F73113">
      <w:pPr>
        <w:pStyle w:val="Heading1"/>
      </w:pPr>
      <w:r>
        <w:lastRenderedPageBreak/>
        <w:t>References</w:t>
      </w:r>
    </w:p>
    <w:p w14:paraId="553FA734" w14:textId="3AA0C7CE" w:rsidR="005F0017" w:rsidRDefault="00975296" w:rsidP="00975296">
      <w:pPr>
        <w:pStyle w:val="ListParagraph"/>
        <w:numPr>
          <w:ilvl w:val="0"/>
          <w:numId w:val="8"/>
        </w:numPr>
        <w:spacing w:line="276" w:lineRule="auto"/>
      </w:pPr>
      <w:r w:rsidRPr="00975296">
        <w:rPr>
          <w:i/>
          <w:iCs/>
        </w:rPr>
        <w:t>What is asthma?</w:t>
      </w:r>
      <w:r w:rsidRPr="0006413F">
        <w:t> (2024, March 10). Asthma Australia. </w:t>
      </w:r>
      <w:hyperlink r:id="rId27" w:history="1">
        <w:r w:rsidRPr="00C95C14">
          <w:rPr>
            <w:rStyle w:val="Hyperlink"/>
          </w:rPr>
          <w:t>https://asthma.org.au/what-is-asthma/</w:t>
        </w:r>
      </w:hyperlink>
    </w:p>
    <w:p w14:paraId="4AC6AF6C" w14:textId="74092832" w:rsidR="00975296" w:rsidRDefault="00975296" w:rsidP="00975296">
      <w:pPr>
        <w:pStyle w:val="ListParagraph"/>
        <w:numPr>
          <w:ilvl w:val="0"/>
          <w:numId w:val="8"/>
        </w:numPr>
        <w:spacing w:line="276" w:lineRule="auto"/>
      </w:pPr>
      <w:r w:rsidRPr="007F3321">
        <w:rPr>
          <w:i/>
          <w:iCs/>
        </w:rPr>
        <w:t>Drugs for asthma and chronic obstructive pulmonary disease</w:t>
      </w:r>
      <w:r w:rsidRPr="007F3321">
        <w:t>. (n.d.). Australian Medicines Handbook. </w:t>
      </w:r>
      <w:hyperlink r:id="rId28" w:history="1">
        <w:r w:rsidRPr="00C95C14">
          <w:rPr>
            <w:rStyle w:val="Hyperlink"/>
          </w:rPr>
          <w:t>https://amhonline.amh.net.au/chapters/respiratory-drugs/drugs-asthma-chronic-obstructive-pulmonary-disease</w:t>
        </w:r>
      </w:hyperlink>
    </w:p>
    <w:p w14:paraId="6FAC947D" w14:textId="77777777" w:rsidR="00CC7B91" w:rsidRDefault="00CC7B91" w:rsidP="009D2A37">
      <w:pPr>
        <w:spacing w:line="276" w:lineRule="auto"/>
        <w:ind w:left="360"/>
      </w:pPr>
    </w:p>
    <w:sectPr w:rsidR="00CC7B91" w:rsidSect="00DD188C">
      <w:headerReference w:type="even" r:id="rId29"/>
      <w:headerReference w:type="default" r:id="rId30"/>
      <w:footerReference w:type="even" r:id="rId31"/>
      <w:footerReference w:type="default" r:id="rId32"/>
      <w:headerReference w:type="first" r:id="rId33"/>
      <w:footerReference w:type="first" r:id="rId3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B8FE" w14:textId="77777777" w:rsidR="007568B9" w:rsidRDefault="007568B9" w:rsidP="00A35800">
      <w:r>
        <w:separator/>
      </w:r>
    </w:p>
  </w:endnote>
  <w:endnote w:type="continuationSeparator" w:id="0">
    <w:p w14:paraId="083CDC06" w14:textId="77777777" w:rsidR="007568B9" w:rsidRDefault="007568B9"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238482B3" w:rsidR="00214013" w:rsidRDefault="00095DC1" w:rsidP="00A35800">
    <w:pPr>
      <w:pStyle w:val="Footer"/>
      <w:rPr>
        <w:rStyle w:val="PageNumber"/>
      </w:rPr>
    </w:pPr>
    <w:r>
      <w:rPr>
        <w:noProof/>
      </w:rPr>
      <mc:AlternateContent>
        <mc:Choice Requires="wps">
          <w:drawing>
            <wp:anchor distT="0" distB="0" distL="0" distR="0" simplePos="0" relativeHeight="251668480" behindDoc="0" locked="0" layoutInCell="1" allowOverlap="1" wp14:anchorId="2D96C1A1" wp14:editId="6C32E6F1">
              <wp:simplePos x="635" y="635"/>
              <wp:positionH relativeFrom="page">
                <wp:align>center</wp:align>
              </wp:positionH>
              <wp:positionV relativeFrom="page">
                <wp:align>bottom</wp:align>
              </wp:positionV>
              <wp:extent cx="551815" cy="376555"/>
              <wp:effectExtent l="0" t="0" r="635" b="0"/>
              <wp:wrapNone/>
              <wp:docPr id="5857803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B02386" w14:textId="684F7929"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6C1A1"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8B02386" w14:textId="684F7929"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separate"/>
    </w:r>
    <w:r w:rsidR="00662883">
      <w:rPr>
        <w:rStyle w:val="PageNumber"/>
        <w:noProof/>
      </w:rPr>
      <w:t>26</w: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9788" w14:textId="67C080AF" w:rsidR="00D156C4" w:rsidRDefault="00095DC1" w:rsidP="00400364">
    <w:pPr>
      <w:pStyle w:val="Footer"/>
      <w:jc w:val="center"/>
    </w:pPr>
    <w:r>
      <w:rPr>
        <w:noProof/>
      </w:rPr>
      <mc:AlternateContent>
        <mc:Choice Requires="wps">
          <w:drawing>
            <wp:anchor distT="0" distB="0" distL="0" distR="0" simplePos="0" relativeHeight="251669504" behindDoc="0" locked="0" layoutInCell="1" allowOverlap="1" wp14:anchorId="5F15A565" wp14:editId="084BF189">
              <wp:simplePos x="1009650" y="9744075"/>
              <wp:positionH relativeFrom="page">
                <wp:align>center</wp:align>
              </wp:positionH>
              <wp:positionV relativeFrom="page">
                <wp:align>bottom</wp:align>
              </wp:positionV>
              <wp:extent cx="551815" cy="376555"/>
              <wp:effectExtent l="0" t="0" r="635" b="0"/>
              <wp:wrapNone/>
              <wp:docPr id="28188691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B3D2DC" w14:textId="1CAD1D56"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5A565"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BB3D2DC" w14:textId="1CAD1D56"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p>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7D263961" w14:textId="0E85929F" w:rsidR="00400364" w:rsidRPr="000E72C6" w:rsidRDefault="00400364" w:rsidP="00400364">
            <w:pPr>
              <w:pStyle w:val="Footer"/>
              <w:jc w:val="center"/>
              <w:rPr>
                <w:i/>
                <w:sz w:val="20"/>
              </w:rPr>
            </w:pPr>
            <w:r>
              <w:rPr>
                <w:i/>
                <w:sz w:val="20"/>
              </w:rPr>
              <w:t>Public Release Document, April 2025 DUSC Meeting</w:t>
            </w:r>
          </w:p>
          <w:p w14:paraId="10292A9A" w14:textId="3E7438AC"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6397BF86" w:rsidR="007A5733" w:rsidRDefault="00095DC1" w:rsidP="007A5733">
    <w:pPr>
      <w:pStyle w:val="Footer"/>
      <w:jc w:val="center"/>
      <w:rPr>
        <w:rStyle w:val="PageNumber"/>
      </w:rPr>
    </w:pPr>
    <w:r>
      <w:rPr>
        <w:noProof/>
      </w:rPr>
      <mc:AlternateContent>
        <mc:Choice Requires="wps">
          <w:drawing>
            <wp:anchor distT="0" distB="0" distL="0" distR="0" simplePos="0" relativeHeight="251667456" behindDoc="0" locked="0" layoutInCell="1" allowOverlap="1" wp14:anchorId="4F9B6A8B" wp14:editId="5638B8C6">
              <wp:simplePos x="635" y="635"/>
              <wp:positionH relativeFrom="page">
                <wp:align>center</wp:align>
              </wp:positionH>
              <wp:positionV relativeFrom="page">
                <wp:align>bottom</wp:align>
              </wp:positionV>
              <wp:extent cx="551815" cy="376555"/>
              <wp:effectExtent l="0" t="0" r="635" b="0"/>
              <wp:wrapNone/>
              <wp:docPr id="19954595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0FE6C8" w14:textId="76155EEB"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B6A8B"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D0FE6C8" w14:textId="76155EEB"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E005" w14:textId="77777777" w:rsidR="007568B9" w:rsidRDefault="007568B9" w:rsidP="00A35800">
      <w:r>
        <w:separator/>
      </w:r>
    </w:p>
  </w:footnote>
  <w:footnote w:type="continuationSeparator" w:id="0">
    <w:p w14:paraId="2C7AF42A" w14:textId="77777777" w:rsidR="007568B9" w:rsidRDefault="007568B9" w:rsidP="00A35800">
      <w:r>
        <w:continuationSeparator/>
      </w:r>
    </w:p>
  </w:footnote>
  <w:footnote w:id="1">
    <w:p w14:paraId="594CEB5D" w14:textId="017AB51F" w:rsidR="003E7B28" w:rsidRDefault="003E7B28">
      <w:pPr>
        <w:pStyle w:val="FootnoteText"/>
      </w:pPr>
      <w:r>
        <w:rPr>
          <w:rStyle w:val="FootnoteReference"/>
        </w:rPr>
        <w:footnoteRef/>
      </w:r>
      <w:r>
        <w:t xml:space="preserve"> </w:t>
      </w:r>
      <w:r w:rsidR="0006413F" w:rsidRPr="0006413F">
        <w:rPr>
          <w:i/>
          <w:iCs/>
        </w:rPr>
        <w:t>What is asthma?</w:t>
      </w:r>
      <w:r w:rsidR="0006413F" w:rsidRPr="0006413F">
        <w:t> (2024, March 10). Asthma Australia. https://asthma.org.au/what-is-asthma/</w:t>
      </w:r>
    </w:p>
  </w:footnote>
  <w:footnote w:id="2">
    <w:p w14:paraId="0665B618" w14:textId="77AC1860" w:rsidR="007F3321" w:rsidRDefault="007F3321">
      <w:pPr>
        <w:pStyle w:val="FootnoteText"/>
      </w:pPr>
      <w:r>
        <w:rPr>
          <w:rStyle w:val="FootnoteReference"/>
        </w:rPr>
        <w:footnoteRef/>
      </w:r>
      <w:r>
        <w:t xml:space="preserve"> </w:t>
      </w:r>
      <w:r w:rsidRPr="007F3321">
        <w:rPr>
          <w:i/>
          <w:iCs/>
        </w:rPr>
        <w:t>Drugs for asthma and chronic obstructive pulmonary disease</w:t>
      </w:r>
      <w:r w:rsidRPr="007F3321">
        <w:t>. (n.d.). Australian Medicines Handbook. https://amhonline.amh.net.au/chapters/respiratory-drugs/drugs-asthma-chronic-obstructive-pulmonary-disease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766D" w14:textId="26269B28" w:rsidR="00D156C4" w:rsidRDefault="00095DC1">
    <w:pPr>
      <w:pStyle w:val="Header"/>
    </w:pPr>
    <w:r>
      <w:rPr>
        <w:noProof/>
      </w:rPr>
      <mc:AlternateContent>
        <mc:Choice Requires="wps">
          <w:drawing>
            <wp:anchor distT="0" distB="0" distL="0" distR="0" simplePos="0" relativeHeight="251665408" behindDoc="0" locked="0" layoutInCell="1" allowOverlap="1" wp14:anchorId="321B21AD" wp14:editId="24B00774">
              <wp:simplePos x="635" y="635"/>
              <wp:positionH relativeFrom="page">
                <wp:align>center</wp:align>
              </wp:positionH>
              <wp:positionV relativeFrom="page">
                <wp:align>top</wp:align>
              </wp:positionV>
              <wp:extent cx="551815" cy="376555"/>
              <wp:effectExtent l="0" t="0" r="635" b="4445"/>
              <wp:wrapNone/>
              <wp:docPr id="63476019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3129C6" w14:textId="741C690B"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B21AD"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73129C6" w14:textId="741C690B"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5771" w14:textId="6D50885D" w:rsidR="00D156C4" w:rsidRDefault="00095DC1">
    <w:pPr>
      <w:pStyle w:val="Header"/>
    </w:pPr>
    <w:r>
      <w:rPr>
        <w:noProof/>
      </w:rPr>
      <mc:AlternateContent>
        <mc:Choice Requires="wps">
          <w:drawing>
            <wp:anchor distT="0" distB="0" distL="0" distR="0" simplePos="0" relativeHeight="251666432" behindDoc="0" locked="0" layoutInCell="1" allowOverlap="1" wp14:anchorId="458C46AE" wp14:editId="372D0164">
              <wp:simplePos x="1009650" y="447675"/>
              <wp:positionH relativeFrom="page">
                <wp:align>center</wp:align>
              </wp:positionH>
              <wp:positionV relativeFrom="page">
                <wp:align>top</wp:align>
              </wp:positionV>
              <wp:extent cx="551815" cy="376555"/>
              <wp:effectExtent l="0" t="0" r="635" b="4445"/>
              <wp:wrapNone/>
              <wp:docPr id="160493101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34DEC7" w14:textId="3E533CB4"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C46AE"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334DEC7" w14:textId="3E533CB4"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DA5F" w14:textId="1E8E1B4F" w:rsidR="00D156C4" w:rsidRDefault="00095DC1">
    <w:pPr>
      <w:pStyle w:val="Header"/>
    </w:pPr>
    <w:r>
      <w:rPr>
        <w:noProof/>
      </w:rPr>
      <mc:AlternateContent>
        <mc:Choice Requires="wps">
          <w:drawing>
            <wp:anchor distT="0" distB="0" distL="0" distR="0" simplePos="0" relativeHeight="251664384" behindDoc="0" locked="0" layoutInCell="1" allowOverlap="1" wp14:anchorId="4CBA65C3" wp14:editId="0DFBC785">
              <wp:simplePos x="635" y="635"/>
              <wp:positionH relativeFrom="page">
                <wp:align>center</wp:align>
              </wp:positionH>
              <wp:positionV relativeFrom="page">
                <wp:align>top</wp:align>
              </wp:positionV>
              <wp:extent cx="551815" cy="376555"/>
              <wp:effectExtent l="0" t="0" r="635" b="4445"/>
              <wp:wrapNone/>
              <wp:docPr id="107094735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C347D6" w14:textId="31A7C38C"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A65C3"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FC347D6" w14:textId="31A7C38C" w:rsidR="00095DC1" w:rsidRPr="00095DC1" w:rsidRDefault="00095DC1" w:rsidP="00095DC1">
                    <w:pPr>
                      <w:spacing w:after="0"/>
                      <w:rPr>
                        <w:rFonts w:ascii="Calibri" w:eastAsia="Calibri" w:hAnsi="Calibri" w:cs="Calibri"/>
                        <w:noProof/>
                        <w:color w:val="FF0000"/>
                      </w:rPr>
                    </w:pPr>
                    <w:r w:rsidRPr="00095DC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12E1"/>
    <w:multiLevelType w:val="hybridMultilevel"/>
    <w:tmpl w:val="F7422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EF2F82"/>
    <w:multiLevelType w:val="multilevel"/>
    <w:tmpl w:val="81AC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3A49B8"/>
    <w:multiLevelType w:val="hybridMultilevel"/>
    <w:tmpl w:val="D548D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46959D0"/>
    <w:multiLevelType w:val="multilevel"/>
    <w:tmpl w:val="A62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4692F1F"/>
    <w:multiLevelType w:val="hybridMultilevel"/>
    <w:tmpl w:val="766A4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AF7032"/>
    <w:multiLevelType w:val="hybridMultilevel"/>
    <w:tmpl w:val="E440F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1923214">
    <w:abstractNumId w:val="6"/>
  </w:num>
  <w:num w:numId="2" w16cid:durableId="187984678">
    <w:abstractNumId w:val="4"/>
  </w:num>
  <w:num w:numId="3" w16cid:durableId="594754531">
    <w:abstractNumId w:val="2"/>
  </w:num>
  <w:num w:numId="4" w16cid:durableId="325865475">
    <w:abstractNumId w:val="7"/>
  </w:num>
  <w:num w:numId="5" w16cid:durableId="1618292944">
    <w:abstractNumId w:val="1"/>
  </w:num>
  <w:num w:numId="6" w16cid:durableId="1070154944">
    <w:abstractNumId w:val="5"/>
  </w:num>
  <w:num w:numId="7" w16cid:durableId="1813911085">
    <w:abstractNumId w:val="8"/>
  </w:num>
  <w:num w:numId="8" w16cid:durableId="58214992">
    <w:abstractNumId w:val="0"/>
  </w:num>
  <w:num w:numId="9" w16cid:durableId="50216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2B56"/>
    <w:rsid w:val="00007E85"/>
    <w:rsid w:val="00010CD5"/>
    <w:rsid w:val="00010DDE"/>
    <w:rsid w:val="00013465"/>
    <w:rsid w:val="000145B0"/>
    <w:rsid w:val="000150B0"/>
    <w:rsid w:val="000226B3"/>
    <w:rsid w:val="00022A68"/>
    <w:rsid w:val="00024549"/>
    <w:rsid w:val="0002490C"/>
    <w:rsid w:val="000266F2"/>
    <w:rsid w:val="00026A0A"/>
    <w:rsid w:val="00036F99"/>
    <w:rsid w:val="000405B1"/>
    <w:rsid w:val="000427BE"/>
    <w:rsid w:val="0004286D"/>
    <w:rsid w:val="0004617F"/>
    <w:rsid w:val="00047547"/>
    <w:rsid w:val="000544B6"/>
    <w:rsid w:val="00056D4B"/>
    <w:rsid w:val="000604AF"/>
    <w:rsid w:val="0006413F"/>
    <w:rsid w:val="00066CA0"/>
    <w:rsid w:val="00066FC0"/>
    <w:rsid w:val="00075657"/>
    <w:rsid w:val="000778E3"/>
    <w:rsid w:val="00082428"/>
    <w:rsid w:val="00082E14"/>
    <w:rsid w:val="00083114"/>
    <w:rsid w:val="00083C45"/>
    <w:rsid w:val="00085CE2"/>
    <w:rsid w:val="00086C11"/>
    <w:rsid w:val="000876CE"/>
    <w:rsid w:val="000922A3"/>
    <w:rsid w:val="0009407C"/>
    <w:rsid w:val="00094DCF"/>
    <w:rsid w:val="00095128"/>
    <w:rsid w:val="0009567F"/>
    <w:rsid w:val="00095DC1"/>
    <w:rsid w:val="00096BA5"/>
    <w:rsid w:val="000976A7"/>
    <w:rsid w:val="000A0C0F"/>
    <w:rsid w:val="000A1214"/>
    <w:rsid w:val="000A482E"/>
    <w:rsid w:val="000A6CFD"/>
    <w:rsid w:val="000A7133"/>
    <w:rsid w:val="000B0931"/>
    <w:rsid w:val="000B0982"/>
    <w:rsid w:val="000B1CAD"/>
    <w:rsid w:val="000B3046"/>
    <w:rsid w:val="000B4394"/>
    <w:rsid w:val="000B796C"/>
    <w:rsid w:val="000C46BB"/>
    <w:rsid w:val="000C4D9D"/>
    <w:rsid w:val="000C6B68"/>
    <w:rsid w:val="000C7C4B"/>
    <w:rsid w:val="000C7D8B"/>
    <w:rsid w:val="000D786D"/>
    <w:rsid w:val="000E179F"/>
    <w:rsid w:val="000E485D"/>
    <w:rsid w:val="000E72C6"/>
    <w:rsid w:val="000E78D9"/>
    <w:rsid w:val="000F1893"/>
    <w:rsid w:val="000F1C9D"/>
    <w:rsid w:val="000F2A80"/>
    <w:rsid w:val="000F2F51"/>
    <w:rsid w:val="000F4541"/>
    <w:rsid w:val="000F5125"/>
    <w:rsid w:val="001013F2"/>
    <w:rsid w:val="00105366"/>
    <w:rsid w:val="00105820"/>
    <w:rsid w:val="00107570"/>
    <w:rsid w:val="001128FF"/>
    <w:rsid w:val="00113CF8"/>
    <w:rsid w:val="00113D74"/>
    <w:rsid w:val="00117C5C"/>
    <w:rsid w:val="00127825"/>
    <w:rsid w:val="00130729"/>
    <w:rsid w:val="001310AE"/>
    <w:rsid w:val="00131D99"/>
    <w:rsid w:val="00133DAF"/>
    <w:rsid w:val="0013551B"/>
    <w:rsid w:val="00135620"/>
    <w:rsid w:val="00136022"/>
    <w:rsid w:val="00140EC2"/>
    <w:rsid w:val="001420B3"/>
    <w:rsid w:val="001460C4"/>
    <w:rsid w:val="00150609"/>
    <w:rsid w:val="0015691C"/>
    <w:rsid w:val="00156A35"/>
    <w:rsid w:val="0016105B"/>
    <w:rsid w:val="001621F7"/>
    <w:rsid w:val="001624D7"/>
    <w:rsid w:val="00166515"/>
    <w:rsid w:val="00173FA8"/>
    <w:rsid w:val="0017643F"/>
    <w:rsid w:val="00176B92"/>
    <w:rsid w:val="00177B86"/>
    <w:rsid w:val="00177BD1"/>
    <w:rsid w:val="00181271"/>
    <w:rsid w:val="00182585"/>
    <w:rsid w:val="0018409C"/>
    <w:rsid w:val="001879E6"/>
    <w:rsid w:val="00190B1E"/>
    <w:rsid w:val="00191182"/>
    <w:rsid w:val="0019536B"/>
    <w:rsid w:val="0019664D"/>
    <w:rsid w:val="001A6103"/>
    <w:rsid w:val="001A63A2"/>
    <w:rsid w:val="001A7EE1"/>
    <w:rsid w:val="001B0223"/>
    <w:rsid w:val="001B5D37"/>
    <w:rsid w:val="001B635C"/>
    <w:rsid w:val="001C2940"/>
    <w:rsid w:val="001C4016"/>
    <w:rsid w:val="001C4AF8"/>
    <w:rsid w:val="001C548D"/>
    <w:rsid w:val="001C5974"/>
    <w:rsid w:val="001C6A5D"/>
    <w:rsid w:val="001C7163"/>
    <w:rsid w:val="001D3106"/>
    <w:rsid w:val="001D3B5C"/>
    <w:rsid w:val="001D71BC"/>
    <w:rsid w:val="001E31A6"/>
    <w:rsid w:val="001E42C7"/>
    <w:rsid w:val="001E4CAB"/>
    <w:rsid w:val="001E75BE"/>
    <w:rsid w:val="001F0A4E"/>
    <w:rsid w:val="001F1663"/>
    <w:rsid w:val="001F2F3E"/>
    <w:rsid w:val="001F4906"/>
    <w:rsid w:val="001F4CB6"/>
    <w:rsid w:val="001F7C4A"/>
    <w:rsid w:val="00200C5B"/>
    <w:rsid w:val="00201DC9"/>
    <w:rsid w:val="00201FAD"/>
    <w:rsid w:val="0020578A"/>
    <w:rsid w:val="00207631"/>
    <w:rsid w:val="00214013"/>
    <w:rsid w:val="00214D49"/>
    <w:rsid w:val="00215307"/>
    <w:rsid w:val="00216587"/>
    <w:rsid w:val="00220BA2"/>
    <w:rsid w:val="00220FC1"/>
    <w:rsid w:val="00222E9A"/>
    <w:rsid w:val="0023179D"/>
    <w:rsid w:val="00233222"/>
    <w:rsid w:val="00236CDE"/>
    <w:rsid w:val="002403D6"/>
    <w:rsid w:val="002444D7"/>
    <w:rsid w:val="00244FA5"/>
    <w:rsid w:val="00246552"/>
    <w:rsid w:val="0025389D"/>
    <w:rsid w:val="00254E02"/>
    <w:rsid w:val="002559F6"/>
    <w:rsid w:val="00256AF0"/>
    <w:rsid w:val="0026265F"/>
    <w:rsid w:val="002757ED"/>
    <w:rsid w:val="002818C2"/>
    <w:rsid w:val="00285316"/>
    <w:rsid w:val="00286C3A"/>
    <w:rsid w:val="002930F5"/>
    <w:rsid w:val="002A06B7"/>
    <w:rsid w:val="002A3747"/>
    <w:rsid w:val="002B7757"/>
    <w:rsid w:val="002B7F7C"/>
    <w:rsid w:val="002C539F"/>
    <w:rsid w:val="002C5656"/>
    <w:rsid w:val="002C6E0C"/>
    <w:rsid w:val="002C7268"/>
    <w:rsid w:val="002C7B93"/>
    <w:rsid w:val="002D0A5D"/>
    <w:rsid w:val="002D144A"/>
    <w:rsid w:val="002D44E6"/>
    <w:rsid w:val="002D6C15"/>
    <w:rsid w:val="002E0482"/>
    <w:rsid w:val="002E1275"/>
    <w:rsid w:val="002E19A3"/>
    <w:rsid w:val="002E212B"/>
    <w:rsid w:val="002E3337"/>
    <w:rsid w:val="002E58EF"/>
    <w:rsid w:val="002E6D03"/>
    <w:rsid w:val="002E71F7"/>
    <w:rsid w:val="002E73B5"/>
    <w:rsid w:val="002F1AA8"/>
    <w:rsid w:val="002F2724"/>
    <w:rsid w:val="002F49A8"/>
    <w:rsid w:val="002F5E66"/>
    <w:rsid w:val="002F61CA"/>
    <w:rsid w:val="002F7BB7"/>
    <w:rsid w:val="0030010D"/>
    <w:rsid w:val="00300D1B"/>
    <w:rsid w:val="003016ED"/>
    <w:rsid w:val="0030246B"/>
    <w:rsid w:val="00307973"/>
    <w:rsid w:val="00320D3A"/>
    <w:rsid w:val="00321185"/>
    <w:rsid w:val="00323DC9"/>
    <w:rsid w:val="00326015"/>
    <w:rsid w:val="0033172E"/>
    <w:rsid w:val="00331B36"/>
    <w:rsid w:val="0033504C"/>
    <w:rsid w:val="00336816"/>
    <w:rsid w:val="003370D0"/>
    <w:rsid w:val="00337355"/>
    <w:rsid w:val="003402E4"/>
    <w:rsid w:val="00340F95"/>
    <w:rsid w:val="00345EC5"/>
    <w:rsid w:val="00351994"/>
    <w:rsid w:val="003531ED"/>
    <w:rsid w:val="003545CC"/>
    <w:rsid w:val="003551FD"/>
    <w:rsid w:val="0035582C"/>
    <w:rsid w:val="0035656E"/>
    <w:rsid w:val="003609F2"/>
    <w:rsid w:val="00360B9A"/>
    <w:rsid w:val="0036379A"/>
    <w:rsid w:val="00363A33"/>
    <w:rsid w:val="0037076B"/>
    <w:rsid w:val="00370D9E"/>
    <w:rsid w:val="00375F96"/>
    <w:rsid w:val="003769BF"/>
    <w:rsid w:val="00383184"/>
    <w:rsid w:val="00385456"/>
    <w:rsid w:val="00385667"/>
    <w:rsid w:val="0039017F"/>
    <w:rsid w:val="00394AEE"/>
    <w:rsid w:val="00397366"/>
    <w:rsid w:val="003975B3"/>
    <w:rsid w:val="003A14B7"/>
    <w:rsid w:val="003A3DC9"/>
    <w:rsid w:val="003A5426"/>
    <w:rsid w:val="003B2AA3"/>
    <w:rsid w:val="003B5740"/>
    <w:rsid w:val="003C14FC"/>
    <w:rsid w:val="003C2B24"/>
    <w:rsid w:val="003C2D98"/>
    <w:rsid w:val="003C3545"/>
    <w:rsid w:val="003C5F63"/>
    <w:rsid w:val="003C700E"/>
    <w:rsid w:val="003D28FF"/>
    <w:rsid w:val="003D2AFB"/>
    <w:rsid w:val="003D3A96"/>
    <w:rsid w:val="003D3B9C"/>
    <w:rsid w:val="003E0AEE"/>
    <w:rsid w:val="003E5917"/>
    <w:rsid w:val="003E7B28"/>
    <w:rsid w:val="003F205C"/>
    <w:rsid w:val="003F279C"/>
    <w:rsid w:val="003F6CED"/>
    <w:rsid w:val="00400364"/>
    <w:rsid w:val="004023E4"/>
    <w:rsid w:val="00404CFF"/>
    <w:rsid w:val="00404F03"/>
    <w:rsid w:val="00412051"/>
    <w:rsid w:val="004160DF"/>
    <w:rsid w:val="00423B94"/>
    <w:rsid w:val="004357E0"/>
    <w:rsid w:val="00440B98"/>
    <w:rsid w:val="00443B78"/>
    <w:rsid w:val="004441C5"/>
    <w:rsid w:val="00446AA8"/>
    <w:rsid w:val="004505EB"/>
    <w:rsid w:val="0045487E"/>
    <w:rsid w:val="00460AAC"/>
    <w:rsid w:val="0046165A"/>
    <w:rsid w:val="00462E00"/>
    <w:rsid w:val="00463731"/>
    <w:rsid w:val="0046400A"/>
    <w:rsid w:val="00467B25"/>
    <w:rsid w:val="00475E49"/>
    <w:rsid w:val="00480B70"/>
    <w:rsid w:val="00481103"/>
    <w:rsid w:val="00481108"/>
    <w:rsid w:val="00482DE2"/>
    <w:rsid w:val="004870B4"/>
    <w:rsid w:val="0049042B"/>
    <w:rsid w:val="00491CDD"/>
    <w:rsid w:val="00495473"/>
    <w:rsid w:val="0049644F"/>
    <w:rsid w:val="004A40E9"/>
    <w:rsid w:val="004A458E"/>
    <w:rsid w:val="004A5E56"/>
    <w:rsid w:val="004B225F"/>
    <w:rsid w:val="004B23E7"/>
    <w:rsid w:val="004B306F"/>
    <w:rsid w:val="004B5184"/>
    <w:rsid w:val="004C14FB"/>
    <w:rsid w:val="004C3186"/>
    <w:rsid w:val="004C3AB2"/>
    <w:rsid w:val="004C5042"/>
    <w:rsid w:val="004D073A"/>
    <w:rsid w:val="004D360E"/>
    <w:rsid w:val="004D491A"/>
    <w:rsid w:val="004E17B0"/>
    <w:rsid w:val="004E1FE2"/>
    <w:rsid w:val="004E2F58"/>
    <w:rsid w:val="004E4422"/>
    <w:rsid w:val="00503998"/>
    <w:rsid w:val="00503C76"/>
    <w:rsid w:val="0050623B"/>
    <w:rsid w:val="00517816"/>
    <w:rsid w:val="00521F45"/>
    <w:rsid w:val="00523181"/>
    <w:rsid w:val="00524401"/>
    <w:rsid w:val="00524D13"/>
    <w:rsid w:val="00526F03"/>
    <w:rsid w:val="00530C90"/>
    <w:rsid w:val="00530D41"/>
    <w:rsid w:val="005339F6"/>
    <w:rsid w:val="00540A4A"/>
    <w:rsid w:val="00541293"/>
    <w:rsid w:val="005468F1"/>
    <w:rsid w:val="0055464E"/>
    <w:rsid w:val="00560049"/>
    <w:rsid w:val="00562B91"/>
    <w:rsid w:val="00573CAE"/>
    <w:rsid w:val="0057617F"/>
    <w:rsid w:val="00576B18"/>
    <w:rsid w:val="0058154F"/>
    <w:rsid w:val="00581633"/>
    <w:rsid w:val="00584A9C"/>
    <w:rsid w:val="0058506A"/>
    <w:rsid w:val="0058556F"/>
    <w:rsid w:val="005858D8"/>
    <w:rsid w:val="005864F0"/>
    <w:rsid w:val="00586CD6"/>
    <w:rsid w:val="00587724"/>
    <w:rsid w:val="00587FB8"/>
    <w:rsid w:val="0059015B"/>
    <w:rsid w:val="00591512"/>
    <w:rsid w:val="0059201D"/>
    <w:rsid w:val="00594DB1"/>
    <w:rsid w:val="005A6CF5"/>
    <w:rsid w:val="005B2679"/>
    <w:rsid w:val="005B2D91"/>
    <w:rsid w:val="005B48B4"/>
    <w:rsid w:val="005B7F38"/>
    <w:rsid w:val="005C5FB9"/>
    <w:rsid w:val="005C6661"/>
    <w:rsid w:val="005C6E3B"/>
    <w:rsid w:val="005D1046"/>
    <w:rsid w:val="005D474B"/>
    <w:rsid w:val="005E085C"/>
    <w:rsid w:val="005E147D"/>
    <w:rsid w:val="005E16FC"/>
    <w:rsid w:val="005E22C2"/>
    <w:rsid w:val="005E2F98"/>
    <w:rsid w:val="005E57BB"/>
    <w:rsid w:val="005E6FAA"/>
    <w:rsid w:val="005E775F"/>
    <w:rsid w:val="005F0017"/>
    <w:rsid w:val="005F05DF"/>
    <w:rsid w:val="005F513A"/>
    <w:rsid w:val="005F5E4A"/>
    <w:rsid w:val="005F7CB3"/>
    <w:rsid w:val="0060032A"/>
    <w:rsid w:val="006014F1"/>
    <w:rsid w:val="00601F7B"/>
    <w:rsid w:val="00605983"/>
    <w:rsid w:val="00605D00"/>
    <w:rsid w:val="00606665"/>
    <w:rsid w:val="00611896"/>
    <w:rsid w:val="00611E9E"/>
    <w:rsid w:val="0061357B"/>
    <w:rsid w:val="00614A7D"/>
    <w:rsid w:val="00623246"/>
    <w:rsid w:val="00627A3C"/>
    <w:rsid w:val="006351AC"/>
    <w:rsid w:val="0063631C"/>
    <w:rsid w:val="0063757B"/>
    <w:rsid w:val="006377CE"/>
    <w:rsid w:val="00643B7A"/>
    <w:rsid w:val="00644A6C"/>
    <w:rsid w:val="0065213E"/>
    <w:rsid w:val="0065254A"/>
    <w:rsid w:val="00652F9B"/>
    <w:rsid w:val="006536D9"/>
    <w:rsid w:val="006537D9"/>
    <w:rsid w:val="00653A78"/>
    <w:rsid w:val="00662883"/>
    <w:rsid w:val="00664A48"/>
    <w:rsid w:val="00664FDD"/>
    <w:rsid w:val="00665DEF"/>
    <w:rsid w:val="00666AAA"/>
    <w:rsid w:val="00671FAE"/>
    <w:rsid w:val="006727DD"/>
    <w:rsid w:val="00675BB1"/>
    <w:rsid w:val="006775F1"/>
    <w:rsid w:val="006815E9"/>
    <w:rsid w:val="00681B32"/>
    <w:rsid w:val="0068268C"/>
    <w:rsid w:val="00684CC9"/>
    <w:rsid w:val="00692A8D"/>
    <w:rsid w:val="00692AA7"/>
    <w:rsid w:val="00693E9C"/>
    <w:rsid w:val="006977AB"/>
    <w:rsid w:val="00697B8E"/>
    <w:rsid w:val="00697FEC"/>
    <w:rsid w:val="006A175F"/>
    <w:rsid w:val="006A2820"/>
    <w:rsid w:val="006A44F5"/>
    <w:rsid w:val="006A6429"/>
    <w:rsid w:val="006B1636"/>
    <w:rsid w:val="006B3E0B"/>
    <w:rsid w:val="006B4537"/>
    <w:rsid w:val="006B5F85"/>
    <w:rsid w:val="006B650B"/>
    <w:rsid w:val="006B6929"/>
    <w:rsid w:val="006B709B"/>
    <w:rsid w:val="006C23DE"/>
    <w:rsid w:val="006C2891"/>
    <w:rsid w:val="006C4F97"/>
    <w:rsid w:val="006C54AF"/>
    <w:rsid w:val="006D407B"/>
    <w:rsid w:val="006D547B"/>
    <w:rsid w:val="006E0181"/>
    <w:rsid w:val="006E15C1"/>
    <w:rsid w:val="006E3B46"/>
    <w:rsid w:val="006F4790"/>
    <w:rsid w:val="006F6A53"/>
    <w:rsid w:val="006F7D5C"/>
    <w:rsid w:val="00700C0E"/>
    <w:rsid w:val="00700D0B"/>
    <w:rsid w:val="00705624"/>
    <w:rsid w:val="00705DAD"/>
    <w:rsid w:val="00705FD5"/>
    <w:rsid w:val="00710412"/>
    <w:rsid w:val="00710D74"/>
    <w:rsid w:val="0071447B"/>
    <w:rsid w:val="00714616"/>
    <w:rsid w:val="00715A23"/>
    <w:rsid w:val="00717362"/>
    <w:rsid w:val="007247B9"/>
    <w:rsid w:val="00726393"/>
    <w:rsid w:val="00727D85"/>
    <w:rsid w:val="007346C7"/>
    <w:rsid w:val="00736041"/>
    <w:rsid w:val="007408C7"/>
    <w:rsid w:val="0074281C"/>
    <w:rsid w:val="007465DA"/>
    <w:rsid w:val="0074672C"/>
    <w:rsid w:val="0075020C"/>
    <w:rsid w:val="00750653"/>
    <w:rsid w:val="00752C7F"/>
    <w:rsid w:val="00756834"/>
    <w:rsid w:val="007568B9"/>
    <w:rsid w:val="007615A3"/>
    <w:rsid w:val="007668C1"/>
    <w:rsid w:val="00766BDB"/>
    <w:rsid w:val="00776598"/>
    <w:rsid w:val="00783C63"/>
    <w:rsid w:val="00792948"/>
    <w:rsid w:val="00796E84"/>
    <w:rsid w:val="00797817"/>
    <w:rsid w:val="007A3A80"/>
    <w:rsid w:val="007A3ADE"/>
    <w:rsid w:val="007A5733"/>
    <w:rsid w:val="007A5774"/>
    <w:rsid w:val="007B313F"/>
    <w:rsid w:val="007B40D2"/>
    <w:rsid w:val="007C1206"/>
    <w:rsid w:val="007C16E7"/>
    <w:rsid w:val="007C2C07"/>
    <w:rsid w:val="007C4CE3"/>
    <w:rsid w:val="007C6092"/>
    <w:rsid w:val="007D3F1A"/>
    <w:rsid w:val="007E0FAB"/>
    <w:rsid w:val="007E7231"/>
    <w:rsid w:val="007E76F8"/>
    <w:rsid w:val="007F3321"/>
    <w:rsid w:val="007F5EA9"/>
    <w:rsid w:val="008006E6"/>
    <w:rsid w:val="00801E74"/>
    <w:rsid w:val="0080485E"/>
    <w:rsid w:val="00806D37"/>
    <w:rsid w:val="00807920"/>
    <w:rsid w:val="00812364"/>
    <w:rsid w:val="008142B4"/>
    <w:rsid w:val="00815A22"/>
    <w:rsid w:val="00815B62"/>
    <w:rsid w:val="00816188"/>
    <w:rsid w:val="00817D4B"/>
    <w:rsid w:val="00825D48"/>
    <w:rsid w:val="0083082B"/>
    <w:rsid w:val="00830C5B"/>
    <w:rsid w:val="00830E8A"/>
    <w:rsid w:val="00831F5A"/>
    <w:rsid w:val="00832324"/>
    <w:rsid w:val="00832FB5"/>
    <w:rsid w:val="0083444A"/>
    <w:rsid w:val="008348B6"/>
    <w:rsid w:val="00835337"/>
    <w:rsid w:val="00837E5F"/>
    <w:rsid w:val="0084075C"/>
    <w:rsid w:val="008465EF"/>
    <w:rsid w:val="00846DCD"/>
    <w:rsid w:val="008475F4"/>
    <w:rsid w:val="00851BA2"/>
    <w:rsid w:val="00851D85"/>
    <w:rsid w:val="008538E4"/>
    <w:rsid w:val="0085481E"/>
    <w:rsid w:val="00860155"/>
    <w:rsid w:val="00860CCB"/>
    <w:rsid w:val="008740A3"/>
    <w:rsid w:val="0087613B"/>
    <w:rsid w:val="00877CA2"/>
    <w:rsid w:val="0089297B"/>
    <w:rsid w:val="008A1445"/>
    <w:rsid w:val="008A7AF4"/>
    <w:rsid w:val="008B125D"/>
    <w:rsid w:val="008B1850"/>
    <w:rsid w:val="008B5C1B"/>
    <w:rsid w:val="008C2864"/>
    <w:rsid w:val="008C36CA"/>
    <w:rsid w:val="008C47F2"/>
    <w:rsid w:val="008C6C82"/>
    <w:rsid w:val="008C7F13"/>
    <w:rsid w:val="008D578A"/>
    <w:rsid w:val="008E148D"/>
    <w:rsid w:val="008E14F1"/>
    <w:rsid w:val="008E2BEB"/>
    <w:rsid w:val="008E3A5D"/>
    <w:rsid w:val="008E3F8C"/>
    <w:rsid w:val="008E6E9A"/>
    <w:rsid w:val="008F7A3C"/>
    <w:rsid w:val="00902FD0"/>
    <w:rsid w:val="009053D3"/>
    <w:rsid w:val="0090691F"/>
    <w:rsid w:val="00914F23"/>
    <w:rsid w:val="00921CCA"/>
    <w:rsid w:val="00925137"/>
    <w:rsid w:val="0093051F"/>
    <w:rsid w:val="0093111F"/>
    <w:rsid w:val="00931ACF"/>
    <w:rsid w:val="00932B65"/>
    <w:rsid w:val="00935689"/>
    <w:rsid w:val="009406ED"/>
    <w:rsid w:val="00941F2B"/>
    <w:rsid w:val="009502D6"/>
    <w:rsid w:val="009513A7"/>
    <w:rsid w:val="0095145B"/>
    <w:rsid w:val="00951BCE"/>
    <w:rsid w:val="0095303B"/>
    <w:rsid w:val="009607D3"/>
    <w:rsid w:val="009663B6"/>
    <w:rsid w:val="00974A47"/>
    <w:rsid w:val="00975296"/>
    <w:rsid w:val="0097544E"/>
    <w:rsid w:val="00980286"/>
    <w:rsid w:val="00985D67"/>
    <w:rsid w:val="009901E5"/>
    <w:rsid w:val="00990DCF"/>
    <w:rsid w:val="0099331B"/>
    <w:rsid w:val="00994EEA"/>
    <w:rsid w:val="009A0CF3"/>
    <w:rsid w:val="009A3275"/>
    <w:rsid w:val="009A33C6"/>
    <w:rsid w:val="009A49BB"/>
    <w:rsid w:val="009A4CD6"/>
    <w:rsid w:val="009A537C"/>
    <w:rsid w:val="009B2FFF"/>
    <w:rsid w:val="009C0886"/>
    <w:rsid w:val="009C1691"/>
    <w:rsid w:val="009C19EE"/>
    <w:rsid w:val="009C28D0"/>
    <w:rsid w:val="009C2DE6"/>
    <w:rsid w:val="009C35F2"/>
    <w:rsid w:val="009C48B1"/>
    <w:rsid w:val="009C4BCF"/>
    <w:rsid w:val="009C7249"/>
    <w:rsid w:val="009C7782"/>
    <w:rsid w:val="009D1651"/>
    <w:rsid w:val="009D1ED5"/>
    <w:rsid w:val="009D2978"/>
    <w:rsid w:val="009D2A37"/>
    <w:rsid w:val="009D4C13"/>
    <w:rsid w:val="009D7F70"/>
    <w:rsid w:val="009E17F0"/>
    <w:rsid w:val="009E21A7"/>
    <w:rsid w:val="009E55A3"/>
    <w:rsid w:val="009F28C6"/>
    <w:rsid w:val="00A0291C"/>
    <w:rsid w:val="00A029BF"/>
    <w:rsid w:val="00A03555"/>
    <w:rsid w:val="00A103ED"/>
    <w:rsid w:val="00A13C60"/>
    <w:rsid w:val="00A15134"/>
    <w:rsid w:val="00A15E93"/>
    <w:rsid w:val="00A20600"/>
    <w:rsid w:val="00A20633"/>
    <w:rsid w:val="00A212AA"/>
    <w:rsid w:val="00A2178A"/>
    <w:rsid w:val="00A23FD0"/>
    <w:rsid w:val="00A26205"/>
    <w:rsid w:val="00A2681B"/>
    <w:rsid w:val="00A33981"/>
    <w:rsid w:val="00A340F2"/>
    <w:rsid w:val="00A341A3"/>
    <w:rsid w:val="00A35800"/>
    <w:rsid w:val="00A4098D"/>
    <w:rsid w:val="00A43E27"/>
    <w:rsid w:val="00A50CAF"/>
    <w:rsid w:val="00A52918"/>
    <w:rsid w:val="00A547B3"/>
    <w:rsid w:val="00A55CDE"/>
    <w:rsid w:val="00A56CAB"/>
    <w:rsid w:val="00A62805"/>
    <w:rsid w:val="00A62E28"/>
    <w:rsid w:val="00A67EA4"/>
    <w:rsid w:val="00A70E82"/>
    <w:rsid w:val="00A76CC0"/>
    <w:rsid w:val="00A827A9"/>
    <w:rsid w:val="00A84B1A"/>
    <w:rsid w:val="00A84CAD"/>
    <w:rsid w:val="00A875A8"/>
    <w:rsid w:val="00A90E50"/>
    <w:rsid w:val="00A95FA5"/>
    <w:rsid w:val="00A96D92"/>
    <w:rsid w:val="00A972A0"/>
    <w:rsid w:val="00A978D1"/>
    <w:rsid w:val="00AA0094"/>
    <w:rsid w:val="00AA2B2D"/>
    <w:rsid w:val="00AA4B87"/>
    <w:rsid w:val="00AA5950"/>
    <w:rsid w:val="00AA6634"/>
    <w:rsid w:val="00AB199C"/>
    <w:rsid w:val="00AB3733"/>
    <w:rsid w:val="00AB54C8"/>
    <w:rsid w:val="00AB588C"/>
    <w:rsid w:val="00AB63C4"/>
    <w:rsid w:val="00AB6F4C"/>
    <w:rsid w:val="00AB7897"/>
    <w:rsid w:val="00AC14E0"/>
    <w:rsid w:val="00AC1F58"/>
    <w:rsid w:val="00AC3397"/>
    <w:rsid w:val="00AC5054"/>
    <w:rsid w:val="00AC5731"/>
    <w:rsid w:val="00AD64AA"/>
    <w:rsid w:val="00AE02AC"/>
    <w:rsid w:val="00AE091A"/>
    <w:rsid w:val="00AE4BAC"/>
    <w:rsid w:val="00AF3056"/>
    <w:rsid w:val="00AF3453"/>
    <w:rsid w:val="00AF60A4"/>
    <w:rsid w:val="00B001C9"/>
    <w:rsid w:val="00B034FC"/>
    <w:rsid w:val="00B036C4"/>
    <w:rsid w:val="00B05310"/>
    <w:rsid w:val="00B10A0B"/>
    <w:rsid w:val="00B222E0"/>
    <w:rsid w:val="00B30D85"/>
    <w:rsid w:val="00B30DBC"/>
    <w:rsid w:val="00B32E57"/>
    <w:rsid w:val="00B331D8"/>
    <w:rsid w:val="00B331E9"/>
    <w:rsid w:val="00B35A4A"/>
    <w:rsid w:val="00B40803"/>
    <w:rsid w:val="00B453CF"/>
    <w:rsid w:val="00B45E66"/>
    <w:rsid w:val="00B53421"/>
    <w:rsid w:val="00B538A7"/>
    <w:rsid w:val="00B56629"/>
    <w:rsid w:val="00B63FD7"/>
    <w:rsid w:val="00B64AD7"/>
    <w:rsid w:val="00B65E68"/>
    <w:rsid w:val="00B668C4"/>
    <w:rsid w:val="00B66E8D"/>
    <w:rsid w:val="00B7309D"/>
    <w:rsid w:val="00B758E0"/>
    <w:rsid w:val="00B761A7"/>
    <w:rsid w:val="00B777F7"/>
    <w:rsid w:val="00B8013E"/>
    <w:rsid w:val="00B80FFD"/>
    <w:rsid w:val="00B816D9"/>
    <w:rsid w:val="00B8316C"/>
    <w:rsid w:val="00B91042"/>
    <w:rsid w:val="00B9120F"/>
    <w:rsid w:val="00B9216C"/>
    <w:rsid w:val="00B924A4"/>
    <w:rsid w:val="00BA6773"/>
    <w:rsid w:val="00BB0D1A"/>
    <w:rsid w:val="00BB1D3B"/>
    <w:rsid w:val="00BB1DBD"/>
    <w:rsid w:val="00BB2A95"/>
    <w:rsid w:val="00BB48E8"/>
    <w:rsid w:val="00BB5B46"/>
    <w:rsid w:val="00BB75D8"/>
    <w:rsid w:val="00BC2B14"/>
    <w:rsid w:val="00BC35ED"/>
    <w:rsid w:val="00BC56C3"/>
    <w:rsid w:val="00BD7297"/>
    <w:rsid w:val="00BE205A"/>
    <w:rsid w:val="00BE2089"/>
    <w:rsid w:val="00BE295D"/>
    <w:rsid w:val="00BE2E4F"/>
    <w:rsid w:val="00BE3802"/>
    <w:rsid w:val="00BE6718"/>
    <w:rsid w:val="00BF12BE"/>
    <w:rsid w:val="00BF238E"/>
    <w:rsid w:val="00BF2F4A"/>
    <w:rsid w:val="00BF3BBD"/>
    <w:rsid w:val="00BF5182"/>
    <w:rsid w:val="00BF544D"/>
    <w:rsid w:val="00BF7023"/>
    <w:rsid w:val="00BF7679"/>
    <w:rsid w:val="00C0076F"/>
    <w:rsid w:val="00C0132C"/>
    <w:rsid w:val="00C0301C"/>
    <w:rsid w:val="00C050B6"/>
    <w:rsid w:val="00C10025"/>
    <w:rsid w:val="00C10F12"/>
    <w:rsid w:val="00C14277"/>
    <w:rsid w:val="00C150F9"/>
    <w:rsid w:val="00C16591"/>
    <w:rsid w:val="00C167F0"/>
    <w:rsid w:val="00C209CA"/>
    <w:rsid w:val="00C222F0"/>
    <w:rsid w:val="00C245EA"/>
    <w:rsid w:val="00C2475B"/>
    <w:rsid w:val="00C256DB"/>
    <w:rsid w:val="00C256F6"/>
    <w:rsid w:val="00C3091A"/>
    <w:rsid w:val="00C3097E"/>
    <w:rsid w:val="00C35ECC"/>
    <w:rsid w:val="00C361A8"/>
    <w:rsid w:val="00C40276"/>
    <w:rsid w:val="00C4069E"/>
    <w:rsid w:val="00C41246"/>
    <w:rsid w:val="00C42C2E"/>
    <w:rsid w:val="00C43288"/>
    <w:rsid w:val="00C45E5F"/>
    <w:rsid w:val="00C46291"/>
    <w:rsid w:val="00C501B7"/>
    <w:rsid w:val="00C5077F"/>
    <w:rsid w:val="00C56509"/>
    <w:rsid w:val="00C62102"/>
    <w:rsid w:val="00C628E2"/>
    <w:rsid w:val="00C63412"/>
    <w:rsid w:val="00C63B03"/>
    <w:rsid w:val="00C66A50"/>
    <w:rsid w:val="00C672C6"/>
    <w:rsid w:val="00C70F70"/>
    <w:rsid w:val="00C714D0"/>
    <w:rsid w:val="00C740CE"/>
    <w:rsid w:val="00C76A1A"/>
    <w:rsid w:val="00C90060"/>
    <w:rsid w:val="00C90ABA"/>
    <w:rsid w:val="00C90EF4"/>
    <w:rsid w:val="00C97EBF"/>
    <w:rsid w:val="00CA015A"/>
    <w:rsid w:val="00CA2985"/>
    <w:rsid w:val="00CA3167"/>
    <w:rsid w:val="00CB0B13"/>
    <w:rsid w:val="00CB1134"/>
    <w:rsid w:val="00CB2EB8"/>
    <w:rsid w:val="00CC00B2"/>
    <w:rsid w:val="00CC1AA3"/>
    <w:rsid w:val="00CC40A1"/>
    <w:rsid w:val="00CC4FDA"/>
    <w:rsid w:val="00CC7B91"/>
    <w:rsid w:val="00CC7F86"/>
    <w:rsid w:val="00CD28FE"/>
    <w:rsid w:val="00CD4486"/>
    <w:rsid w:val="00CE027A"/>
    <w:rsid w:val="00CE0AE4"/>
    <w:rsid w:val="00CE0E7B"/>
    <w:rsid w:val="00CE7033"/>
    <w:rsid w:val="00CF2E95"/>
    <w:rsid w:val="00CF36DD"/>
    <w:rsid w:val="00CF48D8"/>
    <w:rsid w:val="00CF4AA0"/>
    <w:rsid w:val="00CF5E22"/>
    <w:rsid w:val="00D0410A"/>
    <w:rsid w:val="00D05654"/>
    <w:rsid w:val="00D06A44"/>
    <w:rsid w:val="00D11D4C"/>
    <w:rsid w:val="00D151EB"/>
    <w:rsid w:val="00D156C4"/>
    <w:rsid w:val="00D159CE"/>
    <w:rsid w:val="00D22AB0"/>
    <w:rsid w:val="00D22DC4"/>
    <w:rsid w:val="00D233C3"/>
    <w:rsid w:val="00D23B96"/>
    <w:rsid w:val="00D253DE"/>
    <w:rsid w:val="00D2688A"/>
    <w:rsid w:val="00D300E0"/>
    <w:rsid w:val="00D31EE5"/>
    <w:rsid w:val="00D31FE1"/>
    <w:rsid w:val="00D33631"/>
    <w:rsid w:val="00D358C5"/>
    <w:rsid w:val="00D374CD"/>
    <w:rsid w:val="00D415BD"/>
    <w:rsid w:val="00D4244C"/>
    <w:rsid w:val="00D42F5F"/>
    <w:rsid w:val="00D53A8D"/>
    <w:rsid w:val="00D57F56"/>
    <w:rsid w:val="00D6047A"/>
    <w:rsid w:val="00D612E0"/>
    <w:rsid w:val="00D61355"/>
    <w:rsid w:val="00D650CE"/>
    <w:rsid w:val="00D70BE9"/>
    <w:rsid w:val="00D71719"/>
    <w:rsid w:val="00D71B69"/>
    <w:rsid w:val="00D734FA"/>
    <w:rsid w:val="00D73A4D"/>
    <w:rsid w:val="00D76F95"/>
    <w:rsid w:val="00D776DA"/>
    <w:rsid w:val="00D83F2F"/>
    <w:rsid w:val="00D84201"/>
    <w:rsid w:val="00D84B54"/>
    <w:rsid w:val="00D8758B"/>
    <w:rsid w:val="00D930D1"/>
    <w:rsid w:val="00D9311D"/>
    <w:rsid w:val="00D942B3"/>
    <w:rsid w:val="00D94863"/>
    <w:rsid w:val="00D949BD"/>
    <w:rsid w:val="00DA0981"/>
    <w:rsid w:val="00DA4738"/>
    <w:rsid w:val="00DA5E16"/>
    <w:rsid w:val="00DA7D09"/>
    <w:rsid w:val="00DB37A7"/>
    <w:rsid w:val="00DB5F13"/>
    <w:rsid w:val="00DC05AD"/>
    <w:rsid w:val="00DC2630"/>
    <w:rsid w:val="00DC49E9"/>
    <w:rsid w:val="00DC55E4"/>
    <w:rsid w:val="00DC57CB"/>
    <w:rsid w:val="00DC5E85"/>
    <w:rsid w:val="00DC6173"/>
    <w:rsid w:val="00DC7D71"/>
    <w:rsid w:val="00DD188C"/>
    <w:rsid w:val="00DD29A3"/>
    <w:rsid w:val="00DD3199"/>
    <w:rsid w:val="00DD48EE"/>
    <w:rsid w:val="00DD5F1C"/>
    <w:rsid w:val="00DE0B96"/>
    <w:rsid w:val="00DE10B9"/>
    <w:rsid w:val="00DE3433"/>
    <w:rsid w:val="00DE4346"/>
    <w:rsid w:val="00DE6EE9"/>
    <w:rsid w:val="00DF0B13"/>
    <w:rsid w:val="00DF2559"/>
    <w:rsid w:val="00DF2EB8"/>
    <w:rsid w:val="00DF4A94"/>
    <w:rsid w:val="00DF6003"/>
    <w:rsid w:val="00DF6F54"/>
    <w:rsid w:val="00E00095"/>
    <w:rsid w:val="00E066C3"/>
    <w:rsid w:val="00E10D8C"/>
    <w:rsid w:val="00E11F6E"/>
    <w:rsid w:val="00E1353A"/>
    <w:rsid w:val="00E154AB"/>
    <w:rsid w:val="00E1564B"/>
    <w:rsid w:val="00E15FAC"/>
    <w:rsid w:val="00E20860"/>
    <w:rsid w:val="00E208A0"/>
    <w:rsid w:val="00E249D2"/>
    <w:rsid w:val="00E24C6C"/>
    <w:rsid w:val="00E25B49"/>
    <w:rsid w:val="00E30F16"/>
    <w:rsid w:val="00E371EA"/>
    <w:rsid w:val="00E40E8B"/>
    <w:rsid w:val="00E42608"/>
    <w:rsid w:val="00E43DC6"/>
    <w:rsid w:val="00E44C49"/>
    <w:rsid w:val="00E45260"/>
    <w:rsid w:val="00E51E03"/>
    <w:rsid w:val="00E52EE0"/>
    <w:rsid w:val="00E53F10"/>
    <w:rsid w:val="00E6081D"/>
    <w:rsid w:val="00E6231F"/>
    <w:rsid w:val="00E64429"/>
    <w:rsid w:val="00E6469A"/>
    <w:rsid w:val="00E64EDB"/>
    <w:rsid w:val="00E657C2"/>
    <w:rsid w:val="00E67036"/>
    <w:rsid w:val="00E677DD"/>
    <w:rsid w:val="00E716A9"/>
    <w:rsid w:val="00E72EE3"/>
    <w:rsid w:val="00E748F0"/>
    <w:rsid w:val="00E74A92"/>
    <w:rsid w:val="00E7594B"/>
    <w:rsid w:val="00E8197F"/>
    <w:rsid w:val="00E91F25"/>
    <w:rsid w:val="00E93371"/>
    <w:rsid w:val="00E94034"/>
    <w:rsid w:val="00E962F6"/>
    <w:rsid w:val="00EA179B"/>
    <w:rsid w:val="00EA1F86"/>
    <w:rsid w:val="00EA7CCF"/>
    <w:rsid w:val="00EB0F31"/>
    <w:rsid w:val="00EB1702"/>
    <w:rsid w:val="00EB4688"/>
    <w:rsid w:val="00EB6C07"/>
    <w:rsid w:val="00EC028D"/>
    <w:rsid w:val="00EC28DB"/>
    <w:rsid w:val="00EC512F"/>
    <w:rsid w:val="00ED08B9"/>
    <w:rsid w:val="00ED35C4"/>
    <w:rsid w:val="00ED5120"/>
    <w:rsid w:val="00ED633B"/>
    <w:rsid w:val="00ED69E1"/>
    <w:rsid w:val="00ED7212"/>
    <w:rsid w:val="00ED7F79"/>
    <w:rsid w:val="00EE179E"/>
    <w:rsid w:val="00EE2363"/>
    <w:rsid w:val="00EE2BBB"/>
    <w:rsid w:val="00EE3BED"/>
    <w:rsid w:val="00EE478C"/>
    <w:rsid w:val="00EE580E"/>
    <w:rsid w:val="00EF1A50"/>
    <w:rsid w:val="00F03631"/>
    <w:rsid w:val="00F03F2F"/>
    <w:rsid w:val="00F05135"/>
    <w:rsid w:val="00F05981"/>
    <w:rsid w:val="00F1132C"/>
    <w:rsid w:val="00F11797"/>
    <w:rsid w:val="00F15DD5"/>
    <w:rsid w:val="00F17BA0"/>
    <w:rsid w:val="00F17D4B"/>
    <w:rsid w:val="00F20DCC"/>
    <w:rsid w:val="00F21BC6"/>
    <w:rsid w:val="00F22CFB"/>
    <w:rsid w:val="00F23139"/>
    <w:rsid w:val="00F268CD"/>
    <w:rsid w:val="00F304A8"/>
    <w:rsid w:val="00F30D28"/>
    <w:rsid w:val="00F311B6"/>
    <w:rsid w:val="00F32BA6"/>
    <w:rsid w:val="00F33B6A"/>
    <w:rsid w:val="00F461E3"/>
    <w:rsid w:val="00F469D2"/>
    <w:rsid w:val="00F474D6"/>
    <w:rsid w:val="00F53CFA"/>
    <w:rsid w:val="00F53D24"/>
    <w:rsid w:val="00F559EB"/>
    <w:rsid w:val="00F56F98"/>
    <w:rsid w:val="00F57704"/>
    <w:rsid w:val="00F620CB"/>
    <w:rsid w:val="00F63046"/>
    <w:rsid w:val="00F63B90"/>
    <w:rsid w:val="00F66CD5"/>
    <w:rsid w:val="00F67A9A"/>
    <w:rsid w:val="00F70A86"/>
    <w:rsid w:val="00F70F4E"/>
    <w:rsid w:val="00F73113"/>
    <w:rsid w:val="00F75FC4"/>
    <w:rsid w:val="00F808B4"/>
    <w:rsid w:val="00F81168"/>
    <w:rsid w:val="00F813BD"/>
    <w:rsid w:val="00F85981"/>
    <w:rsid w:val="00F87263"/>
    <w:rsid w:val="00F93725"/>
    <w:rsid w:val="00F948E9"/>
    <w:rsid w:val="00F97B6A"/>
    <w:rsid w:val="00FA1BA3"/>
    <w:rsid w:val="00FA318A"/>
    <w:rsid w:val="00FA3245"/>
    <w:rsid w:val="00FA3D94"/>
    <w:rsid w:val="00FA4890"/>
    <w:rsid w:val="00FB042C"/>
    <w:rsid w:val="00FB1848"/>
    <w:rsid w:val="00FB56B3"/>
    <w:rsid w:val="00FB77FA"/>
    <w:rsid w:val="00FC3C70"/>
    <w:rsid w:val="00FC4A73"/>
    <w:rsid w:val="00FC559C"/>
    <w:rsid w:val="00FC5FE1"/>
    <w:rsid w:val="00FC7DE0"/>
    <w:rsid w:val="00FC7F0D"/>
    <w:rsid w:val="00FD0B0C"/>
    <w:rsid w:val="00FD0E4B"/>
    <w:rsid w:val="00FD26E9"/>
    <w:rsid w:val="00FD2F08"/>
    <w:rsid w:val="00FE0F01"/>
    <w:rsid w:val="00FE4FC0"/>
    <w:rsid w:val="00FE5B80"/>
    <w:rsid w:val="00FE645A"/>
    <w:rsid w:val="00FF14A6"/>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F21BC6"/>
    <w:pPr>
      <w:spacing w:after="0" w:line="240" w:lineRule="auto"/>
    </w:pPr>
    <w:rPr>
      <w:sz w:val="24"/>
      <w:szCs w:val="24"/>
    </w:rPr>
  </w:style>
  <w:style w:type="character" w:styleId="UnresolvedMention">
    <w:name w:val="Unresolved Mention"/>
    <w:basedOn w:val="DefaultParagraphFont"/>
    <w:uiPriority w:val="99"/>
    <w:semiHidden/>
    <w:unhideWhenUsed/>
    <w:rsid w:val="0069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15868135">
      <w:bodyDiv w:val="1"/>
      <w:marLeft w:val="0"/>
      <w:marRight w:val="0"/>
      <w:marTop w:val="0"/>
      <w:marBottom w:val="0"/>
      <w:divBdr>
        <w:top w:val="none" w:sz="0" w:space="0" w:color="auto"/>
        <w:left w:val="none" w:sz="0" w:space="0" w:color="auto"/>
        <w:bottom w:val="none" w:sz="0" w:space="0" w:color="auto"/>
        <w:right w:val="none" w:sz="0" w:space="0" w:color="auto"/>
      </w:divBdr>
    </w:div>
    <w:div w:id="638455671">
      <w:bodyDiv w:val="1"/>
      <w:marLeft w:val="0"/>
      <w:marRight w:val="0"/>
      <w:marTop w:val="0"/>
      <w:marBottom w:val="0"/>
      <w:divBdr>
        <w:top w:val="none" w:sz="0" w:space="0" w:color="auto"/>
        <w:left w:val="none" w:sz="0" w:space="0" w:color="auto"/>
        <w:bottom w:val="none" w:sz="0" w:space="0" w:color="auto"/>
        <w:right w:val="none" w:sz="0" w:space="0" w:color="auto"/>
      </w:divBdr>
    </w:div>
    <w:div w:id="954561990">
      <w:bodyDiv w:val="1"/>
      <w:marLeft w:val="0"/>
      <w:marRight w:val="0"/>
      <w:marTop w:val="0"/>
      <w:marBottom w:val="0"/>
      <w:divBdr>
        <w:top w:val="none" w:sz="0" w:space="0" w:color="auto"/>
        <w:left w:val="none" w:sz="0" w:space="0" w:color="auto"/>
        <w:bottom w:val="none" w:sz="0" w:space="0" w:color="auto"/>
        <w:right w:val="none" w:sz="0" w:space="0" w:color="auto"/>
      </w:divBdr>
    </w:div>
    <w:div w:id="106845401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7575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info/industry/listing/elements/pbac-meetings/psd/2020-07/indacaterol-with-glycopyrronium-and-mometasone-capsule-cont" TargetMode="External"/><Relationship Id="rId18" Type="http://schemas.openxmlformats.org/officeDocument/2006/relationships/chart" Target="charts/chart3.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chart" Target="charts/chart2.xml"/><Relationship Id="rId25" Type="http://schemas.openxmlformats.org/officeDocument/2006/relationships/image" Target="media/image6.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image" Target="media/image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listing/elements/pbac-meetings/psd/2022-03/beclometasone-with-formoterol-and-glycopyrronium-pressurised-inhalation" TargetMode="External"/><Relationship Id="rId23" Type="http://schemas.openxmlformats.org/officeDocument/2006/relationships/chart" Target="charts/chart4.xml"/><Relationship Id="rId28" Type="http://schemas.openxmlformats.org/officeDocument/2006/relationships/hyperlink" Target="https://amhonline.amh.net.au/chapters/respiratory-drugs/drugs-asthma-chronic-obstructive-pulmonary-disease" TargetMode="External"/><Relationship Id="rId36"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21-11/fluticasone-furoate-with-umeclidinium-and-vilanterol-powder" TargetMode="External"/><Relationship Id="rId22" Type="http://schemas.openxmlformats.org/officeDocument/2006/relationships/image" Target="media/image4.png"/><Relationship Id="rId27" Type="http://schemas.openxmlformats.org/officeDocument/2006/relationships/hyperlink" Target="https://asthma.org.au/what-is-asthm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tga.gov.au/hp/information-medicines-pi.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asthma/Asthma%20simple%20cou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asthma/Asthma%20simple%20cou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asthma/Asthma%20simple%20coun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asthma/Asthma%20simple%20coun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asthma/Asthma%20simple%20coun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[Asthma%20simple%20counts(1).xlsx]Sheet1!PivotTable1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Sheet1!$N$1:$N$2</c:f>
              <c:strCache>
                <c:ptCount val="1"/>
                <c:pt idx="0">
                  <c:v>TIOTROPIUM</c:v>
                </c:pt>
              </c:strCache>
            </c:strRef>
          </c:tx>
          <c:spPr>
            <a:ln w="28575" cap="rnd">
              <a:solidFill>
                <a:schemeClr val="accent1"/>
              </a:solidFill>
              <a:round/>
            </a:ln>
            <a:effectLst/>
          </c:spPr>
          <c:marker>
            <c:symbol val="none"/>
          </c:marker>
          <c:cat>
            <c:strRef>
              <c:f>Sheet1!$M$3:$M$11</c:f>
              <c:strCache>
                <c:ptCount val="8"/>
                <c:pt idx="0">
                  <c:v>2017</c:v>
                </c:pt>
                <c:pt idx="1">
                  <c:v>2018</c:v>
                </c:pt>
                <c:pt idx="2">
                  <c:v>2019</c:v>
                </c:pt>
                <c:pt idx="3">
                  <c:v>2020</c:v>
                </c:pt>
                <c:pt idx="4">
                  <c:v>2021</c:v>
                </c:pt>
                <c:pt idx="5">
                  <c:v>2022</c:v>
                </c:pt>
                <c:pt idx="6">
                  <c:v>2023</c:v>
                </c:pt>
                <c:pt idx="7">
                  <c:v>2024</c:v>
                </c:pt>
              </c:strCache>
            </c:strRef>
          </c:cat>
          <c:val>
            <c:numRef>
              <c:f>Sheet1!$N$3:$N$11</c:f>
              <c:numCache>
                <c:formatCode>General</c:formatCode>
                <c:ptCount val="8"/>
                <c:pt idx="0">
                  <c:v>47002</c:v>
                </c:pt>
                <c:pt idx="1">
                  <c:v>69826</c:v>
                </c:pt>
                <c:pt idx="2">
                  <c:v>76404</c:v>
                </c:pt>
                <c:pt idx="3">
                  <c:v>76351</c:v>
                </c:pt>
                <c:pt idx="4">
                  <c:v>72374</c:v>
                </c:pt>
                <c:pt idx="5">
                  <c:v>64704</c:v>
                </c:pt>
                <c:pt idx="6">
                  <c:v>59339</c:v>
                </c:pt>
                <c:pt idx="7">
                  <c:v>49986</c:v>
                </c:pt>
              </c:numCache>
            </c:numRef>
          </c:val>
          <c:smooth val="0"/>
          <c:extLst>
            <c:ext xmlns:c16="http://schemas.microsoft.com/office/drawing/2014/chart" uri="{C3380CC4-5D6E-409C-BE32-E72D297353CC}">
              <c16:uniqueId val="{00000000-A271-4CBD-BA78-5714096EF20A}"/>
            </c:ext>
          </c:extLst>
        </c:ser>
        <c:ser>
          <c:idx val="1"/>
          <c:order val="1"/>
          <c:tx>
            <c:strRef>
              <c:f>Sheet1!$O$1:$O$2</c:f>
              <c:strCache>
                <c:ptCount val="1"/>
                <c:pt idx="0">
                  <c:v>FF/VI/UMEC</c:v>
                </c:pt>
              </c:strCache>
            </c:strRef>
          </c:tx>
          <c:spPr>
            <a:ln w="28575" cap="rnd">
              <a:solidFill>
                <a:schemeClr val="accent2"/>
              </a:solidFill>
              <a:round/>
            </a:ln>
            <a:effectLst/>
          </c:spPr>
          <c:marker>
            <c:symbol val="none"/>
          </c:marker>
          <c:cat>
            <c:strRef>
              <c:f>Sheet1!$M$3:$M$11</c:f>
              <c:strCache>
                <c:ptCount val="8"/>
                <c:pt idx="0">
                  <c:v>2017</c:v>
                </c:pt>
                <c:pt idx="1">
                  <c:v>2018</c:v>
                </c:pt>
                <c:pt idx="2">
                  <c:v>2019</c:v>
                </c:pt>
                <c:pt idx="3">
                  <c:v>2020</c:v>
                </c:pt>
                <c:pt idx="4">
                  <c:v>2021</c:v>
                </c:pt>
                <c:pt idx="5">
                  <c:v>2022</c:v>
                </c:pt>
                <c:pt idx="6">
                  <c:v>2023</c:v>
                </c:pt>
                <c:pt idx="7">
                  <c:v>2024</c:v>
                </c:pt>
              </c:strCache>
            </c:strRef>
          </c:cat>
          <c:val>
            <c:numRef>
              <c:f>Sheet1!$O$3:$O$11</c:f>
              <c:numCache>
                <c:formatCode>General</c:formatCode>
                <c:ptCount val="8"/>
                <c:pt idx="5">
                  <c:v>18821</c:v>
                </c:pt>
                <c:pt idx="6">
                  <c:v>41407</c:v>
                </c:pt>
                <c:pt idx="7">
                  <c:v>56956</c:v>
                </c:pt>
              </c:numCache>
            </c:numRef>
          </c:val>
          <c:smooth val="0"/>
          <c:extLst>
            <c:ext xmlns:c16="http://schemas.microsoft.com/office/drawing/2014/chart" uri="{C3380CC4-5D6E-409C-BE32-E72D297353CC}">
              <c16:uniqueId val="{00000001-A271-4CBD-BA78-5714096EF20A}"/>
            </c:ext>
          </c:extLst>
        </c:ser>
        <c:ser>
          <c:idx val="2"/>
          <c:order val="2"/>
          <c:tx>
            <c:strRef>
              <c:f>Sheet1!$P$1:$P$2</c:f>
              <c:strCache>
                <c:ptCount val="1"/>
                <c:pt idx="0">
                  <c:v>BEC/FOR/GLY</c:v>
                </c:pt>
              </c:strCache>
            </c:strRef>
          </c:tx>
          <c:spPr>
            <a:ln w="28575" cap="rnd">
              <a:solidFill>
                <a:schemeClr val="accent3"/>
              </a:solidFill>
              <a:round/>
            </a:ln>
            <a:effectLst/>
          </c:spPr>
          <c:marker>
            <c:symbol val="none"/>
          </c:marker>
          <c:cat>
            <c:strRef>
              <c:f>Sheet1!$M$3:$M$11</c:f>
              <c:strCache>
                <c:ptCount val="8"/>
                <c:pt idx="0">
                  <c:v>2017</c:v>
                </c:pt>
                <c:pt idx="1">
                  <c:v>2018</c:v>
                </c:pt>
                <c:pt idx="2">
                  <c:v>2019</c:v>
                </c:pt>
                <c:pt idx="3">
                  <c:v>2020</c:v>
                </c:pt>
                <c:pt idx="4">
                  <c:v>2021</c:v>
                </c:pt>
                <c:pt idx="5">
                  <c:v>2022</c:v>
                </c:pt>
                <c:pt idx="6">
                  <c:v>2023</c:v>
                </c:pt>
                <c:pt idx="7">
                  <c:v>2024</c:v>
                </c:pt>
              </c:strCache>
            </c:strRef>
          </c:cat>
          <c:val>
            <c:numRef>
              <c:f>Sheet1!$P$3:$P$11</c:f>
              <c:numCache>
                <c:formatCode>General</c:formatCode>
                <c:ptCount val="8"/>
                <c:pt idx="6">
                  <c:v>16641</c:v>
                </c:pt>
                <c:pt idx="7">
                  <c:v>39104</c:v>
                </c:pt>
              </c:numCache>
            </c:numRef>
          </c:val>
          <c:smooth val="0"/>
          <c:extLst>
            <c:ext xmlns:c16="http://schemas.microsoft.com/office/drawing/2014/chart" uri="{C3380CC4-5D6E-409C-BE32-E72D297353CC}">
              <c16:uniqueId val="{00000002-A271-4CBD-BA78-5714096EF20A}"/>
            </c:ext>
          </c:extLst>
        </c:ser>
        <c:ser>
          <c:idx val="3"/>
          <c:order val="3"/>
          <c:tx>
            <c:strRef>
              <c:f>Sheet1!$Q$1:$Q$2</c:f>
              <c:strCache>
                <c:ptCount val="1"/>
                <c:pt idx="0">
                  <c:v>MF/IND/GLY</c:v>
                </c:pt>
              </c:strCache>
            </c:strRef>
          </c:tx>
          <c:spPr>
            <a:ln w="28575" cap="rnd">
              <a:solidFill>
                <a:schemeClr val="accent4"/>
              </a:solidFill>
              <a:round/>
            </a:ln>
            <a:effectLst/>
          </c:spPr>
          <c:marker>
            <c:symbol val="none"/>
          </c:marker>
          <c:cat>
            <c:strRef>
              <c:f>Sheet1!$M$3:$M$11</c:f>
              <c:strCache>
                <c:ptCount val="8"/>
                <c:pt idx="0">
                  <c:v>2017</c:v>
                </c:pt>
                <c:pt idx="1">
                  <c:v>2018</c:v>
                </c:pt>
                <c:pt idx="2">
                  <c:v>2019</c:v>
                </c:pt>
                <c:pt idx="3">
                  <c:v>2020</c:v>
                </c:pt>
                <c:pt idx="4">
                  <c:v>2021</c:v>
                </c:pt>
                <c:pt idx="5">
                  <c:v>2022</c:v>
                </c:pt>
                <c:pt idx="6">
                  <c:v>2023</c:v>
                </c:pt>
                <c:pt idx="7">
                  <c:v>2024</c:v>
                </c:pt>
              </c:strCache>
            </c:strRef>
          </c:cat>
          <c:val>
            <c:numRef>
              <c:f>Sheet1!$Q$3:$Q$11</c:f>
              <c:numCache>
                <c:formatCode>General</c:formatCode>
                <c:ptCount val="8"/>
                <c:pt idx="4">
                  <c:v>1056</c:v>
                </c:pt>
                <c:pt idx="5">
                  <c:v>2419</c:v>
                </c:pt>
                <c:pt idx="6">
                  <c:v>2406</c:v>
                </c:pt>
                <c:pt idx="7">
                  <c:v>2305</c:v>
                </c:pt>
              </c:numCache>
            </c:numRef>
          </c:val>
          <c:smooth val="0"/>
          <c:extLst>
            <c:ext xmlns:c16="http://schemas.microsoft.com/office/drawing/2014/chart" uri="{C3380CC4-5D6E-409C-BE32-E72D297353CC}">
              <c16:uniqueId val="{00000003-A271-4CBD-BA78-5714096EF20A}"/>
            </c:ext>
          </c:extLst>
        </c:ser>
        <c:dLbls>
          <c:showLegendKey val="0"/>
          <c:showVal val="0"/>
          <c:showCatName val="0"/>
          <c:showSerName val="0"/>
          <c:showPercent val="0"/>
          <c:showBubbleSize val="0"/>
        </c:dLbls>
        <c:smooth val="0"/>
        <c:axId val="723314336"/>
        <c:axId val="723322256"/>
      </c:lineChart>
      <c:catAx>
        <c:axId val="723314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322256"/>
        <c:crosses val="autoZero"/>
        <c:auto val="1"/>
        <c:lblAlgn val="ctr"/>
        <c:lblOffset val="100"/>
        <c:noMultiLvlLbl val="0"/>
      </c:catAx>
      <c:valAx>
        <c:axId val="72332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314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[Asthma%20simple%20counts(1).xlsx]Sheet1!PivotTable3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Sheet1!$N$34:$N$35</c:f>
              <c:strCache>
                <c:ptCount val="1"/>
                <c:pt idx="0">
                  <c:v>TIOTROPIUM</c:v>
                </c:pt>
              </c:strCache>
            </c:strRef>
          </c:tx>
          <c:spPr>
            <a:ln w="28575" cap="rnd">
              <a:solidFill>
                <a:schemeClr val="accent1"/>
              </a:solidFill>
              <a:round/>
            </a:ln>
            <a:effectLst/>
          </c:spPr>
          <c:marker>
            <c:symbol val="none"/>
          </c:marker>
          <c:cat>
            <c:strRef>
              <c:f>Sheet1!$M$36:$M$44</c:f>
              <c:strCache>
                <c:ptCount val="8"/>
                <c:pt idx="0">
                  <c:v>2017</c:v>
                </c:pt>
                <c:pt idx="1">
                  <c:v>2018</c:v>
                </c:pt>
                <c:pt idx="2">
                  <c:v>2019</c:v>
                </c:pt>
                <c:pt idx="3">
                  <c:v>2020</c:v>
                </c:pt>
                <c:pt idx="4">
                  <c:v>2021</c:v>
                </c:pt>
                <c:pt idx="5">
                  <c:v>2022</c:v>
                </c:pt>
                <c:pt idx="6">
                  <c:v>2023</c:v>
                </c:pt>
                <c:pt idx="7">
                  <c:v>2024</c:v>
                </c:pt>
              </c:strCache>
            </c:strRef>
          </c:cat>
          <c:val>
            <c:numRef>
              <c:f>Sheet1!$N$36:$N$44</c:f>
              <c:numCache>
                <c:formatCode>General</c:formatCode>
                <c:ptCount val="8"/>
                <c:pt idx="0">
                  <c:v>47002</c:v>
                </c:pt>
                <c:pt idx="1">
                  <c:v>38528</c:v>
                </c:pt>
                <c:pt idx="2">
                  <c:v>32958</c:v>
                </c:pt>
                <c:pt idx="3">
                  <c:v>27108</c:v>
                </c:pt>
                <c:pt idx="4">
                  <c:v>23841</c:v>
                </c:pt>
                <c:pt idx="5">
                  <c:v>20553</c:v>
                </c:pt>
                <c:pt idx="6">
                  <c:v>18175</c:v>
                </c:pt>
                <c:pt idx="7">
                  <c:v>14964</c:v>
                </c:pt>
              </c:numCache>
            </c:numRef>
          </c:val>
          <c:smooth val="0"/>
          <c:extLst>
            <c:ext xmlns:c16="http://schemas.microsoft.com/office/drawing/2014/chart" uri="{C3380CC4-5D6E-409C-BE32-E72D297353CC}">
              <c16:uniqueId val="{00000000-E605-4FA1-8476-32B74F7FB21F}"/>
            </c:ext>
          </c:extLst>
        </c:ser>
        <c:ser>
          <c:idx val="1"/>
          <c:order val="1"/>
          <c:tx>
            <c:strRef>
              <c:f>Sheet1!$O$34:$O$35</c:f>
              <c:strCache>
                <c:ptCount val="1"/>
                <c:pt idx="0">
                  <c:v>FF/VI/UMEC</c:v>
                </c:pt>
              </c:strCache>
            </c:strRef>
          </c:tx>
          <c:spPr>
            <a:ln w="28575" cap="rnd">
              <a:solidFill>
                <a:schemeClr val="accent2"/>
              </a:solidFill>
              <a:round/>
            </a:ln>
            <a:effectLst/>
          </c:spPr>
          <c:marker>
            <c:symbol val="none"/>
          </c:marker>
          <c:cat>
            <c:strRef>
              <c:f>Sheet1!$M$36:$M$44</c:f>
              <c:strCache>
                <c:ptCount val="8"/>
                <c:pt idx="0">
                  <c:v>2017</c:v>
                </c:pt>
                <c:pt idx="1">
                  <c:v>2018</c:v>
                </c:pt>
                <c:pt idx="2">
                  <c:v>2019</c:v>
                </c:pt>
                <c:pt idx="3">
                  <c:v>2020</c:v>
                </c:pt>
                <c:pt idx="4">
                  <c:v>2021</c:v>
                </c:pt>
                <c:pt idx="5">
                  <c:v>2022</c:v>
                </c:pt>
                <c:pt idx="6">
                  <c:v>2023</c:v>
                </c:pt>
                <c:pt idx="7">
                  <c:v>2024</c:v>
                </c:pt>
              </c:strCache>
            </c:strRef>
          </c:cat>
          <c:val>
            <c:numRef>
              <c:f>Sheet1!$O$36:$O$44</c:f>
              <c:numCache>
                <c:formatCode>General</c:formatCode>
                <c:ptCount val="8"/>
                <c:pt idx="5">
                  <c:v>18821</c:v>
                </c:pt>
                <c:pt idx="6">
                  <c:v>27918</c:v>
                </c:pt>
                <c:pt idx="7">
                  <c:v>27975</c:v>
                </c:pt>
              </c:numCache>
            </c:numRef>
          </c:val>
          <c:smooth val="0"/>
          <c:extLst>
            <c:ext xmlns:c16="http://schemas.microsoft.com/office/drawing/2014/chart" uri="{C3380CC4-5D6E-409C-BE32-E72D297353CC}">
              <c16:uniqueId val="{00000001-E605-4FA1-8476-32B74F7FB21F}"/>
            </c:ext>
          </c:extLst>
        </c:ser>
        <c:ser>
          <c:idx val="2"/>
          <c:order val="2"/>
          <c:tx>
            <c:strRef>
              <c:f>Sheet1!$P$34:$P$35</c:f>
              <c:strCache>
                <c:ptCount val="1"/>
                <c:pt idx="0">
                  <c:v>BEC/FOR/GLY</c:v>
                </c:pt>
              </c:strCache>
            </c:strRef>
          </c:tx>
          <c:spPr>
            <a:ln w="28575" cap="rnd">
              <a:solidFill>
                <a:schemeClr val="accent3"/>
              </a:solidFill>
              <a:round/>
            </a:ln>
            <a:effectLst/>
          </c:spPr>
          <c:marker>
            <c:symbol val="none"/>
          </c:marker>
          <c:cat>
            <c:strRef>
              <c:f>Sheet1!$M$36:$M$44</c:f>
              <c:strCache>
                <c:ptCount val="8"/>
                <c:pt idx="0">
                  <c:v>2017</c:v>
                </c:pt>
                <c:pt idx="1">
                  <c:v>2018</c:v>
                </c:pt>
                <c:pt idx="2">
                  <c:v>2019</c:v>
                </c:pt>
                <c:pt idx="3">
                  <c:v>2020</c:v>
                </c:pt>
                <c:pt idx="4">
                  <c:v>2021</c:v>
                </c:pt>
                <c:pt idx="5">
                  <c:v>2022</c:v>
                </c:pt>
                <c:pt idx="6">
                  <c:v>2023</c:v>
                </c:pt>
                <c:pt idx="7">
                  <c:v>2024</c:v>
                </c:pt>
              </c:strCache>
            </c:strRef>
          </c:cat>
          <c:val>
            <c:numRef>
              <c:f>Sheet1!$P$36:$P$44</c:f>
              <c:numCache>
                <c:formatCode>General</c:formatCode>
                <c:ptCount val="8"/>
                <c:pt idx="6">
                  <c:v>16641</c:v>
                </c:pt>
                <c:pt idx="7">
                  <c:v>26911</c:v>
                </c:pt>
              </c:numCache>
            </c:numRef>
          </c:val>
          <c:smooth val="0"/>
          <c:extLst>
            <c:ext xmlns:c16="http://schemas.microsoft.com/office/drawing/2014/chart" uri="{C3380CC4-5D6E-409C-BE32-E72D297353CC}">
              <c16:uniqueId val="{00000002-E605-4FA1-8476-32B74F7FB21F}"/>
            </c:ext>
          </c:extLst>
        </c:ser>
        <c:ser>
          <c:idx val="3"/>
          <c:order val="3"/>
          <c:tx>
            <c:strRef>
              <c:f>Sheet1!$Q$34:$Q$35</c:f>
              <c:strCache>
                <c:ptCount val="1"/>
                <c:pt idx="0">
                  <c:v>MF/IND/GLY</c:v>
                </c:pt>
              </c:strCache>
            </c:strRef>
          </c:tx>
          <c:spPr>
            <a:ln w="28575" cap="rnd">
              <a:solidFill>
                <a:schemeClr val="accent4"/>
              </a:solidFill>
              <a:round/>
            </a:ln>
            <a:effectLst/>
          </c:spPr>
          <c:marker>
            <c:symbol val="none"/>
          </c:marker>
          <c:cat>
            <c:strRef>
              <c:f>Sheet1!$M$36:$M$44</c:f>
              <c:strCache>
                <c:ptCount val="8"/>
                <c:pt idx="0">
                  <c:v>2017</c:v>
                </c:pt>
                <c:pt idx="1">
                  <c:v>2018</c:v>
                </c:pt>
                <c:pt idx="2">
                  <c:v>2019</c:v>
                </c:pt>
                <c:pt idx="3">
                  <c:v>2020</c:v>
                </c:pt>
                <c:pt idx="4">
                  <c:v>2021</c:v>
                </c:pt>
                <c:pt idx="5">
                  <c:v>2022</c:v>
                </c:pt>
                <c:pt idx="6">
                  <c:v>2023</c:v>
                </c:pt>
                <c:pt idx="7">
                  <c:v>2024</c:v>
                </c:pt>
              </c:strCache>
            </c:strRef>
          </c:cat>
          <c:val>
            <c:numRef>
              <c:f>Sheet1!$Q$36:$Q$44</c:f>
              <c:numCache>
                <c:formatCode>General</c:formatCode>
                <c:ptCount val="8"/>
                <c:pt idx="4">
                  <c:v>1056</c:v>
                </c:pt>
                <c:pt idx="5">
                  <c:v>1661</c:v>
                </c:pt>
                <c:pt idx="6">
                  <c:v>852</c:v>
                </c:pt>
                <c:pt idx="7">
                  <c:v>697</c:v>
                </c:pt>
              </c:numCache>
            </c:numRef>
          </c:val>
          <c:smooth val="0"/>
          <c:extLst>
            <c:ext xmlns:c16="http://schemas.microsoft.com/office/drawing/2014/chart" uri="{C3380CC4-5D6E-409C-BE32-E72D297353CC}">
              <c16:uniqueId val="{00000003-E605-4FA1-8476-32B74F7FB21F}"/>
            </c:ext>
          </c:extLst>
        </c:ser>
        <c:dLbls>
          <c:showLegendKey val="0"/>
          <c:showVal val="0"/>
          <c:showCatName val="0"/>
          <c:showSerName val="0"/>
          <c:showPercent val="0"/>
          <c:showBubbleSize val="0"/>
        </c:dLbls>
        <c:smooth val="0"/>
        <c:axId val="741317664"/>
        <c:axId val="741318024"/>
      </c:lineChart>
      <c:catAx>
        <c:axId val="741317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318024"/>
        <c:crosses val="autoZero"/>
        <c:auto val="1"/>
        <c:lblAlgn val="ctr"/>
        <c:lblOffset val="100"/>
        <c:noMultiLvlLbl val="0"/>
      </c:catAx>
      <c:valAx>
        <c:axId val="741318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317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[Asthma%20simple%20counts(2).xlsx]Sheet1!PivotTable2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Sheet1!$N$18:$N$19</c:f>
              <c:strCache>
                <c:ptCount val="1"/>
                <c:pt idx="0">
                  <c:v>TIOTROPIUM</c:v>
                </c:pt>
              </c:strCache>
            </c:strRef>
          </c:tx>
          <c:spPr>
            <a:ln w="28575" cap="rnd">
              <a:solidFill>
                <a:schemeClr val="accent1"/>
              </a:solidFill>
              <a:round/>
            </a:ln>
            <a:effectLst/>
          </c:spPr>
          <c:marker>
            <c:symbol val="none"/>
          </c:marker>
          <c:cat>
            <c:strRef>
              <c:f>Sheet1!$M$20:$M$28</c:f>
              <c:strCache>
                <c:ptCount val="8"/>
                <c:pt idx="0">
                  <c:v>2017</c:v>
                </c:pt>
                <c:pt idx="1">
                  <c:v>2018</c:v>
                </c:pt>
                <c:pt idx="2">
                  <c:v>2019</c:v>
                </c:pt>
                <c:pt idx="3">
                  <c:v>2020</c:v>
                </c:pt>
                <c:pt idx="4">
                  <c:v>2021</c:v>
                </c:pt>
                <c:pt idx="5">
                  <c:v>2022</c:v>
                </c:pt>
                <c:pt idx="6">
                  <c:v>2023</c:v>
                </c:pt>
                <c:pt idx="7">
                  <c:v>2024</c:v>
                </c:pt>
              </c:strCache>
            </c:strRef>
          </c:cat>
          <c:val>
            <c:numRef>
              <c:f>Sheet1!$N$20:$N$28</c:f>
              <c:numCache>
                <c:formatCode>General</c:formatCode>
                <c:ptCount val="8"/>
                <c:pt idx="0">
                  <c:v>164021</c:v>
                </c:pt>
                <c:pt idx="1">
                  <c:v>317373</c:v>
                </c:pt>
                <c:pt idx="2">
                  <c:v>354984</c:v>
                </c:pt>
                <c:pt idx="3">
                  <c:v>358817</c:v>
                </c:pt>
                <c:pt idx="4">
                  <c:v>292082</c:v>
                </c:pt>
                <c:pt idx="5">
                  <c:v>252578</c:v>
                </c:pt>
                <c:pt idx="6">
                  <c:v>230359</c:v>
                </c:pt>
                <c:pt idx="7">
                  <c:v>192140</c:v>
                </c:pt>
              </c:numCache>
            </c:numRef>
          </c:val>
          <c:smooth val="0"/>
          <c:extLst>
            <c:ext xmlns:c16="http://schemas.microsoft.com/office/drawing/2014/chart" uri="{C3380CC4-5D6E-409C-BE32-E72D297353CC}">
              <c16:uniqueId val="{00000000-9E06-42A7-8762-183DA87F63C9}"/>
            </c:ext>
          </c:extLst>
        </c:ser>
        <c:ser>
          <c:idx val="1"/>
          <c:order val="1"/>
          <c:tx>
            <c:strRef>
              <c:f>Sheet1!$O$18:$O$19</c:f>
              <c:strCache>
                <c:ptCount val="1"/>
                <c:pt idx="0">
                  <c:v>FF/VI/UMEC</c:v>
                </c:pt>
              </c:strCache>
            </c:strRef>
          </c:tx>
          <c:spPr>
            <a:ln w="28575" cap="rnd">
              <a:solidFill>
                <a:schemeClr val="accent2"/>
              </a:solidFill>
              <a:round/>
            </a:ln>
            <a:effectLst/>
          </c:spPr>
          <c:marker>
            <c:symbol val="none"/>
          </c:marker>
          <c:cat>
            <c:strRef>
              <c:f>Sheet1!$M$20:$M$28</c:f>
              <c:strCache>
                <c:ptCount val="8"/>
                <c:pt idx="0">
                  <c:v>2017</c:v>
                </c:pt>
                <c:pt idx="1">
                  <c:v>2018</c:v>
                </c:pt>
                <c:pt idx="2">
                  <c:v>2019</c:v>
                </c:pt>
                <c:pt idx="3">
                  <c:v>2020</c:v>
                </c:pt>
                <c:pt idx="4">
                  <c:v>2021</c:v>
                </c:pt>
                <c:pt idx="5">
                  <c:v>2022</c:v>
                </c:pt>
                <c:pt idx="6">
                  <c:v>2023</c:v>
                </c:pt>
                <c:pt idx="7">
                  <c:v>2024</c:v>
                </c:pt>
              </c:strCache>
            </c:strRef>
          </c:cat>
          <c:val>
            <c:numRef>
              <c:f>Sheet1!$O$20:$O$28</c:f>
              <c:numCache>
                <c:formatCode>General</c:formatCode>
                <c:ptCount val="8"/>
                <c:pt idx="5">
                  <c:v>60828</c:v>
                </c:pt>
                <c:pt idx="6">
                  <c:v>212238</c:v>
                </c:pt>
                <c:pt idx="7">
                  <c:v>325039</c:v>
                </c:pt>
              </c:numCache>
            </c:numRef>
          </c:val>
          <c:smooth val="0"/>
          <c:extLst>
            <c:ext xmlns:c16="http://schemas.microsoft.com/office/drawing/2014/chart" uri="{C3380CC4-5D6E-409C-BE32-E72D297353CC}">
              <c16:uniqueId val="{00000001-9E06-42A7-8762-183DA87F63C9}"/>
            </c:ext>
          </c:extLst>
        </c:ser>
        <c:ser>
          <c:idx val="2"/>
          <c:order val="2"/>
          <c:tx>
            <c:strRef>
              <c:f>Sheet1!$P$18:$P$19</c:f>
              <c:strCache>
                <c:ptCount val="1"/>
                <c:pt idx="0">
                  <c:v>BEC/FOR/GLY</c:v>
                </c:pt>
              </c:strCache>
            </c:strRef>
          </c:tx>
          <c:spPr>
            <a:ln w="28575" cap="rnd">
              <a:solidFill>
                <a:schemeClr val="accent3"/>
              </a:solidFill>
              <a:round/>
            </a:ln>
            <a:effectLst/>
          </c:spPr>
          <c:marker>
            <c:symbol val="none"/>
          </c:marker>
          <c:cat>
            <c:strRef>
              <c:f>Sheet1!$M$20:$M$28</c:f>
              <c:strCache>
                <c:ptCount val="8"/>
                <c:pt idx="0">
                  <c:v>2017</c:v>
                </c:pt>
                <c:pt idx="1">
                  <c:v>2018</c:v>
                </c:pt>
                <c:pt idx="2">
                  <c:v>2019</c:v>
                </c:pt>
                <c:pt idx="3">
                  <c:v>2020</c:v>
                </c:pt>
                <c:pt idx="4">
                  <c:v>2021</c:v>
                </c:pt>
                <c:pt idx="5">
                  <c:v>2022</c:v>
                </c:pt>
                <c:pt idx="6">
                  <c:v>2023</c:v>
                </c:pt>
                <c:pt idx="7">
                  <c:v>2024</c:v>
                </c:pt>
              </c:strCache>
            </c:strRef>
          </c:cat>
          <c:val>
            <c:numRef>
              <c:f>Sheet1!$P$20:$P$28</c:f>
              <c:numCache>
                <c:formatCode>General</c:formatCode>
                <c:ptCount val="8"/>
                <c:pt idx="6">
                  <c:v>59974</c:v>
                </c:pt>
                <c:pt idx="7">
                  <c:v>182248</c:v>
                </c:pt>
              </c:numCache>
            </c:numRef>
          </c:val>
          <c:smooth val="0"/>
          <c:extLst>
            <c:ext xmlns:c16="http://schemas.microsoft.com/office/drawing/2014/chart" uri="{C3380CC4-5D6E-409C-BE32-E72D297353CC}">
              <c16:uniqueId val="{00000002-9E06-42A7-8762-183DA87F63C9}"/>
            </c:ext>
          </c:extLst>
        </c:ser>
        <c:ser>
          <c:idx val="3"/>
          <c:order val="3"/>
          <c:tx>
            <c:strRef>
              <c:f>Sheet1!$Q$18:$Q$19</c:f>
              <c:strCache>
                <c:ptCount val="1"/>
                <c:pt idx="0">
                  <c:v>MF/IND/GLY</c:v>
                </c:pt>
              </c:strCache>
            </c:strRef>
          </c:tx>
          <c:spPr>
            <a:ln w="28575" cap="rnd">
              <a:solidFill>
                <a:schemeClr val="accent4"/>
              </a:solidFill>
              <a:round/>
            </a:ln>
            <a:effectLst/>
          </c:spPr>
          <c:marker>
            <c:symbol val="none"/>
          </c:marker>
          <c:cat>
            <c:strRef>
              <c:f>Sheet1!$M$20:$M$28</c:f>
              <c:strCache>
                <c:ptCount val="8"/>
                <c:pt idx="0">
                  <c:v>2017</c:v>
                </c:pt>
                <c:pt idx="1">
                  <c:v>2018</c:v>
                </c:pt>
                <c:pt idx="2">
                  <c:v>2019</c:v>
                </c:pt>
                <c:pt idx="3">
                  <c:v>2020</c:v>
                </c:pt>
                <c:pt idx="4">
                  <c:v>2021</c:v>
                </c:pt>
                <c:pt idx="5">
                  <c:v>2022</c:v>
                </c:pt>
                <c:pt idx="6">
                  <c:v>2023</c:v>
                </c:pt>
                <c:pt idx="7">
                  <c:v>2024</c:v>
                </c:pt>
              </c:strCache>
            </c:strRef>
          </c:cat>
          <c:val>
            <c:numRef>
              <c:f>Sheet1!$Q$20:$Q$28</c:f>
              <c:numCache>
                <c:formatCode>General</c:formatCode>
                <c:ptCount val="8"/>
                <c:pt idx="4">
                  <c:v>3262</c:v>
                </c:pt>
                <c:pt idx="5">
                  <c:v>12593</c:v>
                </c:pt>
                <c:pt idx="6">
                  <c:v>14682</c:v>
                </c:pt>
                <c:pt idx="7">
                  <c:v>14447</c:v>
                </c:pt>
              </c:numCache>
            </c:numRef>
          </c:val>
          <c:smooth val="0"/>
          <c:extLst>
            <c:ext xmlns:c16="http://schemas.microsoft.com/office/drawing/2014/chart" uri="{C3380CC4-5D6E-409C-BE32-E72D297353CC}">
              <c16:uniqueId val="{00000003-9E06-42A7-8762-183DA87F63C9}"/>
            </c:ext>
          </c:extLst>
        </c:ser>
        <c:dLbls>
          <c:showLegendKey val="0"/>
          <c:showVal val="0"/>
          <c:showCatName val="0"/>
          <c:showSerName val="0"/>
          <c:showPercent val="0"/>
          <c:showBubbleSize val="0"/>
        </c:dLbls>
        <c:smooth val="0"/>
        <c:axId val="723327296"/>
        <c:axId val="723325856"/>
      </c:lineChart>
      <c:catAx>
        <c:axId val="72332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325856"/>
        <c:crosses val="autoZero"/>
        <c:auto val="1"/>
        <c:lblAlgn val="ctr"/>
        <c:lblOffset val="100"/>
        <c:noMultiLvlLbl val="0"/>
      </c:catAx>
      <c:valAx>
        <c:axId val="723325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327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[Asthma simple counts.xlsx]prescribers!PivotTable1</c:name>
    <c:fmtId val="-1"/>
  </c:pivotSource>
  <c:chart>
    <c:autoTitleDeleted val="0"/>
    <c:pivotFmts>
      <c:pivotFmt>
        <c:idx val="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5400">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prescribers!$G$2:$G$4</c:f>
              <c:strCache>
                <c:ptCount val="1"/>
                <c:pt idx="0">
                  <c:v>Geriatric Medicine</c:v>
                </c:pt>
              </c:strCache>
            </c:strRef>
          </c:tx>
          <c:spPr>
            <a:solidFill>
              <a:schemeClr val="accent1"/>
            </a:solidFill>
            <a:ln w="25400">
              <a:noFill/>
            </a:ln>
            <a:effectLst/>
          </c:spPr>
          <c:invertIfNegative val="0"/>
          <c:cat>
            <c:strRef>
              <c:f>prescribers!$F$5:$F$8</c:f>
              <c:strCache>
                <c:ptCount val="3"/>
                <c:pt idx="0">
                  <c:v>BEC/FOR/GLY</c:v>
                </c:pt>
                <c:pt idx="1">
                  <c:v>FF/VI/UMEC</c:v>
                </c:pt>
                <c:pt idx="2">
                  <c:v>MF/IND/GLY</c:v>
                </c:pt>
              </c:strCache>
            </c:strRef>
          </c:cat>
          <c:val>
            <c:numRef>
              <c:f>prescribers!$G$5:$G$8</c:f>
              <c:numCache>
                <c:formatCode>General</c:formatCode>
                <c:ptCount val="3"/>
                <c:pt idx="0">
                  <c:v>60</c:v>
                </c:pt>
                <c:pt idx="1">
                  <c:v>74</c:v>
                </c:pt>
                <c:pt idx="2">
                  <c:v>2</c:v>
                </c:pt>
              </c:numCache>
            </c:numRef>
          </c:val>
          <c:extLst>
            <c:ext xmlns:c16="http://schemas.microsoft.com/office/drawing/2014/chart" uri="{C3380CC4-5D6E-409C-BE32-E72D297353CC}">
              <c16:uniqueId val="{00000000-57A6-4FD4-B0F4-3C5B5D0149C0}"/>
            </c:ext>
          </c:extLst>
        </c:ser>
        <c:ser>
          <c:idx val="1"/>
          <c:order val="1"/>
          <c:tx>
            <c:strRef>
              <c:f>prescribers!$H$2:$H$4</c:f>
              <c:strCache>
                <c:ptCount val="1"/>
                <c:pt idx="0">
                  <c:v>Nurse Practitioner</c:v>
                </c:pt>
              </c:strCache>
            </c:strRef>
          </c:tx>
          <c:spPr>
            <a:solidFill>
              <a:schemeClr val="accent2"/>
            </a:solidFill>
            <a:ln w="25400">
              <a:noFill/>
            </a:ln>
            <a:effectLst/>
          </c:spPr>
          <c:invertIfNegative val="0"/>
          <c:cat>
            <c:strRef>
              <c:f>prescribers!$F$5:$F$8</c:f>
              <c:strCache>
                <c:ptCount val="3"/>
                <c:pt idx="0">
                  <c:v>BEC/FOR/GLY</c:v>
                </c:pt>
                <c:pt idx="1">
                  <c:v>FF/VI/UMEC</c:v>
                </c:pt>
                <c:pt idx="2">
                  <c:v>MF/IND/GLY</c:v>
                </c:pt>
              </c:strCache>
            </c:strRef>
          </c:cat>
          <c:val>
            <c:numRef>
              <c:f>prescribers!$H$5:$H$8</c:f>
              <c:numCache>
                <c:formatCode>General</c:formatCode>
                <c:ptCount val="3"/>
                <c:pt idx="0">
                  <c:v>107</c:v>
                </c:pt>
                <c:pt idx="1">
                  <c:v>143</c:v>
                </c:pt>
                <c:pt idx="2">
                  <c:v>4</c:v>
                </c:pt>
              </c:numCache>
            </c:numRef>
          </c:val>
          <c:extLst>
            <c:ext xmlns:c16="http://schemas.microsoft.com/office/drawing/2014/chart" uri="{C3380CC4-5D6E-409C-BE32-E72D297353CC}">
              <c16:uniqueId val="{00000001-57A6-4FD4-B0F4-3C5B5D0149C0}"/>
            </c:ext>
          </c:extLst>
        </c:ser>
        <c:ser>
          <c:idx val="2"/>
          <c:order val="2"/>
          <c:tx>
            <c:strRef>
              <c:f>prescribers!$I$2:$I$4</c:f>
              <c:strCache>
                <c:ptCount val="1"/>
                <c:pt idx="0">
                  <c:v>Cardiology</c:v>
                </c:pt>
              </c:strCache>
            </c:strRef>
          </c:tx>
          <c:spPr>
            <a:solidFill>
              <a:schemeClr val="accent3"/>
            </a:solidFill>
            <a:ln w="25400">
              <a:noFill/>
            </a:ln>
            <a:effectLst/>
          </c:spPr>
          <c:invertIfNegative val="0"/>
          <c:cat>
            <c:strRef>
              <c:f>prescribers!$F$5:$F$8</c:f>
              <c:strCache>
                <c:ptCount val="3"/>
                <c:pt idx="0">
                  <c:v>BEC/FOR/GLY</c:v>
                </c:pt>
                <c:pt idx="1">
                  <c:v>FF/VI/UMEC</c:v>
                </c:pt>
                <c:pt idx="2">
                  <c:v>MF/IND/GLY</c:v>
                </c:pt>
              </c:strCache>
            </c:strRef>
          </c:cat>
          <c:val>
            <c:numRef>
              <c:f>prescribers!$I$5:$I$8</c:f>
              <c:numCache>
                <c:formatCode>General</c:formatCode>
                <c:ptCount val="3"/>
                <c:pt idx="0">
                  <c:v>106</c:v>
                </c:pt>
                <c:pt idx="1">
                  <c:v>163</c:v>
                </c:pt>
                <c:pt idx="2">
                  <c:v>7</c:v>
                </c:pt>
              </c:numCache>
            </c:numRef>
          </c:val>
          <c:extLst>
            <c:ext xmlns:c16="http://schemas.microsoft.com/office/drawing/2014/chart" uri="{C3380CC4-5D6E-409C-BE32-E72D297353CC}">
              <c16:uniqueId val="{00000002-57A6-4FD4-B0F4-3C5B5D0149C0}"/>
            </c:ext>
          </c:extLst>
        </c:ser>
        <c:ser>
          <c:idx val="3"/>
          <c:order val="3"/>
          <c:tx>
            <c:strRef>
              <c:f>prescribers!$J$2:$J$4</c:f>
              <c:strCache>
                <c:ptCount val="1"/>
                <c:pt idx="0">
                  <c:v>Intensive Care</c:v>
                </c:pt>
              </c:strCache>
            </c:strRef>
          </c:tx>
          <c:spPr>
            <a:solidFill>
              <a:schemeClr val="accent4"/>
            </a:solidFill>
            <a:ln w="25400">
              <a:noFill/>
            </a:ln>
            <a:effectLst/>
          </c:spPr>
          <c:invertIfNegative val="0"/>
          <c:cat>
            <c:strRef>
              <c:f>prescribers!$F$5:$F$8</c:f>
              <c:strCache>
                <c:ptCount val="3"/>
                <c:pt idx="0">
                  <c:v>BEC/FOR/GLY</c:v>
                </c:pt>
                <c:pt idx="1">
                  <c:v>FF/VI/UMEC</c:v>
                </c:pt>
                <c:pt idx="2">
                  <c:v>MF/IND/GLY</c:v>
                </c:pt>
              </c:strCache>
            </c:strRef>
          </c:cat>
          <c:val>
            <c:numRef>
              <c:f>prescribers!$J$5:$J$8</c:f>
              <c:numCache>
                <c:formatCode>General</c:formatCode>
                <c:ptCount val="3"/>
                <c:pt idx="0">
                  <c:v>176</c:v>
                </c:pt>
                <c:pt idx="1">
                  <c:v>211</c:v>
                </c:pt>
                <c:pt idx="2">
                  <c:v>25</c:v>
                </c:pt>
              </c:numCache>
            </c:numRef>
          </c:val>
          <c:extLst>
            <c:ext xmlns:c16="http://schemas.microsoft.com/office/drawing/2014/chart" uri="{C3380CC4-5D6E-409C-BE32-E72D297353CC}">
              <c16:uniqueId val="{00000003-57A6-4FD4-B0F4-3C5B5D0149C0}"/>
            </c:ext>
          </c:extLst>
        </c:ser>
        <c:ser>
          <c:idx val="4"/>
          <c:order val="4"/>
          <c:tx>
            <c:strRef>
              <c:f>prescribers!$K$2:$K$4</c:f>
              <c:strCache>
                <c:ptCount val="1"/>
                <c:pt idx="0">
                  <c:v>Other</c:v>
                </c:pt>
              </c:strCache>
            </c:strRef>
          </c:tx>
          <c:spPr>
            <a:solidFill>
              <a:schemeClr val="accent5"/>
            </a:solidFill>
            <a:ln w="25400">
              <a:noFill/>
            </a:ln>
            <a:effectLst/>
          </c:spPr>
          <c:invertIfNegative val="0"/>
          <c:cat>
            <c:strRef>
              <c:f>prescribers!$F$5:$F$8</c:f>
              <c:strCache>
                <c:ptCount val="3"/>
                <c:pt idx="0">
                  <c:v>BEC/FOR/GLY</c:v>
                </c:pt>
                <c:pt idx="1">
                  <c:v>FF/VI/UMEC</c:v>
                </c:pt>
                <c:pt idx="2">
                  <c:v>MF/IND/GLY</c:v>
                </c:pt>
              </c:strCache>
            </c:strRef>
          </c:cat>
          <c:val>
            <c:numRef>
              <c:f>prescribers!$K$5:$K$8</c:f>
              <c:numCache>
                <c:formatCode>General</c:formatCode>
                <c:ptCount val="3"/>
                <c:pt idx="0">
                  <c:v>358</c:v>
                </c:pt>
                <c:pt idx="1">
                  <c:v>660</c:v>
                </c:pt>
                <c:pt idx="2">
                  <c:v>42</c:v>
                </c:pt>
              </c:numCache>
            </c:numRef>
          </c:val>
          <c:extLst>
            <c:ext xmlns:c16="http://schemas.microsoft.com/office/drawing/2014/chart" uri="{C3380CC4-5D6E-409C-BE32-E72D297353CC}">
              <c16:uniqueId val="{00000004-57A6-4FD4-B0F4-3C5B5D0149C0}"/>
            </c:ext>
          </c:extLst>
        </c:ser>
        <c:ser>
          <c:idx val="5"/>
          <c:order val="5"/>
          <c:tx>
            <c:strRef>
              <c:f>prescribers!$L$2:$L$4</c:f>
              <c:strCache>
                <c:ptCount val="1"/>
                <c:pt idx="0">
                  <c:v>Internal Medicine</c:v>
                </c:pt>
              </c:strCache>
            </c:strRef>
          </c:tx>
          <c:spPr>
            <a:solidFill>
              <a:schemeClr val="accent6"/>
            </a:solidFill>
            <a:ln w="25400">
              <a:noFill/>
            </a:ln>
            <a:effectLst/>
          </c:spPr>
          <c:invertIfNegative val="0"/>
          <c:cat>
            <c:strRef>
              <c:f>prescribers!$F$5:$F$8</c:f>
              <c:strCache>
                <c:ptCount val="3"/>
                <c:pt idx="0">
                  <c:v>BEC/FOR/GLY</c:v>
                </c:pt>
                <c:pt idx="1">
                  <c:v>FF/VI/UMEC</c:v>
                </c:pt>
                <c:pt idx="2">
                  <c:v>MF/IND/GLY</c:v>
                </c:pt>
              </c:strCache>
            </c:strRef>
          </c:cat>
          <c:val>
            <c:numRef>
              <c:f>prescribers!$L$5:$L$8</c:f>
              <c:numCache>
                <c:formatCode>General</c:formatCode>
                <c:ptCount val="3"/>
                <c:pt idx="0">
                  <c:v>1493</c:v>
                </c:pt>
                <c:pt idx="1">
                  <c:v>1977</c:v>
                </c:pt>
                <c:pt idx="2">
                  <c:v>258</c:v>
                </c:pt>
              </c:numCache>
            </c:numRef>
          </c:val>
          <c:extLst>
            <c:ext xmlns:c16="http://schemas.microsoft.com/office/drawing/2014/chart" uri="{C3380CC4-5D6E-409C-BE32-E72D297353CC}">
              <c16:uniqueId val="{00000005-57A6-4FD4-B0F4-3C5B5D0149C0}"/>
            </c:ext>
          </c:extLst>
        </c:ser>
        <c:ser>
          <c:idx val="6"/>
          <c:order val="6"/>
          <c:tx>
            <c:strRef>
              <c:f>prescribers!$M$2:$M$4</c:f>
              <c:strCache>
                <c:ptCount val="1"/>
                <c:pt idx="0">
                  <c:v>NONVRGP</c:v>
                </c:pt>
              </c:strCache>
            </c:strRef>
          </c:tx>
          <c:spPr>
            <a:solidFill>
              <a:schemeClr val="accent1">
                <a:lumMod val="60000"/>
              </a:schemeClr>
            </a:solidFill>
            <a:ln w="25400">
              <a:noFill/>
            </a:ln>
            <a:effectLst/>
          </c:spPr>
          <c:invertIfNegative val="0"/>
          <c:cat>
            <c:strRef>
              <c:f>prescribers!$F$5:$F$8</c:f>
              <c:strCache>
                <c:ptCount val="3"/>
                <c:pt idx="0">
                  <c:v>BEC/FOR/GLY</c:v>
                </c:pt>
                <c:pt idx="1">
                  <c:v>FF/VI/UMEC</c:v>
                </c:pt>
                <c:pt idx="2">
                  <c:v>MF/IND/GLY</c:v>
                </c:pt>
              </c:strCache>
            </c:strRef>
          </c:cat>
          <c:val>
            <c:numRef>
              <c:f>prescribers!$M$5:$M$8</c:f>
              <c:numCache>
                <c:formatCode>General</c:formatCode>
                <c:ptCount val="3"/>
                <c:pt idx="0">
                  <c:v>2918</c:v>
                </c:pt>
                <c:pt idx="1">
                  <c:v>4216</c:v>
                </c:pt>
                <c:pt idx="2">
                  <c:v>178</c:v>
                </c:pt>
              </c:numCache>
            </c:numRef>
          </c:val>
          <c:extLst>
            <c:ext xmlns:c16="http://schemas.microsoft.com/office/drawing/2014/chart" uri="{C3380CC4-5D6E-409C-BE32-E72D297353CC}">
              <c16:uniqueId val="{00000006-57A6-4FD4-B0F4-3C5B5D0149C0}"/>
            </c:ext>
          </c:extLst>
        </c:ser>
        <c:ser>
          <c:idx val="7"/>
          <c:order val="7"/>
          <c:tx>
            <c:strRef>
              <c:f>prescribers!$N$2:$N$4</c:f>
              <c:strCache>
                <c:ptCount val="1"/>
                <c:pt idx="0">
                  <c:v>GP Trainee</c:v>
                </c:pt>
              </c:strCache>
            </c:strRef>
          </c:tx>
          <c:spPr>
            <a:solidFill>
              <a:schemeClr val="accent2">
                <a:lumMod val="60000"/>
              </a:schemeClr>
            </a:solidFill>
            <a:ln w="25400">
              <a:noFill/>
            </a:ln>
            <a:effectLst/>
          </c:spPr>
          <c:invertIfNegative val="0"/>
          <c:cat>
            <c:strRef>
              <c:f>prescribers!$F$5:$F$8</c:f>
              <c:strCache>
                <c:ptCount val="3"/>
                <c:pt idx="0">
                  <c:v>BEC/FOR/GLY</c:v>
                </c:pt>
                <c:pt idx="1">
                  <c:v>FF/VI/UMEC</c:v>
                </c:pt>
                <c:pt idx="2">
                  <c:v>MF/IND/GLY</c:v>
                </c:pt>
              </c:strCache>
            </c:strRef>
          </c:cat>
          <c:val>
            <c:numRef>
              <c:f>prescribers!$N$5:$N$8</c:f>
              <c:numCache>
                <c:formatCode>General</c:formatCode>
                <c:ptCount val="3"/>
                <c:pt idx="0">
                  <c:v>2416</c:v>
                </c:pt>
                <c:pt idx="1">
                  <c:v>5915</c:v>
                </c:pt>
                <c:pt idx="2">
                  <c:v>259</c:v>
                </c:pt>
              </c:numCache>
            </c:numRef>
          </c:val>
          <c:extLst>
            <c:ext xmlns:c16="http://schemas.microsoft.com/office/drawing/2014/chart" uri="{C3380CC4-5D6E-409C-BE32-E72D297353CC}">
              <c16:uniqueId val="{00000007-57A6-4FD4-B0F4-3C5B5D0149C0}"/>
            </c:ext>
          </c:extLst>
        </c:ser>
        <c:ser>
          <c:idx val="8"/>
          <c:order val="8"/>
          <c:tx>
            <c:strRef>
              <c:f>prescribers!$O$2:$O$4</c:f>
              <c:strCache>
                <c:ptCount val="1"/>
                <c:pt idx="0">
                  <c:v>Respiratory and Sleep Medicine</c:v>
                </c:pt>
              </c:strCache>
            </c:strRef>
          </c:tx>
          <c:spPr>
            <a:solidFill>
              <a:schemeClr val="accent3">
                <a:lumMod val="60000"/>
              </a:schemeClr>
            </a:solidFill>
            <a:ln w="25400">
              <a:noFill/>
            </a:ln>
            <a:effectLst/>
          </c:spPr>
          <c:invertIfNegative val="0"/>
          <c:cat>
            <c:strRef>
              <c:f>prescribers!$F$5:$F$8</c:f>
              <c:strCache>
                <c:ptCount val="3"/>
                <c:pt idx="0">
                  <c:v>BEC/FOR/GLY</c:v>
                </c:pt>
                <c:pt idx="1">
                  <c:v>FF/VI/UMEC</c:v>
                </c:pt>
                <c:pt idx="2">
                  <c:v>MF/IND/GLY</c:v>
                </c:pt>
              </c:strCache>
            </c:strRef>
          </c:cat>
          <c:val>
            <c:numRef>
              <c:f>prescribers!$O$5:$O$8</c:f>
              <c:numCache>
                <c:formatCode>General</c:formatCode>
                <c:ptCount val="3"/>
                <c:pt idx="0">
                  <c:v>14767</c:v>
                </c:pt>
                <c:pt idx="1">
                  <c:v>13349</c:v>
                </c:pt>
                <c:pt idx="2">
                  <c:v>1663</c:v>
                </c:pt>
              </c:numCache>
            </c:numRef>
          </c:val>
          <c:extLst>
            <c:ext xmlns:c16="http://schemas.microsoft.com/office/drawing/2014/chart" uri="{C3380CC4-5D6E-409C-BE32-E72D297353CC}">
              <c16:uniqueId val="{00000008-57A6-4FD4-B0F4-3C5B5D0149C0}"/>
            </c:ext>
          </c:extLst>
        </c:ser>
        <c:ser>
          <c:idx val="9"/>
          <c:order val="9"/>
          <c:tx>
            <c:strRef>
              <c:f>prescribers!$P$2:$P$4</c:f>
              <c:strCache>
                <c:ptCount val="1"/>
                <c:pt idx="0">
                  <c:v>VRGP</c:v>
                </c:pt>
              </c:strCache>
            </c:strRef>
          </c:tx>
          <c:spPr>
            <a:solidFill>
              <a:schemeClr val="accent4">
                <a:lumMod val="60000"/>
              </a:schemeClr>
            </a:solidFill>
            <a:ln w="25400">
              <a:noFill/>
            </a:ln>
            <a:effectLst/>
          </c:spPr>
          <c:invertIfNegative val="0"/>
          <c:cat>
            <c:strRef>
              <c:f>prescribers!$F$5:$F$8</c:f>
              <c:strCache>
                <c:ptCount val="3"/>
                <c:pt idx="0">
                  <c:v>BEC/FOR/GLY</c:v>
                </c:pt>
                <c:pt idx="1">
                  <c:v>FF/VI/UMEC</c:v>
                </c:pt>
                <c:pt idx="2">
                  <c:v>MF/IND/GLY</c:v>
                </c:pt>
              </c:strCache>
            </c:strRef>
          </c:cat>
          <c:val>
            <c:numRef>
              <c:f>prescribers!$P$5:$P$8</c:f>
              <c:numCache>
                <c:formatCode>General</c:formatCode>
                <c:ptCount val="3"/>
                <c:pt idx="0">
                  <c:v>20368</c:v>
                </c:pt>
                <c:pt idx="1">
                  <c:v>47132</c:v>
                </c:pt>
                <c:pt idx="2">
                  <c:v>1790</c:v>
                </c:pt>
              </c:numCache>
            </c:numRef>
          </c:val>
          <c:extLst>
            <c:ext xmlns:c16="http://schemas.microsoft.com/office/drawing/2014/chart" uri="{C3380CC4-5D6E-409C-BE32-E72D297353CC}">
              <c16:uniqueId val="{00000009-57A6-4FD4-B0F4-3C5B5D0149C0}"/>
            </c:ext>
          </c:extLst>
        </c:ser>
        <c:dLbls>
          <c:showLegendKey val="0"/>
          <c:showVal val="0"/>
          <c:showCatName val="0"/>
          <c:showSerName val="0"/>
          <c:showPercent val="0"/>
          <c:showBubbleSize val="0"/>
        </c:dLbls>
        <c:gapWidth val="150"/>
        <c:overlap val="100"/>
        <c:axId val="465876688"/>
        <c:axId val="465878848"/>
      </c:barChart>
      <c:catAx>
        <c:axId val="465876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78848"/>
        <c:crosses val="autoZero"/>
        <c:auto val="1"/>
        <c:lblAlgn val="ctr"/>
        <c:lblOffset val="100"/>
        <c:noMultiLvlLbl val="0"/>
      </c:catAx>
      <c:valAx>
        <c:axId val="465878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76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[Asthma simple counts.xlsx]Sheet1!PivotTable6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Sheet1!$N$57:$N$58</c:f>
              <c:strCache>
                <c:ptCount val="1"/>
                <c:pt idx="0">
                  <c:v>MF/IND/GLY</c:v>
                </c:pt>
              </c:strCache>
            </c:strRef>
          </c:tx>
          <c:spPr>
            <a:solidFill>
              <a:schemeClr val="accent1"/>
            </a:solidFill>
            <a:ln>
              <a:noFill/>
            </a:ln>
            <a:effectLst/>
          </c:spPr>
          <c:invertIfNegative val="0"/>
          <c:cat>
            <c:strRef>
              <c:f>Sheet1!$M$59:$M$63</c:f>
              <c:strCache>
                <c:ptCount val="4"/>
                <c:pt idx="0">
                  <c:v>2021</c:v>
                </c:pt>
                <c:pt idx="1">
                  <c:v>2022</c:v>
                </c:pt>
                <c:pt idx="2">
                  <c:v>2023</c:v>
                </c:pt>
                <c:pt idx="3">
                  <c:v>2024</c:v>
                </c:pt>
              </c:strCache>
            </c:strRef>
          </c:cat>
          <c:val>
            <c:numRef>
              <c:f>Sheet1!$N$59:$N$63</c:f>
              <c:numCache>
                <c:formatCode>General</c:formatCode>
                <c:ptCount val="4"/>
                <c:pt idx="0">
                  <c:v>0.23443095999999999</c:v>
                </c:pt>
                <c:pt idx="1">
                  <c:v>0.88076065000000003</c:v>
                </c:pt>
                <c:pt idx="2">
                  <c:v>1.05985164</c:v>
                </c:pt>
                <c:pt idx="3">
                  <c:v>1.0119062299999999</c:v>
                </c:pt>
              </c:numCache>
            </c:numRef>
          </c:val>
          <c:extLst>
            <c:ext xmlns:c16="http://schemas.microsoft.com/office/drawing/2014/chart" uri="{C3380CC4-5D6E-409C-BE32-E72D297353CC}">
              <c16:uniqueId val="{00000000-8471-462C-B4E4-19B590AC1532}"/>
            </c:ext>
          </c:extLst>
        </c:ser>
        <c:ser>
          <c:idx val="1"/>
          <c:order val="1"/>
          <c:tx>
            <c:strRef>
              <c:f>Sheet1!$O$57:$O$58</c:f>
              <c:strCache>
                <c:ptCount val="1"/>
                <c:pt idx="0">
                  <c:v>BEC/FOR/GLY</c:v>
                </c:pt>
              </c:strCache>
            </c:strRef>
          </c:tx>
          <c:spPr>
            <a:solidFill>
              <a:schemeClr val="accent2"/>
            </a:solidFill>
            <a:ln>
              <a:noFill/>
            </a:ln>
            <a:effectLst/>
          </c:spPr>
          <c:invertIfNegative val="0"/>
          <c:cat>
            <c:strRef>
              <c:f>Sheet1!$M$59:$M$63</c:f>
              <c:strCache>
                <c:ptCount val="4"/>
                <c:pt idx="0">
                  <c:v>2021</c:v>
                </c:pt>
                <c:pt idx="1">
                  <c:v>2022</c:v>
                </c:pt>
                <c:pt idx="2">
                  <c:v>2023</c:v>
                </c:pt>
                <c:pt idx="3">
                  <c:v>2024</c:v>
                </c:pt>
              </c:strCache>
            </c:strRef>
          </c:cat>
          <c:val>
            <c:numRef>
              <c:f>Sheet1!$O$59:$O$63</c:f>
              <c:numCache>
                <c:formatCode>General</c:formatCode>
                <c:ptCount val="4"/>
                <c:pt idx="2">
                  <c:v>4.19426436</c:v>
                </c:pt>
                <c:pt idx="3">
                  <c:v>12.51328797</c:v>
                </c:pt>
              </c:numCache>
            </c:numRef>
          </c:val>
          <c:extLst>
            <c:ext xmlns:c16="http://schemas.microsoft.com/office/drawing/2014/chart" uri="{C3380CC4-5D6E-409C-BE32-E72D297353CC}">
              <c16:uniqueId val="{00000001-8471-462C-B4E4-19B590AC1532}"/>
            </c:ext>
          </c:extLst>
        </c:ser>
        <c:ser>
          <c:idx val="2"/>
          <c:order val="2"/>
          <c:tx>
            <c:strRef>
              <c:f>Sheet1!$P$57:$P$58</c:f>
              <c:strCache>
                <c:ptCount val="1"/>
                <c:pt idx="0">
                  <c:v>FF/VI/UMEC</c:v>
                </c:pt>
              </c:strCache>
            </c:strRef>
          </c:tx>
          <c:spPr>
            <a:solidFill>
              <a:schemeClr val="accent3"/>
            </a:solidFill>
            <a:ln>
              <a:noFill/>
            </a:ln>
            <a:effectLst/>
          </c:spPr>
          <c:invertIfNegative val="0"/>
          <c:cat>
            <c:strRef>
              <c:f>Sheet1!$M$59:$M$63</c:f>
              <c:strCache>
                <c:ptCount val="4"/>
                <c:pt idx="0">
                  <c:v>2021</c:v>
                </c:pt>
                <c:pt idx="1">
                  <c:v>2022</c:v>
                </c:pt>
                <c:pt idx="2">
                  <c:v>2023</c:v>
                </c:pt>
                <c:pt idx="3">
                  <c:v>2024</c:v>
                </c:pt>
              </c:strCache>
            </c:strRef>
          </c:cat>
          <c:val>
            <c:numRef>
              <c:f>Sheet1!$P$59:$P$63</c:f>
              <c:numCache>
                <c:formatCode>General</c:formatCode>
                <c:ptCount val="4"/>
                <c:pt idx="1">
                  <c:v>4.8342518399999994</c:v>
                </c:pt>
                <c:pt idx="2">
                  <c:v>17.358128820000001</c:v>
                </c:pt>
                <c:pt idx="3">
                  <c:v>26.721339329999999</c:v>
                </c:pt>
              </c:numCache>
            </c:numRef>
          </c:val>
          <c:extLst>
            <c:ext xmlns:c16="http://schemas.microsoft.com/office/drawing/2014/chart" uri="{C3380CC4-5D6E-409C-BE32-E72D297353CC}">
              <c16:uniqueId val="{00000002-8471-462C-B4E4-19B590AC1532}"/>
            </c:ext>
          </c:extLst>
        </c:ser>
        <c:dLbls>
          <c:showLegendKey val="0"/>
          <c:showVal val="0"/>
          <c:showCatName val="0"/>
          <c:showSerName val="0"/>
          <c:showPercent val="0"/>
          <c:showBubbleSize val="0"/>
        </c:dLbls>
        <c:gapWidth val="219"/>
        <c:overlap val="100"/>
        <c:axId val="752011280"/>
        <c:axId val="752012000"/>
      </c:barChart>
      <c:catAx>
        <c:axId val="752011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12000"/>
        <c:crosses val="autoZero"/>
        <c:auto val="1"/>
        <c:lblAlgn val="ctr"/>
        <c:lblOffset val="100"/>
        <c:noMultiLvlLbl val="0"/>
      </c:catAx>
      <c:valAx>
        <c:axId val="75201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Government (Millions)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11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4951</Words>
  <Characters>28225</Characters>
  <Application>Microsoft Office Word</Application>
  <DocSecurity>0</DocSecurity>
  <Lines>235</Lines>
  <Paragraphs>66</Paragraphs>
  <ScaleCrop>false</ScaleCrop>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2025-09-26T01:50:00Z</dcterms:created>
  <dcterms:modified xsi:type="dcterms:W3CDTF">2025-09-26T01:50:00Z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3fd55c1c,25d5ac06,5fa94dc2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76f04bb0,22ea4c98,10cd40c3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2025-09-26T01:50:28Z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ff85236f-efe9-443d-abd8-7b40473368e1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