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3C130" w14:textId="7C509624" w:rsidR="00832324" w:rsidRDefault="000274E1" w:rsidP="00F73113">
      <w:pPr>
        <w:pStyle w:val="Title"/>
      </w:pPr>
      <w:r w:rsidRPr="000274E1">
        <w:t>Progesterone</w:t>
      </w:r>
      <w:r>
        <w:t xml:space="preserve"> for the</w:t>
      </w:r>
      <w:r w:rsidRPr="000274E1">
        <w:t xml:space="preserve"> prevention of preterm birth</w:t>
      </w:r>
      <w:r w:rsidR="00FA489A">
        <w:t>s</w:t>
      </w:r>
      <w:r w:rsidR="00741BF2">
        <w:t xml:space="preserve">: 24 </w:t>
      </w:r>
      <w:proofErr w:type="gramStart"/>
      <w:r w:rsidR="00741BF2">
        <w:t>month</w:t>
      </w:r>
      <w:proofErr w:type="gramEnd"/>
      <w:r w:rsidR="00741BF2">
        <w:t xml:space="preserve"> predicted</w:t>
      </w:r>
      <w:r w:rsidR="00BB7EE4">
        <w:t xml:space="preserve"> versus actual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1D84D0EA" w:rsidR="009053D3" w:rsidRPr="00F73113" w:rsidRDefault="002E66FB" w:rsidP="00F73113">
      <w:pPr>
        <w:pStyle w:val="Meetingdate"/>
      </w:pPr>
      <w:r>
        <w:t>February 2024</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70A05845" w14:textId="43874BF6" w:rsidR="005C6661" w:rsidRDefault="000850E2" w:rsidP="000850E2">
      <w:pPr>
        <w:pStyle w:val="NoSpacing"/>
      </w:pPr>
      <w:r>
        <w:t>At its November 2020 meeting the P</w:t>
      </w:r>
      <w:r w:rsidR="003630C6">
        <w:t xml:space="preserve">harmaceutical </w:t>
      </w:r>
      <w:r>
        <w:t>B</w:t>
      </w:r>
      <w:r w:rsidR="003630C6">
        <w:t xml:space="preserve">enefits </w:t>
      </w:r>
      <w:r>
        <w:t>A</w:t>
      </w:r>
      <w:r w:rsidR="003630C6">
        <w:t xml:space="preserve">dvisory </w:t>
      </w:r>
      <w:r>
        <w:t>C</w:t>
      </w:r>
      <w:r w:rsidR="003630C6">
        <w:t>ommittee (PBAC)</w:t>
      </w:r>
      <w:r>
        <w:t xml:space="preserve"> considered that the estimated utilisation of progesterone for the prevention of preterm births was highly uncertain and considered that a utilisation review by </w:t>
      </w:r>
      <w:r w:rsidR="003630C6">
        <w:t xml:space="preserve">the </w:t>
      </w:r>
      <w:r>
        <w:t>DUSC should be conducted two years after initial listing.</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0CBC68CA" w14:textId="77777777" w:rsidR="00916D28" w:rsidRDefault="00690BF1" w:rsidP="00690BF1">
      <w:r>
        <w:t xml:space="preserve">Progesterone </w:t>
      </w:r>
      <w:r w:rsidRPr="00E86699">
        <w:t>for the prevention of preterm</w:t>
      </w:r>
      <w:r>
        <w:t xml:space="preserve"> was listed on the general schedule of the PBS with a streamlined authority</w:t>
      </w:r>
      <w:r w:rsidR="00916D28">
        <w:t xml:space="preserve">. </w:t>
      </w:r>
    </w:p>
    <w:p w14:paraId="0C1E8049" w14:textId="76C9BC1E" w:rsidR="00916D28" w:rsidRDefault="00916D28" w:rsidP="00A11DC0">
      <w:pPr>
        <w:ind w:right="-172"/>
      </w:pPr>
      <w:r>
        <w:t xml:space="preserve">Item 12465C, progesterone 200 mg pessary, 15 (Oripro) was listed on the PBS on 1 June 2021. </w:t>
      </w:r>
    </w:p>
    <w:p w14:paraId="554F4BB1" w14:textId="70DEAD19" w:rsidR="00916D28" w:rsidRDefault="000A0677" w:rsidP="00690BF1">
      <w:r>
        <w:t>I</w:t>
      </w:r>
      <w:r w:rsidR="00916D28">
        <w:t>tem 12598C, progesterone 200 mg capsule, 42 (Utrogestan) was listed on 1 July 2021.</w:t>
      </w:r>
    </w:p>
    <w:p w14:paraId="526743BB" w14:textId="77777777" w:rsidR="005C6661" w:rsidRDefault="005C6661" w:rsidP="00CF5E22">
      <w:pPr>
        <w:pStyle w:val="Heading3"/>
      </w:pPr>
      <w:r>
        <w:t>Data Source / methodology</w:t>
      </w:r>
    </w:p>
    <w:p w14:paraId="4DC746D0" w14:textId="77777777" w:rsidR="00AA7C8C" w:rsidRDefault="00AA7C8C" w:rsidP="00AA7C8C">
      <w:pPr>
        <w:pStyle w:val="NoSpacing"/>
      </w:pPr>
      <w:r w:rsidRPr="006804E0">
        <w:t>Data extracted from the PBS database maintained by Department of Health and Aged Care, processed by Services Australia were used for the analyses.</w:t>
      </w:r>
    </w:p>
    <w:p w14:paraId="7599E7C1" w14:textId="77777777" w:rsidR="005C6661" w:rsidRDefault="005C6661" w:rsidP="00CF5E22">
      <w:pPr>
        <w:pStyle w:val="Heading3"/>
      </w:pPr>
      <w:r>
        <w:t>Key Findings</w:t>
      </w:r>
    </w:p>
    <w:p w14:paraId="37B0D8BF" w14:textId="59F95382" w:rsidR="003630C6" w:rsidRDefault="003630C6" w:rsidP="0009742A">
      <w:pPr>
        <w:pStyle w:val="NoSpacing"/>
        <w:numPr>
          <w:ilvl w:val="0"/>
          <w:numId w:val="1"/>
        </w:numPr>
      </w:pPr>
      <w:r>
        <w:t xml:space="preserve">Utilisation of progesterone for </w:t>
      </w:r>
      <w:r w:rsidR="00531951">
        <w:t xml:space="preserve">the prevention of </w:t>
      </w:r>
      <w:r>
        <w:t>preterm birth has slowly increased since the initial increase upon listing on the PBS.</w:t>
      </w:r>
    </w:p>
    <w:p w14:paraId="06CFB806" w14:textId="24C138D0" w:rsidR="003630C6" w:rsidRDefault="003630C6" w:rsidP="0009742A">
      <w:pPr>
        <w:pStyle w:val="NoSpacing"/>
        <w:numPr>
          <w:ilvl w:val="0"/>
          <w:numId w:val="1"/>
        </w:numPr>
      </w:pPr>
      <w:r>
        <w:t xml:space="preserve">Utilisation of </w:t>
      </w:r>
      <w:r w:rsidR="002C1462">
        <w:t>U</w:t>
      </w:r>
      <w:r>
        <w:t xml:space="preserve">trogestan (Item 12598C) has been more than double the utilisation of </w:t>
      </w:r>
      <w:r w:rsidR="002C1462">
        <w:t>O</w:t>
      </w:r>
      <w:r>
        <w:t>ripro (</w:t>
      </w:r>
      <w:r w:rsidRPr="003630C6">
        <w:t>Item 12465C</w:t>
      </w:r>
      <w:r>
        <w:t>) in the second and third quarters of 2023.</w:t>
      </w:r>
      <w:r w:rsidRPr="003630C6">
        <w:t xml:space="preserve"> </w:t>
      </w:r>
    </w:p>
    <w:p w14:paraId="0255B8FB" w14:textId="6F8F4407" w:rsidR="003630C6" w:rsidRDefault="003630C6" w:rsidP="0009742A">
      <w:pPr>
        <w:pStyle w:val="NoSpacing"/>
        <w:numPr>
          <w:ilvl w:val="0"/>
          <w:numId w:val="1"/>
        </w:numPr>
      </w:pPr>
      <w:r>
        <w:t xml:space="preserve">Prescribing of progesterone for </w:t>
      </w:r>
      <w:r w:rsidR="00A11DC0">
        <w:t xml:space="preserve">the prevention of </w:t>
      </w:r>
      <w:r>
        <w:t>preterm birth has been highest amongst obstetricians and gynaecologists, followed by vocationally registered general practitioners (GPs) and non-vocationally registered GPs.</w:t>
      </w:r>
    </w:p>
    <w:p w14:paraId="0EF216CD" w14:textId="7FCE75CC" w:rsidR="003630C6" w:rsidRPr="003630C6" w:rsidRDefault="003630C6" w:rsidP="00A11DC0">
      <w:pPr>
        <w:pStyle w:val="NoSpacing"/>
        <w:numPr>
          <w:ilvl w:val="0"/>
          <w:numId w:val="1"/>
        </w:numPr>
      </w:pPr>
      <w:r>
        <w:t xml:space="preserve">Despite the </w:t>
      </w:r>
      <w:r w:rsidR="00A11DC0">
        <w:t xml:space="preserve">PBS </w:t>
      </w:r>
      <w:r>
        <w:t xml:space="preserve">listing </w:t>
      </w:r>
      <w:r w:rsidR="00A11DC0">
        <w:t xml:space="preserve">of progesterone for the prevention of preterm birth </w:t>
      </w:r>
      <w:r>
        <w:t>allowing prescribing by nurse practitioners and midwives, actual prescribing from these prescriber types has been extremely low.</w:t>
      </w:r>
    </w:p>
    <w:p w14:paraId="62387F7A" w14:textId="1A57CC6B" w:rsidR="00531951" w:rsidRPr="003630C6" w:rsidRDefault="00531951" w:rsidP="00531951">
      <w:pPr>
        <w:pStyle w:val="NoSpacing"/>
        <w:numPr>
          <w:ilvl w:val="0"/>
          <w:numId w:val="1"/>
        </w:numPr>
      </w:pPr>
      <w:r>
        <w:t>Actual u</w:t>
      </w:r>
      <w:r w:rsidRPr="00475B8B">
        <w:t xml:space="preserve">tilisation of </w:t>
      </w:r>
      <w:r>
        <w:t xml:space="preserve">progesterone for the prevention of preterm birth </w:t>
      </w:r>
      <w:r w:rsidRPr="00475B8B">
        <w:t>was different from</w:t>
      </w:r>
      <w:r>
        <w:t xml:space="preserve"> estimated</w:t>
      </w:r>
      <w:r w:rsidRPr="00475B8B">
        <w:t xml:space="preserve">. The number of treated </w:t>
      </w:r>
      <w:r w:rsidRPr="009B66A3">
        <w:t>patients</w:t>
      </w:r>
      <w:r>
        <w:t xml:space="preserve"> and prescriptions </w:t>
      </w:r>
      <w:r w:rsidR="00C26296">
        <w:t xml:space="preserve">supplied is </w:t>
      </w:r>
      <w:r w:rsidR="00C26296" w:rsidRPr="005F2A6D">
        <w:rPr>
          <w:highlight w:val="black"/>
        </w:rPr>
        <w:t>XXXXX</w:t>
      </w:r>
      <w:r w:rsidR="00C26296">
        <w:t xml:space="preserve"> than estimated.</w:t>
      </w:r>
    </w:p>
    <w:p w14:paraId="5B262047" w14:textId="4D1EE3B4" w:rsidR="00E677DD" w:rsidRDefault="00E677DD" w:rsidP="00CF5E22">
      <w:pPr>
        <w:pStyle w:val="Heading1"/>
      </w:pPr>
      <w:r w:rsidRPr="00CF5E22">
        <w:lastRenderedPageBreak/>
        <w:t xml:space="preserve">Purpose of </w:t>
      </w:r>
      <w:r w:rsidR="00D151EB" w:rsidRPr="00CF5E22">
        <w:t>analysis</w:t>
      </w:r>
    </w:p>
    <w:p w14:paraId="35125D0A" w14:textId="3CB3CF7C" w:rsidR="00B0539E" w:rsidRPr="00B0539E" w:rsidRDefault="00B0539E" w:rsidP="00B0539E">
      <w:pPr>
        <w:pStyle w:val="NoSpacing"/>
      </w:pPr>
      <w:r>
        <w:t>At its November 2020 meeting the PBAC considered that the estimated utilisation of progesterone for the prevention of preterm births was highly uncertain and considered that a utilisation review by DUSC should be conducted two years after initial listing.</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342C7829" w14:textId="065F26EA" w:rsidR="0068493D" w:rsidRDefault="009A75D2" w:rsidP="0068493D">
      <w:r>
        <w:t xml:space="preserve">Progesterone </w:t>
      </w:r>
      <w:r w:rsidR="0068493D">
        <w:t xml:space="preserve">is used </w:t>
      </w:r>
      <w:r w:rsidR="005B0370">
        <w:t xml:space="preserve">by </w:t>
      </w:r>
      <w:r w:rsidR="0068493D">
        <w:t>women undergoing fertility treatment</w:t>
      </w:r>
      <w:r>
        <w:t>,</w:t>
      </w:r>
      <w:r w:rsidR="0068493D">
        <w:t xml:space="preserve"> for the treatment of unexplained threatened miscarriage</w:t>
      </w:r>
      <w:r>
        <w:t>,</w:t>
      </w:r>
      <w:r w:rsidR="0068493D">
        <w:t xml:space="preserve"> </w:t>
      </w:r>
      <w:r w:rsidR="002E66FB">
        <w:t xml:space="preserve">and </w:t>
      </w:r>
      <w:r w:rsidR="0068493D">
        <w:t>for the prevention of preterm birth in women with a short cervix and</w:t>
      </w:r>
      <w:r>
        <w:t>/</w:t>
      </w:r>
      <w:r w:rsidR="0068493D">
        <w:t>or history of spontaneous preterm birth.</w:t>
      </w:r>
    </w:p>
    <w:p w14:paraId="2EFEE726" w14:textId="77777777" w:rsidR="00AF6C36" w:rsidRDefault="00AF6C36" w:rsidP="00AF6C36">
      <w:pPr>
        <w:rPr>
          <w:sz w:val="22"/>
          <w:szCs w:val="22"/>
        </w:rPr>
      </w:pPr>
      <w:r>
        <w:t>The Australian Institute of Health and Welfare (AIHW)</w:t>
      </w:r>
      <w:r>
        <w:rPr>
          <w:rStyle w:val="FootnoteReference"/>
        </w:rPr>
        <w:footnoteReference w:id="1"/>
      </w:r>
      <w:r>
        <w:t xml:space="preserve"> data shows that in 2022 there were 264,341 births of which 22,053 were pre-term (20-36 weeks), which is a rate of 8.3%. Over the same period, the PBS data shows that 5,995 women initiated treatment with PBS progesterone for prevention of pre-term birth. If progesterone treatment for the prevention of preterm birth is effective and widely used, overtime the pre-term birth rate should decrease, however this has not happened yet as the pre-term birth rate is still 8.3%.</w:t>
      </w:r>
    </w:p>
    <w:p w14:paraId="0183A567" w14:textId="413DF87B" w:rsidR="007247B9" w:rsidRDefault="007247B9" w:rsidP="00CF5E22">
      <w:pPr>
        <w:pStyle w:val="Heading2"/>
      </w:pPr>
      <w:r>
        <w:t>Pharmacology</w:t>
      </w:r>
    </w:p>
    <w:p w14:paraId="43F7C254" w14:textId="02968A02" w:rsidR="0068493D" w:rsidRPr="007247B9" w:rsidRDefault="0068493D" w:rsidP="0068493D">
      <w:r>
        <w:t xml:space="preserve">Progesterone is a naturally occurring steroid hormone that is secreted by the ovary, </w:t>
      </w:r>
      <w:proofErr w:type="gramStart"/>
      <w:r>
        <w:t>placenta</w:t>
      </w:r>
      <w:proofErr w:type="gramEnd"/>
      <w:r>
        <w:t xml:space="preserve"> and adrenal gland. It acts on the endometrium by converting the proliferating phase to the secretory phase. Progesterone is necessary to increase endometrial receptivity for implantation of an embryo, and once an embryo is implanted, progesterone acts to maintain the pregnancy. As well as gestagenic actions, progesterone also has anti-estrogenic, slightly anti-androgenic and anti-aldosterone effects.</w:t>
      </w:r>
    </w:p>
    <w:p w14:paraId="5CDECFF1" w14:textId="20C8D75D" w:rsidR="00261CE9" w:rsidRDefault="00A52918" w:rsidP="008B30F6">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042701EB" w14:textId="0DE03786" w:rsidR="00261CE9" w:rsidRDefault="008B30F6" w:rsidP="00261CE9">
      <w:pPr>
        <w:spacing w:after="0"/>
      </w:pPr>
      <w:r w:rsidRPr="008B30F6">
        <w:t>Progesterone</w:t>
      </w:r>
      <w:r>
        <w:t xml:space="preserve"> is registered for the p</w:t>
      </w:r>
      <w:r w:rsidR="00261CE9">
        <w:t>revention of preterm birth in singleton pregnancies at risk due to</w:t>
      </w:r>
      <w:r w:rsidR="005B0370">
        <w:t>:</w:t>
      </w:r>
      <w:r w:rsidR="00261CE9">
        <w:t xml:space="preserve"> </w:t>
      </w:r>
    </w:p>
    <w:p w14:paraId="67B66A18" w14:textId="774A3FA5" w:rsidR="00261CE9" w:rsidRDefault="00261CE9" w:rsidP="00261CE9">
      <w:pPr>
        <w:pStyle w:val="ListParagraph"/>
        <w:numPr>
          <w:ilvl w:val="0"/>
          <w:numId w:val="5"/>
        </w:numPr>
        <w:spacing w:after="0"/>
      </w:pPr>
      <w:r>
        <w:t xml:space="preserve">Shortened cervix (midtrimester sonographic cervix ≤25mm); and/or </w:t>
      </w:r>
    </w:p>
    <w:p w14:paraId="1E393897" w14:textId="7ABF9D46" w:rsidR="001420B3" w:rsidRDefault="00261CE9" w:rsidP="00261CE9">
      <w:pPr>
        <w:pStyle w:val="ListParagraph"/>
        <w:numPr>
          <w:ilvl w:val="0"/>
          <w:numId w:val="5"/>
        </w:numPr>
        <w:spacing w:after="0"/>
      </w:pPr>
      <w:r>
        <w:t>Where there is a history of spontaneous preterm birth.</w:t>
      </w:r>
    </w:p>
    <w:p w14:paraId="17C883CC" w14:textId="77777777" w:rsidR="0068493D" w:rsidRDefault="0068493D" w:rsidP="0068493D">
      <w:pPr>
        <w:spacing w:after="0"/>
      </w:pPr>
    </w:p>
    <w:p w14:paraId="030A0EA0" w14:textId="77777777" w:rsidR="008202D9" w:rsidRDefault="007D28BA" w:rsidP="0068493D">
      <w:pPr>
        <w:spacing w:after="0"/>
      </w:pPr>
      <w:r>
        <w:t>Progesterone is also registered for</w:t>
      </w:r>
      <w:r w:rsidR="008202D9">
        <w:t>:</w:t>
      </w:r>
    </w:p>
    <w:p w14:paraId="24016FA2" w14:textId="3091B48D" w:rsidR="008B30F6" w:rsidRDefault="008202D9" w:rsidP="008202D9">
      <w:pPr>
        <w:pStyle w:val="ListParagraph"/>
        <w:numPr>
          <w:ilvl w:val="0"/>
          <w:numId w:val="7"/>
        </w:numPr>
        <w:spacing w:after="0"/>
      </w:pPr>
      <w:r>
        <w:t>T</w:t>
      </w:r>
      <w:r w:rsidR="0068493D">
        <w:t xml:space="preserve">he treatment of unexplained threatened miscarriage in women with bleeding in the current pregnancy and a history of at least three or more previous </w:t>
      </w:r>
      <w:proofErr w:type="gramStart"/>
      <w:r w:rsidR="0068493D">
        <w:t>miscarriages</w:t>
      </w:r>
      <w:r>
        <w:t>;</w:t>
      </w:r>
      <w:proofErr w:type="gramEnd"/>
    </w:p>
    <w:p w14:paraId="66B66F90" w14:textId="7D5C0F60" w:rsidR="008202D9" w:rsidRDefault="008202D9" w:rsidP="008202D9">
      <w:pPr>
        <w:pStyle w:val="ListParagraph"/>
        <w:numPr>
          <w:ilvl w:val="0"/>
          <w:numId w:val="7"/>
        </w:numPr>
        <w:spacing w:after="0"/>
      </w:pPr>
      <w:r>
        <w:t>A</w:t>
      </w:r>
      <w:r w:rsidR="008B30F6">
        <w:t>ssisted reproductive technology (ART) treatment of infertile women with progesterone deficiency, requiring progesterone supplementation or replacement to support embryo implantation and maintain initial pregnancy</w:t>
      </w:r>
      <w:r w:rsidR="0068493D">
        <w:t xml:space="preserve">, </w:t>
      </w:r>
      <w:r>
        <w:t xml:space="preserve">and </w:t>
      </w:r>
      <w:r w:rsidR="0068493D">
        <w:t xml:space="preserve">for luteal phase </w:t>
      </w:r>
      <w:proofErr w:type="gramStart"/>
      <w:r w:rsidR="0068493D">
        <w:t>support</w:t>
      </w:r>
      <w:r>
        <w:t>;</w:t>
      </w:r>
      <w:proofErr w:type="gramEnd"/>
      <w:r w:rsidR="0068493D">
        <w:t xml:space="preserve"> </w:t>
      </w:r>
    </w:p>
    <w:p w14:paraId="3AA2951F" w14:textId="243F8A71" w:rsidR="008202D9" w:rsidRDefault="005B0370" w:rsidP="008202D9">
      <w:pPr>
        <w:pStyle w:val="ListParagraph"/>
        <w:numPr>
          <w:ilvl w:val="0"/>
          <w:numId w:val="7"/>
        </w:numPr>
        <w:spacing w:after="0"/>
      </w:pPr>
      <w:r>
        <w:t>W</w:t>
      </w:r>
      <w:r w:rsidR="0068493D">
        <w:t>omen with menstrual abnormalities or secondary amenorrhoea due to normogonadotrophic amenorrhoea</w:t>
      </w:r>
      <w:r w:rsidR="008202D9">
        <w:t>;</w:t>
      </w:r>
      <w:r w:rsidR="0068493D">
        <w:t xml:space="preserve"> and </w:t>
      </w:r>
    </w:p>
    <w:p w14:paraId="11838C60" w14:textId="31FDC676" w:rsidR="008B30F6" w:rsidRDefault="005B0370" w:rsidP="008202D9">
      <w:pPr>
        <w:pStyle w:val="ListParagraph"/>
        <w:numPr>
          <w:ilvl w:val="0"/>
          <w:numId w:val="7"/>
        </w:numPr>
        <w:spacing w:after="0"/>
      </w:pPr>
      <w:r>
        <w:lastRenderedPageBreak/>
        <w:t>I</w:t>
      </w:r>
      <w:r w:rsidR="0068493D">
        <w:t>n combination with estrogen in hormone replacement therapy</w:t>
      </w:r>
      <w:r w:rsidR="009A75D2">
        <w:t>.</w:t>
      </w:r>
    </w:p>
    <w:p w14:paraId="15E919C1" w14:textId="1B3BA560" w:rsidR="006B709B" w:rsidRDefault="006B709B" w:rsidP="00CF5E22">
      <w:pPr>
        <w:pStyle w:val="Heading2"/>
      </w:pPr>
      <w:r>
        <w:t>Dosage and administration</w:t>
      </w:r>
    </w:p>
    <w:p w14:paraId="51E22FB7" w14:textId="136B43C6" w:rsidR="003370D0" w:rsidRPr="005B0370" w:rsidRDefault="003370D0" w:rsidP="00CF5E22">
      <w:pPr>
        <w:pStyle w:val="Tabletitle"/>
      </w:pPr>
      <w:r w:rsidRPr="005B0370">
        <w:t xml:space="preserve">Table </w:t>
      </w:r>
      <w:r w:rsidR="005B0370">
        <w:t>1</w:t>
      </w:r>
      <w:r w:rsidRPr="005B0370">
        <w:t xml:space="preserve">: </w:t>
      </w:r>
      <w:r w:rsidR="009663B6" w:rsidRPr="005B0370">
        <w:t xml:space="preserve">Dosage and administration of </w:t>
      </w:r>
      <w:r w:rsidR="00C336F1">
        <w:t>p</w:t>
      </w:r>
      <w:r w:rsidR="002E66FB" w:rsidRPr="005B0370">
        <w:t>rogesterone for the prevention of preterm birth</w:t>
      </w:r>
    </w:p>
    <w:tbl>
      <w:tblPr>
        <w:tblStyle w:val="TableGrid"/>
        <w:tblW w:w="9180" w:type="dxa"/>
        <w:tblLook w:val="04A0" w:firstRow="1" w:lastRow="0" w:firstColumn="1" w:lastColumn="0" w:noHBand="0" w:noVBand="1"/>
      </w:tblPr>
      <w:tblGrid>
        <w:gridCol w:w="2660"/>
        <w:gridCol w:w="3544"/>
        <w:gridCol w:w="2976"/>
      </w:tblGrid>
      <w:tr w:rsidR="00AB3733" w:rsidRPr="00A35800" w14:paraId="17C962C4" w14:textId="77777777" w:rsidTr="007142BB">
        <w:trPr>
          <w:tblHeader/>
        </w:trPr>
        <w:tc>
          <w:tcPr>
            <w:tcW w:w="2660" w:type="dxa"/>
            <w:shd w:val="clear" w:color="auto" w:fill="D9D9D9" w:themeFill="background1" w:themeFillShade="D9"/>
          </w:tcPr>
          <w:p w14:paraId="4C67179E" w14:textId="77777777" w:rsidR="00AB3733" w:rsidRPr="00A35800" w:rsidRDefault="00AB3733" w:rsidP="00A35800">
            <w:pPr>
              <w:pStyle w:val="Tableheading"/>
              <w:rPr>
                <w:sz w:val="20"/>
                <w:szCs w:val="20"/>
              </w:rPr>
            </w:pPr>
            <w:r w:rsidRPr="00A35800">
              <w:rPr>
                <w:sz w:val="20"/>
                <w:szCs w:val="20"/>
              </w:rPr>
              <w:t>Brand name and sponsor</w:t>
            </w:r>
          </w:p>
        </w:tc>
        <w:tc>
          <w:tcPr>
            <w:tcW w:w="3544" w:type="dxa"/>
            <w:shd w:val="clear" w:color="auto" w:fill="D9D9D9" w:themeFill="background1" w:themeFillShade="D9"/>
          </w:tcPr>
          <w:p w14:paraId="2A01F4BF" w14:textId="77777777" w:rsidR="00AB3733" w:rsidRPr="00A35800" w:rsidRDefault="00AB3733" w:rsidP="00A35800">
            <w:pPr>
              <w:pStyle w:val="Tableheading"/>
              <w:rPr>
                <w:sz w:val="20"/>
                <w:szCs w:val="20"/>
              </w:rPr>
            </w:pPr>
            <w:r w:rsidRPr="00A35800">
              <w:rPr>
                <w:sz w:val="20"/>
                <w:szCs w:val="20"/>
              </w:rPr>
              <w:t>Product</w:t>
            </w:r>
          </w:p>
        </w:tc>
        <w:tc>
          <w:tcPr>
            <w:tcW w:w="2976" w:type="dxa"/>
            <w:shd w:val="clear" w:color="auto" w:fill="D9D9D9" w:themeFill="background1" w:themeFillShade="D9"/>
          </w:tcPr>
          <w:p w14:paraId="28170FE4" w14:textId="77777777" w:rsidR="00AB3733" w:rsidRPr="00A35800" w:rsidRDefault="00AB3733" w:rsidP="00A35800">
            <w:pPr>
              <w:pStyle w:val="Tableheading"/>
              <w:rPr>
                <w:sz w:val="20"/>
                <w:szCs w:val="20"/>
              </w:rPr>
            </w:pPr>
            <w:r w:rsidRPr="00A35800">
              <w:rPr>
                <w:sz w:val="20"/>
                <w:szCs w:val="20"/>
              </w:rPr>
              <w:t xml:space="preserve">Dose and frequency of administration </w:t>
            </w:r>
          </w:p>
        </w:tc>
      </w:tr>
      <w:tr w:rsidR="00AB3733" w:rsidRPr="00A35800" w14:paraId="348A165B" w14:textId="77777777" w:rsidTr="003370D0">
        <w:tc>
          <w:tcPr>
            <w:tcW w:w="2660" w:type="dxa"/>
          </w:tcPr>
          <w:p w14:paraId="23DEB0E0" w14:textId="3048F387" w:rsidR="00AB3733" w:rsidRPr="00A35800" w:rsidRDefault="009149B0" w:rsidP="00A35800">
            <w:pPr>
              <w:pStyle w:val="Tablewriting"/>
            </w:pPr>
            <w:r w:rsidRPr="009149B0">
              <w:t>Oripro</w:t>
            </w:r>
            <w:r>
              <w:t xml:space="preserve">, </w:t>
            </w:r>
            <w:r w:rsidRPr="009149B0">
              <w:t>Orion Laboratories Pty Ltd</w:t>
            </w:r>
          </w:p>
        </w:tc>
        <w:tc>
          <w:tcPr>
            <w:tcW w:w="3544" w:type="dxa"/>
          </w:tcPr>
          <w:p w14:paraId="313459A4" w14:textId="4D091616" w:rsidR="00AB3733" w:rsidRPr="00A35800" w:rsidRDefault="009149B0" w:rsidP="00A35800">
            <w:pPr>
              <w:pStyle w:val="Tablewriting"/>
            </w:pPr>
            <w:r w:rsidRPr="009149B0">
              <w:t>Pessaries contain as active substance 100mg or 200mg of progesterone</w:t>
            </w:r>
            <w:r>
              <w:t>.</w:t>
            </w:r>
          </w:p>
        </w:tc>
        <w:tc>
          <w:tcPr>
            <w:tcW w:w="2976" w:type="dxa"/>
          </w:tcPr>
          <w:p w14:paraId="405FC15E" w14:textId="5C032EF9" w:rsidR="00AB3733" w:rsidRPr="00A35800" w:rsidRDefault="009149B0" w:rsidP="00A35800">
            <w:pPr>
              <w:pStyle w:val="Tablewriting"/>
            </w:pPr>
            <w:r w:rsidRPr="009149B0">
              <w:t>200 mg daily (at night)</w:t>
            </w:r>
          </w:p>
        </w:tc>
      </w:tr>
      <w:tr w:rsidR="009149B0" w:rsidRPr="00A35800" w14:paraId="0B728F39" w14:textId="77777777" w:rsidTr="003370D0">
        <w:tc>
          <w:tcPr>
            <w:tcW w:w="2660" w:type="dxa"/>
          </w:tcPr>
          <w:p w14:paraId="3EFEDB30" w14:textId="7251554A" w:rsidR="009149B0" w:rsidRPr="009149B0" w:rsidRDefault="009149B0" w:rsidP="00A35800">
            <w:pPr>
              <w:pStyle w:val="Tablewriting"/>
            </w:pPr>
            <w:r w:rsidRPr="009149B0">
              <w:t>Utrogestan</w:t>
            </w:r>
            <w:r>
              <w:t xml:space="preserve">, </w:t>
            </w:r>
            <w:r w:rsidRPr="009149B0">
              <w:t>Besins Healthcare Australia Pty Ltd</w:t>
            </w:r>
          </w:p>
        </w:tc>
        <w:tc>
          <w:tcPr>
            <w:tcW w:w="3544" w:type="dxa"/>
          </w:tcPr>
          <w:p w14:paraId="522B849F" w14:textId="1A7F411E" w:rsidR="009149B0" w:rsidRPr="009149B0" w:rsidRDefault="009149B0" w:rsidP="00A35800">
            <w:pPr>
              <w:pStyle w:val="Tablewriting"/>
            </w:pPr>
            <w:r>
              <w:t xml:space="preserve">Soft </w:t>
            </w:r>
            <w:r w:rsidR="00916D28">
              <w:t xml:space="preserve">pessary </w:t>
            </w:r>
            <w:r>
              <w:t>capsule</w:t>
            </w:r>
            <w:r w:rsidRPr="009149B0">
              <w:t xml:space="preserve"> contain</w:t>
            </w:r>
            <w:r w:rsidR="00B31314">
              <w:t>ing</w:t>
            </w:r>
            <w:r w:rsidRPr="009149B0">
              <w:t xml:space="preserve"> as active substance 200mg of progesterone</w:t>
            </w:r>
            <w:r>
              <w:t>.</w:t>
            </w:r>
          </w:p>
        </w:tc>
        <w:tc>
          <w:tcPr>
            <w:tcW w:w="2976" w:type="dxa"/>
          </w:tcPr>
          <w:p w14:paraId="6A8BACD6" w14:textId="7CB7805E" w:rsidR="009149B0" w:rsidRPr="009149B0" w:rsidRDefault="009149B0" w:rsidP="00A35800">
            <w:pPr>
              <w:pStyle w:val="Tablewriting"/>
            </w:pPr>
            <w:r w:rsidRPr="009149B0">
              <w:t>200 mg/day, recommended at bedtime</w:t>
            </w:r>
          </w:p>
        </w:tc>
      </w:tr>
    </w:tbl>
    <w:p w14:paraId="08559CD9" w14:textId="2995E7C9" w:rsidR="00A35800" w:rsidRPr="00442DC7" w:rsidRDefault="003370D0" w:rsidP="00A35800">
      <w:pPr>
        <w:pStyle w:val="Notes"/>
      </w:pPr>
      <w:r w:rsidRPr="00442DC7">
        <w:t>Source:</w:t>
      </w:r>
      <w:r w:rsidR="00442DC7" w:rsidRPr="00442DC7">
        <w:t xml:space="preserve"> Product Information.</w:t>
      </w:r>
    </w:p>
    <w:p w14:paraId="6682A05C" w14:textId="0C1F5CAB"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42E1FCC6" w:rsidR="00DF0B13" w:rsidRPr="007247B9" w:rsidDel="00EE2BBB" w:rsidRDefault="00DF0B13" w:rsidP="00CF5E22">
      <w:pPr>
        <w:pStyle w:val="Heading2"/>
      </w:pPr>
      <w:r w:rsidRPr="007247B9" w:rsidDel="00EE2BBB">
        <w:t>PBS listing details</w:t>
      </w:r>
      <w:r w:rsidR="00D151EB" w:rsidDel="00EE2BBB">
        <w:t xml:space="preserve"> (as </w:t>
      </w:r>
      <w:proofErr w:type="gramStart"/>
      <w:r w:rsidR="00D151EB" w:rsidDel="00EE2BBB">
        <w:t>at</w:t>
      </w:r>
      <w:proofErr w:type="gramEnd"/>
      <w:r w:rsidR="00E95DAD">
        <w:t xml:space="preserve"> 23 October 2023</w:t>
      </w:r>
      <w:r w:rsidR="00D151EB" w:rsidDel="00EE2BBB">
        <w:t>)</w:t>
      </w:r>
    </w:p>
    <w:p w14:paraId="4714176F" w14:textId="62A02FAA" w:rsidR="00E95DAD" w:rsidRDefault="00E86699" w:rsidP="00A35800">
      <w:bookmarkStart w:id="0" w:name="_Hlk148964309"/>
      <w:r>
        <w:t xml:space="preserve">Progesterone </w:t>
      </w:r>
      <w:r w:rsidRPr="00E86699">
        <w:t>for the prevention of preterm</w:t>
      </w:r>
      <w:r>
        <w:t xml:space="preserve"> </w:t>
      </w:r>
      <w:bookmarkEnd w:id="0"/>
      <w:r>
        <w:t>was listed on the general schedule of the PBS with a streamlined authority</w:t>
      </w:r>
      <w:r w:rsidR="001A5646">
        <w:t>.</w:t>
      </w:r>
    </w:p>
    <w:p w14:paraId="068EF56B" w14:textId="77777777" w:rsidR="000A0677" w:rsidRDefault="000A0677" w:rsidP="00A11DC0">
      <w:pPr>
        <w:ind w:right="-172"/>
      </w:pPr>
      <w:r>
        <w:t xml:space="preserve">Item 12465C, progesterone 200 mg pessary, 15 (Oripro) was listed on the PBS on 1 June 2021. </w:t>
      </w:r>
    </w:p>
    <w:p w14:paraId="3569CEE2" w14:textId="10D2F50B" w:rsidR="000A0677" w:rsidRDefault="000A0677" w:rsidP="000A0677">
      <w:r>
        <w:t xml:space="preserve">Item 12598C, progesterone 200 mg </w:t>
      </w:r>
      <w:r w:rsidR="001B7CD6">
        <w:t xml:space="preserve">pessary </w:t>
      </w:r>
      <w:r>
        <w:t>capsule, 42 (Utrogestan) was listed on 1 July 2021.</w:t>
      </w:r>
    </w:p>
    <w:p w14:paraId="65FA3DBA" w14:textId="076B1A72" w:rsidR="00E86699" w:rsidDel="00EE2BBB" w:rsidRDefault="00E86699" w:rsidP="00A35800">
      <w:r w:rsidRPr="00E86699">
        <w:t xml:space="preserve">The current PBS listings for </w:t>
      </w:r>
      <w:r>
        <w:t>p</w:t>
      </w:r>
      <w:r w:rsidRPr="00E86699">
        <w:t xml:space="preserve">rogesterone for the prevention of preterm are presented in Table </w:t>
      </w:r>
      <w:r w:rsidR="005B0370">
        <w:t>2</w:t>
      </w:r>
      <w:r w:rsidRPr="00E86699">
        <w:t xml:space="preserve"> below.</w:t>
      </w:r>
    </w:p>
    <w:p w14:paraId="1D47784A" w14:textId="65B9867F" w:rsidR="001420B3" w:rsidRPr="001420B3" w:rsidDel="00EE2BBB" w:rsidRDefault="001420B3" w:rsidP="00CF5E22">
      <w:pPr>
        <w:pStyle w:val="Tabletitle"/>
      </w:pPr>
      <w:r w:rsidRPr="001420B3" w:rsidDel="00EE2BBB">
        <w:t xml:space="preserve">Table </w:t>
      </w:r>
      <w:r w:rsidR="005B0370">
        <w:t>2</w:t>
      </w:r>
      <w:r w:rsidRPr="001420B3" w:rsidDel="00EE2BBB">
        <w:t xml:space="preserve">: </w:t>
      </w:r>
      <w:r w:rsidR="009663B6" w:rsidDel="00EE2BBB">
        <w:t>PB</w:t>
      </w:r>
      <w:r w:rsidR="00D151EB" w:rsidDel="00EE2BBB">
        <w:t>S listing of</w:t>
      </w:r>
      <w:r w:rsidR="002E66FB">
        <w:t xml:space="preserve"> Progesterone for the prevention of short term birth</w:t>
      </w:r>
    </w:p>
    <w:tbl>
      <w:tblPr>
        <w:tblStyle w:val="TableGrid"/>
        <w:tblW w:w="9067" w:type="dxa"/>
        <w:tblLayout w:type="fixed"/>
        <w:tblLook w:val="04A0" w:firstRow="1" w:lastRow="0" w:firstColumn="1" w:lastColumn="0" w:noHBand="0" w:noVBand="1"/>
      </w:tblPr>
      <w:tblGrid>
        <w:gridCol w:w="969"/>
        <w:gridCol w:w="2287"/>
        <w:gridCol w:w="1134"/>
        <w:gridCol w:w="1134"/>
        <w:gridCol w:w="992"/>
        <w:gridCol w:w="992"/>
        <w:gridCol w:w="1559"/>
      </w:tblGrid>
      <w:tr w:rsidR="002A344A" w:rsidRPr="00A35800" w:rsidDel="00EE2BBB" w14:paraId="6AA19A37" w14:textId="77B518AD" w:rsidTr="001B7CD6">
        <w:trPr>
          <w:trHeight w:val="694"/>
          <w:tblHeader/>
        </w:trPr>
        <w:tc>
          <w:tcPr>
            <w:tcW w:w="969" w:type="dxa"/>
            <w:shd w:val="clear" w:color="auto" w:fill="D9D9D9" w:themeFill="background1" w:themeFillShade="D9"/>
          </w:tcPr>
          <w:p w14:paraId="56A3DEA0" w14:textId="1A878237" w:rsidR="002A344A" w:rsidRPr="00A35800" w:rsidDel="00EE2BBB" w:rsidRDefault="002A344A" w:rsidP="00A35800">
            <w:pPr>
              <w:pStyle w:val="Tableheading"/>
              <w:rPr>
                <w:sz w:val="20"/>
                <w:szCs w:val="20"/>
              </w:rPr>
            </w:pPr>
            <w:r w:rsidRPr="00A35800" w:rsidDel="00EE2BBB">
              <w:rPr>
                <w:sz w:val="20"/>
                <w:szCs w:val="20"/>
              </w:rPr>
              <w:t>Item</w:t>
            </w:r>
          </w:p>
        </w:tc>
        <w:tc>
          <w:tcPr>
            <w:tcW w:w="2287" w:type="dxa"/>
            <w:shd w:val="clear" w:color="auto" w:fill="D9D9D9" w:themeFill="background1" w:themeFillShade="D9"/>
          </w:tcPr>
          <w:p w14:paraId="67A07252" w14:textId="6DE43662" w:rsidR="002A344A" w:rsidRPr="00A35800" w:rsidDel="00EE2BBB" w:rsidRDefault="002A344A" w:rsidP="00A35800">
            <w:pPr>
              <w:pStyle w:val="Tableheading"/>
              <w:rPr>
                <w:sz w:val="20"/>
                <w:szCs w:val="20"/>
              </w:rPr>
            </w:pPr>
            <w:r w:rsidRPr="00A35800" w:rsidDel="00EE2BBB">
              <w:rPr>
                <w:sz w:val="20"/>
                <w:szCs w:val="20"/>
              </w:rPr>
              <w:t>Name, form &amp; strength, pack size</w:t>
            </w:r>
          </w:p>
        </w:tc>
        <w:tc>
          <w:tcPr>
            <w:tcW w:w="1134" w:type="dxa"/>
            <w:shd w:val="clear" w:color="auto" w:fill="D9D9D9" w:themeFill="background1" w:themeFillShade="D9"/>
          </w:tcPr>
          <w:p w14:paraId="114E9799" w14:textId="0F07BD69" w:rsidR="002A344A" w:rsidRPr="00A35800" w:rsidDel="00EE2BBB" w:rsidRDefault="002A344A" w:rsidP="00A35800">
            <w:pPr>
              <w:pStyle w:val="Tableheading"/>
              <w:rPr>
                <w:sz w:val="20"/>
                <w:szCs w:val="20"/>
              </w:rPr>
            </w:pPr>
            <w:r w:rsidRPr="00A35800" w:rsidDel="00EE2BBB">
              <w:rPr>
                <w:sz w:val="20"/>
                <w:szCs w:val="20"/>
              </w:rPr>
              <w:t>Max</w:t>
            </w:r>
            <w:r>
              <w:rPr>
                <w:sz w:val="20"/>
                <w:szCs w:val="20"/>
              </w:rPr>
              <w:t xml:space="preserve"> </w:t>
            </w:r>
            <w:r w:rsidRPr="00A35800" w:rsidDel="00EE2BBB">
              <w:rPr>
                <w:sz w:val="20"/>
                <w:szCs w:val="20"/>
              </w:rPr>
              <w:t>q</w:t>
            </w:r>
            <w:r>
              <w:rPr>
                <w:sz w:val="20"/>
                <w:szCs w:val="20"/>
              </w:rPr>
              <w:t>ty packs</w:t>
            </w:r>
            <w:r w:rsidRPr="00A35800" w:rsidDel="00EE2BBB">
              <w:rPr>
                <w:sz w:val="20"/>
                <w:szCs w:val="20"/>
              </w:rPr>
              <w:t xml:space="preserve"> </w:t>
            </w:r>
          </w:p>
        </w:tc>
        <w:tc>
          <w:tcPr>
            <w:tcW w:w="1134" w:type="dxa"/>
            <w:shd w:val="clear" w:color="auto" w:fill="D9D9D9" w:themeFill="background1" w:themeFillShade="D9"/>
          </w:tcPr>
          <w:p w14:paraId="1FEB62D7" w14:textId="7DC67332" w:rsidR="002A344A" w:rsidRPr="00A35800" w:rsidDel="00EE2BBB" w:rsidRDefault="002A344A" w:rsidP="00A35800">
            <w:pPr>
              <w:pStyle w:val="Tableheading"/>
              <w:rPr>
                <w:sz w:val="20"/>
                <w:szCs w:val="20"/>
              </w:rPr>
            </w:pPr>
            <w:r>
              <w:rPr>
                <w:sz w:val="20"/>
                <w:szCs w:val="20"/>
              </w:rPr>
              <w:t xml:space="preserve">Max qty units </w:t>
            </w:r>
          </w:p>
        </w:tc>
        <w:tc>
          <w:tcPr>
            <w:tcW w:w="992" w:type="dxa"/>
            <w:shd w:val="clear" w:color="auto" w:fill="D9D9D9" w:themeFill="background1" w:themeFillShade="D9"/>
          </w:tcPr>
          <w:p w14:paraId="0F1A79F7" w14:textId="3F3CF0B7" w:rsidR="002A344A" w:rsidRPr="00A35800" w:rsidDel="00EE2BBB" w:rsidRDefault="002A344A" w:rsidP="00A35800">
            <w:pPr>
              <w:pStyle w:val="Tableheading"/>
              <w:rPr>
                <w:sz w:val="20"/>
                <w:szCs w:val="20"/>
              </w:rPr>
            </w:pPr>
            <w:r w:rsidRPr="00A35800" w:rsidDel="00EE2BBB">
              <w:rPr>
                <w:sz w:val="20"/>
                <w:szCs w:val="20"/>
              </w:rPr>
              <w:t xml:space="preserve">Rpts </w:t>
            </w:r>
          </w:p>
        </w:tc>
        <w:tc>
          <w:tcPr>
            <w:tcW w:w="992" w:type="dxa"/>
            <w:shd w:val="clear" w:color="auto" w:fill="D9D9D9" w:themeFill="background1" w:themeFillShade="D9"/>
          </w:tcPr>
          <w:p w14:paraId="05C5A0BF" w14:textId="2CFF9AC9" w:rsidR="002A344A" w:rsidRPr="00A35800" w:rsidDel="00EE2BBB" w:rsidRDefault="002A344A" w:rsidP="00A35800">
            <w:pPr>
              <w:pStyle w:val="Tableheading"/>
              <w:rPr>
                <w:sz w:val="20"/>
                <w:szCs w:val="20"/>
              </w:rPr>
            </w:pPr>
            <w:r w:rsidRPr="00A35800" w:rsidDel="00EE2BBB">
              <w:rPr>
                <w:sz w:val="20"/>
                <w:szCs w:val="20"/>
              </w:rPr>
              <w:t>DPMQ</w:t>
            </w:r>
          </w:p>
        </w:tc>
        <w:tc>
          <w:tcPr>
            <w:tcW w:w="1559" w:type="dxa"/>
            <w:shd w:val="clear" w:color="auto" w:fill="D9D9D9" w:themeFill="background1" w:themeFillShade="D9"/>
          </w:tcPr>
          <w:p w14:paraId="09B472B7" w14:textId="479D46E2" w:rsidR="002A344A" w:rsidRPr="00A35800" w:rsidDel="00EE2BBB" w:rsidRDefault="002A344A" w:rsidP="00A35800">
            <w:pPr>
              <w:pStyle w:val="Tableheading"/>
              <w:rPr>
                <w:sz w:val="20"/>
                <w:szCs w:val="20"/>
              </w:rPr>
            </w:pPr>
            <w:r w:rsidRPr="00A35800" w:rsidDel="00EE2BBB">
              <w:rPr>
                <w:sz w:val="20"/>
                <w:szCs w:val="20"/>
              </w:rPr>
              <w:t>Brand name and manufacturer</w:t>
            </w:r>
          </w:p>
        </w:tc>
      </w:tr>
      <w:tr w:rsidR="002A344A" w:rsidRPr="00A35800" w:rsidDel="00EE2BBB" w14:paraId="2AF9D84B" w14:textId="0D323411" w:rsidTr="001B7CD6">
        <w:trPr>
          <w:trHeight w:val="552"/>
          <w:tblHeader/>
        </w:trPr>
        <w:tc>
          <w:tcPr>
            <w:tcW w:w="969" w:type="dxa"/>
            <w:shd w:val="clear" w:color="auto" w:fill="auto"/>
          </w:tcPr>
          <w:p w14:paraId="0A3E3442" w14:textId="655CB6F1" w:rsidR="002A344A" w:rsidRPr="00A35800" w:rsidDel="00EE2BBB" w:rsidRDefault="002A344A" w:rsidP="00A35800">
            <w:pPr>
              <w:pStyle w:val="Tablewriting"/>
            </w:pPr>
            <w:r w:rsidRPr="001A63B1">
              <w:t>12465C</w:t>
            </w:r>
          </w:p>
        </w:tc>
        <w:tc>
          <w:tcPr>
            <w:tcW w:w="2287" w:type="dxa"/>
            <w:shd w:val="clear" w:color="auto" w:fill="auto"/>
          </w:tcPr>
          <w:p w14:paraId="0F676F51" w14:textId="3159B100" w:rsidR="002A344A" w:rsidRPr="00A35800" w:rsidDel="00EE2BBB" w:rsidRDefault="002A344A" w:rsidP="001A63B1">
            <w:pPr>
              <w:pStyle w:val="Tablewriting"/>
            </w:pPr>
            <w:r>
              <w:t>P</w:t>
            </w:r>
            <w:r w:rsidRPr="001A63B1">
              <w:t>rogesterone 200 mg pessary, 15</w:t>
            </w:r>
          </w:p>
        </w:tc>
        <w:tc>
          <w:tcPr>
            <w:tcW w:w="1134" w:type="dxa"/>
            <w:shd w:val="clear" w:color="auto" w:fill="auto"/>
          </w:tcPr>
          <w:p w14:paraId="0E2637C4" w14:textId="58E813E2" w:rsidR="002A344A" w:rsidRPr="00A35800" w:rsidDel="00EE2BBB" w:rsidRDefault="002A344A" w:rsidP="002A344A">
            <w:pPr>
              <w:pStyle w:val="Tablewriting"/>
              <w:jc w:val="center"/>
            </w:pPr>
            <w:r>
              <w:t>3</w:t>
            </w:r>
          </w:p>
        </w:tc>
        <w:tc>
          <w:tcPr>
            <w:tcW w:w="1134" w:type="dxa"/>
          </w:tcPr>
          <w:p w14:paraId="1DB971B0" w14:textId="363D829A" w:rsidR="002A344A" w:rsidRDefault="002A344A" w:rsidP="002A344A">
            <w:pPr>
              <w:pStyle w:val="Tablewriting"/>
              <w:jc w:val="center"/>
            </w:pPr>
            <w:r>
              <w:t>45</w:t>
            </w:r>
          </w:p>
        </w:tc>
        <w:tc>
          <w:tcPr>
            <w:tcW w:w="992" w:type="dxa"/>
            <w:shd w:val="clear" w:color="auto" w:fill="auto"/>
          </w:tcPr>
          <w:p w14:paraId="6B361CAA" w14:textId="243B9B16" w:rsidR="002A344A" w:rsidRPr="00A35800" w:rsidDel="00EE2BBB" w:rsidRDefault="002A344A" w:rsidP="002A344A">
            <w:pPr>
              <w:pStyle w:val="Tablewriting"/>
              <w:jc w:val="center"/>
            </w:pPr>
            <w:r>
              <w:t>3</w:t>
            </w:r>
          </w:p>
        </w:tc>
        <w:tc>
          <w:tcPr>
            <w:tcW w:w="992" w:type="dxa"/>
            <w:shd w:val="clear" w:color="auto" w:fill="auto"/>
          </w:tcPr>
          <w:p w14:paraId="15F68405" w14:textId="2D192FA8" w:rsidR="002A344A" w:rsidRPr="00A35800" w:rsidDel="00EE2BBB" w:rsidRDefault="002A344A" w:rsidP="00A35800">
            <w:pPr>
              <w:pStyle w:val="Tablewriting"/>
            </w:pPr>
            <w:r w:rsidRPr="001A63B1">
              <w:t>$127.89</w:t>
            </w:r>
          </w:p>
        </w:tc>
        <w:tc>
          <w:tcPr>
            <w:tcW w:w="1559" w:type="dxa"/>
            <w:shd w:val="clear" w:color="auto" w:fill="auto"/>
          </w:tcPr>
          <w:p w14:paraId="2D337AC6" w14:textId="5599CC91" w:rsidR="002A344A" w:rsidRPr="00A35800" w:rsidDel="00EE2BBB" w:rsidRDefault="002A344A" w:rsidP="00A35800">
            <w:pPr>
              <w:pStyle w:val="Tablewriting"/>
            </w:pPr>
            <w:r w:rsidRPr="001A63B1">
              <w:t>Oripro</w:t>
            </w:r>
            <w:r>
              <w:t xml:space="preserve">, </w:t>
            </w:r>
            <w:r w:rsidRPr="001A63B1">
              <w:t>Orion Laboratories Pty. Ltd.</w:t>
            </w:r>
          </w:p>
        </w:tc>
      </w:tr>
      <w:tr w:rsidR="002A344A" w:rsidRPr="00A35800" w:rsidDel="00EE2BBB" w14:paraId="5A26F6DA" w14:textId="5F9D4936" w:rsidTr="001B7CD6">
        <w:trPr>
          <w:trHeight w:val="546"/>
          <w:tblHeader/>
        </w:trPr>
        <w:tc>
          <w:tcPr>
            <w:tcW w:w="969" w:type="dxa"/>
            <w:shd w:val="clear" w:color="auto" w:fill="auto"/>
          </w:tcPr>
          <w:p w14:paraId="76F26606" w14:textId="28F4F4A8" w:rsidR="002A344A" w:rsidRPr="00A35800" w:rsidDel="00EE2BBB" w:rsidRDefault="002A344A" w:rsidP="00A35800">
            <w:pPr>
              <w:pStyle w:val="Tablewriting"/>
            </w:pPr>
            <w:r w:rsidRPr="001A63B1">
              <w:t>12598C</w:t>
            </w:r>
          </w:p>
        </w:tc>
        <w:tc>
          <w:tcPr>
            <w:tcW w:w="2287" w:type="dxa"/>
            <w:shd w:val="clear" w:color="auto" w:fill="auto"/>
          </w:tcPr>
          <w:p w14:paraId="4C40F7E7" w14:textId="0E118B35" w:rsidR="002A344A" w:rsidRPr="00A35800" w:rsidDel="00EE2BBB" w:rsidRDefault="002A344A" w:rsidP="00A35800">
            <w:pPr>
              <w:pStyle w:val="Tablewriting"/>
            </w:pPr>
            <w:r>
              <w:t>P</w:t>
            </w:r>
            <w:r w:rsidRPr="001A63B1">
              <w:t xml:space="preserve">rogesterone 200 mg </w:t>
            </w:r>
            <w:r>
              <w:t>pessary capsule</w:t>
            </w:r>
            <w:r w:rsidRPr="001A63B1">
              <w:t>, 42</w:t>
            </w:r>
          </w:p>
        </w:tc>
        <w:tc>
          <w:tcPr>
            <w:tcW w:w="1134" w:type="dxa"/>
            <w:shd w:val="clear" w:color="auto" w:fill="auto"/>
          </w:tcPr>
          <w:p w14:paraId="73733F58" w14:textId="6E5AF0E2" w:rsidR="002A344A" w:rsidRPr="00A35800" w:rsidDel="00EE2BBB" w:rsidRDefault="002A344A" w:rsidP="002A344A">
            <w:pPr>
              <w:pStyle w:val="Tablewriting"/>
              <w:jc w:val="center"/>
            </w:pPr>
            <w:r>
              <w:t>1</w:t>
            </w:r>
          </w:p>
        </w:tc>
        <w:tc>
          <w:tcPr>
            <w:tcW w:w="1134" w:type="dxa"/>
          </w:tcPr>
          <w:p w14:paraId="541029B4" w14:textId="47218462" w:rsidR="002A344A" w:rsidRDefault="002A344A" w:rsidP="002A344A">
            <w:pPr>
              <w:pStyle w:val="Tablewriting"/>
              <w:jc w:val="center"/>
            </w:pPr>
            <w:r>
              <w:t>42</w:t>
            </w:r>
          </w:p>
        </w:tc>
        <w:tc>
          <w:tcPr>
            <w:tcW w:w="992" w:type="dxa"/>
            <w:shd w:val="clear" w:color="auto" w:fill="auto"/>
          </w:tcPr>
          <w:p w14:paraId="2751F86C" w14:textId="6E4B267B" w:rsidR="002A344A" w:rsidRPr="00A35800" w:rsidDel="00EE2BBB" w:rsidRDefault="002A344A" w:rsidP="002A344A">
            <w:pPr>
              <w:pStyle w:val="Tablewriting"/>
              <w:jc w:val="center"/>
            </w:pPr>
            <w:r>
              <w:t>3</w:t>
            </w:r>
          </w:p>
        </w:tc>
        <w:tc>
          <w:tcPr>
            <w:tcW w:w="992" w:type="dxa"/>
            <w:shd w:val="clear" w:color="auto" w:fill="auto"/>
          </w:tcPr>
          <w:p w14:paraId="0EB41EFB" w14:textId="6E8C59A1" w:rsidR="002A344A" w:rsidRPr="00A35800" w:rsidDel="00EE2BBB" w:rsidRDefault="002A344A" w:rsidP="00A35800">
            <w:pPr>
              <w:pStyle w:val="Tablewriting"/>
            </w:pPr>
            <w:r w:rsidRPr="001A63B1">
              <w:t>$94.20</w:t>
            </w:r>
          </w:p>
        </w:tc>
        <w:tc>
          <w:tcPr>
            <w:tcW w:w="1559" w:type="dxa"/>
            <w:shd w:val="clear" w:color="auto" w:fill="auto"/>
          </w:tcPr>
          <w:p w14:paraId="2F152B32" w14:textId="36D4CDA2" w:rsidR="002A344A" w:rsidRPr="00A35800" w:rsidDel="00EE2BBB" w:rsidRDefault="002A344A" w:rsidP="00A35800">
            <w:pPr>
              <w:pStyle w:val="Tablewriting"/>
            </w:pPr>
            <w:r w:rsidRPr="001A63B1">
              <w:t>Utrogestan</w:t>
            </w:r>
            <w:r>
              <w:t xml:space="preserve">, </w:t>
            </w:r>
            <w:r w:rsidRPr="001A63B1">
              <w:t>Besins Healthcare Australia Pty Ltd</w:t>
            </w:r>
          </w:p>
        </w:tc>
      </w:tr>
    </w:tbl>
    <w:p w14:paraId="1183F151" w14:textId="59E5A545" w:rsidR="007247B9" w:rsidRPr="00A35800" w:rsidDel="00EE2BBB" w:rsidRDefault="007408C7" w:rsidP="00BB1D3B">
      <w:pPr>
        <w:pStyle w:val="Notes"/>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p>
    <w:p w14:paraId="1AFA1485" w14:textId="3186A599" w:rsidR="004C3186" w:rsidDel="00EE2BBB" w:rsidRDefault="004C3186" w:rsidP="00CF5E22">
      <w:pPr>
        <w:pStyle w:val="Heading3"/>
      </w:pPr>
      <w:r w:rsidDel="00EE2BBB">
        <w:t>Restriction</w:t>
      </w:r>
    </w:p>
    <w:p w14:paraId="1FDE7909" w14:textId="49F85F71" w:rsidR="00E95DAD" w:rsidRDefault="00E95DAD" w:rsidP="00E95DAD">
      <w:pPr>
        <w:spacing w:after="0"/>
      </w:pPr>
      <w:r w:rsidRPr="00E95DAD">
        <w:t xml:space="preserve">Prevention of preterm birth </w:t>
      </w:r>
      <w:r w:rsidR="00D71A87">
        <w:t>c</w:t>
      </w:r>
      <w:r w:rsidRPr="00E95DAD">
        <w:t xml:space="preserve">linical criteria: </w:t>
      </w:r>
    </w:p>
    <w:p w14:paraId="149D0511" w14:textId="22F163B3" w:rsidR="00E95DAD" w:rsidRDefault="00E95DAD" w:rsidP="00E95DAD">
      <w:pPr>
        <w:pStyle w:val="ListParagraph"/>
        <w:numPr>
          <w:ilvl w:val="0"/>
          <w:numId w:val="6"/>
        </w:numPr>
        <w:spacing w:after="0"/>
      </w:pPr>
      <w:r w:rsidRPr="00E95DAD">
        <w:t xml:space="preserve">Patient must have a singleton pregnancy, AND </w:t>
      </w:r>
    </w:p>
    <w:p w14:paraId="09A4CC9C" w14:textId="77777777" w:rsidR="00E95DAD" w:rsidRDefault="00E95DAD" w:rsidP="00E95DAD">
      <w:pPr>
        <w:pStyle w:val="ListParagraph"/>
        <w:numPr>
          <w:ilvl w:val="0"/>
          <w:numId w:val="6"/>
        </w:numPr>
        <w:spacing w:after="0"/>
      </w:pPr>
      <w:r w:rsidRPr="00E95DAD">
        <w:t xml:space="preserve">Patient must have at least one of: (i) short cervix (mid-trimester sonographic cervix no greater than 25 mm), (ii) a history of spontaneous preterm birth, AND </w:t>
      </w:r>
    </w:p>
    <w:p w14:paraId="21D5793A" w14:textId="0036939D" w:rsidR="00E95DAD" w:rsidRDefault="00E95DAD" w:rsidP="00E95DAD">
      <w:pPr>
        <w:pStyle w:val="ListParagraph"/>
        <w:numPr>
          <w:ilvl w:val="0"/>
          <w:numId w:val="6"/>
        </w:numPr>
        <w:spacing w:after="0"/>
      </w:pPr>
      <w:r>
        <w:t>T</w:t>
      </w:r>
      <w:r w:rsidRPr="00E95DAD">
        <w:t>he treatment must be administered no earlier than at 16 weeks gestation.</w:t>
      </w:r>
    </w:p>
    <w:p w14:paraId="11380721" w14:textId="77777777" w:rsidR="00E95DAD" w:rsidRDefault="00E95DAD" w:rsidP="00E95DAD">
      <w:pPr>
        <w:spacing w:after="0"/>
      </w:pPr>
    </w:p>
    <w:p w14:paraId="07045A98" w14:textId="7848858A" w:rsidR="00E95DAD" w:rsidRDefault="00E95DAD" w:rsidP="00E95DAD">
      <w:pPr>
        <w:spacing w:after="0"/>
      </w:pPr>
      <w:r w:rsidRPr="00E95DAD">
        <w:t>Authority required (STREAMLINED)</w:t>
      </w:r>
      <w:r>
        <w:t>.</w:t>
      </w:r>
    </w:p>
    <w:p w14:paraId="1D454F6A" w14:textId="77777777" w:rsidR="00E95DAD" w:rsidRDefault="00E95DAD" w:rsidP="00E95DAD">
      <w:pPr>
        <w:spacing w:after="0"/>
      </w:pPr>
    </w:p>
    <w:p w14:paraId="0E6B5CB2" w14:textId="77777777" w:rsidR="00E95DAD" w:rsidRDefault="00E95DAD" w:rsidP="00E95DAD">
      <w:pPr>
        <w:spacing w:after="0"/>
      </w:pPr>
      <w:r w:rsidRPr="00E95DAD">
        <w:rPr>
          <w:b/>
          <w:bCs/>
        </w:rPr>
        <w:t>Note</w:t>
      </w:r>
      <w:r w:rsidRPr="00E95DAD">
        <w:t xml:space="preserve"> No increase in the maximum quantity or number of units may be authorised. </w:t>
      </w:r>
    </w:p>
    <w:p w14:paraId="3F788AA3" w14:textId="08360897" w:rsidR="00E95DAD" w:rsidRDefault="00E95DAD" w:rsidP="00E95DAD">
      <w:pPr>
        <w:spacing w:after="0"/>
      </w:pPr>
      <w:r w:rsidRPr="00E95DAD">
        <w:rPr>
          <w:b/>
          <w:bCs/>
        </w:rPr>
        <w:t>Note</w:t>
      </w:r>
      <w:r w:rsidRPr="00E95DAD">
        <w:t xml:space="preserve"> No increase in the maximum number of repeats may be authorised. </w:t>
      </w:r>
    </w:p>
    <w:p w14:paraId="22433632" w14:textId="315F68BA" w:rsidR="006775F1" w:rsidRPr="006775F1" w:rsidDel="00EE2BBB" w:rsidRDefault="006775F1" w:rsidP="00E95DAD">
      <w:r w:rsidRPr="006775F1" w:rsidDel="00EE2BBB">
        <w:t xml:space="preserve">For </w:t>
      </w:r>
      <w:r w:rsidR="00835337" w:rsidDel="00EE2BBB">
        <w:t xml:space="preserve">details of the current PBS listing refer to the </w:t>
      </w:r>
      <w:hyperlink r:id="rId11" w:history="1">
        <w:r w:rsidR="00835337" w:rsidRPr="00645D51" w:rsidDel="00EE2BBB">
          <w:rPr>
            <w:rStyle w:val="Hyperlink"/>
          </w:rPr>
          <w:t>PBS website</w:t>
        </w:r>
      </w:hyperlink>
      <w:r w:rsidR="00835337" w:rsidDel="00EE2BBB">
        <w:rPr>
          <w:rStyle w:val="Hyperlink"/>
        </w:rPr>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5313C565" w14:textId="38134CA6" w:rsidR="00AF7519" w:rsidRDefault="00AF7519" w:rsidP="00AF7519">
      <w:r>
        <w:t>Progesterone (</w:t>
      </w:r>
      <w:r w:rsidRPr="00AF7519">
        <w:t>Utrogestan®</w:t>
      </w:r>
      <w:r>
        <w:t xml:space="preserve"> and </w:t>
      </w:r>
      <w:r w:rsidRPr="00AF7519">
        <w:t>Oripro®</w:t>
      </w:r>
      <w:r>
        <w:t>) was first considered by PBAC for the prevention of preterm birth in November 2020. The PBAC recommended listing for the prevention of preterm birth in women with singleton pregnancies and a short cervix (≤25 mm) and/or a history of preterm birth. The PBAC considered that the estimated utilisation of progesterone was highly uncertain and that a utilisation review by DUSC should be conducted two years after initial listing.</w:t>
      </w:r>
    </w:p>
    <w:p w14:paraId="70539E18" w14:textId="36A27575" w:rsidR="00D94863" w:rsidRPr="00F65F0D" w:rsidRDefault="00D94863" w:rsidP="00D94863">
      <w:r>
        <w:t xml:space="preserve">For further details refer to </w:t>
      </w:r>
      <w:r w:rsidRPr="00F65F0D">
        <w:t>the Public Summary Document</w:t>
      </w:r>
      <w:r>
        <w:t xml:space="preserve"> </w:t>
      </w:r>
      <w:r w:rsidR="007D28BA">
        <w:t xml:space="preserve">for </w:t>
      </w:r>
      <w:hyperlink r:id="rId12" w:history="1">
        <w:r w:rsidR="007D28BA" w:rsidRPr="007D28BA">
          <w:rPr>
            <w:rStyle w:val="Hyperlink"/>
          </w:rPr>
          <w:t>Utrogestan</w:t>
        </w:r>
      </w:hyperlink>
      <w:r w:rsidR="007D28BA">
        <w:t xml:space="preserve">® and </w:t>
      </w:r>
      <w:hyperlink r:id="rId13" w:history="1">
        <w:r w:rsidR="007D28BA" w:rsidRPr="007D28BA">
          <w:rPr>
            <w:rStyle w:val="Hyperlink"/>
          </w:rPr>
          <w:t>Oripro</w:t>
        </w:r>
      </w:hyperlink>
      <w:r w:rsidR="007D28BA" w:rsidRPr="007D28BA">
        <w:t>®</w:t>
      </w:r>
      <w:r w:rsidR="007D28BA">
        <w:t xml:space="preserve"> </w:t>
      </w:r>
      <w:r w:rsidRPr="00F65F0D">
        <w:t xml:space="preserve">from the </w:t>
      </w:r>
      <w:r w:rsidR="007D28BA">
        <w:t>November 2020</w:t>
      </w:r>
      <w:r>
        <w:t xml:space="preserve"> PBAC meeting.</w:t>
      </w:r>
    </w:p>
    <w:p w14:paraId="0DEBD50F" w14:textId="69B931E7" w:rsidR="00094DCF" w:rsidRDefault="00ED633B" w:rsidP="00CF5E22">
      <w:pPr>
        <w:pStyle w:val="Heading2"/>
      </w:pPr>
      <w:r>
        <w:t xml:space="preserve">Previous reviews by </w:t>
      </w:r>
      <w:r w:rsidR="00177B86">
        <w:t xml:space="preserve">the </w:t>
      </w:r>
      <w:r>
        <w:t>DUSC</w:t>
      </w:r>
    </w:p>
    <w:p w14:paraId="5C143877" w14:textId="402C9B40" w:rsidR="00E371EA" w:rsidRPr="00ED633B" w:rsidRDefault="00196CFA" w:rsidP="00A35800">
      <w:r>
        <w:t>No previous DUSC reviews have been undertaken for progesterone.</w:t>
      </w:r>
    </w:p>
    <w:p w14:paraId="0312FFEC" w14:textId="5C6A9662" w:rsidR="00E677DD" w:rsidRPr="005E22C2" w:rsidRDefault="00E677DD" w:rsidP="00CF5E22">
      <w:pPr>
        <w:pStyle w:val="Heading1"/>
      </w:pPr>
      <w:r w:rsidRPr="005E22C2">
        <w:t>Method</w:t>
      </w:r>
      <w:r w:rsidR="001B5D37" w:rsidRPr="005E22C2">
        <w:t>s</w:t>
      </w:r>
    </w:p>
    <w:p w14:paraId="13693059" w14:textId="77777777" w:rsidR="00196CFA" w:rsidRDefault="00196CFA" w:rsidP="00196CFA">
      <w:bookmarkStart w:id="1" w:name="_Hlk142384658"/>
      <w:r>
        <w:t xml:space="preserve">PBS and RPBS (R/PBS) prescription data for PBS-listed progesterone for prevention of premature birth (PBS item codes 12465C and 12598C) were extracted from the supplied prescriptions database maintained by the Department of Health and Aged Care and processed by Services Australia for the period June 2021 to September 2023 inclusive, based on the date that the prescription was supplied. Data for this period includes all R/PBS supplies regardless of whether a subsidy was </w:t>
      </w:r>
      <w:proofErr w:type="gramStart"/>
      <w:r>
        <w:t>paid;</w:t>
      </w:r>
      <w:proofErr w:type="gramEnd"/>
      <w:r>
        <w:t xml:space="preserve"> i.e. both over co-payment and under co-payment. These item codes are specific to the “prevention of premature birth </w:t>
      </w:r>
      <w:proofErr w:type="gramStart"/>
      <w:r>
        <w:t>“ indication</w:t>
      </w:r>
      <w:proofErr w:type="gramEnd"/>
      <w:r>
        <w:t>, so there was no need to have regard to the Streamlined Authority code to determine indication.</w:t>
      </w:r>
    </w:p>
    <w:p w14:paraId="45708CEA" w14:textId="77777777" w:rsidR="00196CFA" w:rsidRDefault="00196CFA" w:rsidP="00196CFA">
      <w:r>
        <w:t xml:space="preserve">The item 12465C, progesterone 200 mg pessary, 15 (Oripro) was listed on the PBS on 1 June 2021. The item 12598C, progesterone 200 mg capsule, 42 (Utrogestan) was listed one month </w:t>
      </w:r>
      <w:proofErr w:type="gramStart"/>
      <w:r>
        <w:t>later on</w:t>
      </w:r>
      <w:proofErr w:type="gramEnd"/>
      <w:r>
        <w:t xml:space="preserve"> 1 July 2021. This item was described as a capsule when listed, but in the current PBS schedule is described as a pessary (the same as item 12465C). It should be noted that the PBS maximum quantity for 12465C is 3 packs, giving 45 pessaries in a standard supply and the PBS maximum quantity for 12598C is 1 pack, giving 42 pessaries in a standard supply.</w:t>
      </w:r>
    </w:p>
    <w:bookmarkEnd w:id="1"/>
    <w:p w14:paraId="09DACAE6" w14:textId="45EC3A29" w:rsidR="00196CFA" w:rsidRDefault="00196CFA" w:rsidP="00196CFA">
      <w:r>
        <w:t xml:space="preserve">The R/PBS prescription data were used to determine the number of prescriptions supplied, R/PBS expenditure, patient age, </w:t>
      </w:r>
      <w:proofErr w:type="gramStart"/>
      <w:r>
        <w:t>gender</w:t>
      </w:r>
      <w:proofErr w:type="gramEnd"/>
      <w:r>
        <w:t xml:space="preserve"> and prescriber type. These prescription data were also used to count the number of patients, both incident (new to treatment with progesterone for this indication) and prevalent (number treated) in each </w:t>
      </w:r>
      <w:proofErr w:type="gramStart"/>
      <w:r>
        <w:t>time period</w:t>
      </w:r>
      <w:proofErr w:type="gramEnd"/>
      <w:r w:rsidRPr="00CC3EDF">
        <w:t xml:space="preserve">. There were two types of initiations calculated, initiation to a particular PBS item (see Figures </w:t>
      </w:r>
      <w:r w:rsidR="00CC3EDF" w:rsidRPr="00CC3EDF">
        <w:t xml:space="preserve">3 </w:t>
      </w:r>
      <w:r w:rsidR="00CC3EDF">
        <w:t xml:space="preserve">and </w:t>
      </w:r>
      <w:r w:rsidR="005F068E">
        <w:t>6</w:t>
      </w:r>
      <w:r w:rsidRPr="00CC3EDF">
        <w:t>) and initiation</w:t>
      </w:r>
      <w:r>
        <w:t xml:space="preserve"> to progesterone therapy (see Figures </w:t>
      </w:r>
      <w:r w:rsidR="00CC3EDF">
        <w:t>2</w:t>
      </w:r>
      <w:r w:rsidR="005F068E">
        <w:t>,</w:t>
      </w:r>
      <w:r w:rsidR="00CC3EDF">
        <w:t xml:space="preserve"> 4</w:t>
      </w:r>
      <w:r w:rsidR="005F068E">
        <w:t>, 5 and 7 and Table 4</w:t>
      </w:r>
      <w:r>
        <w:t>). For both types of initiation, the initiation date was defined as the date of supply of the first PBS or RPBS prescription.</w:t>
      </w:r>
    </w:p>
    <w:p w14:paraId="29A67D86" w14:textId="77777777" w:rsidR="00196CFA" w:rsidRDefault="00196CFA" w:rsidP="00196CFA">
      <w:r>
        <w:lastRenderedPageBreak/>
        <w:t>The number of prevalent people was determined by counting the number of people supplied at least one PBS prescription using person</w:t>
      </w:r>
      <w:r>
        <w:noBreakHyphen/>
        <w:t xml:space="preserve">specific numbers (non-identifying) in the data for the specified time periods. </w:t>
      </w:r>
    </w:p>
    <w:p w14:paraId="732A3859" w14:textId="3515FF92" w:rsidR="00196CFA" w:rsidRDefault="00196CFA" w:rsidP="00F41B63">
      <w:pPr>
        <w:ind w:right="-171"/>
        <w:rPr>
          <w:rFonts w:ascii="Times New Roman" w:hAnsi="Times New Roman" w:cs="Times New Roman"/>
        </w:rPr>
      </w:pPr>
      <w:r>
        <w:t xml:space="preserve">As these analyses use date of supply prescription data, there may be differences compared with publicly available Services Australia Medicare date of processing data. </w:t>
      </w:r>
    </w:p>
    <w:p w14:paraId="4F91A98A" w14:textId="00180E30" w:rsidR="00C714D0" w:rsidRPr="005E22C2" w:rsidRDefault="00C714D0" w:rsidP="00CF5E22">
      <w:pPr>
        <w:pStyle w:val="Heading1"/>
      </w:pPr>
      <w:r w:rsidRPr="005E22C2">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35E50016" w:rsidR="006A44F5" w:rsidRPr="005E22C2" w:rsidRDefault="00736041" w:rsidP="00CF5E22">
      <w:pPr>
        <w:pStyle w:val="Heading3"/>
      </w:pPr>
      <w:r w:rsidRPr="005E22C2">
        <w:t>Overall utilisation</w:t>
      </w:r>
    </w:p>
    <w:p w14:paraId="1E8F65D8" w14:textId="7AB458E2" w:rsidR="002A344A" w:rsidRDefault="002A344A" w:rsidP="00FE645A">
      <w:pPr>
        <w:pStyle w:val="Figurecaption"/>
        <w:rPr>
          <w:highlight w:val="green"/>
        </w:rPr>
      </w:pPr>
    </w:p>
    <w:p w14:paraId="73C2C897" w14:textId="7CEDAE05" w:rsidR="002A344A" w:rsidRDefault="002A344A" w:rsidP="00FE645A">
      <w:pPr>
        <w:pStyle w:val="Figurecaption"/>
        <w:rPr>
          <w:highlight w:val="green"/>
        </w:rPr>
      </w:pPr>
      <w:r>
        <w:rPr>
          <w:noProof/>
        </w:rPr>
        <w:drawing>
          <wp:inline distT="0" distB="0" distL="0" distR="0" wp14:anchorId="4539E04A" wp14:editId="1CA27B3B">
            <wp:extent cx="5687695" cy="3701415"/>
            <wp:effectExtent l="0" t="0" r="8255" b="13335"/>
            <wp:docPr id="1" name="Chart 1">
              <a:extLst xmlns:a="http://schemas.openxmlformats.org/drawingml/2006/main">
                <a:ext uri="{FF2B5EF4-FFF2-40B4-BE49-F238E27FC236}">
                  <a16:creationId xmlns:a16="http://schemas.microsoft.com/office/drawing/2014/main" id="{DCF16C32-58E4-8D8C-33DC-ABCEA201FD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7E9D29" w14:textId="35126D46" w:rsidR="002A344A" w:rsidRDefault="00E1353A" w:rsidP="0071285C">
      <w:pPr>
        <w:pStyle w:val="Figuretitle"/>
        <w:ind w:right="-115"/>
      </w:pPr>
      <w:r w:rsidRPr="002A344A">
        <w:t xml:space="preserve">Figure 1: </w:t>
      </w:r>
      <w:r w:rsidR="0071285C">
        <w:t>Number of PBS/RPBS p</w:t>
      </w:r>
      <w:r w:rsidR="002A344A" w:rsidRPr="002A344A">
        <w:t>rogesterone</w:t>
      </w:r>
      <w:r w:rsidR="0071285C">
        <w:t xml:space="preserve"> prescriptions</w:t>
      </w:r>
      <w:r w:rsidR="002A344A" w:rsidRPr="002A344A">
        <w:t xml:space="preserve"> </w:t>
      </w:r>
      <w:r w:rsidR="00632553">
        <w:t xml:space="preserve">(items 12598C and 12465C) </w:t>
      </w:r>
      <w:r w:rsidR="002A344A" w:rsidRPr="002A344A">
        <w:t>for prevention of preterm birth</w:t>
      </w:r>
      <w:r w:rsidR="002A344A">
        <w:t xml:space="preserve"> by month since listing</w:t>
      </w:r>
    </w:p>
    <w:p w14:paraId="03694D5D" w14:textId="6EC9D38F" w:rsidR="00D71A87" w:rsidRPr="0070276D" w:rsidRDefault="00D71A87" w:rsidP="00D71A87">
      <w:pPr>
        <w:spacing w:after="0"/>
        <w:rPr>
          <w:sz w:val="20"/>
          <w:szCs w:val="20"/>
        </w:rPr>
      </w:pPr>
      <w:r>
        <w:rPr>
          <w:sz w:val="20"/>
          <w:szCs w:val="20"/>
        </w:rPr>
        <w:t xml:space="preserve">Note: Item 12465C is </w:t>
      </w:r>
      <w:r w:rsidR="003B4775">
        <w:rPr>
          <w:sz w:val="20"/>
          <w:szCs w:val="20"/>
        </w:rPr>
        <w:t>O</w:t>
      </w:r>
      <w:r>
        <w:rPr>
          <w:sz w:val="20"/>
          <w:szCs w:val="20"/>
        </w:rPr>
        <w:t xml:space="preserve">ripro (pessary) and item 12598C is </w:t>
      </w:r>
      <w:r w:rsidR="003B4775">
        <w:rPr>
          <w:sz w:val="20"/>
          <w:szCs w:val="20"/>
        </w:rPr>
        <w:t>U</w:t>
      </w:r>
      <w:r>
        <w:rPr>
          <w:sz w:val="20"/>
          <w:szCs w:val="20"/>
        </w:rPr>
        <w:t>trogestan (pessary capsule)</w:t>
      </w:r>
    </w:p>
    <w:p w14:paraId="169646A2" w14:textId="4C385ACB" w:rsidR="005413E9" w:rsidRDefault="005413E9" w:rsidP="0071285C">
      <w:pPr>
        <w:pStyle w:val="Figuretitle"/>
        <w:ind w:right="-115"/>
        <w:rPr>
          <w:b w:val="0"/>
          <w:lang w:val="en-AU"/>
        </w:rPr>
      </w:pPr>
      <w:r>
        <w:rPr>
          <w:b w:val="0"/>
          <w:lang w:val="en-AU"/>
        </w:rPr>
        <w:t xml:space="preserve">Since listing on the PBS, overall prescriptions of progesterone for </w:t>
      </w:r>
      <w:r w:rsidR="00D130FB">
        <w:rPr>
          <w:b w:val="0"/>
          <w:lang w:val="en-AU"/>
        </w:rPr>
        <w:t xml:space="preserve">the prevention of </w:t>
      </w:r>
      <w:r>
        <w:rPr>
          <w:b w:val="0"/>
          <w:lang w:val="en-AU"/>
        </w:rPr>
        <w:t xml:space="preserve">preterm birth have increased. However, when looking at the two separate medicines (Figure 1 and Table 3) it is evident that overall prescriptions of </w:t>
      </w:r>
      <w:r w:rsidR="003045AD">
        <w:rPr>
          <w:b w:val="0"/>
          <w:lang w:val="en-AU"/>
        </w:rPr>
        <w:t>U</w:t>
      </w:r>
      <w:r>
        <w:rPr>
          <w:b w:val="0"/>
          <w:lang w:val="en-AU"/>
        </w:rPr>
        <w:t xml:space="preserve">trogestan are higher than </w:t>
      </w:r>
      <w:r w:rsidR="003045AD">
        <w:rPr>
          <w:b w:val="0"/>
          <w:lang w:val="en-AU"/>
        </w:rPr>
        <w:t>O</w:t>
      </w:r>
      <w:r>
        <w:rPr>
          <w:b w:val="0"/>
          <w:lang w:val="en-AU"/>
        </w:rPr>
        <w:t xml:space="preserve">ripro. </w:t>
      </w:r>
    </w:p>
    <w:p w14:paraId="55A80B50" w14:textId="0BF4AECD" w:rsidR="005413E9" w:rsidRDefault="005413E9" w:rsidP="0071285C">
      <w:pPr>
        <w:pStyle w:val="Figuretitle"/>
        <w:ind w:right="-115"/>
        <w:rPr>
          <w:b w:val="0"/>
          <w:lang w:val="en-AU"/>
        </w:rPr>
      </w:pPr>
      <w:r>
        <w:rPr>
          <w:b w:val="0"/>
          <w:lang w:val="en-AU"/>
        </w:rPr>
        <w:t>Figure 1 and Table 3 show that since listing on 1 July 2021, the prescri</w:t>
      </w:r>
      <w:r w:rsidR="006D2AC9">
        <w:rPr>
          <w:b w:val="0"/>
          <w:lang w:val="en-AU"/>
        </w:rPr>
        <w:t>ption</w:t>
      </w:r>
      <w:r>
        <w:rPr>
          <w:b w:val="0"/>
          <w:lang w:val="en-AU"/>
        </w:rPr>
        <w:t xml:space="preserve"> count of </w:t>
      </w:r>
      <w:r w:rsidR="00B74117">
        <w:rPr>
          <w:b w:val="0"/>
          <w:lang w:val="en-AU"/>
        </w:rPr>
        <w:t>U</w:t>
      </w:r>
      <w:r>
        <w:rPr>
          <w:b w:val="0"/>
          <w:lang w:val="en-AU"/>
        </w:rPr>
        <w:t xml:space="preserve">trogestan continues to increase, whereas following </w:t>
      </w:r>
      <w:r w:rsidR="00D130FB">
        <w:rPr>
          <w:b w:val="0"/>
          <w:lang w:val="en-AU"/>
        </w:rPr>
        <w:t xml:space="preserve">the initial increase in prescribing of </w:t>
      </w:r>
      <w:r w:rsidR="00B74117">
        <w:rPr>
          <w:b w:val="0"/>
          <w:lang w:val="en-AU"/>
        </w:rPr>
        <w:t>O</w:t>
      </w:r>
      <w:r w:rsidR="00D130FB">
        <w:rPr>
          <w:b w:val="0"/>
          <w:lang w:val="en-AU"/>
        </w:rPr>
        <w:t>ripro (</w:t>
      </w:r>
      <w:r>
        <w:rPr>
          <w:b w:val="0"/>
          <w:lang w:val="en-AU"/>
        </w:rPr>
        <w:t>on 1 June 2021</w:t>
      </w:r>
      <w:r w:rsidR="00D130FB">
        <w:rPr>
          <w:b w:val="0"/>
          <w:lang w:val="en-AU"/>
        </w:rPr>
        <w:t>)</w:t>
      </w:r>
      <w:r>
        <w:rPr>
          <w:b w:val="0"/>
          <w:lang w:val="en-AU"/>
        </w:rPr>
        <w:t xml:space="preserve"> the prescribing </w:t>
      </w:r>
      <w:r w:rsidR="00D130FB">
        <w:rPr>
          <w:b w:val="0"/>
          <w:lang w:val="en-AU"/>
        </w:rPr>
        <w:t xml:space="preserve">rate </w:t>
      </w:r>
      <w:r>
        <w:rPr>
          <w:b w:val="0"/>
          <w:lang w:val="en-AU"/>
        </w:rPr>
        <w:t>appears to be levelling out.</w:t>
      </w:r>
    </w:p>
    <w:p w14:paraId="3008FE9D" w14:textId="77777777" w:rsidR="00154D66" w:rsidRDefault="00154D66" w:rsidP="0071285C">
      <w:pPr>
        <w:pStyle w:val="Figuretitle"/>
        <w:ind w:right="-115"/>
        <w:rPr>
          <w:b w:val="0"/>
          <w:lang w:val="en-AU"/>
        </w:rPr>
      </w:pPr>
    </w:p>
    <w:p w14:paraId="79D5DB6E" w14:textId="77777777" w:rsidR="00154D66" w:rsidRPr="005413E9" w:rsidRDefault="00154D66" w:rsidP="0071285C">
      <w:pPr>
        <w:pStyle w:val="Figuretitle"/>
        <w:ind w:right="-115"/>
        <w:rPr>
          <w:b w:val="0"/>
          <w:lang w:val="en-AU"/>
        </w:rPr>
      </w:pPr>
    </w:p>
    <w:p w14:paraId="083D5A66" w14:textId="03FB6B79" w:rsidR="0071285C" w:rsidRDefault="0071285C" w:rsidP="0071285C">
      <w:pPr>
        <w:pStyle w:val="Tabletitle"/>
        <w:spacing w:before="200"/>
      </w:pPr>
      <w:r w:rsidRPr="001420B3" w:rsidDel="00EE2BBB">
        <w:lastRenderedPageBreak/>
        <w:t xml:space="preserve">Table </w:t>
      </w:r>
      <w:r>
        <w:t>3: Number of PBS/RPBS p</w:t>
      </w:r>
      <w:r w:rsidRPr="002A344A">
        <w:t>rogesterone</w:t>
      </w:r>
      <w:r>
        <w:t xml:space="preserve"> prescriptions</w:t>
      </w:r>
      <w:r w:rsidRPr="002A344A">
        <w:t xml:space="preserve"> for prevention of preterm birth</w:t>
      </w:r>
      <w:r>
        <w:t xml:space="preserve"> </w:t>
      </w:r>
      <w:r w:rsidR="00632553">
        <w:t xml:space="preserve">(items 12598C and 12465C) </w:t>
      </w:r>
      <w:r>
        <w:t>by quarter since listing</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36"/>
        <w:gridCol w:w="2409"/>
        <w:gridCol w:w="1843"/>
      </w:tblGrid>
      <w:tr w:rsidR="00B32934" w:rsidRPr="006E37E1" w14:paraId="6C327E3F" w14:textId="77777777" w:rsidTr="00F41B63">
        <w:trPr>
          <w:trHeight w:val="1082"/>
        </w:trPr>
        <w:tc>
          <w:tcPr>
            <w:tcW w:w="1420" w:type="dxa"/>
            <w:shd w:val="clear" w:color="auto" w:fill="D9D9D9" w:themeFill="background1" w:themeFillShade="D9"/>
            <w:noWrap/>
            <w:vAlign w:val="center"/>
            <w:hideMark/>
          </w:tcPr>
          <w:p w14:paraId="7F380954" w14:textId="52B595DE" w:rsidR="00B32934" w:rsidRPr="006E37E1" w:rsidRDefault="00B32934" w:rsidP="003630C6">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Quarter</w:t>
            </w:r>
          </w:p>
        </w:tc>
        <w:tc>
          <w:tcPr>
            <w:tcW w:w="1836" w:type="dxa"/>
            <w:shd w:val="clear" w:color="auto" w:fill="D9D9D9" w:themeFill="background1" w:themeFillShade="D9"/>
            <w:noWrap/>
            <w:vAlign w:val="center"/>
            <w:hideMark/>
          </w:tcPr>
          <w:p w14:paraId="4D7D2A1A" w14:textId="4EFD29C0" w:rsidR="003630C6" w:rsidRPr="006E37E1" w:rsidRDefault="003630C6" w:rsidP="00B32934">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Oripro</w:t>
            </w:r>
          </w:p>
          <w:p w14:paraId="18526607" w14:textId="1640C2C8" w:rsidR="00B32934" w:rsidRPr="006E37E1" w:rsidRDefault="00B32934" w:rsidP="00B32934">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Pessary 200 mg</w:t>
            </w:r>
          </w:p>
          <w:p w14:paraId="681D5915" w14:textId="38A53542" w:rsidR="00B32934" w:rsidRPr="006E37E1" w:rsidRDefault="00B32934" w:rsidP="00B32934">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w:t>
            </w:r>
            <w:r w:rsidR="003630C6" w:rsidRPr="006E37E1">
              <w:rPr>
                <w:rFonts w:ascii="Calibri" w:eastAsia="Times New Roman" w:hAnsi="Calibri" w:cs="Calibri"/>
                <w:b/>
                <w:bCs/>
                <w:color w:val="000000"/>
                <w:sz w:val="20"/>
                <w:szCs w:val="20"/>
              </w:rPr>
              <w:t xml:space="preserve">Item </w:t>
            </w:r>
            <w:r w:rsidRPr="006E37E1">
              <w:rPr>
                <w:rFonts w:ascii="Calibri" w:eastAsia="Times New Roman" w:hAnsi="Calibri" w:cs="Calibri"/>
                <w:b/>
                <w:bCs/>
                <w:color w:val="000000"/>
                <w:sz w:val="20"/>
                <w:szCs w:val="20"/>
              </w:rPr>
              <w:t>12465C)</w:t>
            </w:r>
          </w:p>
          <w:p w14:paraId="2EF8AFF8" w14:textId="77777777" w:rsidR="00D71A87" w:rsidRPr="006E37E1" w:rsidRDefault="00D71A87" w:rsidP="00B32934">
            <w:pPr>
              <w:spacing w:after="0"/>
              <w:jc w:val="center"/>
              <w:rPr>
                <w:rFonts w:ascii="Calibri" w:eastAsia="Times New Roman" w:hAnsi="Calibri" w:cs="Calibri"/>
                <w:color w:val="000000"/>
                <w:sz w:val="20"/>
                <w:szCs w:val="20"/>
              </w:rPr>
            </w:pPr>
          </w:p>
          <w:p w14:paraId="23CADAE5" w14:textId="0C082178" w:rsidR="00D71A87" w:rsidRPr="006E37E1" w:rsidRDefault="00D71A87" w:rsidP="00B32934">
            <w:pPr>
              <w:spacing w:after="0"/>
              <w:jc w:val="center"/>
              <w:rPr>
                <w:rFonts w:ascii="Calibri" w:eastAsia="Times New Roman" w:hAnsi="Calibri" w:cs="Calibri"/>
                <w:color w:val="000000"/>
                <w:sz w:val="20"/>
                <w:szCs w:val="20"/>
              </w:rPr>
            </w:pPr>
            <w:r w:rsidRPr="006E37E1">
              <w:rPr>
                <w:rFonts w:ascii="Calibri" w:eastAsia="Times New Roman" w:hAnsi="Calibri" w:cs="Calibri"/>
                <w:color w:val="000000"/>
                <w:sz w:val="20"/>
                <w:szCs w:val="20"/>
              </w:rPr>
              <w:t xml:space="preserve">Listed 1 June 2021 </w:t>
            </w:r>
          </w:p>
        </w:tc>
        <w:tc>
          <w:tcPr>
            <w:tcW w:w="2409" w:type="dxa"/>
            <w:shd w:val="clear" w:color="auto" w:fill="D9D9D9" w:themeFill="background1" w:themeFillShade="D9"/>
            <w:noWrap/>
            <w:vAlign w:val="center"/>
            <w:hideMark/>
          </w:tcPr>
          <w:p w14:paraId="7FD06789" w14:textId="73C96705" w:rsidR="003630C6" w:rsidRPr="006E37E1" w:rsidRDefault="003630C6" w:rsidP="00B32934">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Utrogestan</w:t>
            </w:r>
          </w:p>
          <w:p w14:paraId="40AB8125" w14:textId="2CFA0318" w:rsidR="00B32934" w:rsidRPr="006E37E1" w:rsidRDefault="00D71A87" w:rsidP="00B32934">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 xml:space="preserve">Pessary </w:t>
            </w:r>
            <w:r w:rsidR="003630C6" w:rsidRPr="006E37E1">
              <w:rPr>
                <w:rFonts w:ascii="Calibri" w:eastAsia="Times New Roman" w:hAnsi="Calibri" w:cs="Calibri"/>
                <w:b/>
                <w:bCs/>
                <w:color w:val="000000"/>
                <w:sz w:val="20"/>
                <w:szCs w:val="20"/>
              </w:rPr>
              <w:t>C</w:t>
            </w:r>
            <w:r w:rsidR="00B32934" w:rsidRPr="006E37E1">
              <w:rPr>
                <w:rFonts w:ascii="Calibri" w:eastAsia="Times New Roman" w:hAnsi="Calibri" w:cs="Calibri"/>
                <w:b/>
                <w:bCs/>
                <w:color w:val="000000"/>
                <w:sz w:val="20"/>
                <w:szCs w:val="20"/>
              </w:rPr>
              <w:t>apsule 200 mg</w:t>
            </w:r>
          </w:p>
          <w:p w14:paraId="444A258E" w14:textId="043F94EC" w:rsidR="00B32934" w:rsidRPr="006E37E1" w:rsidRDefault="00B32934" w:rsidP="00B32934">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w:t>
            </w:r>
            <w:r w:rsidR="003630C6" w:rsidRPr="006E37E1">
              <w:rPr>
                <w:rFonts w:ascii="Calibri" w:eastAsia="Times New Roman" w:hAnsi="Calibri" w:cs="Calibri"/>
                <w:b/>
                <w:bCs/>
                <w:color w:val="000000"/>
                <w:sz w:val="20"/>
                <w:szCs w:val="20"/>
              </w:rPr>
              <w:t xml:space="preserve">Item </w:t>
            </w:r>
            <w:r w:rsidRPr="006E37E1">
              <w:rPr>
                <w:rFonts w:ascii="Calibri" w:eastAsia="Times New Roman" w:hAnsi="Calibri" w:cs="Calibri"/>
                <w:b/>
                <w:bCs/>
                <w:color w:val="000000"/>
                <w:sz w:val="20"/>
                <w:szCs w:val="20"/>
              </w:rPr>
              <w:t>12598C)</w:t>
            </w:r>
          </w:p>
          <w:p w14:paraId="6FD87352" w14:textId="77777777" w:rsidR="00D71A87" w:rsidRPr="006E37E1" w:rsidRDefault="00D71A87" w:rsidP="00B32934">
            <w:pPr>
              <w:spacing w:after="0"/>
              <w:jc w:val="center"/>
              <w:rPr>
                <w:rFonts w:ascii="Calibri" w:eastAsia="Times New Roman" w:hAnsi="Calibri" w:cs="Calibri"/>
                <w:color w:val="000000"/>
                <w:sz w:val="20"/>
                <w:szCs w:val="20"/>
              </w:rPr>
            </w:pPr>
          </w:p>
          <w:p w14:paraId="7D935B8B" w14:textId="1583797D" w:rsidR="00D71A87" w:rsidRPr="006E37E1" w:rsidRDefault="00D71A87" w:rsidP="00B32934">
            <w:pPr>
              <w:spacing w:after="0"/>
              <w:jc w:val="center"/>
              <w:rPr>
                <w:rFonts w:ascii="Calibri" w:eastAsia="Times New Roman" w:hAnsi="Calibri" w:cs="Calibri"/>
                <w:color w:val="000000"/>
                <w:sz w:val="20"/>
                <w:szCs w:val="20"/>
              </w:rPr>
            </w:pPr>
            <w:r w:rsidRPr="006E37E1">
              <w:rPr>
                <w:rFonts w:ascii="Calibri" w:eastAsia="Times New Roman" w:hAnsi="Calibri" w:cs="Calibri"/>
                <w:color w:val="000000"/>
                <w:sz w:val="20"/>
                <w:szCs w:val="20"/>
              </w:rPr>
              <w:t>Listed 1 July 2021</w:t>
            </w:r>
          </w:p>
        </w:tc>
        <w:tc>
          <w:tcPr>
            <w:tcW w:w="1843" w:type="dxa"/>
            <w:shd w:val="clear" w:color="auto" w:fill="D9D9D9" w:themeFill="background1" w:themeFillShade="D9"/>
            <w:noWrap/>
            <w:vAlign w:val="center"/>
            <w:hideMark/>
          </w:tcPr>
          <w:p w14:paraId="416F76EF" w14:textId="1759D9EC" w:rsidR="00B32934" w:rsidRPr="006E37E1" w:rsidRDefault="00B32934" w:rsidP="00B32934">
            <w:pPr>
              <w:spacing w:after="0"/>
              <w:jc w:val="center"/>
              <w:rPr>
                <w:rFonts w:ascii="Times New Roman" w:eastAsia="Times New Roman" w:hAnsi="Times New Roman" w:cs="Times New Roman"/>
                <w:sz w:val="20"/>
                <w:szCs w:val="20"/>
              </w:rPr>
            </w:pPr>
            <w:r w:rsidRPr="006E37E1">
              <w:rPr>
                <w:rFonts w:ascii="Calibri" w:eastAsia="Times New Roman" w:hAnsi="Calibri" w:cs="Calibri"/>
                <w:b/>
                <w:bCs/>
                <w:color w:val="000000"/>
                <w:sz w:val="20"/>
                <w:szCs w:val="20"/>
              </w:rPr>
              <w:t>Total</w:t>
            </w:r>
          </w:p>
        </w:tc>
      </w:tr>
      <w:tr w:rsidR="00B32934" w:rsidRPr="006E37E1" w14:paraId="503D6116" w14:textId="77777777" w:rsidTr="00F41B63">
        <w:trPr>
          <w:trHeight w:val="288"/>
        </w:trPr>
        <w:tc>
          <w:tcPr>
            <w:tcW w:w="1420" w:type="dxa"/>
            <w:shd w:val="clear" w:color="auto" w:fill="auto"/>
            <w:noWrap/>
            <w:vAlign w:val="center"/>
            <w:hideMark/>
          </w:tcPr>
          <w:p w14:paraId="68222567"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2021Q2</w:t>
            </w:r>
          </w:p>
        </w:tc>
        <w:tc>
          <w:tcPr>
            <w:tcW w:w="1836" w:type="dxa"/>
            <w:shd w:val="clear" w:color="auto" w:fill="auto"/>
            <w:noWrap/>
            <w:vAlign w:val="center"/>
            <w:hideMark/>
          </w:tcPr>
          <w:p w14:paraId="0101DDA1" w14:textId="77777777"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255</w:t>
            </w:r>
          </w:p>
        </w:tc>
        <w:tc>
          <w:tcPr>
            <w:tcW w:w="2409" w:type="dxa"/>
            <w:shd w:val="clear" w:color="auto" w:fill="auto"/>
            <w:noWrap/>
            <w:vAlign w:val="center"/>
            <w:hideMark/>
          </w:tcPr>
          <w:p w14:paraId="79C3C116" w14:textId="7E51326B" w:rsidR="00B32934" w:rsidRPr="006E37E1" w:rsidRDefault="00D71A87"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w:t>
            </w:r>
          </w:p>
        </w:tc>
        <w:tc>
          <w:tcPr>
            <w:tcW w:w="1843" w:type="dxa"/>
            <w:shd w:val="clear" w:color="auto" w:fill="auto"/>
            <w:noWrap/>
            <w:vAlign w:val="center"/>
            <w:hideMark/>
          </w:tcPr>
          <w:p w14:paraId="7832CF08" w14:textId="77777777"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255</w:t>
            </w:r>
          </w:p>
        </w:tc>
      </w:tr>
      <w:tr w:rsidR="00B32934" w:rsidRPr="006E37E1" w14:paraId="4661EFDB" w14:textId="77777777" w:rsidTr="00F41B63">
        <w:trPr>
          <w:trHeight w:val="288"/>
        </w:trPr>
        <w:tc>
          <w:tcPr>
            <w:tcW w:w="1420" w:type="dxa"/>
            <w:shd w:val="clear" w:color="auto" w:fill="auto"/>
            <w:noWrap/>
            <w:vAlign w:val="center"/>
            <w:hideMark/>
          </w:tcPr>
          <w:p w14:paraId="5DC27A82"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2021Q3</w:t>
            </w:r>
          </w:p>
        </w:tc>
        <w:tc>
          <w:tcPr>
            <w:tcW w:w="1836" w:type="dxa"/>
            <w:shd w:val="clear" w:color="auto" w:fill="auto"/>
            <w:noWrap/>
            <w:vAlign w:val="center"/>
            <w:hideMark/>
          </w:tcPr>
          <w:p w14:paraId="08E2AE30" w14:textId="06DC7659"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1,431</w:t>
            </w:r>
          </w:p>
        </w:tc>
        <w:tc>
          <w:tcPr>
            <w:tcW w:w="2409" w:type="dxa"/>
            <w:shd w:val="clear" w:color="auto" w:fill="auto"/>
            <w:noWrap/>
            <w:vAlign w:val="center"/>
            <w:hideMark/>
          </w:tcPr>
          <w:p w14:paraId="0BF191D7" w14:textId="77777777"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877</w:t>
            </w:r>
          </w:p>
        </w:tc>
        <w:tc>
          <w:tcPr>
            <w:tcW w:w="1843" w:type="dxa"/>
            <w:shd w:val="clear" w:color="auto" w:fill="auto"/>
            <w:noWrap/>
            <w:vAlign w:val="center"/>
            <w:hideMark/>
          </w:tcPr>
          <w:p w14:paraId="0AE676A3" w14:textId="7E1B9D37"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2,308</w:t>
            </w:r>
          </w:p>
        </w:tc>
      </w:tr>
      <w:tr w:rsidR="00B32934" w:rsidRPr="006E37E1" w14:paraId="6F395C0A" w14:textId="77777777" w:rsidTr="00F41B63">
        <w:trPr>
          <w:trHeight w:val="288"/>
        </w:trPr>
        <w:tc>
          <w:tcPr>
            <w:tcW w:w="1420" w:type="dxa"/>
            <w:shd w:val="clear" w:color="auto" w:fill="auto"/>
            <w:noWrap/>
            <w:vAlign w:val="center"/>
            <w:hideMark/>
          </w:tcPr>
          <w:p w14:paraId="363B7794"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2021Q4</w:t>
            </w:r>
          </w:p>
        </w:tc>
        <w:tc>
          <w:tcPr>
            <w:tcW w:w="1836" w:type="dxa"/>
            <w:shd w:val="clear" w:color="auto" w:fill="auto"/>
            <w:noWrap/>
            <w:vAlign w:val="center"/>
            <w:hideMark/>
          </w:tcPr>
          <w:p w14:paraId="22674C7F" w14:textId="52B4E3C3"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1,416</w:t>
            </w:r>
          </w:p>
        </w:tc>
        <w:tc>
          <w:tcPr>
            <w:tcW w:w="2409" w:type="dxa"/>
            <w:shd w:val="clear" w:color="auto" w:fill="auto"/>
            <w:noWrap/>
            <w:vAlign w:val="center"/>
            <w:hideMark/>
          </w:tcPr>
          <w:p w14:paraId="2A07E124" w14:textId="3E7FD4E7"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1,198</w:t>
            </w:r>
          </w:p>
        </w:tc>
        <w:tc>
          <w:tcPr>
            <w:tcW w:w="1843" w:type="dxa"/>
            <w:shd w:val="clear" w:color="auto" w:fill="auto"/>
            <w:noWrap/>
            <w:vAlign w:val="center"/>
            <w:hideMark/>
          </w:tcPr>
          <w:p w14:paraId="563FF8D1" w14:textId="046B361A"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2,614</w:t>
            </w:r>
          </w:p>
        </w:tc>
      </w:tr>
      <w:tr w:rsidR="00B32934" w:rsidRPr="006E37E1" w14:paraId="6A78E324" w14:textId="77777777" w:rsidTr="00F41B63">
        <w:trPr>
          <w:trHeight w:val="288"/>
        </w:trPr>
        <w:tc>
          <w:tcPr>
            <w:tcW w:w="1420" w:type="dxa"/>
            <w:shd w:val="clear" w:color="auto" w:fill="auto"/>
            <w:noWrap/>
            <w:vAlign w:val="center"/>
            <w:hideMark/>
          </w:tcPr>
          <w:p w14:paraId="068CDDFA"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2022Q1</w:t>
            </w:r>
          </w:p>
        </w:tc>
        <w:tc>
          <w:tcPr>
            <w:tcW w:w="1836" w:type="dxa"/>
            <w:shd w:val="clear" w:color="auto" w:fill="auto"/>
            <w:noWrap/>
            <w:vAlign w:val="center"/>
            <w:hideMark/>
          </w:tcPr>
          <w:p w14:paraId="652C7A7D" w14:textId="009288DC"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1,361</w:t>
            </w:r>
          </w:p>
        </w:tc>
        <w:tc>
          <w:tcPr>
            <w:tcW w:w="2409" w:type="dxa"/>
            <w:shd w:val="clear" w:color="auto" w:fill="auto"/>
            <w:noWrap/>
            <w:vAlign w:val="center"/>
            <w:hideMark/>
          </w:tcPr>
          <w:p w14:paraId="72F5E50C" w14:textId="49176E92"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1,329</w:t>
            </w:r>
          </w:p>
        </w:tc>
        <w:tc>
          <w:tcPr>
            <w:tcW w:w="1843" w:type="dxa"/>
            <w:shd w:val="clear" w:color="auto" w:fill="auto"/>
            <w:noWrap/>
            <w:vAlign w:val="center"/>
            <w:hideMark/>
          </w:tcPr>
          <w:p w14:paraId="47D5A71D" w14:textId="2007454F"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2,690</w:t>
            </w:r>
          </w:p>
        </w:tc>
      </w:tr>
      <w:tr w:rsidR="00B32934" w:rsidRPr="006E37E1" w14:paraId="05E1F95D" w14:textId="77777777" w:rsidTr="00F41B63">
        <w:trPr>
          <w:trHeight w:val="288"/>
        </w:trPr>
        <w:tc>
          <w:tcPr>
            <w:tcW w:w="1420" w:type="dxa"/>
            <w:shd w:val="clear" w:color="auto" w:fill="auto"/>
            <w:noWrap/>
            <w:vAlign w:val="center"/>
            <w:hideMark/>
          </w:tcPr>
          <w:p w14:paraId="3AAED397"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2022Q2</w:t>
            </w:r>
          </w:p>
        </w:tc>
        <w:tc>
          <w:tcPr>
            <w:tcW w:w="1836" w:type="dxa"/>
            <w:shd w:val="clear" w:color="auto" w:fill="auto"/>
            <w:noWrap/>
            <w:vAlign w:val="center"/>
            <w:hideMark/>
          </w:tcPr>
          <w:p w14:paraId="5FF816D4" w14:textId="10990B4F"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1,304</w:t>
            </w:r>
          </w:p>
        </w:tc>
        <w:tc>
          <w:tcPr>
            <w:tcW w:w="2409" w:type="dxa"/>
            <w:shd w:val="clear" w:color="auto" w:fill="auto"/>
            <w:noWrap/>
            <w:vAlign w:val="center"/>
            <w:hideMark/>
          </w:tcPr>
          <w:p w14:paraId="0873717D" w14:textId="22F9A9E9"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1,734</w:t>
            </w:r>
          </w:p>
        </w:tc>
        <w:tc>
          <w:tcPr>
            <w:tcW w:w="1843" w:type="dxa"/>
            <w:shd w:val="clear" w:color="auto" w:fill="auto"/>
            <w:noWrap/>
            <w:vAlign w:val="center"/>
            <w:hideMark/>
          </w:tcPr>
          <w:p w14:paraId="4D9C7283" w14:textId="51FAB493"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3,038</w:t>
            </w:r>
          </w:p>
        </w:tc>
      </w:tr>
      <w:tr w:rsidR="00B32934" w:rsidRPr="006E37E1" w14:paraId="5E8E9EF9" w14:textId="77777777" w:rsidTr="00F41B63">
        <w:trPr>
          <w:trHeight w:val="288"/>
        </w:trPr>
        <w:tc>
          <w:tcPr>
            <w:tcW w:w="1420" w:type="dxa"/>
            <w:shd w:val="clear" w:color="auto" w:fill="auto"/>
            <w:noWrap/>
            <w:vAlign w:val="center"/>
            <w:hideMark/>
          </w:tcPr>
          <w:p w14:paraId="49281C3B"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2022Q3</w:t>
            </w:r>
          </w:p>
        </w:tc>
        <w:tc>
          <w:tcPr>
            <w:tcW w:w="1836" w:type="dxa"/>
            <w:shd w:val="clear" w:color="auto" w:fill="auto"/>
            <w:noWrap/>
            <w:vAlign w:val="center"/>
            <w:hideMark/>
          </w:tcPr>
          <w:p w14:paraId="22CFED29" w14:textId="5A538FB2"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1,400</w:t>
            </w:r>
          </w:p>
        </w:tc>
        <w:tc>
          <w:tcPr>
            <w:tcW w:w="2409" w:type="dxa"/>
            <w:shd w:val="clear" w:color="auto" w:fill="auto"/>
            <w:noWrap/>
            <w:vAlign w:val="center"/>
            <w:hideMark/>
          </w:tcPr>
          <w:p w14:paraId="68EFA7A7" w14:textId="5EF82570"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2,133</w:t>
            </w:r>
          </w:p>
        </w:tc>
        <w:tc>
          <w:tcPr>
            <w:tcW w:w="1843" w:type="dxa"/>
            <w:shd w:val="clear" w:color="auto" w:fill="auto"/>
            <w:noWrap/>
            <w:vAlign w:val="center"/>
            <w:hideMark/>
          </w:tcPr>
          <w:p w14:paraId="07017914" w14:textId="19EE532E"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3,533</w:t>
            </w:r>
          </w:p>
        </w:tc>
      </w:tr>
      <w:tr w:rsidR="00B32934" w:rsidRPr="006E37E1" w14:paraId="203D89FE" w14:textId="77777777" w:rsidTr="00F41B63">
        <w:trPr>
          <w:trHeight w:val="288"/>
        </w:trPr>
        <w:tc>
          <w:tcPr>
            <w:tcW w:w="1420" w:type="dxa"/>
            <w:shd w:val="clear" w:color="auto" w:fill="auto"/>
            <w:noWrap/>
            <w:vAlign w:val="center"/>
            <w:hideMark/>
          </w:tcPr>
          <w:p w14:paraId="2075A4D4"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2022Q4</w:t>
            </w:r>
          </w:p>
        </w:tc>
        <w:tc>
          <w:tcPr>
            <w:tcW w:w="1836" w:type="dxa"/>
            <w:shd w:val="clear" w:color="auto" w:fill="auto"/>
            <w:noWrap/>
            <w:vAlign w:val="center"/>
            <w:hideMark/>
          </w:tcPr>
          <w:p w14:paraId="5C4121D8" w14:textId="52BC7545"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1,346</w:t>
            </w:r>
          </w:p>
        </w:tc>
        <w:tc>
          <w:tcPr>
            <w:tcW w:w="2409" w:type="dxa"/>
            <w:shd w:val="clear" w:color="auto" w:fill="auto"/>
            <w:noWrap/>
            <w:vAlign w:val="center"/>
            <w:hideMark/>
          </w:tcPr>
          <w:p w14:paraId="578644A4" w14:textId="70C112B3"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2,533</w:t>
            </w:r>
          </w:p>
        </w:tc>
        <w:tc>
          <w:tcPr>
            <w:tcW w:w="1843" w:type="dxa"/>
            <w:shd w:val="clear" w:color="auto" w:fill="auto"/>
            <w:noWrap/>
            <w:vAlign w:val="center"/>
            <w:hideMark/>
          </w:tcPr>
          <w:p w14:paraId="1D45F7BB" w14:textId="66F9D523"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3,879</w:t>
            </w:r>
          </w:p>
        </w:tc>
      </w:tr>
      <w:tr w:rsidR="00B32934" w:rsidRPr="006E37E1" w14:paraId="76F6D271" w14:textId="77777777" w:rsidTr="00F41B63">
        <w:trPr>
          <w:trHeight w:val="288"/>
        </w:trPr>
        <w:tc>
          <w:tcPr>
            <w:tcW w:w="1420" w:type="dxa"/>
            <w:shd w:val="clear" w:color="auto" w:fill="auto"/>
            <w:noWrap/>
            <w:vAlign w:val="center"/>
            <w:hideMark/>
          </w:tcPr>
          <w:p w14:paraId="73E38C91"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2023Q1</w:t>
            </w:r>
          </w:p>
        </w:tc>
        <w:tc>
          <w:tcPr>
            <w:tcW w:w="1836" w:type="dxa"/>
            <w:shd w:val="clear" w:color="auto" w:fill="auto"/>
            <w:noWrap/>
            <w:vAlign w:val="center"/>
            <w:hideMark/>
          </w:tcPr>
          <w:p w14:paraId="7B9498D3" w14:textId="22EBB2E2"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1,336</w:t>
            </w:r>
          </w:p>
        </w:tc>
        <w:tc>
          <w:tcPr>
            <w:tcW w:w="2409" w:type="dxa"/>
            <w:shd w:val="clear" w:color="auto" w:fill="auto"/>
            <w:noWrap/>
            <w:vAlign w:val="center"/>
            <w:hideMark/>
          </w:tcPr>
          <w:p w14:paraId="3AEBC1A3" w14:textId="39F75523"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2,507</w:t>
            </w:r>
          </w:p>
        </w:tc>
        <w:tc>
          <w:tcPr>
            <w:tcW w:w="1843" w:type="dxa"/>
            <w:shd w:val="clear" w:color="auto" w:fill="auto"/>
            <w:noWrap/>
            <w:vAlign w:val="center"/>
            <w:hideMark/>
          </w:tcPr>
          <w:p w14:paraId="4FE09D13" w14:textId="1972A038"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3,843</w:t>
            </w:r>
          </w:p>
        </w:tc>
      </w:tr>
      <w:tr w:rsidR="00B32934" w:rsidRPr="006E37E1" w14:paraId="0B7F1682" w14:textId="77777777" w:rsidTr="00F41B63">
        <w:trPr>
          <w:trHeight w:val="288"/>
        </w:trPr>
        <w:tc>
          <w:tcPr>
            <w:tcW w:w="1420" w:type="dxa"/>
            <w:shd w:val="clear" w:color="auto" w:fill="auto"/>
            <w:noWrap/>
            <w:vAlign w:val="center"/>
            <w:hideMark/>
          </w:tcPr>
          <w:p w14:paraId="75F43DF8"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2023Q2</w:t>
            </w:r>
          </w:p>
        </w:tc>
        <w:tc>
          <w:tcPr>
            <w:tcW w:w="1836" w:type="dxa"/>
            <w:shd w:val="clear" w:color="auto" w:fill="auto"/>
            <w:noWrap/>
            <w:vAlign w:val="center"/>
            <w:hideMark/>
          </w:tcPr>
          <w:p w14:paraId="35FA5C4A" w14:textId="473A4146"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1,389</w:t>
            </w:r>
          </w:p>
        </w:tc>
        <w:tc>
          <w:tcPr>
            <w:tcW w:w="2409" w:type="dxa"/>
            <w:shd w:val="clear" w:color="auto" w:fill="auto"/>
            <w:noWrap/>
            <w:vAlign w:val="center"/>
            <w:hideMark/>
          </w:tcPr>
          <w:p w14:paraId="5997924B" w14:textId="608A0025"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2,887</w:t>
            </w:r>
          </w:p>
        </w:tc>
        <w:tc>
          <w:tcPr>
            <w:tcW w:w="1843" w:type="dxa"/>
            <w:shd w:val="clear" w:color="auto" w:fill="auto"/>
            <w:noWrap/>
            <w:vAlign w:val="center"/>
            <w:hideMark/>
          </w:tcPr>
          <w:p w14:paraId="3767283A" w14:textId="5D794B86"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4,276</w:t>
            </w:r>
          </w:p>
        </w:tc>
      </w:tr>
      <w:tr w:rsidR="00B32934" w:rsidRPr="006E37E1" w14:paraId="48E977B8" w14:textId="77777777" w:rsidTr="00F41B63">
        <w:trPr>
          <w:trHeight w:val="288"/>
        </w:trPr>
        <w:tc>
          <w:tcPr>
            <w:tcW w:w="1420" w:type="dxa"/>
            <w:shd w:val="clear" w:color="auto" w:fill="auto"/>
            <w:noWrap/>
            <w:vAlign w:val="center"/>
            <w:hideMark/>
          </w:tcPr>
          <w:p w14:paraId="258F401C" w14:textId="77777777" w:rsidR="00B32934" w:rsidRPr="006E37E1" w:rsidRDefault="00B32934" w:rsidP="00B32934">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2023Q3</w:t>
            </w:r>
          </w:p>
        </w:tc>
        <w:tc>
          <w:tcPr>
            <w:tcW w:w="1836" w:type="dxa"/>
            <w:shd w:val="clear" w:color="auto" w:fill="auto"/>
            <w:noWrap/>
            <w:vAlign w:val="center"/>
            <w:hideMark/>
          </w:tcPr>
          <w:p w14:paraId="039B4592" w14:textId="20E6E49C"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1,539</w:t>
            </w:r>
          </w:p>
        </w:tc>
        <w:tc>
          <w:tcPr>
            <w:tcW w:w="2409" w:type="dxa"/>
            <w:shd w:val="clear" w:color="auto" w:fill="auto"/>
            <w:noWrap/>
            <w:vAlign w:val="center"/>
            <w:hideMark/>
          </w:tcPr>
          <w:p w14:paraId="0B76DFA3" w14:textId="293482E1"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3,286</w:t>
            </w:r>
          </w:p>
        </w:tc>
        <w:tc>
          <w:tcPr>
            <w:tcW w:w="1843" w:type="dxa"/>
            <w:shd w:val="clear" w:color="auto" w:fill="auto"/>
            <w:noWrap/>
            <w:vAlign w:val="center"/>
            <w:hideMark/>
          </w:tcPr>
          <w:p w14:paraId="1D8D1849" w14:textId="115342F4" w:rsidR="00B32934" w:rsidRPr="006E37E1" w:rsidRDefault="00B32934" w:rsidP="00B32934">
            <w:pPr>
              <w:spacing w:after="0"/>
              <w:jc w:val="center"/>
              <w:rPr>
                <w:rFonts w:ascii="Calibri" w:eastAsia="Times New Roman" w:hAnsi="Calibri" w:cs="Calibri"/>
                <w:sz w:val="20"/>
                <w:szCs w:val="20"/>
              </w:rPr>
            </w:pPr>
            <w:r w:rsidRPr="006E37E1">
              <w:rPr>
                <w:rFonts w:ascii="Calibri" w:eastAsia="Times New Roman" w:hAnsi="Calibri" w:cs="Calibri"/>
                <w:sz w:val="20"/>
                <w:szCs w:val="20"/>
              </w:rPr>
              <w:t>4,825</w:t>
            </w:r>
          </w:p>
        </w:tc>
      </w:tr>
      <w:tr w:rsidR="00B32934" w:rsidRPr="006E37E1" w14:paraId="2BA057E0" w14:textId="77777777" w:rsidTr="00F41B63">
        <w:trPr>
          <w:trHeight w:val="288"/>
        </w:trPr>
        <w:tc>
          <w:tcPr>
            <w:tcW w:w="1420" w:type="dxa"/>
            <w:shd w:val="clear" w:color="auto" w:fill="auto"/>
            <w:noWrap/>
            <w:vAlign w:val="bottom"/>
            <w:hideMark/>
          </w:tcPr>
          <w:p w14:paraId="3FA2A775" w14:textId="77777777" w:rsidR="00B32934" w:rsidRPr="006E37E1" w:rsidRDefault="00B32934" w:rsidP="00E7580E">
            <w:pPr>
              <w:spacing w:after="0"/>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Grand Total</w:t>
            </w:r>
          </w:p>
        </w:tc>
        <w:tc>
          <w:tcPr>
            <w:tcW w:w="1836" w:type="dxa"/>
            <w:shd w:val="clear" w:color="auto" w:fill="auto"/>
            <w:noWrap/>
            <w:vAlign w:val="bottom"/>
            <w:hideMark/>
          </w:tcPr>
          <w:p w14:paraId="5DFF16A2" w14:textId="54DD07C4" w:rsidR="00B32934" w:rsidRPr="006E37E1" w:rsidRDefault="00B32934" w:rsidP="00B32934">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12,777</w:t>
            </w:r>
          </w:p>
        </w:tc>
        <w:tc>
          <w:tcPr>
            <w:tcW w:w="2409" w:type="dxa"/>
            <w:shd w:val="clear" w:color="auto" w:fill="auto"/>
            <w:noWrap/>
            <w:vAlign w:val="bottom"/>
            <w:hideMark/>
          </w:tcPr>
          <w:p w14:paraId="06B3496A" w14:textId="5E8DB9BE" w:rsidR="00B32934" w:rsidRPr="006E37E1" w:rsidRDefault="00B32934" w:rsidP="00B32934">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18,484</w:t>
            </w:r>
          </w:p>
        </w:tc>
        <w:tc>
          <w:tcPr>
            <w:tcW w:w="1843" w:type="dxa"/>
            <w:shd w:val="clear" w:color="auto" w:fill="auto"/>
            <w:noWrap/>
            <w:vAlign w:val="bottom"/>
            <w:hideMark/>
          </w:tcPr>
          <w:p w14:paraId="48D4ED4C" w14:textId="423C3400" w:rsidR="00B32934" w:rsidRPr="006E37E1" w:rsidRDefault="00B32934" w:rsidP="00B32934">
            <w:pPr>
              <w:spacing w:after="0"/>
              <w:jc w:val="center"/>
              <w:rPr>
                <w:rFonts w:ascii="Calibri" w:eastAsia="Times New Roman" w:hAnsi="Calibri" w:cs="Calibri"/>
                <w:b/>
                <w:bCs/>
                <w:color w:val="000000"/>
                <w:sz w:val="20"/>
                <w:szCs w:val="20"/>
              </w:rPr>
            </w:pPr>
            <w:r w:rsidRPr="006E37E1">
              <w:rPr>
                <w:rFonts w:ascii="Calibri" w:eastAsia="Times New Roman" w:hAnsi="Calibri" w:cs="Calibri"/>
                <w:b/>
                <w:bCs/>
                <w:color w:val="000000"/>
                <w:sz w:val="20"/>
                <w:szCs w:val="20"/>
              </w:rPr>
              <w:t>31,261</w:t>
            </w:r>
          </w:p>
        </w:tc>
      </w:tr>
    </w:tbl>
    <w:p w14:paraId="2B15088A" w14:textId="77777777" w:rsidR="00D71A87" w:rsidRDefault="0070276D" w:rsidP="00D71A87">
      <w:pPr>
        <w:spacing w:after="0"/>
        <w:rPr>
          <w:sz w:val="20"/>
          <w:szCs w:val="20"/>
        </w:rPr>
      </w:pPr>
      <w:r w:rsidRPr="0070276D">
        <w:rPr>
          <w:sz w:val="20"/>
          <w:szCs w:val="20"/>
        </w:rPr>
        <w:t>Note: Data for 2021Q2 is incomplete.</w:t>
      </w:r>
    </w:p>
    <w:p w14:paraId="31190DB3" w14:textId="77777777" w:rsidR="00F41B63" w:rsidRPr="00F41B63" w:rsidRDefault="00F41B63" w:rsidP="00BB236F">
      <w:pPr>
        <w:spacing w:line="276" w:lineRule="auto"/>
      </w:pPr>
    </w:p>
    <w:p w14:paraId="10900DE2" w14:textId="1E54AA61" w:rsidR="00004DCA" w:rsidRDefault="00BB236F" w:rsidP="00BB236F">
      <w:pPr>
        <w:spacing w:line="276" w:lineRule="auto"/>
      </w:pPr>
      <w:r w:rsidRPr="00242991">
        <w:rPr>
          <w:b/>
          <w:i/>
        </w:rPr>
        <w:t xml:space="preserve">Patients initiating and prevalent to </w:t>
      </w:r>
      <w:r>
        <w:rPr>
          <w:b/>
          <w:i/>
        </w:rPr>
        <w:t xml:space="preserve">progesterone for the prevention of preterm </w:t>
      </w:r>
      <w:proofErr w:type="gramStart"/>
      <w:r>
        <w:rPr>
          <w:b/>
          <w:i/>
        </w:rPr>
        <w:t>birth</w:t>
      </w:r>
      <w:proofErr w:type="gramEnd"/>
      <w:r>
        <w:rPr>
          <w:b/>
          <w:i/>
        </w:rPr>
        <w:t xml:space="preserve"> </w:t>
      </w:r>
    </w:p>
    <w:p w14:paraId="484C3533" w14:textId="61FC1792" w:rsidR="00BB236F" w:rsidRDefault="00BB236F" w:rsidP="00E7580E">
      <w:r>
        <w:rPr>
          <w:noProof/>
        </w:rPr>
        <w:drawing>
          <wp:inline distT="0" distB="0" distL="0" distR="0" wp14:anchorId="635E380A" wp14:editId="1F8D32EA">
            <wp:extent cx="5742940" cy="2447925"/>
            <wp:effectExtent l="0" t="0" r="10160" b="9525"/>
            <wp:docPr id="2" name="Chart 2">
              <a:extLst xmlns:a="http://schemas.openxmlformats.org/drawingml/2006/main">
                <a:ext uri="{FF2B5EF4-FFF2-40B4-BE49-F238E27FC236}">
                  <a16:creationId xmlns:a16="http://schemas.microsoft.com/office/drawing/2014/main" id="{8E73D287-F49B-C877-4F81-9611A5BF10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BDCE6D" w14:textId="3CD37F7D" w:rsidR="0070276D" w:rsidRPr="0028414E" w:rsidRDefault="0070276D" w:rsidP="0070276D">
      <w:pPr>
        <w:pStyle w:val="Figuretitle"/>
      </w:pPr>
      <w:r w:rsidRPr="0028414E">
        <w:t xml:space="preserve">Figure 2: </w:t>
      </w:r>
      <w:bookmarkStart w:id="2" w:name="_Hlk143075318"/>
      <w:r>
        <w:t>Total p</w:t>
      </w:r>
      <w:r w:rsidRPr="0028414E">
        <w:t xml:space="preserve">revalent and initiating patients receiving </w:t>
      </w:r>
      <w:r>
        <w:t xml:space="preserve">progesterone for the prevention of preterm birth </w:t>
      </w:r>
      <w:r w:rsidRPr="0028414E">
        <w:t xml:space="preserve">per </w:t>
      </w:r>
      <w:proofErr w:type="gramStart"/>
      <w:r w:rsidRPr="0028414E">
        <w:t>quarter</w:t>
      </w:r>
      <w:proofErr w:type="gramEnd"/>
      <w:r w:rsidRPr="0028414E">
        <w:t xml:space="preserve"> </w:t>
      </w:r>
      <w:bookmarkEnd w:id="2"/>
    </w:p>
    <w:p w14:paraId="58B7CC34" w14:textId="512BFF03" w:rsidR="0070276D" w:rsidRDefault="0070276D" w:rsidP="0070276D">
      <w:pPr>
        <w:rPr>
          <w:sz w:val="20"/>
          <w:szCs w:val="20"/>
        </w:rPr>
      </w:pPr>
      <w:r w:rsidRPr="0070276D">
        <w:rPr>
          <w:sz w:val="20"/>
          <w:szCs w:val="20"/>
        </w:rPr>
        <w:t>Note: Data for 2021Q2 is incomplete.</w:t>
      </w:r>
    </w:p>
    <w:p w14:paraId="1FE305CF" w14:textId="52C96BD4" w:rsidR="005413E9" w:rsidRDefault="005413E9" w:rsidP="005413E9">
      <w:pPr>
        <w:pStyle w:val="Figuretitle"/>
        <w:ind w:right="-115"/>
        <w:rPr>
          <w:b w:val="0"/>
          <w:lang w:val="en-AU"/>
        </w:rPr>
      </w:pPr>
      <w:r w:rsidRPr="005413E9">
        <w:rPr>
          <w:b w:val="0"/>
          <w:lang w:val="en-AU"/>
        </w:rPr>
        <w:t xml:space="preserve">Since listing the </w:t>
      </w:r>
      <w:r>
        <w:rPr>
          <w:b w:val="0"/>
          <w:lang w:val="en-AU"/>
        </w:rPr>
        <w:t xml:space="preserve">number of prevalent and initiating patients </w:t>
      </w:r>
      <w:r w:rsidR="00D130FB">
        <w:rPr>
          <w:b w:val="0"/>
          <w:lang w:val="en-AU"/>
        </w:rPr>
        <w:t>utilising</w:t>
      </w:r>
      <w:r>
        <w:rPr>
          <w:b w:val="0"/>
          <w:lang w:val="en-AU"/>
        </w:rPr>
        <w:t xml:space="preserve"> progesterone for </w:t>
      </w:r>
      <w:r w:rsidR="00D130FB">
        <w:rPr>
          <w:b w:val="0"/>
          <w:lang w:val="en-AU"/>
        </w:rPr>
        <w:t xml:space="preserve">the prevention of </w:t>
      </w:r>
      <w:r>
        <w:rPr>
          <w:b w:val="0"/>
          <w:lang w:val="en-AU"/>
        </w:rPr>
        <w:t xml:space="preserve">preterm </w:t>
      </w:r>
      <w:r w:rsidR="00D130FB">
        <w:rPr>
          <w:b w:val="0"/>
          <w:lang w:val="en-AU"/>
        </w:rPr>
        <w:t>births have increased (Figure 2).</w:t>
      </w:r>
    </w:p>
    <w:p w14:paraId="143A8EA4" w14:textId="5E7B64DA" w:rsidR="00D130FB" w:rsidRPr="005413E9" w:rsidRDefault="00D130FB" w:rsidP="005413E9">
      <w:pPr>
        <w:pStyle w:val="Figuretitle"/>
        <w:ind w:right="-115"/>
        <w:rPr>
          <w:b w:val="0"/>
          <w:lang w:val="en-AU"/>
        </w:rPr>
      </w:pPr>
      <w:r>
        <w:rPr>
          <w:b w:val="0"/>
          <w:lang w:val="en-AU"/>
        </w:rPr>
        <w:t xml:space="preserve">Figure 3 shows that both prevalent and initiating patients </w:t>
      </w:r>
      <w:r w:rsidR="00305AD7">
        <w:rPr>
          <w:b w:val="0"/>
          <w:lang w:val="en-AU"/>
        </w:rPr>
        <w:t>supplied</w:t>
      </w:r>
      <w:r>
        <w:rPr>
          <w:b w:val="0"/>
          <w:lang w:val="en-AU"/>
        </w:rPr>
        <w:t xml:space="preserve"> </w:t>
      </w:r>
      <w:r w:rsidR="00305AD7">
        <w:rPr>
          <w:b w:val="0"/>
          <w:lang w:val="en-AU"/>
        </w:rPr>
        <w:t>U</w:t>
      </w:r>
      <w:r>
        <w:rPr>
          <w:b w:val="0"/>
          <w:lang w:val="en-AU"/>
        </w:rPr>
        <w:t xml:space="preserve">trogestan are increasing, and that prevalent and initiating patients </w:t>
      </w:r>
      <w:r w:rsidR="00EA22E4">
        <w:rPr>
          <w:b w:val="0"/>
          <w:lang w:val="en-AU"/>
        </w:rPr>
        <w:t>supplied</w:t>
      </w:r>
      <w:r>
        <w:rPr>
          <w:b w:val="0"/>
          <w:lang w:val="en-AU"/>
        </w:rPr>
        <w:t xml:space="preserve"> </w:t>
      </w:r>
      <w:r w:rsidR="00EA22E4">
        <w:rPr>
          <w:b w:val="0"/>
          <w:lang w:val="en-AU"/>
        </w:rPr>
        <w:t>O</w:t>
      </w:r>
      <w:r>
        <w:rPr>
          <w:b w:val="0"/>
          <w:lang w:val="en-AU"/>
        </w:rPr>
        <w:t xml:space="preserve">ripro appear to be stabilising.  </w:t>
      </w:r>
    </w:p>
    <w:p w14:paraId="2BB55D5C" w14:textId="41D239E2" w:rsidR="00E7580E" w:rsidRDefault="00BB236F" w:rsidP="00CF5E22">
      <w:pPr>
        <w:pStyle w:val="Heading3"/>
      </w:pPr>
      <w:r>
        <w:rPr>
          <w:noProof/>
        </w:rPr>
        <w:lastRenderedPageBreak/>
        <w:drawing>
          <wp:inline distT="0" distB="0" distL="0" distR="0" wp14:anchorId="39036C0B" wp14:editId="3713E0CF">
            <wp:extent cx="5742940" cy="2924175"/>
            <wp:effectExtent l="0" t="0" r="10160" b="9525"/>
            <wp:docPr id="3" name="Chart 3">
              <a:extLst xmlns:a="http://schemas.openxmlformats.org/drawingml/2006/main">
                <a:ext uri="{FF2B5EF4-FFF2-40B4-BE49-F238E27FC236}">
                  <a16:creationId xmlns:a16="http://schemas.microsoft.com/office/drawing/2014/main" id="{7734F1DD-BFE6-1B2A-621C-257143241D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82DE63" w14:textId="43A8F727" w:rsidR="00B259A1" w:rsidRDefault="00B259A1" w:rsidP="00B259A1">
      <w:pPr>
        <w:pStyle w:val="Figuretitle"/>
      </w:pPr>
      <w:r w:rsidRPr="0028414E">
        <w:t xml:space="preserve">Figure </w:t>
      </w:r>
      <w:r w:rsidR="0070276D">
        <w:t>3</w:t>
      </w:r>
      <w:r w:rsidRPr="0028414E">
        <w:t xml:space="preserve">: Prevalent and initiating patients receiving </w:t>
      </w:r>
      <w:r>
        <w:t xml:space="preserve">progesterone </w:t>
      </w:r>
      <w:r w:rsidR="0070276D">
        <w:t xml:space="preserve">(items 12598C and 12465C) </w:t>
      </w:r>
      <w:r>
        <w:t xml:space="preserve">for the prevention of preterm birth </w:t>
      </w:r>
      <w:r w:rsidRPr="0028414E">
        <w:t xml:space="preserve">per </w:t>
      </w:r>
      <w:proofErr w:type="gramStart"/>
      <w:r w:rsidRPr="0028414E">
        <w:t>quarter</w:t>
      </w:r>
      <w:proofErr w:type="gramEnd"/>
      <w:r w:rsidRPr="0028414E">
        <w:t xml:space="preserve"> </w:t>
      </w:r>
    </w:p>
    <w:p w14:paraId="18879212" w14:textId="24F2237A" w:rsidR="0070276D" w:rsidRDefault="0070276D" w:rsidP="00916D28">
      <w:pPr>
        <w:spacing w:after="0"/>
        <w:rPr>
          <w:sz w:val="20"/>
          <w:szCs w:val="20"/>
        </w:rPr>
      </w:pPr>
      <w:r w:rsidRPr="0070276D">
        <w:rPr>
          <w:sz w:val="20"/>
          <w:szCs w:val="20"/>
        </w:rPr>
        <w:t>Note: Data for 2021Q2 is incomplete.</w:t>
      </w:r>
    </w:p>
    <w:p w14:paraId="7847CD81" w14:textId="3503C5F9" w:rsidR="00916D28" w:rsidRPr="0070276D" w:rsidRDefault="00407845" w:rsidP="00916D28">
      <w:pPr>
        <w:spacing w:after="0"/>
        <w:rPr>
          <w:sz w:val="20"/>
          <w:szCs w:val="20"/>
        </w:rPr>
      </w:pPr>
      <w:r>
        <w:rPr>
          <w:sz w:val="20"/>
          <w:szCs w:val="20"/>
        </w:rPr>
        <w:t xml:space="preserve">Note: </w:t>
      </w:r>
      <w:r w:rsidR="00916D28">
        <w:rPr>
          <w:sz w:val="20"/>
          <w:szCs w:val="20"/>
        </w:rPr>
        <w:t xml:space="preserve">Item 12598C is </w:t>
      </w:r>
      <w:r w:rsidR="003417E3">
        <w:rPr>
          <w:sz w:val="20"/>
          <w:szCs w:val="20"/>
        </w:rPr>
        <w:t>U</w:t>
      </w:r>
      <w:r w:rsidR="00916D28">
        <w:rPr>
          <w:sz w:val="20"/>
          <w:szCs w:val="20"/>
        </w:rPr>
        <w:t xml:space="preserve">trogestan (pessary capsule) and item 12465C is </w:t>
      </w:r>
      <w:r w:rsidR="003417E3">
        <w:rPr>
          <w:sz w:val="20"/>
          <w:szCs w:val="20"/>
        </w:rPr>
        <w:t>O</w:t>
      </w:r>
      <w:r w:rsidR="00916D28">
        <w:rPr>
          <w:sz w:val="20"/>
          <w:szCs w:val="20"/>
        </w:rPr>
        <w:t>ripro (pessary)</w:t>
      </w:r>
    </w:p>
    <w:p w14:paraId="1139450B" w14:textId="7B3153EC" w:rsidR="00AA7C8C" w:rsidRDefault="00AA7C8C" w:rsidP="00AA7C8C">
      <w:pPr>
        <w:pStyle w:val="Figuretitle"/>
      </w:pPr>
      <w:bookmarkStart w:id="3" w:name="_Hlk143075330"/>
    </w:p>
    <w:p w14:paraId="2E6D8D41" w14:textId="6BF186E2" w:rsidR="00AA7C8C" w:rsidRDefault="00196CFA" w:rsidP="00AA7C8C">
      <w:pPr>
        <w:pStyle w:val="Figuretitle"/>
      </w:pPr>
      <w:r>
        <w:rPr>
          <w:noProof/>
        </w:rPr>
        <w:drawing>
          <wp:inline distT="0" distB="0" distL="0" distR="0" wp14:anchorId="2BD0765A" wp14:editId="697DC855">
            <wp:extent cx="5742940" cy="2562225"/>
            <wp:effectExtent l="0" t="0" r="10160" b="9525"/>
            <wp:docPr id="5" name="Chart 5">
              <a:extLst xmlns:a="http://schemas.openxmlformats.org/drawingml/2006/main">
                <a:ext uri="{FF2B5EF4-FFF2-40B4-BE49-F238E27FC236}">
                  <a16:creationId xmlns:a16="http://schemas.microsoft.com/office/drawing/2014/main" id="{8E73D287-F49B-C877-4F81-9611A5BF10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0AE9E5" w14:textId="359FE98C" w:rsidR="00196CFA" w:rsidRDefault="00196CFA" w:rsidP="00196CFA">
      <w:pPr>
        <w:pStyle w:val="Figuretitle"/>
      </w:pPr>
      <w:r w:rsidRPr="0028414E">
        <w:t xml:space="preserve">Figure </w:t>
      </w:r>
      <w:r>
        <w:t>4</w:t>
      </w:r>
      <w:r w:rsidRPr="0028414E">
        <w:t xml:space="preserve">: Prevalent and initiating patients receiving </w:t>
      </w:r>
      <w:r>
        <w:t xml:space="preserve">progesterone (items 12598C and 12465C) for the prevention of preterm birth by age group in </w:t>
      </w:r>
      <w:proofErr w:type="gramStart"/>
      <w:r>
        <w:t>2023Q3</w:t>
      </w:r>
      <w:proofErr w:type="gramEnd"/>
    </w:p>
    <w:p w14:paraId="15179F10" w14:textId="7C98DB35" w:rsidR="00196CFA" w:rsidRDefault="00D130FB" w:rsidP="00196CFA">
      <w:pPr>
        <w:pStyle w:val="Figuretitle"/>
        <w:rPr>
          <w:b w:val="0"/>
          <w:lang w:val="en-AU"/>
        </w:rPr>
      </w:pPr>
      <w:r w:rsidRPr="00D130FB">
        <w:rPr>
          <w:b w:val="0"/>
          <w:lang w:val="en-AU"/>
        </w:rPr>
        <w:t>Figure 4</w:t>
      </w:r>
      <w:r w:rsidR="00196CFA" w:rsidRPr="00D130FB">
        <w:rPr>
          <w:b w:val="0"/>
          <w:lang w:val="en-AU"/>
        </w:rPr>
        <w:t xml:space="preserve"> </w:t>
      </w:r>
      <w:r>
        <w:rPr>
          <w:b w:val="0"/>
          <w:lang w:val="en-AU"/>
        </w:rPr>
        <w:t>shows the age distribution of patients using progesterone to prevent preterm birth</w:t>
      </w:r>
      <w:r w:rsidR="00555C59">
        <w:rPr>
          <w:b w:val="0"/>
          <w:lang w:val="en-AU"/>
        </w:rPr>
        <w:t xml:space="preserve"> in Quarter 3 of 2023. The highest use in the quarter was </w:t>
      </w:r>
      <w:r>
        <w:rPr>
          <w:b w:val="0"/>
          <w:lang w:val="en-AU"/>
        </w:rPr>
        <w:t>in the 30-34 year old age group</w:t>
      </w:r>
      <w:r w:rsidR="00555C59">
        <w:rPr>
          <w:b w:val="0"/>
          <w:lang w:val="en-AU"/>
        </w:rPr>
        <w:t>, with 1</w:t>
      </w:r>
      <w:r w:rsidR="006E37E1">
        <w:rPr>
          <w:b w:val="0"/>
          <w:lang w:val="en-AU"/>
        </w:rPr>
        <w:t>,</w:t>
      </w:r>
      <w:r w:rsidR="00555C59">
        <w:rPr>
          <w:b w:val="0"/>
          <w:lang w:val="en-AU"/>
        </w:rPr>
        <w:t>018 prevalent patients and 686 initiating patients</w:t>
      </w:r>
      <w:r>
        <w:rPr>
          <w:b w:val="0"/>
          <w:lang w:val="en-AU"/>
        </w:rPr>
        <w:t xml:space="preserve">. </w:t>
      </w:r>
    </w:p>
    <w:bookmarkEnd w:id="3"/>
    <w:p w14:paraId="016E22E4" w14:textId="45D21584" w:rsidR="00AA7C8C" w:rsidRPr="00F41B63" w:rsidRDefault="000A12E7" w:rsidP="00BB236F">
      <w:pPr>
        <w:rPr>
          <w:b/>
          <w:lang w:val="en-US"/>
        </w:rPr>
      </w:pPr>
      <w:r w:rsidRPr="00F41B63">
        <w:rPr>
          <w:b/>
          <w:noProof/>
          <w:lang w:val="en-US"/>
        </w:rPr>
        <w:lastRenderedPageBreak/>
        <w:drawing>
          <wp:inline distT="0" distB="0" distL="0" distR="0" wp14:anchorId="27904484" wp14:editId="03E5A062">
            <wp:extent cx="5742940" cy="2733675"/>
            <wp:effectExtent l="0" t="0" r="10160" b="9525"/>
            <wp:docPr id="6" name="Chart 6">
              <a:extLst xmlns:a="http://schemas.openxmlformats.org/drawingml/2006/main">
                <a:ext uri="{FF2B5EF4-FFF2-40B4-BE49-F238E27FC236}">
                  <a16:creationId xmlns:a16="http://schemas.microsoft.com/office/drawing/2014/main" id="{B1325BA5-892B-AAC6-DA73-772C666777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436FE3" w14:textId="732F167B" w:rsidR="00AA7C8C" w:rsidRDefault="00AA7C8C" w:rsidP="00F41B63">
      <w:pPr>
        <w:pStyle w:val="Figuretitle"/>
      </w:pPr>
      <w:bookmarkStart w:id="4" w:name="_Hlk143075426"/>
      <w:r w:rsidRPr="00242991">
        <w:t xml:space="preserve">Figure </w:t>
      </w:r>
      <w:r w:rsidR="000A12E7">
        <w:t>5</w:t>
      </w:r>
      <w:r w:rsidRPr="00242991">
        <w:t xml:space="preserve">: Prevalent patients </w:t>
      </w:r>
      <w:r w:rsidR="00632553">
        <w:t xml:space="preserve">by age group </w:t>
      </w:r>
      <w:r w:rsidR="000A12E7">
        <w:t xml:space="preserve">and quarter </w:t>
      </w:r>
      <w:r w:rsidRPr="00242991">
        <w:t xml:space="preserve">treated </w:t>
      </w:r>
      <w:r>
        <w:t xml:space="preserve">with </w:t>
      </w:r>
      <w:proofErr w:type="gramStart"/>
      <w:r>
        <w:t>progesterone</w:t>
      </w:r>
      <w:proofErr w:type="gramEnd"/>
      <w:r>
        <w:t xml:space="preserve"> </w:t>
      </w:r>
    </w:p>
    <w:p w14:paraId="437D9EC1" w14:textId="1B033005" w:rsidR="00AA7C8C" w:rsidRPr="00F41B63" w:rsidRDefault="00D130FB" w:rsidP="00555C59">
      <w:pPr>
        <w:pStyle w:val="Figuretitle"/>
        <w:rPr>
          <w:b w:val="0"/>
          <w:lang w:val="en-AU"/>
        </w:rPr>
      </w:pPr>
      <w:r w:rsidRPr="00D130FB">
        <w:rPr>
          <w:b w:val="0"/>
          <w:lang w:val="en-AU"/>
        </w:rPr>
        <w:t xml:space="preserve">Figure 5 </w:t>
      </w:r>
      <w:r>
        <w:rPr>
          <w:b w:val="0"/>
          <w:lang w:val="en-AU"/>
        </w:rPr>
        <w:t>shows the utilisation of progesterone by prevalent patients, age group and quarter</w:t>
      </w:r>
      <w:r w:rsidR="00555C59">
        <w:rPr>
          <w:b w:val="0"/>
          <w:lang w:val="en-AU"/>
        </w:rPr>
        <w:t xml:space="preserve">. An increased use over time can be observed for </w:t>
      </w:r>
      <w:proofErr w:type="gramStart"/>
      <w:r w:rsidR="00555C59">
        <w:rPr>
          <w:b w:val="0"/>
          <w:lang w:val="en-AU"/>
        </w:rPr>
        <w:t>the majority of</w:t>
      </w:r>
      <w:proofErr w:type="gramEnd"/>
      <w:r w:rsidR="00555C59">
        <w:rPr>
          <w:b w:val="0"/>
          <w:lang w:val="en-AU"/>
        </w:rPr>
        <w:t xml:space="preserve"> age groups.</w:t>
      </w:r>
    </w:p>
    <w:p w14:paraId="7E2CD013" w14:textId="77777777" w:rsidR="00D130FB" w:rsidRPr="00F41B63" w:rsidRDefault="00D130FB" w:rsidP="00AA7C8C">
      <w:pPr>
        <w:pStyle w:val="Figuretitle"/>
        <w:ind w:right="-171"/>
        <w:rPr>
          <w:sz w:val="16"/>
          <w:szCs w:val="16"/>
        </w:rPr>
      </w:pPr>
    </w:p>
    <w:p w14:paraId="1A1DF0F5" w14:textId="16730CEF" w:rsidR="000A12E7" w:rsidRDefault="000A12E7" w:rsidP="00AA7C8C">
      <w:pPr>
        <w:pStyle w:val="Figuretitle"/>
        <w:ind w:right="-171"/>
      </w:pPr>
      <w:r>
        <w:rPr>
          <w:noProof/>
        </w:rPr>
        <w:drawing>
          <wp:inline distT="0" distB="0" distL="0" distR="0" wp14:anchorId="56C3FD5F" wp14:editId="1B4672D2">
            <wp:extent cx="5742940" cy="2933700"/>
            <wp:effectExtent l="0" t="0" r="10160" b="0"/>
            <wp:docPr id="7" name="Chart 7">
              <a:extLst xmlns:a="http://schemas.openxmlformats.org/drawingml/2006/main">
                <a:ext uri="{FF2B5EF4-FFF2-40B4-BE49-F238E27FC236}">
                  <a16:creationId xmlns:a16="http://schemas.microsoft.com/office/drawing/2014/main" id="{CDA1C4CB-DAAA-2876-2457-3742CC1B67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B35F865" w14:textId="5876FCDA" w:rsidR="00AA7C8C" w:rsidRDefault="00AA7C8C" w:rsidP="00AA7C8C">
      <w:pPr>
        <w:pStyle w:val="Figuretitle"/>
        <w:ind w:right="-171"/>
      </w:pPr>
      <w:r w:rsidRPr="0076209A">
        <w:t xml:space="preserve">Figure </w:t>
      </w:r>
      <w:r w:rsidR="000A12E7">
        <w:t>6</w:t>
      </w:r>
      <w:r w:rsidRPr="0076209A">
        <w:t xml:space="preserve">: Age distribution of </w:t>
      </w:r>
      <w:r w:rsidR="000A12E7">
        <w:t xml:space="preserve">prevalent and initiating </w:t>
      </w:r>
      <w:r w:rsidRPr="0076209A">
        <w:t xml:space="preserve">patients </w:t>
      </w:r>
      <w:r w:rsidR="000A12E7">
        <w:t xml:space="preserve">in 2023Q3 taking </w:t>
      </w:r>
      <w:r w:rsidR="00632553">
        <w:t>progesterone</w:t>
      </w:r>
      <w:r w:rsidR="000A12E7">
        <w:t xml:space="preserve"> for</w:t>
      </w:r>
      <w:r w:rsidR="00632553">
        <w:t xml:space="preserve"> items 12598C and </w:t>
      </w:r>
      <w:proofErr w:type="gramStart"/>
      <w:r w:rsidR="00632553">
        <w:t>12465C</w:t>
      </w:r>
      <w:proofErr w:type="gramEnd"/>
    </w:p>
    <w:p w14:paraId="324745DF" w14:textId="60FA4B9F" w:rsidR="00916D28" w:rsidRPr="0070276D" w:rsidRDefault="00916D28" w:rsidP="00916D28">
      <w:pPr>
        <w:spacing w:after="0"/>
        <w:rPr>
          <w:sz w:val="20"/>
          <w:szCs w:val="20"/>
        </w:rPr>
      </w:pPr>
      <w:r>
        <w:rPr>
          <w:sz w:val="20"/>
          <w:szCs w:val="20"/>
        </w:rPr>
        <w:t xml:space="preserve">Note: Item 12598C is </w:t>
      </w:r>
      <w:r w:rsidR="00214CA2">
        <w:rPr>
          <w:sz w:val="20"/>
          <w:szCs w:val="20"/>
        </w:rPr>
        <w:t>U</w:t>
      </w:r>
      <w:r>
        <w:rPr>
          <w:sz w:val="20"/>
          <w:szCs w:val="20"/>
        </w:rPr>
        <w:t xml:space="preserve">trogestan (pessary capsule) and item 12465C is </w:t>
      </w:r>
      <w:r w:rsidR="00214CA2">
        <w:rPr>
          <w:sz w:val="20"/>
          <w:szCs w:val="20"/>
        </w:rPr>
        <w:t>O</w:t>
      </w:r>
      <w:r>
        <w:rPr>
          <w:sz w:val="20"/>
          <w:szCs w:val="20"/>
        </w:rPr>
        <w:t>ripro (pessary)</w:t>
      </w:r>
    </w:p>
    <w:p w14:paraId="1FCBC3EB" w14:textId="77777777" w:rsidR="00205166" w:rsidRDefault="00205166" w:rsidP="00F41B63">
      <w:pPr>
        <w:pStyle w:val="Figuretitle"/>
        <w:rPr>
          <w:b w:val="0"/>
          <w:lang w:val="en-AU"/>
        </w:rPr>
      </w:pPr>
    </w:p>
    <w:p w14:paraId="716160FA" w14:textId="26121C13" w:rsidR="00632553" w:rsidRPr="00F41B63" w:rsidRDefault="00555C59" w:rsidP="00F41B63">
      <w:pPr>
        <w:pStyle w:val="Figuretitle"/>
        <w:rPr>
          <w:b w:val="0"/>
          <w:lang w:val="en-AU"/>
        </w:rPr>
      </w:pPr>
      <w:r w:rsidRPr="00F41B63">
        <w:rPr>
          <w:b w:val="0"/>
          <w:lang w:val="en-AU"/>
        </w:rPr>
        <w:t>Figure 6 shows the age distribution of prevalent and initiating patients across the two progesterone medicines for the prevention of preterm birth in the third quarter of 2023.</w:t>
      </w:r>
    </w:p>
    <w:p w14:paraId="26B3F504" w14:textId="15DCDA67" w:rsidR="005E74C8" w:rsidRPr="00A9673C" w:rsidRDefault="00A9673C" w:rsidP="00F41B63">
      <w:pPr>
        <w:pStyle w:val="Figuretitle"/>
        <w:rPr>
          <w:b w:val="0"/>
          <w:lang w:val="en-AU"/>
        </w:rPr>
      </w:pPr>
      <w:r>
        <w:rPr>
          <w:b w:val="0"/>
          <w:lang w:val="en-AU"/>
        </w:rPr>
        <w:t xml:space="preserve">Utilisation of </w:t>
      </w:r>
      <w:r w:rsidR="001B6DA8">
        <w:rPr>
          <w:b w:val="0"/>
          <w:lang w:val="en-AU"/>
        </w:rPr>
        <w:t>U</w:t>
      </w:r>
      <w:r w:rsidR="00555C59" w:rsidRPr="00F41B63">
        <w:rPr>
          <w:b w:val="0"/>
          <w:lang w:val="en-AU"/>
        </w:rPr>
        <w:t xml:space="preserve">trogestan is higher than </w:t>
      </w:r>
      <w:r w:rsidR="001B6DA8">
        <w:rPr>
          <w:b w:val="0"/>
          <w:lang w:val="en-AU"/>
        </w:rPr>
        <w:t>O</w:t>
      </w:r>
      <w:r w:rsidR="00555C59" w:rsidRPr="00F41B63">
        <w:rPr>
          <w:b w:val="0"/>
          <w:lang w:val="en-AU"/>
        </w:rPr>
        <w:t xml:space="preserve">ripro, with </w:t>
      </w:r>
      <w:r w:rsidR="001B6DA8">
        <w:rPr>
          <w:b w:val="0"/>
          <w:lang w:val="en-AU"/>
        </w:rPr>
        <w:t>U</w:t>
      </w:r>
      <w:r w:rsidR="00555C59" w:rsidRPr="00F41B63">
        <w:rPr>
          <w:b w:val="0"/>
          <w:lang w:val="en-AU"/>
        </w:rPr>
        <w:t>trogestan havin</w:t>
      </w:r>
      <w:r w:rsidR="00C11E3C" w:rsidRPr="00F41B63">
        <w:rPr>
          <w:b w:val="0"/>
          <w:lang w:val="en-AU"/>
        </w:rPr>
        <w:t xml:space="preserve">g a clear peak of use in patients aged 30-34, whereas </w:t>
      </w:r>
      <w:r w:rsidR="001B6DA8">
        <w:rPr>
          <w:b w:val="0"/>
          <w:lang w:val="en-AU"/>
        </w:rPr>
        <w:t>O</w:t>
      </w:r>
      <w:r w:rsidR="00C11E3C" w:rsidRPr="00F41B63">
        <w:rPr>
          <w:b w:val="0"/>
          <w:lang w:val="en-AU"/>
        </w:rPr>
        <w:t>ripro has similar use within 30-34 year olds and 35-39 year olds.</w:t>
      </w:r>
      <w:bookmarkEnd w:id="4"/>
      <w:r w:rsidR="005E74C8">
        <w:br w:type="page"/>
      </w:r>
    </w:p>
    <w:p w14:paraId="5E8CE820" w14:textId="77777777" w:rsidR="005E74C8" w:rsidRDefault="005E74C8" w:rsidP="00632553">
      <w:pPr>
        <w:pStyle w:val="Figuretitle"/>
        <w:sectPr w:rsidR="005E74C8" w:rsidSect="006D5BF5">
          <w:footerReference w:type="even" r:id="rId20"/>
          <w:footerReference w:type="default" r:id="rId21"/>
          <w:footerReference w:type="first" r:id="rId22"/>
          <w:pgSz w:w="11906" w:h="16838"/>
          <w:pgMar w:top="993" w:right="991" w:bottom="1644" w:left="1588" w:header="709" w:footer="709" w:gutter="0"/>
          <w:cols w:space="708"/>
          <w:docGrid w:linePitch="360"/>
        </w:sectPr>
      </w:pPr>
    </w:p>
    <w:p w14:paraId="4FCE2CCB" w14:textId="264DCA0A" w:rsidR="008F64E5" w:rsidRDefault="008F64E5" w:rsidP="008F64E5">
      <w:pPr>
        <w:spacing w:line="276" w:lineRule="auto"/>
        <w:rPr>
          <w:b/>
          <w:i/>
        </w:rPr>
      </w:pPr>
      <w:r w:rsidRPr="00242991">
        <w:rPr>
          <w:b/>
          <w:i/>
        </w:rPr>
        <w:lastRenderedPageBreak/>
        <w:t>P</w:t>
      </w:r>
      <w:r>
        <w:rPr>
          <w:b/>
          <w:i/>
        </w:rPr>
        <w:t xml:space="preserve">rescribers </w:t>
      </w:r>
    </w:p>
    <w:p w14:paraId="46E68376" w14:textId="1C716D25" w:rsidR="008F64E5" w:rsidRDefault="008F64E5" w:rsidP="008F64E5">
      <w:pPr>
        <w:pStyle w:val="Figuretitle"/>
        <w:rPr>
          <w:b w:val="0"/>
          <w:lang w:val="en-AU"/>
        </w:rPr>
      </w:pPr>
      <w:r w:rsidRPr="00F41B63">
        <w:rPr>
          <w:b w:val="0"/>
          <w:lang w:val="en-AU"/>
        </w:rPr>
        <w:t>Obstetric</w:t>
      </w:r>
      <w:r w:rsidR="00674B12">
        <w:rPr>
          <w:b w:val="0"/>
          <w:lang w:val="en-AU"/>
        </w:rPr>
        <w:t>i</w:t>
      </w:r>
      <w:r w:rsidRPr="00F41B63">
        <w:rPr>
          <w:b w:val="0"/>
          <w:lang w:val="en-AU"/>
        </w:rPr>
        <w:t>ans and gyna</w:t>
      </w:r>
      <w:r w:rsidR="00811A22">
        <w:rPr>
          <w:b w:val="0"/>
          <w:lang w:val="en-AU"/>
        </w:rPr>
        <w:t>e</w:t>
      </w:r>
      <w:r w:rsidRPr="00F41B63">
        <w:rPr>
          <w:b w:val="0"/>
          <w:lang w:val="en-AU"/>
        </w:rPr>
        <w:t>cologists are the most common prescriber</w:t>
      </w:r>
      <w:r w:rsidR="00811A22">
        <w:rPr>
          <w:b w:val="0"/>
          <w:lang w:val="en-AU"/>
        </w:rPr>
        <w:t>s</w:t>
      </w:r>
      <w:r w:rsidRPr="00F41B63">
        <w:rPr>
          <w:b w:val="0"/>
          <w:lang w:val="en-AU"/>
        </w:rPr>
        <w:t xml:space="preserve"> of </w:t>
      </w:r>
      <w:r w:rsidR="00CB2F91">
        <w:rPr>
          <w:b w:val="0"/>
          <w:lang w:val="en-AU"/>
        </w:rPr>
        <w:t>O</w:t>
      </w:r>
      <w:r w:rsidRPr="00F41B63">
        <w:rPr>
          <w:b w:val="0"/>
          <w:lang w:val="en-AU"/>
        </w:rPr>
        <w:t xml:space="preserve">ripro and </w:t>
      </w:r>
      <w:r w:rsidR="00CB2F91">
        <w:rPr>
          <w:b w:val="0"/>
          <w:lang w:val="en-AU"/>
        </w:rPr>
        <w:t>U</w:t>
      </w:r>
      <w:r w:rsidRPr="00F41B63">
        <w:rPr>
          <w:b w:val="0"/>
          <w:lang w:val="en-AU"/>
        </w:rPr>
        <w:t xml:space="preserve">trogestan for the prevention of preterm birth. Vocationally registered GPs and non-vocationally registered GPs are the next highest common prescribers and together the three prescriber types make up 87% of prescribers of </w:t>
      </w:r>
      <w:r w:rsidR="00CB2F91">
        <w:rPr>
          <w:b w:val="0"/>
          <w:lang w:val="en-AU"/>
        </w:rPr>
        <w:t>O</w:t>
      </w:r>
      <w:r w:rsidRPr="00F41B63">
        <w:rPr>
          <w:b w:val="0"/>
          <w:lang w:val="en-AU"/>
        </w:rPr>
        <w:t xml:space="preserve">ripro and 93% of prescribers of </w:t>
      </w:r>
      <w:r w:rsidR="00CB2F91">
        <w:rPr>
          <w:b w:val="0"/>
          <w:lang w:val="en-AU"/>
        </w:rPr>
        <w:t>U</w:t>
      </w:r>
      <w:r w:rsidRPr="00F41B63">
        <w:rPr>
          <w:b w:val="0"/>
          <w:lang w:val="en-AU"/>
        </w:rPr>
        <w:t>trogestan.</w:t>
      </w:r>
    </w:p>
    <w:p w14:paraId="66CA4837" w14:textId="67D61595" w:rsidR="00DD7565" w:rsidRDefault="00765BAF" w:rsidP="00632553">
      <w:pPr>
        <w:pStyle w:val="Figuretitle"/>
      </w:pPr>
      <w:r>
        <w:rPr>
          <w:noProof/>
        </w:rPr>
        <w:drawing>
          <wp:inline distT="0" distB="0" distL="0" distR="0" wp14:anchorId="2E7226C0" wp14:editId="78AFA3FF">
            <wp:extent cx="8604250" cy="3886200"/>
            <wp:effectExtent l="0" t="0" r="6350" b="0"/>
            <wp:docPr id="8" name="Chart 8">
              <a:extLst xmlns:a="http://schemas.openxmlformats.org/drawingml/2006/main">
                <a:ext uri="{FF2B5EF4-FFF2-40B4-BE49-F238E27FC236}">
                  <a16:creationId xmlns:a16="http://schemas.microsoft.com/office/drawing/2014/main" id="{1CDDB37A-2CFD-E234-D833-7573EFC0BA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2AE12E6" w14:textId="471BE39E" w:rsidR="00632553" w:rsidRDefault="00632553" w:rsidP="00632553">
      <w:pPr>
        <w:pStyle w:val="Figuretitle"/>
      </w:pPr>
      <w:r w:rsidRPr="00632553">
        <w:t xml:space="preserve">Figure </w:t>
      </w:r>
      <w:r w:rsidR="0070276D">
        <w:t>7</w:t>
      </w:r>
      <w:r w:rsidRPr="00632553">
        <w:t xml:space="preserve">: Prescriber type for patients initiating </w:t>
      </w:r>
      <w:r w:rsidRPr="00242991">
        <w:t>treat</w:t>
      </w:r>
      <w:r>
        <w:t xml:space="preserve">ment with </w:t>
      </w:r>
      <w:proofErr w:type="gramStart"/>
      <w:r>
        <w:t>progesterone</w:t>
      </w:r>
      <w:proofErr w:type="gramEnd"/>
    </w:p>
    <w:p w14:paraId="1202F355" w14:textId="1EF1DBED" w:rsidR="00632553" w:rsidRPr="00825476" w:rsidRDefault="00E52861" w:rsidP="00825476">
      <w:pPr>
        <w:spacing w:after="0"/>
        <w:rPr>
          <w:sz w:val="20"/>
          <w:szCs w:val="20"/>
        </w:rPr>
      </w:pPr>
      <w:r w:rsidRPr="00825476">
        <w:rPr>
          <w:sz w:val="20"/>
          <w:szCs w:val="20"/>
        </w:rPr>
        <w:t xml:space="preserve">Note: VRGP refers to vocational register general practitioner </w:t>
      </w:r>
    </w:p>
    <w:p w14:paraId="4B9F88AE" w14:textId="3AC265B3" w:rsidR="003D70D8" w:rsidRPr="00825476" w:rsidRDefault="00B31314" w:rsidP="00825476">
      <w:pPr>
        <w:spacing w:after="0"/>
        <w:rPr>
          <w:sz w:val="20"/>
          <w:szCs w:val="20"/>
        </w:rPr>
      </w:pPr>
      <w:r w:rsidRPr="00825476">
        <w:rPr>
          <w:sz w:val="20"/>
          <w:szCs w:val="20"/>
        </w:rPr>
        <w:t>Note “O</w:t>
      </w:r>
      <w:r w:rsidR="00765BAF" w:rsidRPr="00825476">
        <w:rPr>
          <w:sz w:val="20"/>
          <w:szCs w:val="20"/>
        </w:rPr>
        <w:t>t</w:t>
      </w:r>
      <w:r w:rsidRPr="00825476">
        <w:rPr>
          <w:sz w:val="20"/>
          <w:szCs w:val="20"/>
        </w:rPr>
        <w:t xml:space="preserve">her” includes nurse practitioners, </w:t>
      </w:r>
      <w:proofErr w:type="gramStart"/>
      <w:r w:rsidRPr="00825476">
        <w:rPr>
          <w:sz w:val="20"/>
          <w:szCs w:val="20"/>
        </w:rPr>
        <w:t>midwives</w:t>
      </w:r>
      <w:proofErr w:type="gramEnd"/>
      <w:r w:rsidR="00765BAF" w:rsidRPr="00825476">
        <w:rPr>
          <w:sz w:val="20"/>
          <w:szCs w:val="20"/>
        </w:rPr>
        <w:t xml:space="preserve"> and</w:t>
      </w:r>
      <w:r w:rsidRPr="00825476">
        <w:rPr>
          <w:sz w:val="20"/>
          <w:szCs w:val="20"/>
        </w:rPr>
        <w:t xml:space="preserve"> </w:t>
      </w:r>
      <w:r w:rsidR="00765BAF" w:rsidRPr="00825476">
        <w:rPr>
          <w:sz w:val="20"/>
          <w:szCs w:val="20"/>
        </w:rPr>
        <w:t xml:space="preserve">endocrinologists. A full list of prescriber types included under “Other” can be found in Appendix </w:t>
      </w:r>
      <w:r w:rsidR="00407845" w:rsidRPr="00825476">
        <w:rPr>
          <w:sz w:val="20"/>
          <w:szCs w:val="20"/>
        </w:rPr>
        <w:t>A</w:t>
      </w:r>
      <w:r w:rsidR="00765BAF" w:rsidRPr="00825476">
        <w:rPr>
          <w:sz w:val="20"/>
          <w:szCs w:val="20"/>
        </w:rPr>
        <w:t xml:space="preserve">. </w:t>
      </w:r>
    </w:p>
    <w:p w14:paraId="2C3ACA1F" w14:textId="77777777" w:rsidR="003D70D8" w:rsidRDefault="003D70D8">
      <w:pPr>
        <w:spacing w:line="276" w:lineRule="auto"/>
        <w:rPr>
          <w:b/>
          <w:lang w:val="en-US"/>
        </w:rPr>
        <w:sectPr w:rsidR="003D70D8" w:rsidSect="00407845">
          <w:pgSz w:w="16838" w:h="11906" w:orient="landscape"/>
          <w:pgMar w:top="1588" w:right="1644" w:bottom="1276" w:left="1644" w:header="709" w:footer="709" w:gutter="0"/>
          <w:cols w:space="708"/>
          <w:docGrid w:linePitch="360"/>
        </w:sectPr>
      </w:pPr>
    </w:p>
    <w:p w14:paraId="10835771" w14:textId="48C3DE46" w:rsidR="008F64E5" w:rsidRPr="00F41B63" w:rsidRDefault="008F64E5" w:rsidP="008F64E5">
      <w:pPr>
        <w:pStyle w:val="Figuretitle"/>
        <w:rPr>
          <w:b w:val="0"/>
          <w:lang w:val="en-AU"/>
        </w:rPr>
      </w:pPr>
      <w:r w:rsidRPr="00F41B63">
        <w:rPr>
          <w:b w:val="0"/>
          <w:lang w:val="en-AU"/>
        </w:rPr>
        <w:lastRenderedPageBreak/>
        <w:t xml:space="preserve">Prior to the PBS listing of progesterone for preterm births the PBAC advised that progesterone </w:t>
      </w:r>
      <w:r>
        <w:rPr>
          <w:b w:val="0"/>
          <w:lang w:val="en-AU"/>
        </w:rPr>
        <w:t xml:space="preserve">would be </w:t>
      </w:r>
      <w:r w:rsidRPr="00F41B63">
        <w:rPr>
          <w:b w:val="0"/>
          <w:lang w:val="en-AU"/>
        </w:rPr>
        <w:t>suitable for prescribing by nurse practitioners and midwives, noting that this would support access to treatment for women in regional and remote areas.</w:t>
      </w:r>
    </w:p>
    <w:p w14:paraId="19BE32BD" w14:textId="469A9ECD" w:rsidR="008F64E5" w:rsidRPr="00F41B63" w:rsidRDefault="008F64E5" w:rsidP="008F64E5">
      <w:pPr>
        <w:pStyle w:val="Figuretitle"/>
        <w:rPr>
          <w:b w:val="0"/>
          <w:lang w:val="en-AU"/>
        </w:rPr>
      </w:pPr>
      <w:r>
        <w:rPr>
          <w:b w:val="0"/>
          <w:bCs/>
        </w:rPr>
        <w:t xml:space="preserve">Table 4 shows the numbers of patients who initiated treatment on </w:t>
      </w:r>
      <w:r w:rsidR="0034732D">
        <w:rPr>
          <w:b w:val="0"/>
          <w:bCs/>
        </w:rPr>
        <w:t>O</w:t>
      </w:r>
      <w:r>
        <w:rPr>
          <w:b w:val="0"/>
          <w:bCs/>
        </w:rPr>
        <w:t xml:space="preserve">ripro and </w:t>
      </w:r>
      <w:r w:rsidR="0034732D">
        <w:rPr>
          <w:b w:val="0"/>
          <w:bCs/>
        </w:rPr>
        <w:t>U</w:t>
      </w:r>
      <w:r>
        <w:rPr>
          <w:b w:val="0"/>
          <w:bCs/>
        </w:rPr>
        <w:t xml:space="preserve">trogestan for the prevention of preterm birth. </w:t>
      </w:r>
      <w:r w:rsidRPr="00F41B63">
        <w:rPr>
          <w:b w:val="0"/>
          <w:lang w:val="en-AU"/>
        </w:rPr>
        <w:t>As can be seen in Table 4, the numbers of nurse practitioner and midwi</w:t>
      </w:r>
      <w:r w:rsidR="00B32942">
        <w:rPr>
          <w:b w:val="0"/>
          <w:lang w:val="en-AU"/>
        </w:rPr>
        <w:t>fe</w:t>
      </w:r>
      <w:r w:rsidRPr="00F41B63">
        <w:rPr>
          <w:b w:val="0"/>
          <w:lang w:val="en-AU"/>
        </w:rPr>
        <w:t xml:space="preserve"> prescribers have been low, the reasons for this are unclear.</w:t>
      </w:r>
    </w:p>
    <w:p w14:paraId="6C5128FE" w14:textId="47F9BA5C" w:rsidR="00E52861" w:rsidRDefault="007142BB" w:rsidP="007142BB">
      <w:pPr>
        <w:pStyle w:val="Tabletitle"/>
        <w:spacing w:before="200"/>
      </w:pPr>
      <w:r w:rsidRPr="001420B3" w:rsidDel="00EE2BBB">
        <w:t xml:space="preserve">Table </w:t>
      </w:r>
      <w:r>
        <w:t xml:space="preserve">4: Initiating patients by prescriber type </w:t>
      </w:r>
      <w:r w:rsidR="005F068E">
        <w:t xml:space="preserve">and item </w:t>
      </w:r>
      <w:r>
        <w:t xml:space="preserve">for </w:t>
      </w:r>
      <w:r w:rsidR="005F068E">
        <w:t xml:space="preserve">the progesterone therapy initiating script, </w:t>
      </w:r>
      <w:r w:rsidR="00407845">
        <w:t>1 June 2021 to 30 September 2023</w:t>
      </w:r>
    </w:p>
    <w:tbl>
      <w:tblPr>
        <w:tblW w:w="8784" w:type="dxa"/>
        <w:tblLook w:val="04A0" w:firstRow="1" w:lastRow="0" w:firstColumn="1" w:lastColumn="0" w:noHBand="0" w:noVBand="1"/>
      </w:tblPr>
      <w:tblGrid>
        <w:gridCol w:w="2960"/>
        <w:gridCol w:w="2422"/>
        <w:gridCol w:w="1701"/>
        <w:gridCol w:w="1701"/>
      </w:tblGrid>
      <w:tr w:rsidR="00407845" w:rsidRPr="006E37E1" w14:paraId="184A65A2" w14:textId="77777777" w:rsidTr="00407845">
        <w:trPr>
          <w:trHeight w:val="1223"/>
        </w:trPr>
        <w:tc>
          <w:tcPr>
            <w:tcW w:w="2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25D52D" w14:textId="77777777" w:rsidR="003C77C1" w:rsidRPr="006E37E1" w:rsidRDefault="003C77C1" w:rsidP="003C77C1">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 xml:space="preserve">Prescriber Type </w:t>
            </w:r>
          </w:p>
        </w:tc>
        <w:tc>
          <w:tcPr>
            <w:tcW w:w="242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FE601" w14:textId="77777777" w:rsidR="003C77C1" w:rsidRPr="006E37E1" w:rsidRDefault="003C77C1" w:rsidP="003C77C1">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Oripro Pessary 200mg (Item 12465C)</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2B617A" w14:textId="77777777" w:rsidR="003C77C1" w:rsidRPr="006E37E1" w:rsidRDefault="003C77C1" w:rsidP="003C77C1">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 xml:space="preserve">Utrogestan Pessary Capsule 200mg </w:t>
            </w:r>
          </w:p>
          <w:p w14:paraId="56D79937" w14:textId="37BD8F33" w:rsidR="003C77C1" w:rsidRPr="006E37E1" w:rsidRDefault="003C77C1" w:rsidP="003C77C1">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(Item 12598C)</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81DBF8E" w14:textId="77777777" w:rsidR="003C77C1" w:rsidRPr="006E37E1" w:rsidRDefault="003C77C1" w:rsidP="003C77C1">
            <w:pPr>
              <w:spacing w:after="0"/>
              <w:jc w:val="center"/>
              <w:rPr>
                <w:rFonts w:ascii="Calibri" w:eastAsia="Times New Roman" w:hAnsi="Calibri" w:cs="Calibri"/>
                <w:b/>
                <w:bCs/>
                <w:sz w:val="20"/>
                <w:szCs w:val="20"/>
              </w:rPr>
            </w:pPr>
            <w:r w:rsidRPr="006E37E1">
              <w:rPr>
                <w:rFonts w:ascii="Calibri" w:eastAsia="Times New Roman" w:hAnsi="Calibri" w:cs="Calibri"/>
                <w:b/>
                <w:bCs/>
                <w:sz w:val="20"/>
                <w:szCs w:val="20"/>
              </w:rPr>
              <w:t>Total</w:t>
            </w:r>
          </w:p>
        </w:tc>
      </w:tr>
      <w:tr w:rsidR="003C77C1" w:rsidRPr="006E37E1" w14:paraId="630E034C" w14:textId="77777777" w:rsidTr="003C77C1">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929B06B"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Obstetrics and Gynaecology</w:t>
            </w:r>
          </w:p>
        </w:tc>
        <w:tc>
          <w:tcPr>
            <w:tcW w:w="2422" w:type="dxa"/>
            <w:tcBorders>
              <w:top w:val="nil"/>
              <w:left w:val="nil"/>
              <w:bottom w:val="single" w:sz="4" w:space="0" w:color="auto"/>
              <w:right w:val="single" w:sz="4" w:space="0" w:color="auto"/>
            </w:tcBorders>
            <w:shd w:val="clear" w:color="auto" w:fill="auto"/>
            <w:noWrap/>
            <w:vAlign w:val="center"/>
            <w:hideMark/>
          </w:tcPr>
          <w:p w14:paraId="4F61FE65" w14:textId="6F02F29D"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2</w:t>
            </w:r>
            <w:r w:rsidR="006E37E1">
              <w:rPr>
                <w:rFonts w:ascii="Calibri" w:eastAsia="Times New Roman" w:hAnsi="Calibri" w:cs="Calibri"/>
                <w:sz w:val="20"/>
                <w:szCs w:val="20"/>
              </w:rPr>
              <w:t>,</w:t>
            </w:r>
            <w:r w:rsidRPr="006E37E1">
              <w:rPr>
                <w:rFonts w:ascii="Calibri" w:eastAsia="Times New Roman" w:hAnsi="Calibri" w:cs="Calibri"/>
                <w:sz w:val="20"/>
                <w:szCs w:val="20"/>
              </w:rPr>
              <w:t>714</w:t>
            </w:r>
          </w:p>
        </w:tc>
        <w:tc>
          <w:tcPr>
            <w:tcW w:w="1701" w:type="dxa"/>
            <w:tcBorders>
              <w:top w:val="nil"/>
              <w:left w:val="nil"/>
              <w:bottom w:val="single" w:sz="4" w:space="0" w:color="auto"/>
              <w:right w:val="single" w:sz="4" w:space="0" w:color="auto"/>
            </w:tcBorders>
            <w:shd w:val="clear" w:color="auto" w:fill="auto"/>
            <w:noWrap/>
            <w:vAlign w:val="center"/>
            <w:hideMark/>
          </w:tcPr>
          <w:p w14:paraId="7D69368A" w14:textId="6A84287B"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5</w:t>
            </w:r>
            <w:r w:rsidR="006E37E1">
              <w:rPr>
                <w:rFonts w:ascii="Calibri" w:eastAsia="Times New Roman" w:hAnsi="Calibri" w:cs="Calibri"/>
                <w:sz w:val="20"/>
                <w:szCs w:val="20"/>
              </w:rPr>
              <w:t>,</w:t>
            </w:r>
            <w:r w:rsidRPr="006E37E1">
              <w:rPr>
                <w:rFonts w:ascii="Calibri" w:eastAsia="Times New Roman" w:hAnsi="Calibri" w:cs="Calibri"/>
                <w:sz w:val="20"/>
                <w:szCs w:val="20"/>
              </w:rPr>
              <w:t>129</w:t>
            </w:r>
          </w:p>
        </w:tc>
        <w:tc>
          <w:tcPr>
            <w:tcW w:w="1701" w:type="dxa"/>
            <w:tcBorders>
              <w:top w:val="nil"/>
              <w:left w:val="nil"/>
              <w:bottom w:val="single" w:sz="4" w:space="0" w:color="auto"/>
              <w:right w:val="single" w:sz="4" w:space="0" w:color="auto"/>
            </w:tcBorders>
            <w:shd w:val="clear" w:color="auto" w:fill="auto"/>
            <w:noWrap/>
            <w:vAlign w:val="center"/>
            <w:hideMark/>
          </w:tcPr>
          <w:p w14:paraId="485E41C5" w14:textId="5A307A26"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7</w:t>
            </w:r>
            <w:r w:rsidR="006E37E1">
              <w:rPr>
                <w:rFonts w:ascii="Calibri" w:eastAsia="Times New Roman" w:hAnsi="Calibri" w:cs="Calibri"/>
                <w:sz w:val="20"/>
                <w:szCs w:val="20"/>
              </w:rPr>
              <w:t>,</w:t>
            </w:r>
            <w:r w:rsidRPr="006E37E1">
              <w:rPr>
                <w:rFonts w:ascii="Calibri" w:eastAsia="Times New Roman" w:hAnsi="Calibri" w:cs="Calibri"/>
                <w:sz w:val="20"/>
                <w:szCs w:val="20"/>
              </w:rPr>
              <w:t>843</w:t>
            </w:r>
          </w:p>
        </w:tc>
      </w:tr>
      <w:tr w:rsidR="003C77C1" w:rsidRPr="006E37E1" w14:paraId="521B0CAD" w14:textId="77777777" w:rsidTr="003C77C1">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BA1678F"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VRGP</w:t>
            </w:r>
          </w:p>
        </w:tc>
        <w:tc>
          <w:tcPr>
            <w:tcW w:w="2422" w:type="dxa"/>
            <w:tcBorders>
              <w:top w:val="nil"/>
              <w:left w:val="nil"/>
              <w:bottom w:val="single" w:sz="4" w:space="0" w:color="auto"/>
              <w:right w:val="single" w:sz="4" w:space="0" w:color="auto"/>
            </w:tcBorders>
            <w:shd w:val="clear" w:color="auto" w:fill="auto"/>
            <w:noWrap/>
            <w:vAlign w:val="center"/>
            <w:hideMark/>
          </w:tcPr>
          <w:p w14:paraId="6A0E9078" w14:textId="5F225896"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w:t>
            </w:r>
            <w:r w:rsidR="006E37E1">
              <w:rPr>
                <w:rFonts w:ascii="Calibri" w:eastAsia="Times New Roman" w:hAnsi="Calibri" w:cs="Calibri"/>
                <w:sz w:val="20"/>
                <w:szCs w:val="20"/>
              </w:rPr>
              <w:t>,</w:t>
            </w:r>
            <w:r w:rsidRPr="006E37E1">
              <w:rPr>
                <w:rFonts w:ascii="Calibri" w:eastAsia="Times New Roman" w:hAnsi="Calibri" w:cs="Calibri"/>
                <w:sz w:val="20"/>
                <w:szCs w:val="20"/>
              </w:rPr>
              <w:t>027</w:t>
            </w:r>
          </w:p>
        </w:tc>
        <w:tc>
          <w:tcPr>
            <w:tcW w:w="1701" w:type="dxa"/>
            <w:tcBorders>
              <w:top w:val="nil"/>
              <w:left w:val="nil"/>
              <w:bottom w:val="single" w:sz="4" w:space="0" w:color="auto"/>
              <w:right w:val="single" w:sz="4" w:space="0" w:color="auto"/>
            </w:tcBorders>
            <w:shd w:val="clear" w:color="auto" w:fill="auto"/>
            <w:noWrap/>
            <w:vAlign w:val="center"/>
            <w:hideMark/>
          </w:tcPr>
          <w:p w14:paraId="4BC93C49" w14:textId="6B11DADC"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w:t>
            </w:r>
            <w:r w:rsidR="006E37E1">
              <w:rPr>
                <w:rFonts w:ascii="Calibri" w:eastAsia="Times New Roman" w:hAnsi="Calibri" w:cs="Calibri"/>
                <w:sz w:val="20"/>
                <w:szCs w:val="20"/>
              </w:rPr>
              <w:t>,</w:t>
            </w:r>
            <w:r w:rsidRPr="006E37E1">
              <w:rPr>
                <w:rFonts w:ascii="Calibri" w:eastAsia="Times New Roman" w:hAnsi="Calibri" w:cs="Calibri"/>
                <w:sz w:val="20"/>
                <w:szCs w:val="20"/>
              </w:rPr>
              <w:t>605</w:t>
            </w:r>
          </w:p>
        </w:tc>
        <w:tc>
          <w:tcPr>
            <w:tcW w:w="1701" w:type="dxa"/>
            <w:tcBorders>
              <w:top w:val="nil"/>
              <w:left w:val="nil"/>
              <w:bottom w:val="single" w:sz="4" w:space="0" w:color="auto"/>
              <w:right w:val="single" w:sz="4" w:space="0" w:color="auto"/>
            </w:tcBorders>
            <w:shd w:val="clear" w:color="auto" w:fill="auto"/>
            <w:noWrap/>
            <w:vAlign w:val="center"/>
            <w:hideMark/>
          </w:tcPr>
          <w:p w14:paraId="021A9D8E" w14:textId="10CADAA6"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2</w:t>
            </w:r>
            <w:r w:rsidR="006E37E1">
              <w:rPr>
                <w:rFonts w:ascii="Calibri" w:eastAsia="Times New Roman" w:hAnsi="Calibri" w:cs="Calibri"/>
                <w:sz w:val="20"/>
                <w:szCs w:val="20"/>
              </w:rPr>
              <w:t>,</w:t>
            </w:r>
            <w:r w:rsidRPr="006E37E1">
              <w:rPr>
                <w:rFonts w:ascii="Calibri" w:eastAsia="Times New Roman" w:hAnsi="Calibri" w:cs="Calibri"/>
                <w:sz w:val="20"/>
                <w:szCs w:val="20"/>
              </w:rPr>
              <w:t>632</w:t>
            </w:r>
          </w:p>
        </w:tc>
      </w:tr>
      <w:tr w:rsidR="003C77C1" w:rsidRPr="006E37E1" w14:paraId="72F51E32" w14:textId="77777777" w:rsidTr="003C77C1">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72C23C9D"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NONVRGP</w:t>
            </w:r>
          </w:p>
        </w:tc>
        <w:tc>
          <w:tcPr>
            <w:tcW w:w="2422" w:type="dxa"/>
            <w:tcBorders>
              <w:top w:val="nil"/>
              <w:left w:val="nil"/>
              <w:bottom w:val="single" w:sz="4" w:space="0" w:color="auto"/>
              <w:right w:val="single" w:sz="4" w:space="0" w:color="auto"/>
            </w:tcBorders>
            <w:shd w:val="clear" w:color="auto" w:fill="auto"/>
            <w:noWrap/>
            <w:vAlign w:val="center"/>
            <w:hideMark/>
          </w:tcPr>
          <w:p w14:paraId="209C35DE" w14:textId="43AD4D88"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w:t>
            </w:r>
            <w:r w:rsidR="006E37E1">
              <w:rPr>
                <w:rFonts w:ascii="Calibri" w:eastAsia="Times New Roman" w:hAnsi="Calibri" w:cs="Calibri"/>
                <w:sz w:val="20"/>
                <w:szCs w:val="20"/>
              </w:rPr>
              <w:t>,</w:t>
            </w:r>
            <w:r w:rsidRPr="006E37E1">
              <w:rPr>
                <w:rFonts w:ascii="Calibri" w:eastAsia="Times New Roman" w:hAnsi="Calibri" w:cs="Calibri"/>
                <w:sz w:val="20"/>
                <w:szCs w:val="20"/>
              </w:rPr>
              <w:t>308</w:t>
            </w:r>
          </w:p>
        </w:tc>
        <w:tc>
          <w:tcPr>
            <w:tcW w:w="1701" w:type="dxa"/>
            <w:tcBorders>
              <w:top w:val="nil"/>
              <w:left w:val="nil"/>
              <w:bottom w:val="single" w:sz="4" w:space="0" w:color="auto"/>
              <w:right w:val="single" w:sz="4" w:space="0" w:color="auto"/>
            </w:tcBorders>
            <w:shd w:val="clear" w:color="auto" w:fill="auto"/>
            <w:noWrap/>
            <w:vAlign w:val="center"/>
            <w:hideMark/>
          </w:tcPr>
          <w:p w14:paraId="23CB4F9B" w14:textId="27062482"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w:t>
            </w:r>
            <w:r w:rsidR="006E37E1">
              <w:rPr>
                <w:rFonts w:ascii="Calibri" w:eastAsia="Times New Roman" w:hAnsi="Calibri" w:cs="Calibri"/>
                <w:sz w:val="20"/>
                <w:szCs w:val="20"/>
              </w:rPr>
              <w:t>,</w:t>
            </w:r>
            <w:r w:rsidRPr="006E37E1">
              <w:rPr>
                <w:rFonts w:ascii="Calibri" w:eastAsia="Times New Roman" w:hAnsi="Calibri" w:cs="Calibri"/>
                <w:sz w:val="20"/>
                <w:szCs w:val="20"/>
              </w:rPr>
              <w:t>097</w:t>
            </w:r>
          </w:p>
        </w:tc>
        <w:tc>
          <w:tcPr>
            <w:tcW w:w="1701" w:type="dxa"/>
            <w:tcBorders>
              <w:top w:val="nil"/>
              <w:left w:val="nil"/>
              <w:bottom w:val="single" w:sz="4" w:space="0" w:color="auto"/>
              <w:right w:val="single" w:sz="4" w:space="0" w:color="auto"/>
            </w:tcBorders>
            <w:shd w:val="clear" w:color="auto" w:fill="auto"/>
            <w:noWrap/>
            <w:vAlign w:val="center"/>
            <w:hideMark/>
          </w:tcPr>
          <w:p w14:paraId="49B9AB80" w14:textId="5132D9C9"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2</w:t>
            </w:r>
            <w:r w:rsidR="006E37E1">
              <w:rPr>
                <w:rFonts w:ascii="Calibri" w:eastAsia="Times New Roman" w:hAnsi="Calibri" w:cs="Calibri"/>
                <w:sz w:val="20"/>
                <w:szCs w:val="20"/>
              </w:rPr>
              <w:t>,</w:t>
            </w:r>
            <w:r w:rsidRPr="006E37E1">
              <w:rPr>
                <w:rFonts w:ascii="Calibri" w:eastAsia="Times New Roman" w:hAnsi="Calibri" w:cs="Calibri"/>
                <w:sz w:val="20"/>
                <w:szCs w:val="20"/>
              </w:rPr>
              <w:t>405</w:t>
            </w:r>
          </w:p>
        </w:tc>
      </w:tr>
      <w:tr w:rsidR="003C77C1" w:rsidRPr="006E37E1" w14:paraId="269B61F7" w14:textId="77777777" w:rsidTr="003C77C1">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4094560E"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Unknown</w:t>
            </w:r>
          </w:p>
        </w:tc>
        <w:tc>
          <w:tcPr>
            <w:tcW w:w="2422" w:type="dxa"/>
            <w:tcBorders>
              <w:top w:val="nil"/>
              <w:left w:val="nil"/>
              <w:bottom w:val="single" w:sz="4" w:space="0" w:color="auto"/>
              <w:right w:val="single" w:sz="4" w:space="0" w:color="auto"/>
            </w:tcBorders>
            <w:shd w:val="clear" w:color="auto" w:fill="auto"/>
            <w:noWrap/>
            <w:vAlign w:val="center"/>
            <w:hideMark/>
          </w:tcPr>
          <w:p w14:paraId="15B63486"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490</w:t>
            </w:r>
          </w:p>
        </w:tc>
        <w:tc>
          <w:tcPr>
            <w:tcW w:w="1701" w:type="dxa"/>
            <w:tcBorders>
              <w:top w:val="nil"/>
              <w:left w:val="nil"/>
              <w:bottom w:val="single" w:sz="4" w:space="0" w:color="auto"/>
              <w:right w:val="single" w:sz="4" w:space="0" w:color="auto"/>
            </w:tcBorders>
            <w:shd w:val="clear" w:color="auto" w:fill="auto"/>
            <w:noWrap/>
            <w:vAlign w:val="center"/>
            <w:hideMark/>
          </w:tcPr>
          <w:p w14:paraId="0A09BF91"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250</w:t>
            </w:r>
          </w:p>
        </w:tc>
        <w:tc>
          <w:tcPr>
            <w:tcW w:w="1701" w:type="dxa"/>
            <w:tcBorders>
              <w:top w:val="nil"/>
              <w:left w:val="nil"/>
              <w:bottom w:val="single" w:sz="4" w:space="0" w:color="auto"/>
              <w:right w:val="single" w:sz="4" w:space="0" w:color="auto"/>
            </w:tcBorders>
            <w:shd w:val="clear" w:color="auto" w:fill="auto"/>
            <w:noWrap/>
            <w:vAlign w:val="center"/>
            <w:hideMark/>
          </w:tcPr>
          <w:p w14:paraId="3306CAB5"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740</w:t>
            </w:r>
          </w:p>
        </w:tc>
      </w:tr>
      <w:tr w:rsidR="003C77C1" w:rsidRPr="006E37E1" w14:paraId="15B797C6" w14:textId="77777777" w:rsidTr="003C77C1">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209FCE6"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GP Trainee</w:t>
            </w:r>
          </w:p>
        </w:tc>
        <w:tc>
          <w:tcPr>
            <w:tcW w:w="2422" w:type="dxa"/>
            <w:tcBorders>
              <w:top w:val="nil"/>
              <w:left w:val="nil"/>
              <w:bottom w:val="single" w:sz="4" w:space="0" w:color="auto"/>
              <w:right w:val="single" w:sz="4" w:space="0" w:color="auto"/>
            </w:tcBorders>
            <w:shd w:val="clear" w:color="auto" w:fill="auto"/>
            <w:noWrap/>
            <w:vAlign w:val="center"/>
            <w:hideMark/>
          </w:tcPr>
          <w:p w14:paraId="4437D7ED"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140</w:t>
            </w:r>
          </w:p>
        </w:tc>
        <w:tc>
          <w:tcPr>
            <w:tcW w:w="1701" w:type="dxa"/>
            <w:tcBorders>
              <w:top w:val="nil"/>
              <w:left w:val="nil"/>
              <w:bottom w:val="single" w:sz="4" w:space="0" w:color="auto"/>
              <w:right w:val="single" w:sz="4" w:space="0" w:color="auto"/>
            </w:tcBorders>
            <w:shd w:val="clear" w:color="auto" w:fill="auto"/>
            <w:noWrap/>
            <w:vAlign w:val="center"/>
            <w:hideMark/>
          </w:tcPr>
          <w:p w14:paraId="2D6366CE"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229</w:t>
            </w:r>
          </w:p>
        </w:tc>
        <w:tc>
          <w:tcPr>
            <w:tcW w:w="1701" w:type="dxa"/>
            <w:tcBorders>
              <w:top w:val="nil"/>
              <w:left w:val="nil"/>
              <w:bottom w:val="single" w:sz="4" w:space="0" w:color="auto"/>
              <w:right w:val="single" w:sz="4" w:space="0" w:color="auto"/>
            </w:tcBorders>
            <w:shd w:val="clear" w:color="auto" w:fill="auto"/>
            <w:noWrap/>
            <w:vAlign w:val="center"/>
            <w:hideMark/>
          </w:tcPr>
          <w:p w14:paraId="596BC028"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369</w:t>
            </w:r>
          </w:p>
        </w:tc>
      </w:tr>
      <w:tr w:rsidR="003C77C1" w:rsidRPr="006E37E1" w14:paraId="3899B1B4" w14:textId="77777777" w:rsidTr="00C11E3C">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F464738"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Endocrinology</w:t>
            </w:r>
          </w:p>
        </w:tc>
        <w:tc>
          <w:tcPr>
            <w:tcW w:w="2422" w:type="dxa"/>
            <w:tcBorders>
              <w:top w:val="nil"/>
              <w:left w:val="nil"/>
              <w:bottom w:val="single" w:sz="4" w:space="0" w:color="auto"/>
              <w:right w:val="single" w:sz="4" w:space="0" w:color="auto"/>
            </w:tcBorders>
            <w:shd w:val="clear" w:color="auto" w:fill="auto"/>
            <w:noWrap/>
            <w:vAlign w:val="center"/>
            <w:hideMark/>
          </w:tcPr>
          <w:p w14:paraId="06270358"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33</w:t>
            </w:r>
          </w:p>
        </w:tc>
        <w:tc>
          <w:tcPr>
            <w:tcW w:w="1701" w:type="dxa"/>
            <w:tcBorders>
              <w:top w:val="nil"/>
              <w:left w:val="nil"/>
              <w:bottom w:val="single" w:sz="4" w:space="0" w:color="auto"/>
              <w:right w:val="single" w:sz="4" w:space="0" w:color="auto"/>
            </w:tcBorders>
            <w:shd w:val="clear" w:color="auto" w:fill="auto"/>
            <w:noWrap/>
            <w:vAlign w:val="center"/>
            <w:hideMark/>
          </w:tcPr>
          <w:p w14:paraId="21B7EBD6"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6</w:t>
            </w:r>
          </w:p>
        </w:tc>
        <w:tc>
          <w:tcPr>
            <w:tcW w:w="1701" w:type="dxa"/>
            <w:tcBorders>
              <w:top w:val="nil"/>
              <w:left w:val="nil"/>
              <w:bottom w:val="single" w:sz="4" w:space="0" w:color="auto"/>
              <w:right w:val="single" w:sz="4" w:space="0" w:color="auto"/>
            </w:tcBorders>
            <w:shd w:val="clear" w:color="auto" w:fill="auto"/>
            <w:noWrap/>
            <w:vAlign w:val="center"/>
            <w:hideMark/>
          </w:tcPr>
          <w:p w14:paraId="27DF324E"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39</w:t>
            </w:r>
          </w:p>
        </w:tc>
      </w:tr>
      <w:tr w:rsidR="00C11E3C" w:rsidRPr="006E37E1" w14:paraId="32602EC1" w14:textId="77777777" w:rsidTr="00C11E3C">
        <w:trPr>
          <w:trHeight w:val="288"/>
        </w:trPr>
        <w:tc>
          <w:tcPr>
            <w:tcW w:w="2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431849"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Midwife</w:t>
            </w:r>
          </w:p>
        </w:tc>
        <w:tc>
          <w:tcPr>
            <w:tcW w:w="24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0796D0" w14:textId="63E6AB92" w:rsidR="003C77C1" w:rsidRPr="006E37E1" w:rsidRDefault="00407845"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≤5</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3191CA"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19</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B2BF43"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22</w:t>
            </w:r>
          </w:p>
        </w:tc>
      </w:tr>
      <w:tr w:rsidR="003C77C1" w:rsidRPr="006E37E1" w14:paraId="11CE6F18" w14:textId="77777777" w:rsidTr="003C77C1">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EEE6B8B"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Intensive Care</w:t>
            </w:r>
          </w:p>
        </w:tc>
        <w:tc>
          <w:tcPr>
            <w:tcW w:w="2422" w:type="dxa"/>
            <w:tcBorders>
              <w:top w:val="nil"/>
              <w:left w:val="nil"/>
              <w:bottom w:val="single" w:sz="4" w:space="0" w:color="auto"/>
              <w:right w:val="single" w:sz="4" w:space="0" w:color="auto"/>
            </w:tcBorders>
            <w:shd w:val="clear" w:color="auto" w:fill="auto"/>
            <w:noWrap/>
            <w:vAlign w:val="center"/>
            <w:hideMark/>
          </w:tcPr>
          <w:p w14:paraId="0BA08DA3"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7</w:t>
            </w:r>
          </w:p>
        </w:tc>
        <w:tc>
          <w:tcPr>
            <w:tcW w:w="1701" w:type="dxa"/>
            <w:tcBorders>
              <w:top w:val="nil"/>
              <w:left w:val="nil"/>
              <w:bottom w:val="single" w:sz="4" w:space="0" w:color="auto"/>
              <w:right w:val="single" w:sz="4" w:space="0" w:color="auto"/>
            </w:tcBorders>
            <w:shd w:val="clear" w:color="auto" w:fill="auto"/>
            <w:noWrap/>
            <w:vAlign w:val="center"/>
            <w:hideMark/>
          </w:tcPr>
          <w:p w14:paraId="29666D66"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13</w:t>
            </w:r>
          </w:p>
        </w:tc>
        <w:tc>
          <w:tcPr>
            <w:tcW w:w="1701" w:type="dxa"/>
            <w:tcBorders>
              <w:top w:val="nil"/>
              <w:left w:val="nil"/>
              <w:bottom w:val="single" w:sz="4" w:space="0" w:color="auto"/>
              <w:right w:val="single" w:sz="4" w:space="0" w:color="auto"/>
            </w:tcBorders>
            <w:shd w:val="clear" w:color="auto" w:fill="auto"/>
            <w:noWrap/>
            <w:vAlign w:val="center"/>
            <w:hideMark/>
          </w:tcPr>
          <w:p w14:paraId="597FAAF5"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20</w:t>
            </w:r>
          </w:p>
        </w:tc>
      </w:tr>
      <w:tr w:rsidR="003C77C1" w:rsidRPr="006E37E1" w14:paraId="239DCEB4" w14:textId="77777777" w:rsidTr="00C11E3C">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788A963"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Urogynaecology</w:t>
            </w:r>
          </w:p>
        </w:tc>
        <w:tc>
          <w:tcPr>
            <w:tcW w:w="2422" w:type="dxa"/>
            <w:tcBorders>
              <w:top w:val="nil"/>
              <w:left w:val="nil"/>
              <w:bottom w:val="single" w:sz="4" w:space="0" w:color="auto"/>
              <w:right w:val="single" w:sz="4" w:space="0" w:color="auto"/>
            </w:tcBorders>
            <w:shd w:val="clear" w:color="auto" w:fill="auto"/>
            <w:noWrap/>
            <w:vAlign w:val="center"/>
            <w:hideMark/>
          </w:tcPr>
          <w:p w14:paraId="10D70140"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17</w:t>
            </w:r>
          </w:p>
        </w:tc>
        <w:tc>
          <w:tcPr>
            <w:tcW w:w="1701" w:type="dxa"/>
            <w:tcBorders>
              <w:top w:val="nil"/>
              <w:left w:val="nil"/>
              <w:bottom w:val="single" w:sz="4" w:space="0" w:color="auto"/>
              <w:right w:val="single" w:sz="4" w:space="0" w:color="auto"/>
            </w:tcBorders>
            <w:shd w:val="clear" w:color="auto" w:fill="auto"/>
            <w:noWrap/>
            <w:vAlign w:val="center"/>
            <w:hideMark/>
          </w:tcPr>
          <w:p w14:paraId="2357B644" w14:textId="21961C62" w:rsidR="003C77C1" w:rsidRPr="006E37E1" w:rsidRDefault="00407845"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≤5</w:t>
            </w:r>
          </w:p>
        </w:tc>
        <w:tc>
          <w:tcPr>
            <w:tcW w:w="1701" w:type="dxa"/>
            <w:tcBorders>
              <w:top w:val="nil"/>
              <w:left w:val="nil"/>
              <w:bottom w:val="single" w:sz="4" w:space="0" w:color="auto"/>
              <w:right w:val="single" w:sz="4" w:space="0" w:color="auto"/>
            </w:tcBorders>
            <w:shd w:val="clear" w:color="auto" w:fill="auto"/>
            <w:noWrap/>
            <w:vAlign w:val="center"/>
            <w:hideMark/>
          </w:tcPr>
          <w:p w14:paraId="76F80326"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18</w:t>
            </w:r>
          </w:p>
        </w:tc>
      </w:tr>
      <w:tr w:rsidR="00C11E3C" w:rsidRPr="006E37E1" w14:paraId="38F20C0C" w14:textId="77777777" w:rsidTr="00C11E3C">
        <w:trPr>
          <w:trHeight w:val="288"/>
        </w:trPr>
        <w:tc>
          <w:tcPr>
            <w:tcW w:w="2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0F99A4"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Nurse Practitioner</w:t>
            </w:r>
          </w:p>
        </w:tc>
        <w:tc>
          <w:tcPr>
            <w:tcW w:w="242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862902"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9</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DFF216"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9</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573751"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18</w:t>
            </w:r>
          </w:p>
        </w:tc>
      </w:tr>
      <w:tr w:rsidR="003C77C1" w:rsidRPr="006E37E1" w14:paraId="7A01727F" w14:textId="77777777" w:rsidTr="003C77C1">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38C4F84F"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Other</w:t>
            </w:r>
          </w:p>
        </w:tc>
        <w:tc>
          <w:tcPr>
            <w:tcW w:w="2422" w:type="dxa"/>
            <w:tcBorders>
              <w:top w:val="nil"/>
              <w:left w:val="nil"/>
              <w:bottom w:val="single" w:sz="4" w:space="0" w:color="auto"/>
              <w:right w:val="single" w:sz="4" w:space="0" w:color="auto"/>
            </w:tcBorders>
            <w:shd w:val="clear" w:color="auto" w:fill="auto"/>
            <w:noWrap/>
            <w:vAlign w:val="center"/>
            <w:hideMark/>
          </w:tcPr>
          <w:p w14:paraId="7776C144"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43</w:t>
            </w:r>
          </w:p>
        </w:tc>
        <w:tc>
          <w:tcPr>
            <w:tcW w:w="1701" w:type="dxa"/>
            <w:tcBorders>
              <w:top w:val="nil"/>
              <w:left w:val="nil"/>
              <w:bottom w:val="single" w:sz="4" w:space="0" w:color="auto"/>
              <w:right w:val="single" w:sz="4" w:space="0" w:color="auto"/>
            </w:tcBorders>
            <w:shd w:val="clear" w:color="auto" w:fill="auto"/>
            <w:noWrap/>
            <w:vAlign w:val="center"/>
            <w:hideMark/>
          </w:tcPr>
          <w:p w14:paraId="21E1545A"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49</w:t>
            </w:r>
          </w:p>
        </w:tc>
        <w:tc>
          <w:tcPr>
            <w:tcW w:w="1701" w:type="dxa"/>
            <w:tcBorders>
              <w:top w:val="nil"/>
              <w:left w:val="nil"/>
              <w:bottom w:val="single" w:sz="4" w:space="0" w:color="auto"/>
              <w:right w:val="single" w:sz="4" w:space="0" w:color="auto"/>
            </w:tcBorders>
            <w:shd w:val="clear" w:color="auto" w:fill="auto"/>
            <w:noWrap/>
            <w:vAlign w:val="center"/>
            <w:hideMark/>
          </w:tcPr>
          <w:p w14:paraId="5C6DC3E8" w14:textId="77777777" w:rsidR="003C77C1" w:rsidRPr="006E37E1" w:rsidRDefault="003C77C1"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92</w:t>
            </w:r>
          </w:p>
        </w:tc>
      </w:tr>
      <w:tr w:rsidR="003C77C1" w:rsidRPr="006E37E1" w14:paraId="7A1B512E" w14:textId="77777777" w:rsidTr="003C77C1">
        <w:trPr>
          <w:trHeight w:val="288"/>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14:paraId="24925C76" w14:textId="77777777" w:rsidR="003C77C1" w:rsidRPr="006E37E1" w:rsidRDefault="003C77C1" w:rsidP="003C77C1">
            <w:pPr>
              <w:spacing w:after="0"/>
              <w:rPr>
                <w:rFonts w:ascii="Calibri" w:eastAsia="Times New Roman" w:hAnsi="Calibri" w:cs="Calibri"/>
                <w:b/>
                <w:bCs/>
                <w:sz w:val="20"/>
                <w:szCs w:val="20"/>
              </w:rPr>
            </w:pPr>
            <w:r w:rsidRPr="006E37E1">
              <w:rPr>
                <w:rFonts w:ascii="Calibri" w:eastAsia="Times New Roman" w:hAnsi="Calibri" w:cs="Calibri"/>
                <w:b/>
                <w:bCs/>
                <w:sz w:val="20"/>
                <w:szCs w:val="20"/>
              </w:rPr>
              <w:t>Total</w:t>
            </w:r>
          </w:p>
        </w:tc>
        <w:tc>
          <w:tcPr>
            <w:tcW w:w="2422" w:type="dxa"/>
            <w:tcBorders>
              <w:top w:val="nil"/>
              <w:left w:val="nil"/>
              <w:bottom w:val="single" w:sz="4" w:space="0" w:color="auto"/>
              <w:right w:val="single" w:sz="4" w:space="0" w:color="auto"/>
            </w:tcBorders>
            <w:shd w:val="clear" w:color="auto" w:fill="auto"/>
            <w:noWrap/>
            <w:vAlign w:val="center"/>
            <w:hideMark/>
          </w:tcPr>
          <w:p w14:paraId="1DF1EB1E" w14:textId="31B348FF" w:rsidR="003C77C1" w:rsidRPr="006E37E1" w:rsidRDefault="00407845"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w:t>
            </w:r>
            <w:r w:rsidR="003C77C1" w:rsidRPr="006E37E1">
              <w:rPr>
                <w:rFonts w:ascii="Calibri" w:eastAsia="Times New Roman" w:hAnsi="Calibri" w:cs="Calibri"/>
                <w:sz w:val="20"/>
                <w:szCs w:val="20"/>
              </w:rPr>
              <w:t>5</w:t>
            </w:r>
            <w:r w:rsidR="006E37E1">
              <w:rPr>
                <w:rFonts w:ascii="Calibri" w:eastAsia="Times New Roman" w:hAnsi="Calibri" w:cs="Calibri"/>
                <w:sz w:val="20"/>
                <w:szCs w:val="20"/>
              </w:rPr>
              <w:t>,</w:t>
            </w:r>
            <w:r w:rsidR="003C77C1" w:rsidRPr="006E37E1">
              <w:rPr>
                <w:rFonts w:ascii="Calibri" w:eastAsia="Times New Roman" w:hAnsi="Calibri" w:cs="Calibri"/>
                <w:sz w:val="20"/>
                <w:szCs w:val="20"/>
              </w:rPr>
              <w:t>79</w:t>
            </w:r>
            <w:r w:rsidRPr="006E37E1">
              <w:rPr>
                <w:rFonts w:ascii="Calibri" w:eastAsia="Times New Roman" w:hAnsi="Calibri" w:cs="Calibri"/>
                <w:sz w:val="20"/>
                <w:szCs w:val="20"/>
              </w:rPr>
              <w:t>3</w:t>
            </w:r>
          </w:p>
        </w:tc>
        <w:tc>
          <w:tcPr>
            <w:tcW w:w="1701" w:type="dxa"/>
            <w:tcBorders>
              <w:top w:val="nil"/>
              <w:left w:val="nil"/>
              <w:bottom w:val="single" w:sz="4" w:space="0" w:color="auto"/>
              <w:right w:val="single" w:sz="4" w:space="0" w:color="auto"/>
            </w:tcBorders>
            <w:shd w:val="clear" w:color="auto" w:fill="auto"/>
            <w:noWrap/>
            <w:vAlign w:val="center"/>
            <w:hideMark/>
          </w:tcPr>
          <w:p w14:paraId="64D5A5FA" w14:textId="46043A33" w:rsidR="003C77C1" w:rsidRPr="006E37E1" w:rsidRDefault="00407845"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w:t>
            </w:r>
            <w:r w:rsidR="003C77C1" w:rsidRPr="006E37E1">
              <w:rPr>
                <w:rFonts w:ascii="Calibri" w:eastAsia="Times New Roman" w:hAnsi="Calibri" w:cs="Calibri"/>
                <w:sz w:val="20"/>
                <w:szCs w:val="20"/>
              </w:rPr>
              <w:t>8</w:t>
            </w:r>
            <w:r w:rsidR="006E37E1">
              <w:rPr>
                <w:rFonts w:ascii="Calibri" w:eastAsia="Times New Roman" w:hAnsi="Calibri" w:cs="Calibri"/>
                <w:sz w:val="20"/>
                <w:szCs w:val="20"/>
              </w:rPr>
              <w:t>,</w:t>
            </w:r>
            <w:r w:rsidR="003C77C1" w:rsidRPr="006E37E1">
              <w:rPr>
                <w:rFonts w:ascii="Calibri" w:eastAsia="Times New Roman" w:hAnsi="Calibri" w:cs="Calibri"/>
                <w:sz w:val="20"/>
                <w:szCs w:val="20"/>
              </w:rPr>
              <w:t>4</w:t>
            </w:r>
            <w:r w:rsidRPr="006E37E1">
              <w:rPr>
                <w:rFonts w:ascii="Calibri" w:eastAsia="Times New Roman" w:hAnsi="Calibri" w:cs="Calibri"/>
                <w:sz w:val="20"/>
                <w:szCs w:val="20"/>
              </w:rPr>
              <w:t>11</w:t>
            </w:r>
          </w:p>
        </w:tc>
        <w:tc>
          <w:tcPr>
            <w:tcW w:w="1701" w:type="dxa"/>
            <w:tcBorders>
              <w:top w:val="nil"/>
              <w:left w:val="nil"/>
              <w:bottom w:val="single" w:sz="4" w:space="0" w:color="auto"/>
              <w:right w:val="single" w:sz="4" w:space="0" w:color="auto"/>
            </w:tcBorders>
            <w:shd w:val="clear" w:color="auto" w:fill="auto"/>
            <w:noWrap/>
            <w:vAlign w:val="center"/>
            <w:hideMark/>
          </w:tcPr>
          <w:p w14:paraId="734D5DFB" w14:textId="2B398F05" w:rsidR="003C77C1" w:rsidRPr="006E37E1" w:rsidRDefault="00407845" w:rsidP="003C77C1">
            <w:pPr>
              <w:spacing w:after="0"/>
              <w:jc w:val="center"/>
              <w:rPr>
                <w:rFonts w:ascii="Calibri" w:eastAsia="Times New Roman" w:hAnsi="Calibri" w:cs="Calibri"/>
                <w:sz w:val="20"/>
                <w:szCs w:val="20"/>
              </w:rPr>
            </w:pPr>
            <w:r w:rsidRPr="006E37E1">
              <w:rPr>
                <w:rFonts w:ascii="Calibri" w:eastAsia="Times New Roman" w:hAnsi="Calibri" w:cs="Calibri"/>
                <w:sz w:val="20"/>
                <w:szCs w:val="20"/>
              </w:rPr>
              <w:t>≤</w:t>
            </w:r>
            <w:r w:rsidR="003C77C1" w:rsidRPr="006E37E1">
              <w:rPr>
                <w:rFonts w:ascii="Calibri" w:eastAsia="Times New Roman" w:hAnsi="Calibri" w:cs="Calibri"/>
                <w:sz w:val="20"/>
                <w:szCs w:val="20"/>
              </w:rPr>
              <w:t>14</w:t>
            </w:r>
            <w:r w:rsidR="006E37E1">
              <w:rPr>
                <w:rFonts w:ascii="Calibri" w:eastAsia="Times New Roman" w:hAnsi="Calibri" w:cs="Calibri"/>
                <w:sz w:val="20"/>
                <w:szCs w:val="20"/>
              </w:rPr>
              <w:t>,</w:t>
            </w:r>
            <w:r w:rsidRPr="006E37E1">
              <w:rPr>
                <w:rFonts w:ascii="Calibri" w:eastAsia="Times New Roman" w:hAnsi="Calibri" w:cs="Calibri"/>
                <w:sz w:val="20"/>
                <w:szCs w:val="20"/>
              </w:rPr>
              <w:t>204</w:t>
            </w:r>
          </w:p>
        </w:tc>
      </w:tr>
    </w:tbl>
    <w:p w14:paraId="3C4601E3" w14:textId="19B8AA32" w:rsidR="007142BB" w:rsidRPr="00825476" w:rsidRDefault="007142BB" w:rsidP="00825476">
      <w:pPr>
        <w:spacing w:after="0"/>
        <w:rPr>
          <w:sz w:val="20"/>
          <w:szCs w:val="20"/>
        </w:rPr>
      </w:pPr>
      <w:r w:rsidRPr="00825476">
        <w:rPr>
          <w:sz w:val="20"/>
          <w:szCs w:val="20"/>
        </w:rPr>
        <w:t xml:space="preserve">Note: VRGP refers to vocational register general practitioner </w:t>
      </w:r>
    </w:p>
    <w:p w14:paraId="3EBF13D1" w14:textId="2F8C9595" w:rsidR="00CE5B62" w:rsidRPr="0070276D" w:rsidRDefault="00CE5B62" w:rsidP="00CE5B62">
      <w:pPr>
        <w:spacing w:after="0"/>
        <w:rPr>
          <w:sz w:val="20"/>
          <w:szCs w:val="20"/>
        </w:rPr>
      </w:pPr>
      <w:r>
        <w:rPr>
          <w:sz w:val="20"/>
          <w:szCs w:val="20"/>
        </w:rPr>
        <w:t>Note</w:t>
      </w:r>
      <w:r w:rsidRPr="00407845">
        <w:rPr>
          <w:sz w:val="20"/>
          <w:szCs w:val="20"/>
        </w:rPr>
        <w:t xml:space="preserve">: </w:t>
      </w:r>
      <w:r w:rsidR="00407845" w:rsidRPr="00407845">
        <w:rPr>
          <w:sz w:val="20"/>
          <w:szCs w:val="20"/>
        </w:rPr>
        <w:t xml:space="preserve">A full list of prescriber types included under “Other” can be found in Appendix </w:t>
      </w:r>
      <w:r w:rsidR="00407845">
        <w:rPr>
          <w:sz w:val="20"/>
          <w:szCs w:val="20"/>
        </w:rPr>
        <w:t>A</w:t>
      </w:r>
      <w:r w:rsidR="00407845" w:rsidRPr="00407845">
        <w:rPr>
          <w:sz w:val="20"/>
          <w:szCs w:val="20"/>
        </w:rPr>
        <w:t>.</w:t>
      </w:r>
    </w:p>
    <w:p w14:paraId="1EC32069" w14:textId="77777777" w:rsidR="00CE5B62" w:rsidRPr="00A91FC6" w:rsidRDefault="00CE5B62" w:rsidP="007142BB">
      <w:pPr>
        <w:pStyle w:val="Figuretitle"/>
        <w:rPr>
          <w:b w:val="0"/>
          <w:bCs/>
          <w:sz w:val="16"/>
          <w:szCs w:val="16"/>
        </w:rPr>
      </w:pPr>
    </w:p>
    <w:p w14:paraId="1F02A9F9" w14:textId="095F38EC" w:rsidR="00407845" w:rsidRPr="003C77C1" w:rsidRDefault="00F53921" w:rsidP="00632553">
      <w:pPr>
        <w:pStyle w:val="Figuretitle"/>
        <w:rPr>
          <w:b w:val="0"/>
          <w:bCs/>
        </w:rPr>
      </w:pPr>
      <w:r>
        <w:rPr>
          <w:b w:val="0"/>
          <w:bCs/>
        </w:rPr>
        <w:t>T</w:t>
      </w:r>
      <w:r w:rsidR="00407845">
        <w:rPr>
          <w:b w:val="0"/>
          <w:bCs/>
        </w:rPr>
        <w:t xml:space="preserve">able </w:t>
      </w:r>
      <w:r>
        <w:rPr>
          <w:b w:val="0"/>
          <w:bCs/>
        </w:rPr>
        <w:t xml:space="preserve">4 </w:t>
      </w:r>
      <w:r w:rsidR="0089203D">
        <w:rPr>
          <w:b w:val="0"/>
          <w:bCs/>
        </w:rPr>
        <w:t xml:space="preserve">shows that overall prescribing </w:t>
      </w:r>
      <w:r w:rsidR="00407845">
        <w:rPr>
          <w:b w:val="0"/>
          <w:bCs/>
        </w:rPr>
        <w:t xml:space="preserve">of </w:t>
      </w:r>
      <w:r w:rsidR="007E751C">
        <w:rPr>
          <w:b w:val="0"/>
          <w:bCs/>
        </w:rPr>
        <w:t>U</w:t>
      </w:r>
      <w:r w:rsidR="00407845">
        <w:rPr>
          <w:b w:val="0"/>
          <w:bCs/>
        </w:rPr>
        <w:t xml:space="preserve">trogestan is higher than </w:t>
      </w:r>
      <w:r w:rsidR="007E751C">
        <w:rPr>
          <w:b w:val="0"/>
          <w:bCs/>
        </w:rPr>
        <w:t>O</w:t>
      </w:r>
      <w:r w:rsidR="00407845">
        <w:rPr>
          <w:b w:val="0"/>
          <w:bCs/>
        </w:rPr>
        <w:t>ripro</w:t>
      </w:r>
      <w:r w:rsidR="0089203D">
        <w:rPr>
          <w:b w:val="0"/>
          <w:bCs/>
        </w:rPr>
        <w:t xml:space="preserve">, however </w:t>
      </w:r>
      <w:r>
        <w:rPr>
          <w:b w:val="0"/>
          <w:bCs/>
        </w:rPr>
        <w:t xml:space="preserve">this increased </w:t>
      </w:r>
      <w:r w:rsidR="0089203D">
        <w:rPr>
          <w:b w:val="0"/>
          <w:bCs/>
        </w:rPr>
        <w:t xml:space="preserve">prescribing of </w:t>
      </w:r>
      <w:r w:rsidR="007E751C">
        <w:rPr>
          <w:b w:val="0"/>
          <w:bCs/>
        </w:rPr>
        <w:t>U</w:t>
      </w:r>
      <w:r w:rsidR="0089203D">
        <w:rPr>
          <w:b w:val="0"/>
          <w:bCs/>
        </w:rPr>
        <w:t>trogestan is mainly seen in obstetrics and gyn</w:t>
      </w:r>
      <w:r w:rsidR="00344728">
        <w:rPr>
          <w:b w:val="0"/>
          <w:bCs/>
        </w:rPr>
        <w:t>a</w:t>
      </w:r>
      <w:r w:rsidR="0089203D">
        <w:rPr>
          <w:b w:val="0"/>
          <w:bCs/>
        </w:rPr>
        <w:t>ecology and vocationally registered GPs</w:t>
      </w:r>
      <w:r>
        <w:rPr>
          <w:b w:val="0"/>
          <w:bCs/>
        </w:rPr>
        <w:t>. Oripro has increased rates of prescribing in non-vocationally registered GPs and “unknown” prescribers</w:t>
      </w:r>
      <w:r w:rsidR="0089203D">
        <w:rPr>
          <w:b w:val="0"/>
          <w:bCs/>
        </w:rPr>
        <w:t>.</w:t>
      </w:r>
    </w:p>
    <w:p w14:paraId="2A11B869" w14:textId="77777777" w:rsidR="00825476" w:rsidRPr="00825476" w:rsidRDefault="00825476" w:rsidP="0093482A">
      <w:pPr>
        <w:spacing w:line="276" w:lineRule="auto"/>
        <w:rPr>
          <w:b/>
          <w:i/>
          <w:sz w:val="10"/>
          <w:szCs w:val="10"/>
        </w:rPr>
      </w:pPr>
    </w:p>
    <w:p w14:paraId="7C893366" w14:textId="710ABFC5" w:rsidR="0093482A" w:rsidRDefault="0093482A" w:rsidP="0093482A">
      <w:pPr>
        <w:spacing w:line="276" w:lineRule="auto"/>
        <w:rPr>
          <w:b/>
          <w:i/>
        </w:rPr>
      </w:pPr>
      <w:r>
        <w:rPr>
          <w:b/>
          <w:i/>
        </w:rPr>
        <w:t xml:space="preserve">Time on treatment </w:t>
      </w:r>
    </w:p>
    <w:p w14:paraId="48C31E47" w14:textId="080D1EF5" w:rsidR="006C2B55" w:rsidRDefault="006C2B55" w:rsidP="006C2B55">
      <w:pPr>
        <w:pStyle w:val="Figuretitle"/>
        <w:ind w:right="-115"/>
        <w:rPr>
          <w:b w:val="0"/>
          <w:lang w:val="en-AU"/>
        </w:rPr>
      </w:pPr>
      <w:r w:rsidRPr="00025B40">
        <w:rPr>
          <w:b w:val="0"/>
          <w:lang w:val="en-AU"/>
        </w:rPr>
        <w:t>T</w:t>
      </w:r>
      <w:r>
        <w:rPr>
          <w:b w:val="0"/>
          <w:lang w:val="en-AU"/>
        </w:rPr>
        <w:t xml:space="preserve">ime on treatment </w:t>
      </w:r>
      <w:r w:rsidR="009D4CC1">
        <w:rPr>
          <w:b w:val="0"/>
          <w:lang w:val="en-AU"/>
        </w:rPr>
        <w:t>was</w:t>
      </w:r>
      <w:r>
        <w:rPr>
          <w:b w:val="0"/>
          <w:lang w:val="en-AU"/>
        </w:rPr>
        <w:t xml:space="preserve"> difficult to estimate due to the short timeframes of use involved and a lack of data. The data indicates that </w:t>
      </w:r>
      <w:r w:rsidRPr="00025B40">
        <w:rPr>
          <w:b w:val="0"/>
          <w:lang w:val="en-AU"/>
        </w:rPr>
        <w:t xml:space="preserve">the mean number of scripts per patient are 2.17 and the median number of scripts per patient are 2. </w:t>
      </w:r>
      <w:r w:rsidR="00025B40">
        <w:rPr>
          <w:b w:val="0"/>
          <w:lang w:val="en-AU"/>
        </w:rPr>
        <w:t xml:space="preserve">The expected length of treatment for 2.17 scripts, using one pessary per day, is over 2 months and shorter than the amount anticipated to be used. There is evidence to suggest that some patients are using several pessaries per day, however the </w:t>
      </w:r>
      <w:r w:rsidR="001759B8">
        <w:rPr>
          <w:b w:val="0"/>
          <w:lang w:val="en-AU"/>
        </w:rPr>
        <w:t xml:space="preserve">data is unable to ascertain the </w:t>
      </w:r>
      <w:r w:rsidR="00025B40">
        <w:rPr>
          <w:b w:val="0"/>
          <w:lang w:val="en-AU"/>
        </w:rPr>
        <w:t>amount</w:t>
      </w:r>
      <w:r w:rsidR="001759B8">
        <w:rPr>
          <w:b w:val="0"/>
          <w:lang w:val="en-AU"/>
        </w:rPr>
        <w:t xml:space="preserve"> used. </w:t>
      </w:r>
      <w:r w:rsidR="00025B40">
        <w:rPr>
          <w:b w:val="0"/>
          <w:lang w:val="en-AU"/>
        </w:rPr>
        <w:t xml:space="preserve"> </w:t>
      </w:r>
    </w:p>
    <w:p w14:paraId="7AD83E04" w14:textId="5DA1E312" w:rsidR="006C2B55" w:rsidRPr="00025B40" w:rsidRDefault="006C2B55" w:rsidP="00025B40">
      <w:pPr>
        <w:pStyle w:val="Figuretitle"/>
        <w:ind w:right="-115"/>
        <w:rPr>
          <w:b w:val="0"/>
          <w:lang w:val="en-AU"/>
        </w:rPr>
      </w:pPr>
      <w:r>
        <w:rPr>
          <w:b w:val="0"/>
          <w:lang w:val="en-AU"/>
        </w:rPr>
        <w:t>Table 5 shows that 98% of patients have less than 6 scripts</w:t>
      </w:r>
      <w:r w:rsidR="00025B40">
        <w:rPr>
          <w:b w:val="0"/>
          <w:lang w:val="en-AU"/>
        </w:rPr>
        <w:t xml:space="preserve"> </w:t>
      </w:r>
      <w:r>
        <w:rPr>
          <w:b w:val="0"/>
          <w:lang w:val="en-AU"/>
        </w:rPr>
        <w:t>of progesterone for the prevention of preterm birth</w:t>
      </w:r>
      <w:r w:rsidR="00025B40">
        <w:rPr>
          <w:b w:val="0"/>
          <w:lang w:val="en-AU"/>
        </w:rPr>
        <w:t xml:space="preserve"> filled. </w:t>
      </w:r>
      <w:r w:rsidR="00025B40" w:rsidRPr="00E15F40">
        <w:rPr>
          <w:b w:val="0"/>
          <w:lang w:val="en-AU"/>
        </w:rPr>
        <w:t xml:space="preserve">It is of interest to note that 209 patients have had </w:t>
      </w:r>
      <w:r w:rsidR="00E15F40" w:rsidRPr="00E15F40">
        <w:rPr>
          <w:b w:val="0"/>
          <w:lang w:val="en-AU"/>
        </w:rPr>
        <w:t>7 or more</w:t>
      </w:r>
      <w:r w:rsidR="00025B40" w:rsidRPr="00E15F40">
        <w:rPr>
          <w:b w:val="0"/>
          <w:lang w:val="en-AU"/>
        </w:rPr>
        <w:t xml:space="preserve"> prescriptions filled, which is higher than allowed according to the restrictions.</w:t>
      </w:r>
      <w:r w:rsidR="00025B40">
        <w:rPr>
          <w:b w:val="0"/>
          <w:lang w:val="en-AU"/>
        </w:rPr>
        <w:t xml:space="preserve">  </w:t>
      </w:r>
    </w:p>
    <w:p w14:paraId="6747142E" w14:textId="77777777" w:rsidR="006C2B55" w:rsidRDefault="006C2B55" w:rsidP="00A91FC6">
      <w:pPr>
        <w:pStyle w:val="Tableheading"/>
        <w:jc w:val="left"/>
      </w:pPr>
    </w:p>
    <w:p w14:paraId="7DB767B9" w14:textId="77777777" w:rsidR="00154D66" w:rsidRDefault="00154D66" w:rsidP="00A91FC6">
      <w:pPr>
        <w:pStyle w:val="Tableheading"/>
        <w:jc w:val="left"/>
      </w:pPr>
    </w:p>
    <w:p w14:paraId="06AB29F2" w14:textId="2AB11A34" w:rsidR="00A91FC6" w:rsidRPr="00A91FC6" w:rsidRDefault="00A91FC6" w:rsidP="00A91FC6">
      <w:pPr>
        <w:pStyle w:val="Tableheading"/>
        <w:jc w:val="left"/>
      </w:pPr>
      <w:r w:rsidRPr="00A91FC6">
        <w:lastRenderedPageBreak/>
        <w:t xml:space="preserve">Table 5: Number of prescriptions filled in the first 6 months after </w:t>
      </w:r>
      <w:proofErr w:type="gramStart"/>
      <w:r w:rsidRPr="00A91FC6">
        <w:t>initiation</w:t>
      </w:r>
      <w:proofErr w:type="gramEnd"/>
    </w:p>
    <w:tbl>
      <w:tblPr>
        <w:tblStyle w:val="TableGrid"/>
        <w:tblW w:w="9212" w:type="dxa"/>
        <w:tblLayout w:type="fixed"/>
        <w:tblLook w:val="04A0" w:firstRow="1" w:lastRow="0" w:firstColumn="1" w:lastColumn="0" w:noHBand="0" w:noVBand="1"/>
      </w:tblPr>
      <w:tblGrid>
        <w:gridCol w:w="1129"/>
        <w:gridCol w:w="709"/>
        <w:gridCol w:w="718"/>
        <w:gridCol w:w="718"/>
        <w:gridCol w:w="718"/>
        <w:gridCol w:w="719"/>
        <w:gridCol w:w="719"/>
        <w:gridCol w:w="719"/>
        <w:gridCol w:w="719"/>
        <w:gridCol w:w="719"/>
        <w:gridCol w:w="751"/>
        <w:gridCol w:w="874"/>
      </w:tblGrid>
      <w:tr w:rsidR="00A91FC6" w:rsidRPr="006E37E1" w14:paraId="614BC16E" w14:textId="77777777" w:rsidTr="00B32942">
        <w:trPr>
          <w:trHeight w:val="526"/>
        </w:trPr>
        <w:tc>
          <w:tcPr>
            <w:tcW w:w="1129" w:type="dxa"/>
            <w:shd w:val="clear" w:color="auto" w:fill="D9D9D9" w:themeFill="background1" w:themeFillShade="D9"/>
            <w:noWrap/>
            <w:vAlign w:val="center"/>
            <w:hideMark/>
          </w:tcPr>
          <w:p w14:paraId="558A7E42" w14:textId="3D979A45" w:rsidR="00730179" w:rsidRPr="006E37E1" w:rsidRDefault="00730179" w:rsidP="00730179">
            <w:pPr>
              <w:spacing w:line="276" w:lineRule="auto"/>
              <w:rPr>
                <w:b/>
                <w:iCs/>
                <w:sz w:val="20"/>
                <w:szCs w:val="20"/>
              </w:rPr>
            </w:pPr>
            <w:r w:rsidRPr="006E37E1">
              <w:rPr>
                <w:b/>
                <w:iCs/>
                <w:sz w:val="20"/>
                <w:szCs w:val="20"/>
              </w:rPr>
              <w:t>Number of scripts</w:t>
            </w:r>
          </w:p>
        </w:tc>
        <w:tc>
          <w:tcPr>
            <w:tcW w:w="709" w:type="dxa"/>
            <w:shd w:val="clear" w:color="auto" w:fill="D9D9D9" w:themeFill="background1" w:themeFillShade="D9"/>
            <w:noWrap/>
            <w:vAlign w:val="center"/>
            <w:hideMark/>
          </w:tcPr>
          <w:p w14:paraId="3D1A88FC" w14:textId="2B476FAE" w:rsidR="00730179" w:rsidRPr="006E37E1" w:rsidRDefault="00825476" w:rsidP="00825476">
            <w:pPr>
              <w:spacing w:line="276" w:lineRule="auto"/>
              <w:rPr>
                <w:b/>
                <w:iCs/>
                <w:sz w:val="20"/>
                <w:szCs w:val="20"/>
              </w:rPr>
            </w:pPr>
            <w:r w:rsidRPr="006E37E1">
              <w:rPr>
                <w:b/>
                <w:iCs/>
                <w:sz w:val="20"/>
                <w:szCs w:val="20"/>
              </w:rPr>
              <w:t>1</w:t>
            </w:r>
          </w:p>
        </w:tc>
        <w:tc>
          <w:tcPr>
            <w:tcW w:w="718" w:type="dxa"/>
            <w:shd w:val="clear" w:color="auto" w:fill="D9D9D9" w:themeFill="background1" w:themeFillShade="D9"/>
            <w:noWrap/>
            <w:vAlign w:val="center"/>
            <w:hideMark/>
          </w:tcPr>
          <w:p w14:paraId="3E0611AD" w14:textId="77777777" w:rsidR="00730179" w:rsidRPr="006E37E1" w:rsidRDefault="00730179" w:rsidP="00730179">
            <w:pPr>
              <w:spacing w:line="276" w:lineRule="auto"/>
              <w:rPr>
                <w:b/>
                <w:iCs/>
                <w:sz w:val="20"/>
                <w:szCs w:val="20"/>
              </w:rPr>
            </w:pPr>
            <w:r w:rsidRPr="006E37E1">
              <w:rPr>
                <w:b/>
                <w:iCs/>
                <w:sz w:val="20"/>
                <w:szCs w:val="20"/>
              </w:rPr>
              <w:t>2</w:t>
            </w:r>
          </w:p>
        </w:tc>
        <w:tc>
          <w:tcPr>
            <w:tcW w:w="718" w:type="dxa"/>
            <w:shd w:val="clear" w:color="auto" w:fill="D9D9D9" w:themeFill="background1" w:themeFillShade="D9"/>
            <w:noWrap/>
            <w:vAlign w:val="center"/>
            <w:hideMark/>
          </w:tcPr>
          <w:p w14:paraId="09E0E36E" w14:textId="77777777" w:rsidR="00730179" w:rsidRPr="006E37E1" w:rsidRDefault="00730179" w:rsidP="00730179">
            <w:pPr>
              <w:spacing w:line="276" w:lineRule="auto"/>
              <w:rPr>
                <w:b/>
                <w:iCs/>
                <w:sz w:val="20"/>
                <w:szCs w:val="20"/>
              </w:rPr>
            </w:pPr>
            <w:r w:rsidRPr="006E37E1">
              <w:rPr>
                <w:b/>
                <w:iCs/>
                <w:sz w:val="20"/>
                <w:szCs w:val="20"/>
              </w:rPr>
              <w:t>3</w:t>
            </w:r>
          </w:p>
        </w:tc>
        <w:tc>
          <w:tcPr>
            <w:tcW w:w="718" w:type="dxa"/>
            <w:shd w:val="clear" w:color="auto" w:fill="D9D9D9" w:themeFill="background1" w:themeFillShade="D9"/>
            <w:noWrap/>
            <w:vAlign w:val="center"/>
            <w:hideMark/>
          </w:tcPr>
          <w:p w14:paraId="1381B4AD" w14:textId="77777777" w:rsidR="00730179" w:rsidRPr="006E37E1" w:rsidRDefault="00730179" w:rsidP="00730179">
            <w:pPr>
              <w:spacing w:line="276" w:lineRule="auto"/>
              <w:rPr>
                <w:b/>
                <w:iCs/>
                <w:sz w:val="20"/>
                <w:szCs w:val="20"/>
              </w:rPr>
            </w:pPr>
            <w:r w:rsidRPr="006E37E1">
              <w:rPr>
                <w:b/>
                <w:iCs/>
                <w:sz w:val="20"/>
                <w:szCs w:val="20"/>
              </w:rPr>
              <w:t>4</w:t>
            </w:r>
          </w:p>
        </w:tc>
        <w:tc>
          <w:tcPr>
            <w:tcW w:w="719" w:type="dxa"/>
            <w:shd w:val="clear" w:color="auto" w:fill="D9D9D9" w:themeFill="background1" w:themeFillShade="D9"/>
            <w:noWrap/>
            <w:vAlign w:val="center"/>
            <w:hideMark/>
          </w:tcPr>
          <w:p w14:paraId="71FD0FC9" w14:textId="77777777" w:rsidR="00730179" w:rsidRPr="006E37E1" w:rsidRDefault="00730179" w:rsidP="00730179">
            <w:pPr>
              <w:spacing w:line="276" w:lineRule="auto"/>
              <w:rPr>
                <w:b/>
                <w:iCs/>
                <w:sz w:val="20"/>
                <w:szCs w:val="20"/>
              </w:rPr>
            </w:pPr>
            <w:r w:rsidRPr="006E37E1">
              <w:rPr>
                <w:b/>
                <w:iCs/>
                <w:sz w:val="20"/>
                <w:szCs w:val="20"/>
              </w:rPr>
              <w:t>5</w:t>
            </w:r>
          </w:p>
        </w:tc>
        <w:tc>
          <w:tcPr>
            <w:tcW w:w="719" w:type="dxa"/>
            <w:shd w:val="clear" w:color="auto" w:fill="D9D9D9" w:themeFill="background1" w:themeFillShade="D9"/>
            <w:noWrap/>
            <w:vAlign w:val="center"/>
            <w:hideMark/>
          </w:tcPr>
          <w:p w14:paraId="1453820A" w14:textId="77777777" w:rsidR="00730179" w:rsidRPr="006E37E1" w:rsidRDefault="00730179" w:rsidP="00730179">
            <w:pPr>
              <w:spacing w:line="276" w:lineRule="auto"/>
              <w:rPr>
                <w:b/>
                <w:iCs/>
                <w:sz w:val="20"/>
                <w:szCs w:val="20"/>
              </w:rPr>
            </w:pPr>
            <w:r w:rsidRPr="006E37E1">
              <w:rPr>
                <w:b/>
                <w:iCs/>
                <w:sz w:val="20"/>
                <w:szCs w:val="20"/>
              </w:rPr>
              <w:t>6</w:t>
            </w:r>
          </w:p>
        </w:tc>
        <w:tc>
          <w:tcPr>
            <w:tcW w:w="719" w:type="dxa"/>
            <w:shd w:val="clear" w:color="auto" w:fill="D9D9D9" w:themeFill="background1" w:themeFillShade="D9"/>
            <w:noWrap/>
            <w:vAlign w:val="center"/>
            <w:hideMark/>
          </w:tcPr>
          <w:p w14:paraId="62B08263" w14:textId="77777777" w:rsidR="00730179" w:rsidRPr="006E37E1" w:rsidRDefault="00730179" w:rsidP="00730179">
            <w:pPr>
              <w:spacing w:line="276" w:lineRule="auto"/>
              <w:rPr>
                <w:b/>
                <w:iCs/>
                <w:sz w:val="20"/>
                <w:szCs w:val="20"/>
              </w:rPr>
            </w:pPr>
            <w:r w:rsidRPr="006E37E1">
              <w:rPr>
                <w:b/>
                <w:iCs/>
                <w:sz w:val="20"/>
                <w:szCs w:val="20"/>
              </w:rPr>
              <w:t>7</w:t>
            </w:r>
          </w:p>
        </w:tc>
        <w:tc>
          <w:tcPr>
            <w:tcW w:w="719" w:type="dxa"/>
            <w:shd w:val="clear" w:color="auto" w:fill="D9D9D9" w:themeFill="background1" w:themeFillShade="D9"/>
            <w:noWrap/>
            <w:vAlign w:val="center"/>
            <w:hideMark/>
          </w:tcPr>
          <w:p w14:paraId="2886F81E" w14:textId="77777777" w:rsidR="00730179" w:rsidRPr="006E37E1" w:rsidRDefault="00730179" w:rsidP="00730179">
            <w:pPr>
              <w:spacing w:line="276" w:lineRule="auto"/>
              <w:rPr>
                <w:b/>
                <w:iCs/>
                <w:sz w:val="20"/>
                <w:szCs w:val="20"/>
              </w:rPr>
            </w:pPr>
            <w:r w:rsidRPr="006E37E1">
              <w:rPr>
                <w:b/>
                <w:iCs/>
                <w:sz w:val="20"/>
                <w:szCs w:val="20"/>
              </w:rPr>
              <w:t>8</w:t>
            </w:r>
          </w:p>
        </w:tc>
        <w:tc>
          <w:tcPr>
            <w:tcW w:w="719" w:type="dxa"/>
            <w:shd w:val="clear" w:color="auto" w:fill="D9D9D9" w:themeFill="background1" w:themeFillShade="D9"/>
            <w:noWrap/>
            <w:vAlign w:val="center"/>
            <w:hideMark/>
          </w:tcPr>
          <w:p w14:paraId="5CE95CCE" w14:textId="77777777" w:rsidR="00730179" w:rsidRPr="006E37E1" w:rsidRDefault="00730179" w:rsidP="00730179">
            <w:pPr>
              <w:spacing w:line="276" w:lineRule="auto"/>
              <w:rPr>
                <w:b/>
                <w:iCs/>
                <w:sz w:val="20"/>
                <w:szCs w:val="20"/>
              </w:rPr>
            </w:pPr>
            <w:r w:rsidRPr="006E37E1">
              <w:rPr>
                <w:b/>
                <w:iCs/>
                <w:sz w:val="20"/>
                <w:szCs w:val="20"/>
              </w:rPr>
              <w:t>9</w:t>
            </w:r>
          </w:p>
        </w:tc>
        <w:tc>
          <w:tcPr>
            <w:tcW w:w="751" w:type="dxa"/>
            <w:shd w:val="clear" w:color="auto" w:fill="D9D9D9" w:themeFill="background1" w:themeFillShade="D9"/>
            <w:noWrap/>
            <w:vAlign w:val="center"/>
            <w:hideMark/>
          </w:tcPr>
          <w:p w14:paraId="7F9A36BB" w14:textId="56F275D1" w:rsidR="00730179" w:rsidRPr="006E37E1" w:rsidRDefault="00730179" w:rsidP="00730179">
            <w:pPr>
              <w:spacing w:line="276" w:lineRule="auto"/>
              <w:rPr>
                <w:b/>
                <w:iCs/>
                <w:sz w:val="20"/>
                <w:szCs w:val="20"/>
              </w:rPr>
            </w:pPr>
            <w:r w:rsidRPr="006E37E1">
              <w:rPr>
                <w:b/>
                <w:iCs/>
                <w:sz w:val="20"/>
                <w:szCs w:val="20"/>
              </w:rPr>
              <w:t>10</w:t>
            </w:r>
            <w:r w:rsidR="00A91FC6" w:rsidRPr="006E37E1">
              <w:rPr>
                <w:b/>
                <w:iCs/>
                <w:sz w:val="20"/>
                <w:szCs w:val="20"/>
              </w:rPr>
              <w:t>+</w:t>
            </w:r>
          </w:p>
        </w:tc>
        <w:tc>
          <w:tcPr>
            <w:tcW w:w="874" w:type="dxa"/>
            <w:shd w:val="clear" w:color="auto" w:fill="D9D9D9" w:themeFill="background1" w:themeFillShade="D9"/>
            <w:noWrap/>
            <w:vAlign w:val="center"/>
            <w:hideMark/>
          </w:tcPr>
          <w:p w14:paraId="5A32935A" w14:textId="77777777" w:rsidR="00730179" w:rsidRPr="006E37E1" w:rsidRDefault="00730179" w:rsidP="00730179">
            <w:pPr>
              <w:spacing w:line="276" w:lineRule="auto"/>
              <w:rPr>
                <w:b/>
                <w:iCs/>
                <w:sz w:val="20"/>
                <w:szCs w:val="20"/>
              </w:rPr>
            </w:pPr>
            <w:r w:rsidRPr="006E37E1">
              <w:rPr>
                <w:b/>
                <w:iCs/>
                <w:sz w:val="20"/>
                <w:szCs w:val="20"/>
              </w:rPr>
              <w:t>Total</w:t>
            </w:r>
          </w:p>
        </w:tc>
      </w:tr>
      <w:tr w:rsidR="00730179" w:rsidRPr="006E37E1" w14:paraId="1CDBCDF8" w14:textId="77777777" w:rsidTr="00B32942">
        <w:trPr>
          <w:trHeight w:val="324"/>
        </w:trPr>
        <w:tc>
          <w:tcPr>
            <w:tcW w:w="1129" w:type="dxa"/>
            <w:noWrap/>
            <w:vAlign w:val="center"/>
            <w:hideMark/>
          </w:tcPr>
          <w:p w14:paraId="32487BB8" w14:textId="52559985" w:rsidR="00730179" w:rsidRPr="006E37E1" w:rsidRDefault="00730179" w:rsidP="00730179">
            <w:pPr>
              <w:spacing w:line="276" w:lineRule="auto"/>
              <w:rPr>
                <w:b/>
                <w:iCs/>
                <w:sz w:val="20"/>
                <w:szCs w:val="20"/>
              </w:rPr>
            </w:pPr>
            <w:r w:rsidRPr="006E37E1">
              <w:rPr>
                <w:b/>
                <w:iCs/>
                <w:sz w:val="20"/>
                <w:szCs w:val="20"/>
              </w:rPr>
              <w:t>Patients</w:t>
            </w:r>
          </w:p>
        </w:tc>
        <w:tc>
          <w:tcPr>
            <w:tcW w:w="709" w:type="dxa"/>
            <w:noWrap/>
            <w:vAlign w:val="center"/>
            <w:hideMark/>
          </w:tcPr>
          <w:p w14:paraId="21BF04C2" w14:textId="256F88E1" w:rsidR="00730179" w:rsidRPr="006E37E1" w:rsidRDefault="00730179" w:rsidP="00A91FC6">
            <w:pPr>
              <w:spacing w:line="276" w:lineRule="auto"/>
              <w:rPr>
                <w:bCs/>
                <w:iCs/>
                <w:sz w:val="20"/>
                <w:szCs w:val="20"/>
              </w:rPr>
            </w:pPr>
            <w:r w:rsidRPr="006E37E1">
              <w:rPr>
                <w:bCs/>
                <w:iCs/>
                <w:sz w:val="20"/>
                <w:szCs w:val="20"/>
              </w:rPr>
              <w:t>4</w:t>
            </w:r>
            <w:r w:rsidR="006E37E1">
              <w:rPr>
                <w:bCs/>
                <w:iCs/>
                <w:sz w:val="20"/>
                <w:szCs w:val="20"/>
              </w:rPr>
              <w:t>,</w:t>
            </w:r>
            <w:r w:rsidRPr="006E37E1">
              <w:rPr>
                <w:bCs/>
                <w:iCs/>
                <w:sz w:val="20"/>
                <w:szCs w:val="20"/>
              </w:rPr>
              <w:t>781</w:t>
            </w:r>
          </w:p>
        </w:tc>
        <w:tc>
          <w:tcPr>
            <w:tcW w:w="718" w:type="dxa"/>
            <w:noWrap/>
            <w:vAlign w:val="center"/>
            <w:hideMark/>
          </w:tcPr>
          <w:p w14:paraId="382641D2" w14:textId="42E2F635" w:rsidR="00730179" w:rsidRPr="006E37E1" w:rsidRDefault="00730179" w:rsidP="00730179">
            <w:pPr>
              <w:spacing w:line="276" w:lineRule="auto"/>
              <w:rPr>
                <w:bCs/>
                <w:iCs/>
                <w:sz w:val="20"/>
                <w:szCs w:val="20"/>
              </w:rPr>
            </w:pPr>
            <w:r w:rsidRPr="006E37E1">
              <w:rPr>
                <w:bCs/>
                <w:iCs/>
                <w:sz w:val="20"/>
                <w:szCs w:val="20"/>
              </w:rPr>
              <w:t>2</w:t>
            </w:r>
            <w:r w:rsidR="006E37E1">
              <w:rPr>
                <w:bCs/>
                <w:iCs/>
                <w:sz w:val="20"/>
                <w:szCs w:val="20"/>
              </w:rPr>
              <w:t>,</w:t>
            </w:r>
            <w:r w:rsidRPr="006E37E1">
              <w:rPr>
                <w:bCs/>
                <w:iCs/>
                <w:sz w:val="20"/>
                <w:szCs w:val="20"/>
              </w:rPr>
              <w:t>416</w:t>
            </w:r>
          </w:p>
        </w:tc>
        <w:tc>
          <w:tcPr>
            <w:tcW w:w="718" w:type="dxa"/>
            <w:noWrap/>
            <w:vAlign w:val="center"/>
            <w:hideMark/>
          </w:tcPr>
          <w:p w14:paraId="2EB7E9BC" w14:textId="180C3143" w:rsidR="00730179" w:rsidRPr="006E37E1" w:rsidRDefault="00730179" w:rsidP="00730179">
            <w:pPr>
              <w:spacing w:line="276" w:lineRule="auto"/>
              <w:rPr>
                <w:bCs/>
                <w:iCs/>
                <w:sz w:val="20"/>
                <w:szCs w:val="20"/>
              </w:rPr>
            </w:pPr>
            <w:r w:rsidRPr="006E37E1">
              <w:rPr>
                <w:bCs/>
                <w:iCs/>
                <w:sz w:val="20"/>
                <w:szCs w:val="20"/>
              </w:rPr>
              <w:t>1</w:t>
            </w:r>
            <w:r w:rsidR="006E37E1">
              <w:rPr>
                <w:bCs/>
                <w:iCs/>
                <w:sz w:val="20"/>
                <w:szCs w:val="20"/>
              </w:rPr>
              <w:t>,</w:t>
            </w:r>
            <w:r w:rsidRPr="006E37E1">
              <w:rPr>
                <w:bCs/>
                <w:iCs/>
                <w:sz w:val="20"/>
                <w:szCs w:val="20"/>
              </w:rPr>
              <w:t>569</w:t>
            </w:r>
          </w:p>
        </w:tc>
        <w:tc>
          <w:tcPr>
            <w:tcW w:w="718" w:type="dxa"/>
            <w:noWrap/>
            <w:vAlign w:val="center"/>
            <w:hideMark/>
          </w:tcPr>
          <w:p w14:paraId="608E9FF8" w14:textId="77777777" w:rsidR="00730179" w:rsidRPr="006E37E1" w:rsidRDefault="00730179" w:rsidP="00730179">
            <w:pPr>
              <w:spacing w:line="276" w:lineRule="auto"/>
              <w:rPr>
                <w:bCs/>
                <w:iCs/>
                <w:sz w:val="20"/>
                <w:szCs w:val="20"/>
              </w:rPr>
            </w:pPr>
            <w:r w:rsidRPr="006E37E1">
              <w:rPr>
                <w:bCs/>
                <w:iCs/>
                <w:sz w:val="20"/>
                <w:szCs w:val="20"/>
              </w:rPr>
              <w:t>875</w:t>
            </w:r>
          </w:p>
        </w:tc>
        <w:tc>
          <w:tcPr>
            <w:tcW w:w="719" w:type="dxa"/>
            <w:noWrap/>
            <w:vAlign w:val="center"/>
            <w:hideMark/>
          </w:tcPr>
          <w:p w14:paraId="5A9BE2A8" w14:textId="77777777" w:rsidR="00730179" w:rsidRPr="006E37E1" w:rsidRDefault="00730179" w:rsidP="00730179">
            <w:pPr>
              <w:spacing w:line="276" w:lineRule="auto"/>
              <w:rPr>
                <w:bCs/>
                <w:iCs/>
                <w:sz w:val="20"/>
                <w:szCs w:val="20"/>
              </w:rPr>
            </w:pPr>
            <w:r w:rsidRPr="006E37E1">
              <w:rPr>
                <w:bCs/>
                <w:iCs/>
                <w:sz w:val="20"/>
                <w:szCs w:val="20"/>
              </w:rPr>
              <w:t>334</w:t>
            </w:r>
          </w:p>
        </w:tc>
        <w:tc>
          <w:tcPr>
            <w:tcW w:w="719" w:type="dxa"/>
            <w:noWrap/>
            <w:vAlign w:val="center"/>
            <w:hideMark/>
          </w:tcPr>
          <w:p w14:paraId="295320A6" w14:textId="77777777" w:rsidR="00730179" w:rsidRPr="006E37E1" w:rsidRDefault="00730179" w:rsidP="00730179">
            <w:pPr>
              <w:spacing w:line="276" w:lineRule="auto"/>
              <w:rPr>
                <w:bCs/>
                <w:iCs/>
                <w:sz w:val="20"/>
                <w:szCs w:val="20"/>
              </w:rPr>
            </w:pPr>
            <w:r w:rsidRPr="006E37E1">
              <w:rPr>
                <w:bCs/>
                <w:iCs/>
                <w:sz w:val="20"/>
                <w:szCs w:val="20"/>
              </w:rPr>
              <w:t>186</w:t>
            </w:r>
          </w:p>
        </w:tc>
        <w:tc>
          <w:tcPr>
            <w:tcW w:w="719" w:type="dxa"/>
            <w:noWrap/>
            <w:vAlign w:val="center"/>
            <w:hideMark/>
          </w:tcPr>
          <w:p w14:paraId="75183D12" w14:textId="77777777" w:rsidR="00730179" w:rsidRPr="006E37E1" w:rsidRDefault="00730179" w:rsidP="00730179">
            <w:pPr>
              <w:spacing w:line="276" w:lineRule="auto"/>
              <w:rPr>
                <w:bCs/>
                <w:iCs/>
                <w:sz w:val="20"/>
                <w:szCs w:val="20"/>
              </w:rPr>
            </w:pPr>
            <w:r w:rsidRPr="006E37E1">
              <w:rPr>
                <w:bCs/>
                <w:iCs/>
                <w:sz w:val="20"/>
                <w:szCs w:val="20"/>
              </w:rPr>
              <w:t>68</w:t>
            </w:r>
          </w:p>
        </w:tc>
        <w:tc>
          <w:tcPr>
            <w:tcW w:w="719" w:type="dxa"/>
            <w:noWrap/>
            <w:vAlign w:val="center"/>
            <w:hideMark/>
          </w:tcPr>
          <w:p w14:paraId="3DEBC14B" w14:textId="77777777" w:rsidR="00730179" w:rsidRPr="006E37E1" w:rsidRDefault="00730179" w:rsidP="00730179">
            <w:pPr>
              <w:spacing w:line="276" w:lineRule="auto"/>
              <w:rPr>
                <w:bCs/>
                <w:iCs/>
                <w:sz w:val="20"/>
                <w:szCs w:val="20"/>
              </w:rPr>
            </w:pPr>
            <w:r w:rsidRPr="006E37E1">
              <w:rPr>
                <w:bCs/>
                <w:iCs/>
                <w:sz w:val="20"/>
                <w:szCs w:val="20"/>
              </w:rPr>
              <w:t>64</w:t>
            </w:r>
          </w:p>
        </w:tc>
        <w:tc>
          <w:tcPr>
            <w:tcW w:w="719" w:type="dxa"/>
            <w:noWrap/>
            <w:vAlign w:val="center"/>
            <w:hideMark/>
          </w:tcPr>
          <w:p w14:paraId="18632780" w14:textId="77777777" w:rsidR="00730179" w:rsidRPr="006E37E1" w:rsidRDefault="00730179" w:rsidP="00730179">
            <w:pPr>
              <w:spacing w:line="276" w:lineRule="auto"/>
              <w:rPr>
                <w:bCs/>
                <w:iCs/>
                <w:sz w:val="20"/>
                <w:szCs w:val="20"/>
              </w:rPr>
            </w:pPr>
            <w:r w:rsidRPr="006E37E1">
              <w:rPr>
                <w:bCs/>
                <w:iCs/>
                <w:sz w:val="20"/>
                <w:szCs w:val="20"/>
              </w:rPr>
              <w:t>15</w:t>
            </w:r>
          </w:p>
        </w:tc>
        <w:tc>
          <w:tcPr>
            <w:tcW w:w="751" w:type="dxa"/>
            <w:noWrap/>
            <w:vAlign w:val="center"/>
            <w:hideMark/>
          </w:tcPr>
          <w:p w14:paraId="2EEF1764" w14:textId="77777777" w:rsidR="00730179" w:rsidRPr="006E37E1" w:rsidRDefault="00730179" w:rsidP="00730179">
            <w:pPr>
              <w:spacing w:line="276" w:lineRule="auto"/>
              <w:rPr>
                <w:bCs/>
                <w:iCs/>
                <w:sz w:val="20"/>
                <w:szCs w:val="20"/>
              </w:rPr>
            </w:pPr>
            <w:r w:rsidRPr="006E37E1">
              <w:rPr>
                <w:bCs/>
                <w:iCs/>
                <w:sz w:val="20"/>
                <w:szCs w:val="20"/>
              </w:rPr>
              <w:t>62</w:t>
            </w:r>
          </w:p>
        </w:tc>
        <w:tc>
          <w:tcPr>
            <w:tcW w:w="874" w:type="dxa"/>
            <w:noWrap/>
            <w:vAlign w:val="center"/>
            <w:hideMark/>
          </w:tcPr>
          <w:p w14:paraId="25613285" w14:textId="542FBB59" w:rsidR="00730179" w:rsidRPr="006E37E1" w:rsidRDefault="00730179" w:rsidP="00730179">
            <w:pPr>
              <w:spacing w:line="276" w:lineRule="auto"/>
              <w:rPr>
                <w:b/>
                <w:iCs/>
                <w:sz w:val="20"/>
                <w:szCs w:val="20"/>
              </w:rPr>
            </w:pPr>
            <w:r w:rsidRPr="006E37E1">
              <w:rPr>
                <w:b/>
                <w:iCs/>
                <w:sz w:val="20"/>
                <w:szCs w:val="20"/>
              </w:rPr>
              <w:t xml:space="preserve">10,370 </w:t>
            </w:r>
          </w:p>
        </w:tc>
      </w:tr>
      <w:tr w:rsidR="00730179" w:rsidRPr="006E37E1" w14:paraId="12824849" w14:textId="77777777" w:rsidTr="00B32942">
        <w:trPr>
          <w:trHeight w:val="288"/>
        </w:trPr>
        <w:tc>
          <w:tcPr>
            <w:tcW w:w="1129" w:type="dxa"/>
            <w:noWrap/>
            <w:vAlign w:val="center"/>
            <w:hideMark/>
          </w:tcPr>
          <w:p w14:paraId="377958AB" w14:textId="38EF5F7B" w:rsidR="00730179" w:rsidRPr="006E37E1" w:rsidRDefault="00730179" w:rsidP="00730179">
            <w:pPr>
              <w:spacing w:line="276" w:lineRule="auto"/>
              <w:rPr>
                <w:b/>
                <w:iCs/>
                <w:sz w:val="20"/>
                <w:szCs w:val="20"/>
              </w:rPr>
            </w:pPr>
            <w:r w:rsidRPr="006E37E1">
              <w:rPr>
                <w:b/>
                <w:iCs/>
                <w:sz w:val="20"/>
                <w:szCs w:val="20"/>
              </w:rPr>
              <w:t>% Patients</w:t>
            </w:r>
          </w:p>
        </w:tc>
        <w:tc>
          <w:tcPr>
            <w:tcW w:w="709" w:type="dxa"/>
            <w:noWrap/>
            <w:vAlign w:val="center"/>
            <w:hideMark/>
          </w:tcPr>
          <w:p w14:paraId="454B6D17" w14:textId="77777777" w:rsidR="00730179" w:rsidRPr="006E37E1" w:rsidRDefault="00730179" w:rsidP="00A91FC6">
            <w:pPr>
              <w:spacing w:line="276" w:lineRule="auto"/>
              <w:ind w:right="-133"/>
              <w:rPr>
                <w:bCs/>
                <w:iCs/>
                <w:sz w:val="20"/>
                <w:szCs w:val="20"/>
              </w:rPr>
            </w:pPr>
            <w:r w:rsidRPr="006E37E1">
              <w:rPr>
                <w:bCs/>
                <w:iCs/>
                <w:sz w:val="20"/>
                <w:szCs w:val="20"/>
              </w:rPr>
              <w:t>46.1%</w:t>
            </w:r>
          </w:p>
        </w:tc>
        <w:tc>
          <w:tcPr>
            <w:tcW w:w="718" w:type="dxa"/>
            <w:noWrap/>
            <w:vAlign w:val="center"/>
            <w:hideMark/>
          </w:tcPr>
          <w:p w14:paraId="79A4E471" w14:textId="77777777" w:rsidR="00730179" w:rsidRPr="006E37E1" w:rsidRDefault="00730179" w:rsidP="00A91FC6">
            <w:pPr>
              <w:spacing w:line="276" w:lineRule="auto"/>
              <w:ind w:right="-137"/>
              <w:rPr>
                <w:bCs/>
                <w:iCs/>
                <w:sz w:val="20"/>
                <w:szCs w:val="20"/>
              </w:rPr>
            </w:pPr>
            <w:r w:rsidRPr="006E37E1">
              <w:rPr>
                <w:bCs/>
                <w:iCs/>
                <w:sz w:val="20"/>
                <w:szCs w:val="20"/>
              </w:rPr>
              <w:t>23.3%</w:t>
            </w:r>
          </w:p>
        </w:tc>
        <w:tc>
          <w:tcPr>
            <w:tcW w:w="718" w:type="dxa"/>
            <w:noWrap/>
            <w:vAlign w:val="center"/>
            <w:hideMark/>
          </w:tcPr>
          <w:p w14:paraId="45DCC221" w14:textId="77777777" w:rsidR="00730179" w:rsidRPr="006E37E1" w:rsidRDefault="00730179" w:rsidP="00A91FC6">
            <w:pPr>
              <w:spacing w:line="276" w:lineRule="auto"/>
              <w:ind w:right="-141"/>
              <w:rPr>
                <w:bCs/>
                <w:iCs/>
                <w:sz w:val="20"/>
                <w:szCs w:val="20"/>
              </w:rPr>
            </w:pPr>
            <w:r w:rsidRPr="006E37E1">
              <w:rPr>
                <w:bCs/>
                <w:iCs/>
                <w:sz w:val="20"/>
                <w:szCs w:val="20"/>
              </w:rPr>
              <w:t>15.1%</w:t>
            </w:r>
          </w:p>
        </w:tc>
        <w:tc>
          <w:tcPr>
            <w:tcW w:w="718" w:type="dxa"/>
            <w:noWrap/>
            <w:vAlign w:val="center"/>
            <w:hideMark/>
          </w:tcPr>
          <w:p w14:paraId="4110483A" w14:textId="77777777" w:rsidR="00730179" w:rsidRPr="006E37E1" w:rsidRDefault="00730179" w:rsidP="00730179">
            <w:pPr>
              <w:spacing w:line="276" w:lineRule="auto"/>
              <w:rPr>
                <w:bCs/>
                <w:iCs/>
                <w:sz w:val="20"/>
                <w:szCs w:val="20"/>
              </w:rPr>
            </w:pPr>
            <w:r w:rsidRPr="006E37E1">
              <w:rPr>
                <w:bCs/>
                <w:iCs/>
                <w:sz w:val="20"/>
                <w:szCs w:val="20"/>
              </w:rPr>
              <w:t>8.4%</w:t>
            </w:r>
          </w:p>
        </w:tc>
        <w:tc>
          <w:tcPr>
            <w:tcW w:w="719" w:type="dxa"/>
            <w:noWrap/>
            <w:vAlign w:val="center"/>
            <w:hideMark/>
          </w:tcPr>
          <w:p w14:paraId="28AFA38D" w14:textId="77777777" w:rsidR="00730179" w:rsidRPr="006E37E1" w:rsidRDefault="00730179" w:rsidP="00730179">
            <w:pPr>
              <w:spacing w:line="276" w:lineRule="auto"/>
              <w:rPr>
                <w:bCs/>
                <w:iCs/>
                <w:sz w:val="20"/>
                <w:szCs w:val="20"/>
              </w:rPr>
            </w:pPr>
            <w:r w:rsidRPr="006E37E1">
              <w:rPr>
                <w:bCs/>
                <w:iCs/>
                <w:sz w:val="20"/>
                <w:szCs w:val="20"/>
              </w:rPr>
              <w:t>3.2%</w:t>
            </w:r>
          </w:p>
        </w:tc>
        <w:tc>
          <w:tcPr>
            <w:tcW w:w="719" w:type="dxa"/>
            <w:noWrap/>
            <w:vAlign w:val="center"/>
            <w:hideMark/>
          </w:tcPr>
          <w:p w14:paraId="752220D3" w14:textId="77777777" w:rsidR="00730179" w:rsidRPr="006E37E1" w:rsidRDefault="00730179" w:rsidP="00730179">
            <w:pPr>
              <w:spacing w:line="276" w:lineRule="auto"/>
              <w:rPr>
                <w:bCs/>
                <w:iCs/>
                <w:sz w:val="20"/>
                <w:szCs w:val="20"/>
              </w:rPr>
            </w:pPr>
            <w:r w:rsidRPr="006E37E1">
              <w:rPr>
                <w:bCs/>
                <w:iCs/>
                <w:sz w:val="20"/>
                <w:szCs w:val="20"/>
              </w:rPr>
              <w:t>1.8%</w:t>
            </w:r>
          </w:p>
        </w:tc>
        <w:tc>
          <w:tcPr>
            <w:tcW w:w="719" w:type="dxa"/>
            <w:noWrap/>
            <w:vAlign w:val="center"/>
            <w:hideMark/>
          </w:tcPr>
          <w:p w14:paraId="39523F3B" w14:textId="77777777" w:rsidR="00730179" w:rsidRPr="006E37E1" w:rsidRDefault="00730179" w:rsidP="00730179">
            <w:pPr>
              <w:spacing w:line="276" w:lineRule="auto"/>
              <w:rPr>
                <w:bCs/>
                <w:iCs/>
                <w:sz w:val="20"/>
                <w:szCs w:val="20"/>
              </w:rPr>
            </w:pPr>
            <w:r w:rsidRPr="006E37E1">
              <w:rPr>
                <w:bCs/>
                <w:iCs/>
                <w:sz w:val="20"/>
                <w:szCs w:val="20"/>
              </w:rPr>
              <w:t>0.7%</w:t>
            </w:r>
          </w:p>
        </w:tc>
        <w:tc>
          <w:tcPr>
            <w:tcW w:w="719" w:type="dxa"/>
            <w:noWrap/>
            <w:vAlign w:val="center"/>
            <w:hideMark/>
          </w:tcPr>
          <w:p w14:paraId="23508896" w14:textId="77777777" w:rsidR="00730179" w:rsidRPr="006E37E1" w:rsidRDefault="00730179" w:rsidP="00730179">
            <w:pPr>
              <w:spacing w:line="276" w:lineRule="auto"/>
              <w:rPr>
                <w:bCs/>
                <w:iCs/>
                <w:sz w:val="20"/>
                <w:szCs w:val="20"/>
              </w:rPr>
            </w:pPr>
            <w:r w:rsidRPr="006E37E1">
              <w:rPr>
                <w:bCs/>
                <w:iCs/>
                <w:sz w:val="20"/>
                <w:szCs w:val="20"/>
              </w:rPr>
              <w:t>0.6%</w:t>
            </w:r>
          </w:p>
        </w:tc>
        <w:tc>
          <w:tcPr>
            <w:tcW w:w="719" w:type="dxa"/>
            <w:noWrap/>
            <w:vAlign w:val="center"/>
            <w:hideMark/>
          </w:tcPr>
          <w:p w14:paraId="6394A746" w14:textId="77777777" w:rsidR="00730179" w:rsidRPr="006E37E1" w:rsidRDefault="00730179" w:rsidP="00730179">
            <w:pPr>
              <w:spacing w:line="276" w:lineRule="auto"/>
              <w:rPr>
                <w:bCs/>
                <w:iCs/>
                <w:sz w:val="20"/>
                <w:szCs w:val="20"/>
              </w:rPr>
            </w:pPr>
            <w:r w:rsidRPr="006E37E1">
              <w:rPr>
                <w:bCs/>
                <w:iCs/>
                <w:sz w:val="20"/>
                <w:szCs w:val="20"/>
              </w:rPr>
              <w:t>0.1%</w:t>
            </w:r>
          </w:p>
        </w:tc>
        <w:tc>
          <w:tcPr>
            <w:tcW w:w="751" w:type="dxa"/>
            <w:noWrap/>
            <w:vAlign w:val="center"/>
            <w:hideMark/>
          </w:tcPr>
          <w:p w14:paraId="58E21EE4" w14:textId="77777777" w:rsidR="00730179" w:rsidRPr="006E37E1" w:rsidRDefault="00730179" w:rsidP="00730179">
            <w:pPr>
              <w:spacing w:line="276" w:lineRule="auto"/>
              <w:rPr>
                <w:bCs/>
                <w:iCs/>
                <w:sz w:val="20"/>
                <w:szCs w:val="20"/>
              </w:rPr>
            </w:pPr>
            <w:r w:rsidRPr="006E37E1">
              <w:rPr>
                <w:bCs/>
                <w:iCs/>
                <w:sz w:val="20"/>
                <w:szCs w:val="20"/>
              </w:rPr>
              <w:t>0.6%</w:t>
            </w:r>
          </w:p>
        </w:tc>
        <w:tc>
          <w:tcPr>
            <w:tcW w:w="874" w:type="dxa"/>
            <w:noWrap/>
            <w:vAlign w:val="center"/>
            <w:hideMark/>
          </w:tcPr>
          <w:p w14:paraId="75C7F155" w14:textId="77777777" w:rsidR="00730179" w:rsidRPr="006E37E1" w:rsidRDefault="00730179" w:rsidP="00730179">
            <w:pPr>
              <w:spacing w:line="276" w:lineRule="auto"/>
              <w:rPr>
                <w:b/>
                <w:iCs/>
                <w:sz w:val="20"/>
                <w:szCs w:val="20"/>
              </w:rPr>
            </w:pPr>
            <w:r w:rsidRPr="006E37E1">
              <w:rPr>
                <w:b/>
                <w:iCs/>
                <w:sz w:val="20"/>
                <w:szCs w:val="20"/>
              </w:rPr>
              <w:t>100%</w:t>
            </w:r>
          </w:p>
        </w:tc>
      </w:tr>
      <w:tr w:rsidR="00730179" w:rsidRPr="006E37E1" w14:paraId="2EE3C2CB" w14:textId="77777777" w:rsidTr="00B32942">
        <w:trPr>
          <w:trHeight w:val="668"/>
        </w:trPr>
        <w:tc>
          <w:tcPr>
            <w:tcW w:w="1129" w:type="dxa"/>
            <w:vAlign w:val="center"/>
            <w:hideMark/>
          </w:tcPr>
          <w:p w14:paraId="2B1BDC7B" w14:textId="522EB531" w:rsidR="00730179" w:rsidRPr="006E37E1" w:rsidRDefault="00730179" w:rsidP="00A91FC6">
            <w:pPr>
              <w:spacing w:line="276" w:lineRule="auto"/>
              <w:ind w:right="-129"/>
              <w:rPr>
                <w:b/>
                <w:iCs/>
                <w:sz w:val="20"/>
                <w:szCs w:val="20"/>
              </w:rPr>
            </w:pPr>
            <w:r w:rsidRPr="006E37E1">
              <w:rPr>
                <w:b/>
                <w:iCs/>
                <w:sz w:val="20"/>
                <w:szCs w:val="20"/>
              </w:rPr>
              <w:t>% Patients cumulative</w:t>
            </w:r>
          </w:p>
        </w:tc>
        <w:tc>
          <w:tcPr>
            <w:tcW w:w="709" w:type="dxa"/>
            <w:noWrap/>
            <w:vAlign w:val="center"/>
            <w:hideMark/>
          </w:tcPr>
          <w:p w14:paraId="66E62ADB" w14:textId="77777777" w:rsidR="00730179" w:rsidRPr="006E37E1" w:rsidRDefault="00730179" w:rsidP="00A91FC6">
            <w:pPr>
              <w:spacing w:line="276" w:lineRule="auto"/>
              <w:ind w:right="-133"/>
              <w:rPr>
                <w:bCs/>
                <w:iCs/>
                <w:sz w:val="20"/>
                <w:szCs w:val="20"/>
              </w:rPr>
            </w:pPr>
            <w:r w:rsidRPr="006E37E1">
              <w:rPr>
                <w:bCs/>
                <w:iCs/>
                <w:sz w:val="20"/>
                <w:szCs w:val="20"/>
              </w:rPr>
              <w:t>46.1%</w:t>
            </w:r>
          </w:p>
        </w:tc>
        <w:tc>
          <w:tcPr>
            <w:tcW w:w="718" w:type="dxa"/>
            <w:noWrap/>
            <w:vAlign w:val="center"/>
            <w:hideMark/>
          </w:tcPr>
          <w:p w14:paraId="2706FB09" w14:textId="77777777" w:rsidR="00730179" w:rsidRPr="006E37E1" w:rsidRDefault="00730179" w:rsidP="00A91FC6">
            <w:pPr>
              <w:spacing w:line="276" w:lineRule="auto"/>
              <w:ind w:right="-137"/>
              <w:rPr>
                <w:bCs/>
                <w:iCs/>
                <w:sz w:val="20"/>
                <w:szCs w:val="20"/>
              </w:rPr>
            </w:pPr>
            <w:r w:rsidRPr="006E37E1">
              <w:rPr>
                <w:bCs/>
                <w:iCs/>
                <w:sz w:val="20"/>
                <w:szCs w:val="20"/>
              </w:rPr>
              <w:t>69.4%</w:t>
            </w:r>
          </w:p>
        </w:tc>
        <w:tc>
          <w:tcPr>
            <w:tcW w:w="718" w:type="dxa"/>
            <w:noWrap/>
            <w:vAlign w:val="center"/>
            <w:hideMark/>
          </w:tcPr>
          <w:p w14:paraId="51D95C30" w14:textId="77777777" w:rsidR="00730179" w:rsidRPr="006E37E1" w:rsidRDefault="00730179" w:rsidP="00A91FC6">
            <w:pPr>
              <w:spacing w:line="276" w:lineRule="auto"/>
              <w:ind w:right="-141"/>
              <w:rPr>
                <w:bCs/>
                <w:iCs/>
                <w:sz w:val="20"/>
                <w:szCs w:val="20"/>
              </w:rPr>
            </w:pPr>
            <w:r w:rsidRPr="006E37E1">
              <w:rPr>
                <w:bCs/>
                <w:iCs/>
                <w:sz w:val="20"/>
                <w:szCs w:val="20"/>
              </w:rPr>
              <w:t>84.5%</w:t>
            </w:r>
          </w:p>
        </w:tc>
        <w:tc>
          <w:tcPr>
            <w:tcW w:w="718" w:type="dxa"/>
            <w:noWrap/>
            <w:vAlign w:val="center"/>
            <w:hideMark/>
          </w:tcPr>
          <w:p w14:paraId="1AB28810" w14:textId="77777777" w:rsidR="00730179" w:rsidRPr="006E37E1" w:rsidRDefault="00730179" w:rsidP="00A91FC6">
            <w:pPr>
              <w:spacing w:line="276" w:lineRule="auto"/>
              <w:ind w:right="-159"/>
              <w:rPr>
                <w:bCs/>
                <w:iCs/>
                <w:sz w:val="20"/>
                <w:szCs w:val="20"/>
              </w:rPr>
            </w:pPr>
            <w:r w:rsidRPr="006E37E1">
              <w:rPr>
                <w:bCs/>
                <w:iCs/>
                <w:sz w:val="20"/>
                <w:szCs w:val="20"/>
              </w:rPr>
              <w:t>93.0%</w:t>
            </w:r>
          </w:p>
        </w:tc>
        <w:tc>
          <w:tcPr>
            <w:tcW w:w="719" w:type="dxa"/>
            <w:noWrap/>
            <w:vAlign w:val="center"/>
            <w:hideMark/>
          </w:tcPr>
          <w:p w14:paraId="4E1A937F" w14:textId="77777777" w:rsidR="00730179" w:rsidRPr="006E37E1" w:rsidRDefault="00730179" w:rsidP="00A91FC6">
            <w:pPr>
              <w:spacing w:line="276" w:lineRule="auto"/>
              <w:ind w:right="-163"/>
              <w:rPr>
                <w:bCs/>
                <w:iCs/>
                <w:sz w:val="20"/>
                <w:szCs w:val="20"/>
              </w:rPr>
            </w:pPr>
            <w:r w:rsidRPr="006E37E1">
              <w:rPr>
                <w:bCs/>
                <w:iCs/>
                <w:sz w:val="20"/>
                <w:szCs w:val="20"/>
              </w:rPr>
              <w:t>96.2%</w:t>
            </w:r>
          </w:p>
        </w:tc>
        <w:tc>
          <w:tcPr>
            <w:tcW w:w="719" w:type="dxa"/>
            <w:noWrap/>
            <w:vAlign w:val="center"/>
            <w:hideMark/>
          </w:tcPr>
          <w:p w14:paraId="6C994620" w14:textId="77777777" w:rsidR="00730179" w:rsidRPr="006E37E1" w:rsidRDefault="00730179" w:rsidP="00A91FC6">
            <w:pPr>
              <w:spacing w:line="276" w:lineRule="auto"/>
              <w:ind w:right="-167"/>
              <w:rPr>
                <w:bCs/>
                <w:iCs/>
                <w:sz w:val="20"/>
                <w:szCs w:val="20"/>
              </w:rPr>
            </w:pPr>
            <w:r w:rsidRPr="006E37E1">
              <w:rPr>
                <w:bCs/>
                <w:iCs/>
                <w:sz w:val="20"/>
                <w:szCs w:val="20"/>
              </w:rPr>
              <w:t>98.0%</w:t>
            </w:r>
          </w:p>
        </w:tc>
        <w:tc>
          <w:tcPr>
            <w:tcW w:w="719" w:type="dxa"/>
            <w:noWrap/>
            <w:vAlign w:val="center"/>
            <w:hideMark/>
          </w:tcPr>
          <w:p w14:paraId="4F243568" w14:textId="77777777" w:rsidR="00730179" w:rsidRPr="006E37E1" w:rsidRDefault="00730179" w:rsidP="00A91FC6">
            <w:pPr>
              <w:spacing w:line="276" w:lineRule="auto"/>
              <w:ind w:right="-171"/>
              <w:rPr>
                <w:bCs/>
                <w:iCs/>
                <w:sz w:val="20"/>
                <w:szCs w:val="20"/>
              </w:rPr>
            </w:pPr>
            <w:r w:rsidRPr="006E37E1">
              <w:rPr>
                <w:bCs/>
                <w:iCs/>
                <w:sz w:val="20"/>
                <w:szCs w:val="20"/>
              </w:rPr>
              <w:t>98.6%</w:t>
            </w:r>
          </w:p>
        </w:tc>
        <w:tc>
          <w:tcPr>
            <w:tcW w:w="719" w:type="dxa"/>
            <w:noWrap/>
            <w:vAlign w:val="center"/>
            <w:hideMark/>
          </w:tcPr>
          <w:p w14:paraId="3B21B351" w14:textId="77777777" w:rsidR="00730179" w:rsidRPr="006E37E1" w:rsidRDefault="00730179" w:rsidP="00A91FC6">
            <w:pPr>
              <w:spacing w:line="276" w:lineRule="auto"/>
              <w:ind w:right="-33"/>
              <w:rPr>
                <w:bCs/>
                <w:iCs/>
                <w:sz w:val="20"/>
                <w:szCs w:val="20"/>
              </w:rPr>
            </w:pPr>
            <w:r w:rsidRPr="006E37E1">
              <w:rPr>
                <w:bCs/>
                <w:iCs/>
                <w:sz w:val="20"/>
                <w:szCs w:val="20"/>
              </w:rPr>
              <w:t>99.3%</w:t>
            </w:r>
          </w:p>
        </w:tc>
        <w:tc>
          <w:tcPr>
            <w:tcW w:w="719" w:type="dxa"/>
            <w:noWrap/>
            <w:vAlign w:val="center"/>
            <w:hideMark/>
          </w:tcPr>
          <w:p w14:paraId="16E910C8" w14:textId="77777777" w:rsidR="00730179" w:rsidRPr="006E37E1" w:rsidRDefault="00730179" w:rsidP="00A91FC6">
            <w:pPr>
              <w:spacing w:line="276" w:lineRule="auto"/>
              <w:ind w:right="-178"/>
              <w:rPr>
                <w:bCs/>
                <w:iCs/>
                <w:sz w:val="20"/>
                <w:szCs w:val="20"/>
              </w:rPr>
            </w:pPr>
            <w:r w:rsidRPr="006E37E1">
              <w:rPr>
                <w:bCs/>
                <w:iCs/>
                <w:sz w:val="20"/>
                <w:szCs w:val="20"/>
              </w:rPr>
              <w:t>99.4%</w:t>
            </w:r>
          </w:p>
        </w:tc>
        <w:tc>
          <w:tcPr>
            <w:tcW w:w="751" w:type="dxa"/>
            <w:noWrap/>
            <w:vAlign w:val="center"/>
            <w:hideMark/>
          </w:tcPr>
          <w:p w14:paraId="063580C8" w14:textId="77777777" w:rsidR="00730179" w:rsidRPr="006E37E1" w:rsidRDefault="00730179" w:rsidP="00A91FC6">
            <w:pPr>
              <w:spacing w:line="276" w:lineRule="auto"/>
              <w:ind w:right="-92"/>
              <w:rPr>
                <w:bCs/>
                <w:iCs/>
                <w:sz w:val="20"/>
                <w:szCs w:val="20"/>
              </w:rPr>
            </w:pPr>
            <w:r w:rsidRPr="006E37E1">
              <w:rPr>
                <w:bCs/>
                <w:iCs/>
                <w:sz w:val="20"/>
                <w:szCs w:val="20"/>
              </w:rPr>
              <w:t>100.0%</w:t>
            </w:r>
          </w:p>
        </w:tc>
        <w:tc>
          <w:tcPr>
            <w:tcW w:w="874" w:type="dxa"/>
            <w:noWrap/>
            <w:vAlign w:val="center"/>
            <w:hideMark/>
          </w:tcPr>
          <w:p w14:paraId="4D9A2E01" w14:textId="77777777" w:rsidR="00730179" w:rsidRPr="006E37E1" w:rsidRDefault="00730179" w:rsidP="00A91FC6">
            <w:pPr>
              <w:spacing w:line="276" w:lineRule="auto"/>
              <w:ind w:right="-29"/>
              <w:rPr>
                <w:b/>
                <w:iCs/>
                <w:sz w:val="20"/>
                <w:szCs w:val="20"/>
              </w:rPr>
            </w:pPr>
            <w:r w:rsidRPr="006E37E1">
              <w:rPr>
                <w:b/>
                <w:iCs/>
                <w:sz w:val="20"/>
                <w:szCs w:val="20"/>
              </w:rPr>
              <w:t>100.0%</w:t>
            </w:r>
          </w:p>
        </w:tc>
      </w:tr>
    </w:tbl>
    <w:p w14:paraId="10BB8E8E" w14:textId="77777777" w:rsidR="00205166" w:rsidRDefault="00205166" w:rsidP="007142BB">
      <w:pPr>
        <w:pStyle w:val="Heading2"/>
      </w:pPr>
    </w:p>
    <w:p w14:paraId="0FF090F3" w14:textId="1C981071" w:rsidR="007142BB" w:rsidRDefault="007142BB" w:rsidP="007142BB">
      <w:pPr>
        <w:pStyle w:val="Heading2"/>
      </w:pPr>
      <w:r>
        <w:t xml:space="preserve">Approach taken to estimate </w:t>
      </w:r>
      <w:proofErr w:type="gramStart"/>
      <w:r>
        <w:t>utilisation</w:t>
      </w:r>
      <w:proofErr w:type="gramEnd"/>
    </w:p>
    <w:p w14:paraId="171F2C66" w14:textId="0C008B19" w:rsidR="007335B7" w:rsidRDefault="007624CD" w:rsidP="000F1DBF">
      <w:pPr>
        <w:spacing w:after="0"/>
        <w:contextualSpacing/>
      </w:pPr>
      <w:r>
        <w:t xml:space="preserve">The utilisation and financial estimates presented in the November 2020 submissions for Oripro and Utrogestan were considered by DUSC and the PBAC. </w:t>
      </w:r>
      <w:r w:rsidRPr="003D5604">
        <w:t>The submission</w:t>
      </w:r>
      <w:r>
        <w:t>s for Oripro</w:t>
      </w:r>
      <w:r w:rsidRPr="003D5604">
        <w:t xml:space="preserve"> </w:t>
      </w:r>
      <w:r>
        <w:t xml:space="preserve">and Utrogestan </w:t>
      </w:r>
      <w:r w:rsidRPr="003D5604">
        <w:t>applied an epidemiological approach to develop the financial estimates</w:t>
      </w:r>
      <w:r w:rsidR="00F70FE2">
        <w:t>.</w:t>
      </w:r>
      <w:r w:rsidDel="007624CD">
        <w:t xml:space="preserve"> </w:t>
      </w:r>
    </w:p>
    <w:p w14:paraId="28170152" w14:textId="77777777" w:rsidR="00205166" w:rsidRPr="00205166" w:rsidRDefault="00205166" w:rsidP="007335B7">
      <w:pPr>
        <w:rPr>
          <w:b/>
          <w:bCs/>
          <w:sz w:val="8"/>
          <w:szCs w:val="8"/>
          <w:u w:val="single"/>
        </w:rPr>
      </w:pPr>
    </w:p>
    <w:p w14:paraId="278CFD36" w14:textId="2FBE06C8" w:rsidR="007335B7" w:rsidRDefault="007335B7" w:rsidP="007335B7">
      <w:pPr>
        <w:rPr>
          <w:b/>
          <w:bCs/>
          <w:u w:val="single"/>
        </w:rPr>
      </w:pPr>
      <w:r w:rsidRPr="007F4345">
        <w:rPr>
          <w:b/>
          <w:bCs/>
          <w:u w:val="single"/>
        </w:rPr>
        <w:t>Commercial-in-confidence</w:t>
      </w:r>
    </w:p>
    <w:p w14:paraId="25A6DD96" w14:textId="77777777" w:rsidR="00035A2F" w:rsidRPr="00833F94" w:rsidRDefault="00104A6B" w:rsidP="00035A2F">
      <w:pPr>
        <w:spacing w:after="0"/>
        <w:contextualSpacing/>
        <w:rPr>
          <w:highlight w:val="black"/>
        </w:rPr>
      </w:pPr>
      <w:r w:rsidRPr="00833F94">
        <w:rPr>
          <w:highlight w:val="black"/>
        </w:rPr>
        <w:t>XXXXXXXXXXXXXXXXXXXXXXXXXXXXXXXXXXXXXXXXXXXXXXXXXXXXXXXXXXXXXXXXXXXXXXXXXXXXXXXXX</w:t>
      </w:r>
    </w:p>
    <w:p w14:paraId="3602EF06" w14:textId="3969A28C" w:rsidR="00833F94" w:rsidRDefault="00104A6B" w:rsidP="00833F94">
      <w:pPr>
        <w:ind w:left="360"/>
        <w:rPr>
          <w:highlight w:val="black"/>
        </w:rPr>
      </w:pPr>
      <w:r w:rsidRPr="00833F94">
        <w:rPr>
          <w:highlight w:val="black"/>
        </w:rPr>
        <w:t>XXXXXXX</w:t>
      </w:r>
      <w:r w:rsidR="0093729E" w:rsidRPr="00833F94">
        <w:rPr>
          <w:highlight w:val="black"/>
        </w:rPr>
        <w:t>XXXXXXXXXXXXXXXXXXXXXXXXXXXXXXXXXXXXXXXXXXXXXXXXXXXXXXXXXXXXXXXXX</w:t>
      </w:r>
      <w:r w:rsidR="00035A2F" w:rsidRPr="00833F94">
        <w:rPr>
          <w:highlight w:val="black"/>
        </w:rPr>
        <w:t>XXXXXXXXXXX</w:t>
      </w:r>
      <w:r w:rsidR="0093729E" w:rsidRPr="00833F94">
        <w:rPr>
          <w:highlight w:val="black"/>
        </w:rPr>
        <w:t>XXXXXXXXXXXXXXXXXX</w:t>
      </w:r>
      <w:r w:rsidR="007624CD" w:rsidRPr="00833F94">
        <w:rPr>
          <w:highlight w:val="black"/>
        </w:rPr>
        <w:t xml:space="preserve"> </w:t>
      </w:r>
      <w:r w:rsidR="00833F94" w:rsidRPr="00833F94">
        <w:rPr>
          <w:highlight w:val="black"/>
        </w:rPr>
        <w:t>XXXXXXXXXXXXXXXXXXXXXXXXXXXXXXXXXXXXXXXXXXXXXXXXXXXXXXXXXXXXXXXXXXXXX</w:t>
      </w:r>
      <w:r w:rsidR="00522A05">
        <w:rPr>
          <w:highlight w:val="black"/>
        </w:rPr>
        <w:t>XXXXX</w:t>
      </w:r>
      <w:r w:rsidR="00833F94" w:rsidRPr="00833F94">
        <w:rPr>
          <w:highlight w:val="black"/>
        </w:rPr>
        <w:t>XXXXXXXXXXXXXXXXXXXXXXXXXXXXXXXXXXXXXXXXXXXXXXXXXXXXX</w:t>
      </w:r>
      <w:r w:rsidR="00522A05">
        <w:rPr>
          <w:highlight w:val="black"/>
        </w:rPr>
        <w:t xml:space="preserve"> </w:t>
      </w:r>
      <w:r w:rsidR="00522A05" w:rsidRPr="00833F94">
        <w:rPr>
          <w:highlight w:val="black"/>
        </w:rPr>
        <w:t>XXXXXXXXXXXXXXXXXXXXXXXXXXXXXXXXXXXXXXXXXXXXX</w:t>
      </w:r>
      <w:r w:rsidR="00522A05">
        <w:rPr>
          <w:highlight w:val="black"/>
        </w:rPr>
        <w:t>XXXXXXXXXXXXXXX</w:t>
      </w:r>
      <w:r w:rsidR="00522A05" w:rsidRPr="00833F94">
        <w:rPr>
          <w:highlight w:val="black"/>
        </w:rPr>
        <w:t>X</w:t>
      </w:r>
    </w:p>
    <w:p w14:paraId="53832401" w14:textId="5B82571D" w:rsidR="004C3B13" w:rsidRPr="00833F94" w:rsidRDefault="004C3B13" w:rsidP="000F1DBF">
      <w:pPr>
        <w:spacing w:after="0"/>
        <w:contextualSpacing/>
        <w:rPr>
          <w:highlight w:val="black"/>
        </w:rPr>
      </w:pPr>
    </w:p>
    <w:p w14:paraId="33DD6197" w14:textId="735FFFC2" w:rsidR="00833F94" w:rsidRPr="00833F94" w:rsidRDefault="00833F94" w:rsidP="000F1DBF">
      <w:pPr>
        <w:spacing w:after="0"/>
        <w:contextualSpacing/>
        <w:rPr>
          <w:highlight w:val="black"/>
        </w:rPr>
      </w:pPr>
      <w:r w:rsidRPr="00833F94">
        <w:rPr>
          <w:highlight w:val="black"/>
        </w:rPr>
        <w:t>XXXXXXXXXXXXXXXXXXXXXXXXXXXXXXXXXXXXXXXXXXXXXXXXXXXXXXXXXXXXXXXXXXXXXXXXXXXXXXXXXXXXXXXXXXXXXXXXXXXXXXXXXXXXXXXXXXXXXXXXXXXXXXXXXXXXXXXXXXXXXXXXXXXXXXXXXXXXXXXXXXXXXXXXXXXXXXXXXXXXXXXXXXXXXXXXXXXXXXXXXXXXXXXXXXXXXXXXXXXXXXXXXXXXXXXXXXXXXXXXX</w:t>
      </w:r>
    </w:p>
    <w:p w14:paraId="33BB105B" w14:textId="560C08E6" w:rsidR="00833F94" w:rsidRPr="00833F94" w:rsidRDefault="00833F94" w:rsidP="007335B7">
      <w:pPr>
        <w:pStyle w:val="ListParagraph"/>
        <w:numPr>
          <w:ilvl w:val="0"/>
          <w:numId w:val="10"/>
        </w:numPr>
        <w:rPr>
          <w:highlight w:val="black"/>
        </w:rPr>
      </w:pPr>
      <w:r w:rsidRPr="00833F94">
        <w:rPr>
          <w:highlight w:val="black"/>
        </w:rPr>
        <w:t>XXXXXXXXXXXXXXXXXXXXXXXXXXXXXXXXXXXXXXXXXXXX</w:t>
      </w:r>
    </w:p>
    <w:p w14:paraId="6D0758C7" w14:textId="0D255697" w:rsidR="00941FD6" w:rsidRPr="00833F94" w:rsidRDefault="00833F94" w:rsidP="00965763">
      <w:pPr>
        <w:pStyle w:val="ListParagraph"/>
        <w:numPr>
          <w:ilvl w:val="0"/>
          <w:numId w:val="10"/>
        </w:numPr>
        <w:rPr>
          <w:highlight w:val="black"/>
        </w:rPr>
      </w:pPr>
      <w:r w:rsidRPr="00833F94">
        <w:rPr>
          <w:highlight w:val="black"/>
        </w:rPr>
        <w:t>XXXXXXXXXXXXXXXXXXXXXXXXXXXXXXXXXXXXXXXXXXXXXX</w:t>
      </w:r>
    </w:p>
    <w:p w14:paraId="698A566C" w14:textId="4D44FA41" w:rsidR="00833F94" w:rsidRPr="00833F94" w:rsidRDefault="00833F94" w:rsidP="00965763">
      <w:pPr>
        <w:pStyle w:val="ListParagraph"/>
        <w:numPr>
          <w:ilvl w:val="0"/>
          <w:numId w:val="10"/>
        </w:numPr>
        <w:rPr>
          <w:highlight w:val="black"/>
        </w:rPr>
      </w:pPr>
      <w:r w:rsidRPr="00833F94">
        <w:rPr>
          <w:highlight w:val="black"/>
        </w:rPr>
        <w:t>XXXXXXXXXXXXXXXXXXXXXXXXXXXXXXXXXXXXXXXX</w:t>
      </w:r>
    </w:p>
    <w:p w14:paraId="3AEED241" w14:textId="27E8DF80" w:rsidR="003D5604" w:rsidRDefault="003D5604" w:rsidP="003D5604">
      <w:r>
        <w:t xml:space="preserve">For further details </w:t>
      </w:r>
      <w:r w:rsidR="00CA1489">
        <w:t xml:space="preserve">about the methods </w:t>
      </w:r>
      <w:r w:rsidR="00344728">
        <w:t xml:space="preserve">used </w:t>
      </w:r>
      <w:r w:rsidR="00CA1489">
        <w:t xml:space="preserve">to estimate the eligible patient population, </w:t>
      </w:r>
      <w:r>
        <w:t xml:space="preserve">refer to </w:t>
      </w:r>
      <w:r w:rsidRPr="00F65F0D">
        <w:t>the Public Summary Document</w:t>
      </w:r>
      <w:r w:rsidR="00CA1489">
        <w:t>s</w:t>
      </w:r>
      <w:r>
        <w:t xml:space="preserve"> for </w:t>
      </w:r>
      <w:hyperlink r:id="rId24" w:history="1">
        <w:r w:rsidRPr="007D28BA">
          <w:rPr>
            <w:rStyle w:val="Hyperlink"/>
          </w:rPr>
          <w:t>Oripro</w:t>
        </w:r>
      </w:hyperlink>
      <w:r w:rsidRPr="007D28BA">
        <w:t>®</w:t>
      </w:r>
      <w:r>
        <w:t xml:space="preserve"> </w:t>
      </w:r>
      <w:r w:rsidR="00CA1489">
        <w:t xml:space="preserve">and </w:t>
      </w:r>
      <w:hyperlink r:id="rId25" w:history="1">
        <w:r w:rsidR="00CA1489" w:rsidRPr="00CA1489">
          <w:rPr>
            <w:rStyle w:val="Hyperlink"/>
          </w:rPr>
          <w:t>Utrogestan</w:t>
        </w:r>
      </w:hyperlink>
      <w:r w:rsidR="00CA1489" w:rsidRPr="007D28BA">
        <w:t>®</w:t>
      </w:r>
      <w:r w:rsidR="00CA1489">
        <w:t xml:space="preserve"> </w:t>
      </w:r>
      <w:r w:rsidRPr="00F65F0D">
        <w:t xml:space="preserve">from the </w:t>
      </w:r>
      <w:r>
        <w:t>November 2020 PBAC meeting.</w:t>
      </w:r>
    </w:p>
    <w:p w14:paraId="0D26D6FB" w14:textId="77777777" w:rsidR="00205166" w:rsidRDefault="00205166">
      <w:pPr>
        <w:spacing w:line="276" w:lineRule="auto"/>
        <w:rPr>
          <w:rFonts w:cs="Calibri"/>
          <w:b/>
        </w:rPr>
      </w:pPr>
      <w:r>
        <w:br w:type="page"/>
      </w:r>
    </w:p>
    <w:p w14:paraId="7EB33551" w14:textId="0658865A" w:rsidR="00F64359" w:rsidRDefault="00F64359" w:rsidP="00AF6C36">
      <w:pPr>
        <w:pStyle w:val="Tableheading"/>
        <w:jc w:val="left"/>
      </w:pPr>
      <w:r>
        <w:lastRenderedPageBreak/>
        <w:t xml:space="preserve">Table </w:t>
      </w:r>
      <w:r w:rsidR="00344728">
        <w:t>6</w:t>
      </w:r>
      <w:r>
        <w:t xml:space="preserve">: Predicted versus actual utilisation of </w:t>
      </w:r>
      <w:r w:rsidR="00C91734">
        <w:t>progesterone</w:t>
      </w:r>
      <w:r w:rsidR="00AF6C36">
        <w:t xml:space="preserve"> </w:t>
      </w:r>
      <w:r>
        <w:t xml:space="preserve">for the prevention of preterm </w:t>
      </w:r>
      <w:proofErr w:type="gramStart"/>
      <w:r>
        <w:t>birth</w:t>
      </w:r>
      <w:proofErr w:type="gramEnd"/>
      <w:r>
        <w:t xml:space="preserve"> </w:t>
      </w:r>
    </w:p>
    <w:tbl>
      <w:tblPr>
        <w:tblStyle w:val="TableGrid"/>
        <w:tblW w:w="9127" w:type="dxa"/>
        <w:tblLook w:val="04A0" w:firstRow="1" w:lastRow="0" w:firstColumn="1" w:lastColumn="0" w:noHBand="0" w:noVBand="1"/>
      </w:tblPr>
      <w:tblGrid>
        <w:gridCol w:w="1274"/>
        <w:gridCol w:w="1078"/>
        <w:gridCol w:w="2888"/>
        <w:gridCol w:w="3887"/>
      </w:tblGrid>
      <w:tr w:rsidR="00F64359" w:rsidRPr="00C84A75" w14:paraId="184C2F03" w14:textId="77777777" w:rsidTr="00145066">
        <w:tc>
          <w:tcPr>
            <w:tcW w:w="1274" w:type="dxa"/>
            <w:shd w:val="clear" w:color="auto" w:fill="D9D9D9" w:themeFill="background1" w:themeFillShade="D9"/>
          </w:tcPr>
          <w:p w14:paraId="3C114F0D" w14:textId="77777777" w:rsidR="00F64359" w:rsidRPr="00C84A75" w:rsidRDefault="00F64359" w:rsidP="00145066">
            <w:pPr>
              <w:spacing w:before="60" w:after="60"/>
              <w:jc w:val="center"/>
              <w:rPr>
                <w:b/>
                <w:bCs/>
                <w:sz w:val="20"/>
                <w:szCs w:val="20"/>
              </w:rPr>
            </w:pPr>
          </w:p>
        </w:tc>
        <w:tc>
          <w:tcPr>
            <w:tcW w:w="1078" w:type="dxa"/>
            <w:shd w:val="clear" w:color="auto" w:fill="D9D9D9" w:themeFill="background1" w:themeFillShade="D9"/>
          </w:tcPr>
          <w:p w14:paraId="7F126B7A" w14:textId="77777777" w:rsidR="00F64359" w:rsidRPr="00C84A75" w:rsidRDefault="00F64359" w:rsidP="00145066">
            <w:pPr>
              <w:spacing w:before="60" w:after="60"/>
              <w:jc w:val="center"/>
              <w:rPr>
                <w:b/>
                <w:bCs/>
                <w:sz w:val="20"/>
                <w:szCs w:val="20"/>
              </w:rPr>
            </w:pPr>
          </w:p>
        </w:tc>
        <w:tc>
          <w:tcPr>
            <w:tcW w:w="2888" w:type="dxa"/>
            <w:shd w:val="clear" w:color="auto" w:fill="D9D9D9" w:themeFill="background1" w:themeFillShade="D9"/>
          </w:tcPr>
          <w:p w14:paraId="00B22BA6" w14:textId="77777777" w:rsidR="00F64359" w:rsidRDefault="00F64359" w:rsidP="00145066">
            <w:pPr>
              <w:spacing w:before="60" w:after="60"/>
              <w:jc w:val="center"/>
              <w:rPr>
                <w:b/>
                <w:bCs/>
                <w:sz w:val="20"/>
                <w:szCs w:val="20"/>
              </w:rPr>
            </w:pPr>
            <w:r>
              <w:rPr>
                <w:b/>
                <w:bCs/>
                <w:sz w:val="20"/>
                <w:szCs w:val="20"/>
              </w:rPr>
              <w:t>Year 1</w:t>
            </w:r>
          </w:p>
          <w:p w14:paraId="4E412A63" w14:textId="77777777" w:rsidR="00F64359" w:rsidRPr="00C84A75" w:rsidRDefault="00F64359" w:rsidP="00145066">
            <w:pPr>
              <w:spacing w:before="60" w:after="60"/>
              <w:jc w:val="center"/>
              <w:rPr>
                <w:b/>
                <w:bCs/>
                <w:sz w:val="20"/>
                <w:szCs w:val="20"/>
              </w:rPr>
            </w:pPr>
            <w:r>
              <w:rPr>
                <w:b/>
                <w:bCs/>
                <w:sz w:val="20"/>
                <w:szCs w:val="20"/>
              </w:rPr>
              <w:t>June 2021 - May 2022</w:t>
            </w:r>
          </w:p>
        </w:tc>
        <w:tc>
          <w:tcPr>
            <w:tcW w:w="3887" w:type="dxa"/>
            <w:shd w:val="clear" w:color="auto" w:fill="D9D9D9" w:themeFill="background1" w:themeFillShade="D9"/>
          </w:tcPr>
          <w:p w14:paraId="350402D1" w14:textId="77777777" w:rsidR="00F64359" w:rsidRDefault="00F64359" w:rsidP="00145066">
            <w:pPr>
              <w:spacing w:before="60" w:after="60"/>
              <w:jc w:val="center"/>
              <w:rPr>
                <w:b/>
                <w:bCs/>
                <w:sz w:val="20"/>
                <w:szCs w:val="20"/>
              </w:rPr>
            </w:pPr>
            <w:r>
              <w:rPr>
                <w:b/>
                <w:bCs/>
                <w:sz w:val="20"/>
                <w:szCs w:val="20"/>
              </w:rPr>
              <w:t>Year 2</w:t>
            </w:r>
          </w:p>
          <w:p w14:paraId="75ECCB9D" w14:textId="77777777" w:rsidR="00F64359" w:rsidRPr="00C84A75" w:rsidRDefault="00F64359" w:rsidP="00145066">
            <w:pPr>
              <w:spacing w:before="60" w:after="60"/>
              <w:jc w:val="center"/>
              <w:rPr>
                <w:b/>
                <w:bCs/>
                <w:sz w:val="20"/>
                <w:szCs w:val="20"/>
              </w:rPr>
            </w:pPr>
            <w:r>
              <w:rPr>
                <w:b/>
                <w:bCs/>
                <w:sz w:val="20"/>
                <w:szCs w:val="20"/>
              </w:rPr>
              <w:t>June 2022 – May 2023</w:t>
            </w:r>
          </w:p>
        </w:tc>
      </w:tr>
      <w:tr w:rsidR="00DD011D" w:rsidRPr="00C84A75" w14:paraId="74CF99D9" w14:textId="77777777" w:rsidTr="00145066">
        <w:tc>
          <w:tcPr>
            <w:tcW w:w="1274" w:type="dxa"/>
            <w:vMerge w:val="restart"/>
          </w:tcPr>
          <w:p w14:paraId="3DB44C00" w14:textId="77777777" w:rsidR="00DD011D" w:rsidRPr="00C84A75" w:rsidRDefault="00DD011D" w:rsidP="00DD011D">
            <w:pPr>
              <w:spacing w:before="60" w:after="60"/>
              <w:jc w:val="center"/>
              <w:rPr>
                <w:sz w:val="20"/>
                <w:szCs w:val="20"/>
              </w:rPr>
            </w:pPr>
            <w:r w:rsidRPr="00C84A75">
              <w:rPr>
                <w:sz w:val="20"/>
                <w:szCs w:val="20"/>
              </w:rPr>
              <w:t>Patients</w:t>
            </w:r>
          </w:p>
        </w:tc>
        <w:tc>
          <w:tcPr>
            <w:tcW w:w="1078" w:type="dxa"/>
          </w:tcPr>
          <w:p w14:paraId="48D46189" w14:textId="77777777" w:rsidR="00DD011D" w:rsidRPr="00C84A75" w:rsidRDefault="00DD011D" w:rsidP="00DD011D">
            <w:pPr>
              <w:spacing w:before="60" w:after="60"/>
              <w:jc w:val="center"/>
              <w:rPr>
                <w:sz w:val="20"/>
                <w:szCs w:val="20"/>
              </w:rPr>
            </w:pPr>
            <w:r w:rsidRPr="00C84A75">
              <w:rPr>
                <w:sz w:val="20"/>
                <w:szCs w:val="20"/>
              </w:rPr>
              <w:t>Predicted</w:t>
            </w:r>
          </w:p>
        </w:tc>
        <w:tc>
          <w:tcPr>
            <w:tcW w:w="2888" w:type="dxa"/>
            <w:vAlign w:val="center"/>
          </w:tcPr>
          <w:p w14:paraId="16AE8DD4" w14:textId="7AC27DBF" w:rsidR="00DD011D" w:rsidRPr="00156D5E" w:rsidRDefault="00DD011D" w:rsidP="00DD011D">
            <w:pPr>
              <w:spacing w:before="60" w:after="60"/>
              <w:jc w:val="center"/>
              <w:rPr>
                <w:sz w:val="20"/>
                <w:szCs w:val="20"/>
                <w:highlight w:val="darkGray"/>
              </w:rPr>
            </w:pPr>
            <w:r w:rsidRPr="00496463">
              <w:rPr>
                <w:rFonts w:eastAsia="Times New Roman" w:cstheme="minorHAnsi"/>
                <w:color w:val="000000"/>
                <w:sz w:val="20"/>
                <w:szCs w:val="20"/>
                <w:highlight w:val="black"/>
              </w:rPr>
              <w:t xml:space="preserve">XXXXXX </w:t>
            </w:r>
          </w:p>
        </w:tc>
        <w:tc>
          <w:tcPr>
            <w:tcW w:w="3887" w:type="dxa"/>
            <w:vAlign w:val="center"/>
          </w:tcPr>
          <w:p w14:paraId="4183B550" w14:textId="62D67ACE" w:rsidR="00DD011D" w:rsidRPr="00156D5E" w:rsidRDefault="00DD011D" w:rsidP="00DD011D">
            <w:pPr>
              <w:spacing w:before="60" w:after="60"/>
              <w:jc w:val="center"/>
              <w:rPr>
                <w:sz w:val="20"/>
                <w:szCs w:val="20"/>
                <w:highlight w:val="darkGray"/>
              </w:rPr>
            </w:pPr>
            <w:r w:rsidRPr="00496463">
              <w:rPr>
                <w:rFonts w:eastAsia="Times New Roman" w:cstheme="minorHAnsi"/>
                <w:color w:val="000000"/>
                <w:sz w:val="20"/>
                <w:szCs w:val="20"/>
                <w:highlight w:val="black"/>
              </w:rPr>
              <w:t>XXXXXX</w:t>
            </w:r>
          </w:p>
        </w:tc>
      </w:tr>
      <w:tr w:rsidR="00DD011D" w:rsidRPr="00C84A75" w14:paraId="357E056E" w14:textId="77777777" w:rsidTr="00145066">
        <w:tc>
          <w:tcPr>
            <w:tcW w:w="1274" w:type="dxa"/>
            <w:vMerge/>
          </w:tcPr>
          <w:p w14:paraId="5B4E073A" w14:textId="77777777" w:rsidR="00DD011D" w:rsidRPr="00C84A75" w:rsidRDefault="00DD011D" w:rsidP="00DD011D">
            <w:pPr>
              <w:spacing w:before="60" w:after="60"/>
              <w:jc w:val="center"/>
              <w:rPr>
                <w:sz w:val="20"/>
                <w:szCs w:val="20"/>
              </w:rPr>
            </w:pPr>
          </w:p>
        </w:tc>
        <w:tc>
          <w:tcPr>
            <w:tcW w:w="1078" w:type="dxa"/>
          </w:tcPr>
          <w:p w14:paraId="5B781D67" w14:textId="77777777" w:rsidR="00DD011D" w:rsidRPr="00C84A75" w:rsidRDefault="00DD011D" w:rsidP="00DD011D">
            <w:pPr>
              <w:spacing w:before="60" w:after="60"/>
              <w:jc w:val="center"/>
              <w:rPr>
                <w:sz w:val="20"/>
                <w:szCs w:val="20"/>
              </w:rPr>
            </w:pPr>
            <w:r w:rsidRPr="00C84A75">
              <w:rPr>
                <w:sz w:val="20"/>
                <w:szCs w:val="20"/>
              </w:rPr>
              <w:t>Actual</w:t>
            </w:r>
          </w:p>
        </w:tc>
        <w:tc>
          <w:tcPr>
            <w:tcW w:w="2888" w:type="dxa"/>
          </w:tcPr>
          <w:p w14:paraId="2A0CD063" w14:textId="7273E220" w:rsidR="00DD011D" w:rsidRPr="00C84A75" w:rsidRDefault="00DD011D" w:rsidP="00DD011D">
            <w:pPr>
              <w:spacing w:before="60" w:after="60"/>
              <w:jc w:val="center"/>
              <w:rPr>
                <w:sz w:val="20"/>
                <w:szCs w:val="20"/>
              </w:rPr>
            </w:pPr>
            <w:r>
              <w:rPr>
                <w:sz w:val="20"/>
                <w:szCs w:val="20"/>
              </w:rPr>
              <w:t>4,841</w:t>
            </w:r>
          </w:p>
        </w:tc>
        <w:tc>
          <w:tcPr>
            <w:tcW w:w="3887" w:type="dxa"/>
          </w:tcPr>
          <w:p w14:paraId="48A322E2" w14:textId="1C2338A2" w:rsidR="00DD011D" w:rsidRDefault="00DD011D" w:rsidP="00DD011D">
            <w:pPr>
              <w:spacing w:before="60" w:after="60"/>
              <w:jc w:val="center"/>
              <w:rPr>
                <w:sz w:val="20"/>
                <w:szCs w:val="20"/>
              </w:rPr>
            </w:pPr>
            <w:r>
              <w:rPr>
                <w:sz w:val="20"/>
                <w:szCs w:val="20"/>
              </w:rPr>
              <w:t>7,424</w:t>
            </w:r>
          </w:p>
        </w:tc>
      </w:tr>
      <w:tr w:rsidR="00DD011D" w:rsidRPr="00C84A75" w14:paraId="2057E7BF" w14:textId="77777777" w:rsidTr="00145066">
        <w:tc>
          <w:tcPr>
            <w:tcW w:w="1274" w:type="dxa"/>
            <w:vMerge/>
          </w:tcPr>
          <w:p w14:paraId="3EA311D2" w14:textId="77777777" w:rsidR="00DD011D" w:rsidRPr="00C84A75" w:rsidRDefault="00DD011D" w:rsidP="00DD011D">
            <w:pPr>
              <w:spacing w:before="60" w:after="60"/>
              <w:jc w:val="center"/>
              <w:rPr>
                <w:sz w:val="20"/>
                <w:szCs w:val="20"/>
              </w:rPr>
            </w:pPr>
          </w:p>
        </w:tc>
        <w:tc>
          <w:tcPr>
            <w:tcW w:w="1078" w:type="dxa"/>
          </w:tcPr>
          <w:p w14:paraId="10EF7C5C" w14:textId="77777777" w:rsidR="00DD011D" w:rsidRPr="00C84A75" w:rsidRDefault="00DD011D" w:rsidP="00DD011D">
            <w:pPr>
              <w:spacing w:before="60" w:after="60"/>
              <w:jc w:val="center"/>
              <w:rPr>
                <w:sz w:val="20"/>
                <w:szCs w:val="20"/>
              </w:rPr>
            </w:pPr>
            <w:r w:rsidRPr="00C84A75">
              <w:rPr>
                <w:sz w:val="20"/>
                <w:szCs w:val="20"/>
              </w:rPr>
              <w:t>Difference</w:t>
            </w:r>
          </w:p>
        </w:tc>
        <w:tc>
          <w:tcPr>
            <w:tcW w:w="2888" w:type="dxa"/>
          </w:tcPr>
          <w:p w14:paraId="4E828B72" w14:textId="54FC4E2D" w:rsidR="00DD011D" w:rsidRPr="00156D5E" w:rsidRDefault="00DD011D" w:rsidP="00DD011D">
            <w:pPr>
              <w:spacing w:before="60" w:after="60"/>
              <w:jc w:val="center"/>
              <w:rPr>
                <w:sz w:val="20"/>
                <w:szCs w:val="20"/>
                <w:highlight w:val="darkGray"/>
              </w:rPr>
            </w:pPr>
            <w:r w:rsidRPr="00496463">
              <w:rPr>
                <w:sz w:val="20"/>
                <w:szCs w:val="20"/>
                <w:highlight w:val="black"/>
              </w:rPr>
              <w:t>XXXX</w:t>
            </w:r>
          </w:p>
        </w:tc>
        <w:tc>
          <w:tcPr>
            <w:tcW w:w="3887" w:type="dxa"/>
          </w:tcPr>
          <w:p w14:paraId="012C6CD5" w14:textId="0F3A2D88" w:rsidR="00DD011D" w:rsidRPr="00156D5E" w:rsidRDefault="00DD011D" w:rsidP="00DD011D">
            <w:pPr>
              <w:spacing w:before="60" w:after="60"/>
              <w:jc w:val="center"/>
              <w:rPr>
                <w:sz w:val="20"/>
                <w:szCs w:val="20"/>
                <w:highlight w:val="darkGray"/>
              </w:rPr>
            </w:pPr>
            <w:r w:rsidRPr="00496463">
              <w:rPr>
                <w:sz w:val="20"/>
                <w:szCs w:val="20"/>
                <w:highlight w:val="black"/>
              </w:rPr>
              <w:t>XXXX</w:t>
            </w:r>
          </w:p>
        </w:tc>
      </w:tr>
      <w:tr w:rsidR="00DD011D" w:rsidRPr="00C84A75" w14:paraId="455EA5CE" w14:textId="77777777" w:rsidTr="00145066">
        <w:tc>
          <w:tcPr>
            <w:tcW w:w="1274" w:type="dxa"/>
            <w:vMerge w:val="restart"/>
          </w:tcPr>
          <w:p w14:paraId="67623EFC" w14:textId="77777777" w:rsidR="00DD011D" w:rsidRPr="00C84A75" w:rsidRDefault="00DD011D" w:rsidP="00DD011D">
            <w:pPr>
              <w:spacing w:before="60" w:after="60"/>
              <w:jc w:val="center"/>
              <w:rPr>
                <w:sz w:val="20"/>
                <w:szCs w:val="20"/>
              </w:rPr>
            </w:pPr>
            <w:r w:rsidRPr="00C84A75">
              <w:rPr>
                <w:sz w:val="20"/>
                <w:szCs w:val="20"/>
              </w:rPr>
              <w:t>Prescriptions</w:t>
            </w:r>
          </w:p>
        </w:tc>
        <w:tc>
          <w:tcPr>
            <w:tcW w:w="1078" w:type="dxa"/>
          </w:tcPr>
          <w:p w14:paraId="3F174285" w14:textId="77777777" w:rsidR="00DD011D" w:rsidRPr="00C84A75" w:rsidRDefault="00DD011D" w:rsidP="00DD011D">
            <w:pPr>
              <w:spacing w:before="60" w:after="60"/>
              <w:jc w:val="center"/>
              <w:rPr>
                <w:sz w:val="20"/>
                <w:szCs w:val="20"/>
              </w:rPr>
            </w:pPr>
            <w:r w:rsidRPr="00C84A75">
              <w:rPr>
                <w:sz w:val="20"/>
                <w:szCs w:val="20"/>
              </w:rPr>
              <w:t>Predicted</w:t>
            </w:r>
          </w:p>
        </w:tc>
        <w:tc>
          <w:tcPr>
            <w:tcW w:w="2888" w:type="dxa"/>
            <w:vAlign w:val="center"/>
          </w:tcPr>
          <w:p w14:paraId="7A5FB8F0" w14:textId="58DAD6BD" w:rsidR="00DD011D" w:rsidRPr="00156D5E" w:rsidRDefault="00DD011D" w:rsidP="00DD011D">
            <w:pPr>
              <w:spacing w:before="60" w:after="60"/>
              <w:jc w:val="center"/>
              <w:rPr>
                <w:sz w:val="20"/>
                <w:szCs w:val="20"/>
                <w:highlight w:val="darkGray"/>
              </w:rPr>
            </w:pPr>
            <w:r w:rsidRPr="00496463">
              <w:rPr>
                <w:rFonts w:eastAsia="Times New Roman" w:cstheme="minorHAnsi"/>
                <w:color w:val="000000"/>
                <w:sz w:val="20"/>
                <w:szCs w:val="20"/>
                <w:highlight w:val="black"/>
              </w:rPr>
              <w:t>XXXXXX</w:t>
            </w:r>
          </w:p>
        </w:tc>
        <w:tc>
          <w:tcPr>
            <w:tcW w:w="3887" w:type="dxa"/>
            <w:vAlign w:val="center"/>
          </w:tcPr>
          <w:p w14:paraId="4546BA1C" w14:textId="16D11B1E" w:rsidR="00DD011D" w:rsidRPr="00156D5E" w:rsidRDefault="00DD011D" w:rsidP="00DD011D">
            <w:pPr>
              <w:spacing w:before="60" w:after="60"/>
              <w:jc w:val="center"/>
              <w:rPr>
                <w:sz w:val="20"/>
                <w:szCs w:val="20"/>
                <w:highlight w:val="darkGray"/>
              </w:rPr>
            </w:pPr>
            <w:r w:rsidRPr="00496463">
              <w:rPr>
                <w:rFonts w:eastAsia="Times New Roman" w:cstheme="minorHAnsi"/>
                <w:color w:val="000000"/>
                <w:sz w:val="20"/>
                <w:szCs w:val="20"/>
                <w:highlight w:val="black"/>
              </w:rPr>
              <w:t>XXXXXX</w:t>
            </w:r>
          </w:p>
        </w:tc>
      </w:tr>
      <w:tr w:rsidR="00DD011D" w:rsidRPr="00C84A75" w14:paraId="2493A00E" w14:textId="77777777" w:rsidTr="00145066">
        <w:tc>
          <w:tcPr>
            <w:tcW w:w="1274" w:type="dxa"/>
            <w:vMerge/>
          </w:tcPr>
          <w:p w14:paraId="5B0B9D4F" w14:textId="77777777" w:rsidR="00DD011D" w:rsidRPr="00C84A75" w:rsidRDefault="00DD011D" w:rsidP="00DD011D">
            <w:pPr>
              <w:spacing w:before="60" w:after="60"/>
              <w:jc w:val="center"/>
              <w:rPr>
                <w:sz w:val="20"/>
                <w:szCs w:val="20"/>
              </w:rPr>
            </w:pPr>
          </w:p>
        </w:tc>
        <w:tc>
          <w:tcPr>
            <w:tcW w:w="1078" w:type="dxa"/>
          </w:tcPr>
          <w:p w14:paraId="679ED8DB" w14:textId="77777777" w:rsidR="00DD011D" w:rsidRPr="00C84A75" w:rsidRDefault="00DD011D" w:rsidP="00DD011D">
            <w:pPr>
              <w:spacing w:before="60" w:after="60"/>
              <w:jc w:val="center"/>
              <w:rPr>
                <w:sz w:val="20"/>
                <w:szCs w:val="20"/>
              </w:rPr>
            </w:pPr>
            <w:r w:rsidRPr="00C84A75">
              <w:rPr>
                <w:sz w:val="20"/>
                <w:szCs w:val="20"/>
              </w:rPr>
              <w:t>Actual</w:t>
            </w:r>
          </w:p>
        </w:tc>
        <w:tc>
          <w:tcPr>
            <w:tcW w:w="2888" w:type="dxa"/>
            <w:vAlign w:val="bottom"/>
          </w:tcPr>
          <w:p w14:paraId="53F23EBF" w14:textId="71086D55" w:rsidR="00DD011D" w:rsidRPr="002E0655" w:rsidRDefault="00DD011D" w:rsidP="00DD011D">
            <w:pPr>
              <w:spacing w:before="60" w:after="60"/>
              <w:jc w:val="center"/>
              <w:rPr>
                <w:sz w:val="20"/>
                <w:szCs w:val="20"/>
              </w:rPr>
            </w:pPr>
            <w:r>
              <w:rPr>
                <w:sz w:val="20"/>
                <w:szCs w:val="20"/>
              </w:rPr>
              <w:t>9,878</w:t>
            </w:r>
            <w:r w:rsidRPr="002E0655">
              <w:rPr>
                <w:sz w:val="20"/>
                <w:szCs w:val="20"/>
              </w:rPr>
              <w:t xml:space="preserve"> </w:t>
            </w:r>
          </w:p>
        </w:tc>
        <w:tc>
          <w:tcPr>
            <w:tcW w:w="3887" w:type="dxa"/>
            <w:vAlign w:val="bottom"/>
          </w:tcPr>
          <w:p w14:paraId="0F5E0287" w14:textId="100FBB12" w:rsidR="00DD011D" w:rsidRPr="002E0655" w:rsidRDefault="00DD011D" w:rsidP="00DD011D">
            <w:pPr>
              <w:spacing w:before="60" w:after="60"/>
              <w:jc w:val="center"/>
              <w:rPr>
                <w:sz w:val="20"/>
                <w:szCs w:val="20"/>
              </w:rPr>
            </w:pPr>
            <w:r>
              <w:rPr>
                <w:sz w:val="20"/>
                <w:szCs w:val="20"/>
              </w:rPr>
              <w:t>15,029</w:t>
            </w:r>
          </w:p>
        </w:tc>
      </w:tr>
      <w:tr w:rsidR="00DD011D" w:rsidRPr="00C84A75" w14:paraId="04131BB6" w14:textId="77777777" w:rsidTr="00145066">
        <w:tc>
          <w:tcPr>
            <w:tcW w:w="1274" w:type="dxa"/>
            <w:vMerge/>
          </w:tcPr>
          <w:p w14:paraId="4E6FF69A" w14:textId="77777777" w:rsidR="00DD011D" w:rsidRPr="00C84A75" w:rsidRDefault="00DD011D" w:rsidP="00DD011D">
            <w:pPr>
              <w:spacing w:before="60" w:after="60"/>
              <w:jc w:val="center"/>
              <w:rPr>
                <w:sz w:val="20"/>
                <w:szCs w:val="20"/>
              </w:rPr>
            </w:pPr>
          </w:p>
        </w:tc>
        <w:tc>
          <w:tcPr>
            <w:tcW w:w="1078" w:type="dxa"/>
          </w:tcPr>
          <w:p w14:paraId="385450A8" w14:textId="77777777" w:rsidR="00DD011D" w:rsidRPr="00C84A75" w:rsidRDefault="00DD011D" w:rsidP="00DD011D">
            <w:pPr>
              <w:spacing w:before="60" w:after="60"/>
              <w:jc w:val="center"/>
              <w:rPr>
                <w:sz w:val="20"/>
                <w:szCs w:val="20"/>
              </w:rPr>
            </w:pPr>
            <w:r w:rsidRPr="00C84A75">
              <w:rPr>
                <w:sz w:val="20"/>
                <w:szCs w:val="20"/>
              </w:rPr>
              <w:t>Difference</w:t>
            </w:r>
          </w:p>
        </w:tc>
        <w:tc>
          <w:tcPr>
            <w:tcW w:w="2888" w:type="dxa"/>
          </w:tcPr>
          <w:p w14:paraId="15A7074A" w14:textId="769CD2D9" w:rsidR="00DD011D" w:rsidRPr="00156D5E" w:rsidRDefault="00DD011D" w:rsidP="00DD011D">
            <w:pPr>
              <w:spacing w:before="60" w:after="60"/>
              <w:jc w:val="center"/>
              <w:rPr>
                <w:sz w:val="20"/>
                <w:szCs w:val="20"/>
                <w:highlight w:val="darkGray"/>
              </w:rPr>
            </w:pPr>
            <w:r w:rsidRPr="00496463">
              <w:rPr>
                <w:sz w:val="20"/>
                <w:szCs w:val="20"/>
                <w:highlight w:val="black"/>
              </w:rPr>
              <w:t>XXXX</w:t>
            </w:r>
          </w:p>
        </w:tc>
        <w:tc>
          <w:tcPr>
            <w:tcW w:w="3887" w:type="dxa"/>
          </w:tcPr>
          <w:p w14:paraId="43CF5595" w14:textId="500DBA35" w:rsidR="00DD011D" w:rsidRPr="00156D5E" w:rsidRDefault="00DD011D" w:rsidP="00DD011D">
            <w:pPr>
              <w:spacing w:before="60" w:after="60"/>
              <w:jc w:val="center"/>
              <w:rPr>
                <w:sz w:val="20"/>
                <w:szCs w:val="20"/>
                <w:highlight w:val="darkGray"/>
              </w:rPr>
            </w:pPr>
            <w:r w:rsidRPr="00496463">
              <w:rPr>
                <w:sz w:val="20"/>
                <w:szCs w:val="20"/>
                <w:highlight w:val="black"/>
              </w:rPr>
              <w:t>XXXX</w:t>
            </w:r>
          </w:p>
        </w:tc>
      </w:tr>
      <w:tr w:rsidR="00DD011D" w:rsidRPr="00C84A75" w14:paraId="48BDC8BC" w14:textId="77777777" w:rsidTr="00145066">
        <w:tc>
          <w:tcPr>
            <w:tcW w:w="1274" w:type="dxa"/>
            <w:vMerge w:val="restart"/>
          </w:tcPr>
          <w:p w14:paraId="6C1ABBC7" w14:textId="77777777" w:rsidR="00DD011D" w:rsidRPr="00C84A75" w:rsidRDefault="00DD011D" w:rsidP="00DD011D">
            <w:pPr>
              <w:spacing w:before="60" w:after="60"/>
              <w:jc w:val="center"/>
              <w:rPr>
                <w:sz w:val="20"/>
                <w:szCs w:val="20"/>
              </w:rPr>
            </w:pPr>
            <w:r>
              <w:rPr>
                <w:sz w:val="20"/>
                <w:szCs w:val="20"/>
              </w:rPr>
              <w:t>Net Cost PBS/RPBS</w:t>
            </w:r>
          </w:p>
        </w:tc>
        <w:tc>
          <w:tcPr>
            <w:tcW w:w="1078" w:type="dxa"/>
          </w:tcPr>
          <w:p w14:paraId="58A2B701" w14:textId="77777777" w:rsidR="00DD011D" w:rsidRPr="00C84A75" w:rsidRDefault="00DD011D" w:rsidP="00DD011D">
            <w:pPr>
              <w:spacing w:before="60" w:after="60"/>
              <w:jc w:val="center"/>
              <w:rPr>
                <w:sz w:val="20"/>
                <w:szCs w:val="20"/>
              </w:rPr>
            </w:pPr>
            <w:r w:rsidRPr="00C84A75">
              <w:rPr>
                <w:sz w:val="20"/>
                <w:szCs w:val="20"/>
              </w:rPr>
              <w:t>Predicted</w:t>
            </w:r>
          </w:p>
        </w:tc>
        <w:tc>
          <w:tcPr>
            <w:tcW w:w="2888" w:type="dxa"/>
            <w:vAlign w:val="center"/>
          </w:tcPr>
          <w:p w14:paraId="755388FC" w14:textId="4E3D4C55" w:rsidR="00DD011D" w:rsidRPr="00156D5E" w:rsidRDefault="00DD011D" w:rsidP="00DD011D">
            <w:pPr>
              <w:spacing w:before="60" w:after="60"/>
              <w:jc w:val="center"/>
              <w:rPr>
                <w:sz w:val="20"/>
                <w:szCs w:val="20"/>
                <w:highlight w:val="darkGray"/>
              </w:rPr>
            </w:pPr>
            <w:r w:rsidRPr="00496463">
              <w:rPr>
                <w:rFonts w:eastAsia="Times New Roman" w:cstheme="minorHAnsi"/>
                <w:bCs/>
                <w:color w:val="000000"/>
                <w:sz w:val="20"/>
                <w:szCs w:val="20"/>
                <w:highlight w:val="black"/>
              </w:rPr>
              <w:t>XXXXXXXXXX</w:t>
            </w:r>
          </w:p>
        </w:tc>
        <w:tc>
          <w:tcPr>
            <w:tcW w:w="3887" w:type="dxa"/>
            <w:vAlign w:val="center"/>
          </w:tcPr>
          <w:p w14:paraId="20BB33C5" w14:textId="26196A4E" w:rsidR="00DD011D" w:rsidRPr="00156D5E" w:rsidRDefault="00DD011D" w:rsidP="00DD011D">
            <w:pPr>
              <w:spacing w:before="60" w:after="60"/>
              <w:jc w:val="center"/>
              <w:rPr>
                <w:sz w:val="20"/>
                <w:szCs w:val="20"/>
                <w:highlight w:val="darkGray"/>
              </w:rPr>
            </w:pPr>
            <w:r w:rsidRPr="00496463">
              <w:rPr>
                <w:rFonts w:eastAsia="Times New Roman" w:cstheme="minorHAnsi"/>
                <w:bCs/>
                <w:color w:val="000000"/>
                <w:sz w:val="20"/>
                <w:szCs w:val="20"/>
                <w:highlight w:val="black"/>
              </w:rPr>
              <w:t>XXXXXXXXXX</w:t>
            </w:r>
          </w:p>
        </w:tc>
      </w:tr>
      <w:tr w:rsidR="00DD011D" w:rsidRPr="00C84A75" w14:paraId="2EDF2FCD" w14:textId="77777777" w:rsidTr="00145066">
        <w:tc>
          <w:tcPr>
            <w:tcW w:w="1274" w:type="dxa"/>
            <w:vMerge/>
          </w:tcPr>
          <w:p w14:paraId="33CAA8AB" w14:textId="77777777" w:rsidR="00DD011D" w:rsidRPr="00C84A75" w:rsidRDefault="00DD011D" w:rsidP="00DD011D">
            <w:pPr>
              <w:spacing w:before="60" w:after="60"/>
              <w:jc w:val="center"/>
              <w:rPr>
                <w:sz w:val="20"/>
                <w:szCs w:val="20"/>
              </w:rPr>
            </w:pPr>
          </w:p>
        </w:tc>
        <w:tc>
          <w:tcPr>
            <w:tcW w:w="1078" w:type="dxa"/>
          </w:tcPr>
          <w:p w14:paraId="00B56FD5" w14:textId="77777777" w:rsidR="00DD011D" w:rsidRPr="00C84A75" w:rsidRDefault="00DD011D" w:rsidP="00DD011D">
            <w:pPr>
              <w:spacing w:before="60" w:after="60"/>
              <w:jc w:val="center"/>
              <w:rPr>
                <w:sz w:val="20"/>
                <w:szCs w:val="20"/>
              </w:rPr>
            </w:pPr>
            <w:r w:rsidRPr="00C84A75">
              <w:rPr>
                <w:sz w:val="20"/>
                <w:szCs w:val="20"/>
              </w:rPr>
              <w:t>Actual</w:t>
            </w:r>
          </w:p>
        </w:tc>
        <w:tc>
          <w:tcPr>
            <w:tcW w:w="2888" w:type="dxa"/>
          </w:tcPr>
          <w:p w14:paraId="4B8FEB56" w14:textId="5A2BB1F8" w:rsidR="00DD011D" w:rsidRPr="002E0655" w:rsidRDefault="00DD011D" w:rsidP="00DD011D">
            <w:pPr>
              <w:spacing w:before="60" w:after="60"/>
              <w:jc w:val="center"/>
              <w:rPr>
                <w:sz w:val="20"/>
                <w:szCs w:val="20"/>
              </w:rPr>
            </w:pPr>
            <w:r w:rsidRPr="002E0655">
              <w:rPr>
                <w:sz w:val="20"/>
                <w:szCs w:val="20"/>
              </w:rPr>
              <w:t>$</w:t>
            </w:r>
            <w:r>
              <w:rPr>
                <w:sz w:val="20"/>
                <w:szCs w:val="20"/>
              </w:rPr>
              <w:t>521,688</w:t>
            </w:r>
          </w:p>
        </w:tc>
        <w:tc>
          <w:tcPr>
            <w:tcW w:w="3887" w:type="dxa"/>
          </w:tcPr>
          <w:p w14:paraId="6B441B7B" w14:textId="05613728" w:rsidR="00DD011D" w:rsidRPr="002E0655" w:rsidRDefault="00DD011D" w:rsidP="00DD011D">
            <w:pPr>
              <w:spacing w:before="60" w:after="60"/>
              <w:jc w:val="center"/>
              <w:rPr>
                <w:sz w:val="20"/>
                <w:szCs w:val="20"/>
              </w:rPr>
            </w:pPr>
            <w:r w:rsidRPr="002E0655">
              <w:rPr>
                <w:sz w:val="20"/>
                <w:szCs w:val="20"/>
              </w:rPr>
              <w:t>$</w:t>
            </w:r>
            <w:r>
              <w:rPr>
                <w:sz w:val="20"/>
                <w:szCs w:val="20"/>
              </w:rPr>
              <w:t>1,004,448</w:t>
            </w:r>
          </w:p>
        </w:tc>
      </w:tr>
      <w:tr w:rsidR="00DD011D" w:rsidRPr="00C84A75" w14:paraId="424CA91E" w14:textId="77777777" w:rsidTr="00145066">
        <w:tc>
          <w:tcPr>
            <w:tcW w:w="1274" w:type="dxa"/>
            <w:vMerge/>
          </w:tcPr>
          <w:p w14:paraId="43399786" w14:textId="77777777" w:rsidR="00DD011D" w:rsidRPr="00C84A75" w:rsidRDefault="00DD011D" w:rsidP="00DD011D">
            <w:pPr>
              <w:spacing w:before="60" w:after="60"/>
              <w:jc w:val="center"/>
              <w:rPr>
                <w:sz w:val="20"/>
                <w:szCs w:val="20"/>
              </w:rPr>
            </w:pPr>
          </w:p>
        </w:tc>
        <w:tc>
          <w:tcPr>
            <w:tcW w:w="1078" w:type="dxa"/>
          </w:tcPr>
          <w:p w14:paraId="1376D789" w14:textId="77777777" w:rsidR="00DD011D" w:rsidRPr="00C84A75" w:rsidRDefault="00DD011D" w:rsidP="00DD011D">
            <w:pPr>
              <w:spacing w:before="60" w:after="60"/>
              <w:jc w:val="center"/>
              <w:rPr>
                <w:sz w:val="20"/>
                <w:szCs w:val="20"/>
              </w:rPr>
            </w:pPr>
            <w:r w:rsidRPr="00C84A75">
              <w:rPr>
                <w:sz w:val="20"/>
                <w:szCs w:val="20"/>
              </w:rPr>
              <w:t>Difference</w:t>
            </w:r>
          </w:p>
        </w:tc>
        <w:tc>
          <w:tcPr>
            <w:tcW w:w="2888" w:type="dxa"/>
          </w:tcPr>
          <w:p w14:paraId="51374CCE" w14:textId="3E5E40F8" w:rsidR="00DD011D" w:rsidRPr="00156D5E" w:rsidRDefault="00DD011D" w:rsidP="00DD011D">
            <w:pPr>
              <w:spacing w:before="60" w:after="60"/>
              <w:jc w:val="center"/>
              <w:rPr>
                <w:sz w:val="20"/>
                <w:szCs w:val="20"/>
                <w:highlight w:val="darkGray"/>
              </w:rPr>
            </w:pPr>
            <w:r w:rsidRPr="00496463">
              <w:rPr>
                <w:sz w:val="20"/>
                <w:szCs w:val="20"/>
                <w:highlight w:val="black"/>
              </w:rPr>
              <w:t>XXXX</w:t>
            </w:r>
          </w:p>
        </w:tc>
        <w:tc>
          <w:tcPr>
            <w:tcW w:w="3887" w:type="dxa"/>
          </w:tcPr>
          <w:p w14:paraId="518A50DA" w14:textId="35B1FDA3" w:rsidR="00DD011D" w:rsidRPr="00156D5E" w:rsidRDefault="00DD011D" w:rsidP="00DD011D">
            <w:pPr>
              <w:spacing w:before="60" w:after="60"/>
              <w:jc w:val="center"/>
              <w:rPr>
                <w:sz w:val="20"/>
                <w:szCs w:val="20"/>
                <w:highlight w:val="darkGray"/>
              </w:rPr>
            </w:pPr>
            <w:r w:rsidRPr="00496463">
              <w:rPr>
                <w:sz w:val="20"/>
                <w:szCs w:val="20"/>
                <w:highlight w:val="black"/>
              </w:rPr>
              <w:t>XXXX</w:t>
            </w:r>
          </w:p>
        </w:tc>
      </w:tr>
    </w:tbl>
    <w:p w14:paraId="5E86C2F8" w14:textId="63209774" w:rsidR="0076673C" w:rsidRDefault="00B13397" w:rsidP="00F64359">
      <w:r>
        <w:t xml:space="preserve">Note: The </w:t>
      </w:r>
      <w:r w:rsidR="00947B87">
        <w:t xml:space="preserve">predicted and </w:t>
      </w:r>
      <w:r>
        <w:t xml:space="preserve">actual figures </w:t>
      </w:r>
      <w:r w:rsidR="00947B87">
        <w:t xml:space="preserve">include </w:t>
      </w:r>
      <w:r>
        <w:t>both Oripro and Utrogestan</w:t>
      </w:r>
    </w:p>
    <w:p w14:paraId="3E6B10A3" w14:textId="41FBA21D" w:rsidR="00F64359" w:rsidRDefault="00F64359" w:rsidP="00F64359">
      <w:r>
        <w:t xml:space="preserve">Table </w:t>
      </w:r>
      <w:r w:rsidR="00344728">
        <w:t>6</w:t>
      </w:r>
      <w:r>
        <w:t xml:space="preserve"> presents a comparison of the predicted versus actual utilisation and expenditure of </w:t>
      </w:r>
      <w:r w:rsidR="00B32942">
        <w:t xml:space="preserve">progesterone treatment </w:t>
      </w:r>
      <w:r>
        <w:t xml:space="preserve">for the prevention of preterm birth since listing in June 2021. </w:t>
      </w:r>
    </w:p>
    <w:p w14:paraId="10125D7D" w14:textId="77777777" w:rsidR="0098452F" w:rsidRDefault="0098452F" w:rsidP="0098452F">
      <w:r>
        <w:t>In the first year of listing the number of patients utilising progesterone for the prevention of preterm birth was 4,841 which is</w:t>
      </w:r>
      <w:r w:rsidRPr="00496463">
        <w:rPr>
          <w:highlight w:val="black"/>
        </w:rPr>
        <w:t xml:space="preserve"> XXX</w:t>
      </w:r>
      <w:r w:rsidRPr="00496463">
        <w:t xml:space="preserve"> </w:t>
      </w:r>
      <w:r w:rsidRPr="00496463">
        <w:rPr>
          <w:highlight w:val="black"/>
        </w:rPr>
        <w:t>XXXX</w:t>
      </w:r>
      <w:r>
        <w:t xml:space="preserve"> than what was predicted. The number of patients in Year 2 was 7,424 which is </w:t>
      </w:r>
      <w:r w:rsidRPr="00496463">
        <w:rPr>
          <w:highlight w:val="black"/>
        </w:rPr>
        <w:t>XXX</w:t>
      </w:r>
      <w:r>
        <w:t xml:space="preserve"> </w:t>
      </w:r>
      <w:r w:rsidRPr="00496463">
        <w:rPr>
          <w:highlight w:val="black"/>
        </w:rPr>
        <w:t>XXXX</w:t>
      </w:r>
      <w:r>
        <w:t xml:space="preserve"> than what was predicted. </w:t>
      </w:r>
    </w:p>
    <w:p w14:paraId="2B99351D" w14:textId="77777777" w:rsidR="0098452F" w:rsidRDefault="0098452F" w:rsidP="0098452F">
      <w:r>
        <w:t xml:space="preserve">The number of prescriptions dispensed in the first year of listing was 9,878, which was </w:t>
      </w:r>
      <w:r w:rsidRPr="00496463">
        <w:rPr>
          <w:highlight w:val="black"/>
        </w:rPr>
        <w:t>XXX</w:t>
      </w:r>
      <w:r>
        <w:t xml:space="preserve"> </w:t>
      </w:r>
      <w:r w:rsidRPr="00496463">
        <w:rPr>
          <w:highlight w:val="black"/>
        </w:rPr>
        <w:t>XXXX</w:t>
      </w:r>
      <w:r>
        <w:t xml:space="preserve"> than what was predicted. The number of prescriptions in the second year of listing was 15,029, which was </w:t>
      </w:r>
      <w:r w:rsidRPr="00496463">
        <w:rPr>
          <w:highlight w:val="black"/>
        </w:rPr>
        <w:t>XXX</w:t>
      </w:r>
      <w:r>
        <w:t xml:space="preserve"> </w:t>
      </w:r>
      <w:r w:rsidRPr="00496463">
        <w:rPr>
          <w:highlight w:val="black"/>
        </w:rPr>
        <w:t>XXXX</w:t>
      </w:r>
      <w:r>
        <w:t xml:space="preserve"> than what was predicted. </w:t>
      </w:r>
    </w:p>
    <w:p w14:paraId="2F9775EC" w14:textId="77777777" w:rsidR="0098452F" w:rsidRDefault="0098452F" w:rsidP="0098452F">
      <w:r>
        <w:t xml:space="preserve">The cost to the PBS/RPBS </w:t>
      </w:r>
      <w:proofErr w:type="gramStart"/>
      <w:r>
        <w:t>are</w:t>
      </w:r>
      <w:proofErr w:type="gramEnd"/>
      <w:r>
        <w:t xml:space="preserve"> </w:t>
      </w:r>
      <w:r w:rsidRPr="005F2A6D">
        <w:rPr>
          <w:highlight w:val="black"/>
        </w:rPr>
        <w:t>XXXXX</w:t>
      </w:r>
      <w:r>
        <w:t xml:space="preserve"> than what was predicted, </w:t>
      </w:r>
      <w:r w:rsidRPr="00496463">
        <w:rPr>
          <w:highlight w:val="black"/>
        </w:rPr>
        <w:t>XXX</w:t>
      </w:r>
      <w:r>
        <w:t xml:space="preserve"> </w:t>
      </w:r>
      <w:r w:rsidRPr="00496463">
        <w:rPr>
          <w:highlight w:val="black"/>
        </w:rPr>
        <w:t>XXXX</w:t>
      </w:r>
      <w:r>
        <w:t xml:space="preserve"> in the first year of listing, and </w:t>
      </w:r>
      <w:r w:rsidRPr="00496463">
        <w:rPr>
          <w:highlight w:val="black"/>
        </w:rPr>
        <w:t>XXX</w:t>
      </w:r>
      <w:r>
        <w:t xml:space="preserve"> </w:t>
      </w:r>
      <w:r w:rsidRPr="00496463">
        <w:rPr>
          <w:highlight w:val="black"/>
        </w:rPr>
        <w:t>XXXX</w:t>
      </w:r>
      <w:r>
        <w:t xml:space="preserve"> in the second. </w:t>
      </w:r>
    </w:p>
    <w:p w14:paraId="7624F546" w14:textId="6EFD4E48" w:rsidR="00F64359" w:rsidRDefault="00F64359" w:rsidP="00F64359">
      <w:r w:rsidRPr="001B7740">
        <w:rPr>
          <w:b/>
          <w:bCs/>
          <w:u w:val="single"/>
        </w:rPr>
        <w:t>End commercial-in-</w:t>
      </w:r>
      <w:proofErr w:type="gramStart"/>
      <w:r w:rsidRPr="001B7740">
        <w:rPr>
          <w:b/>
          <w:bCs/>
          <w:u w:val="single"/>
        </w:rPr>
        <w:t>confidence</w:t>
      </w:r>
      <w:proofErr w:type="gramEnd"/>
    </w:p>
    <w:p w14:paraId="3555DFBA" w14:textId="0C9B62B2" w:rsidR="00591512" w:rsidRDefault="00AB3733" w:rsidP="00F73113">
      <w:pPr>
        <w:pStyle w:val="Heading1"/>
      </w:pPr>
      <w:r>
        <w:t>D</w:t>
      </w:r>
      <w:r w:rsidR="007346C7" w:rsidRPr="005E22C2">
        <w:t>iscussion</w:t>
      </w:r>
    </w:p>
    <w:p w14:paraId="4BB4CD14" w14:textId="77777777" w:rsidR="0098452F" w:rsidRDefault="0098452F" w:rsidP="0098452F">
      <w:r>
        <w:t xml:space="preserve">The utilisation of progesterone for the prevention of preterm birth has been </w:t>
      </w:r>
      <w:r w:rsidRPr="00496463">
        <w:rPr>
          <w:highlight w:val="black"/>
        </w:rPr>
        <w:t>XXXXX</w:t>
      </w:r>
      <w:r>
        <w:t xml:space="preserve"> than predicted. The reasons for this are unclear and may </w:t>
      </w:r>
      <w:proofErr w:type="gramStart"/>
      <w:r>
        <w:t>include;</w:t>
      </w:r>
      <w:proofErr w:type="gramEnd"/>
      <w:r>
        <w:t xml:space="preserve"> lack of knowledge and awareness of the medicine; the medicine not working as intended and not preventing preterm births; and specialists and medical practitioners in the field preferring to use different methods such as bed rest and/or a cervical stitch (cerclage).</w:t>
      </w:r>
    </w:p>
    <w:p w14:paraId="6AB7A94F" w14:textId="3F0F67E7" w:rsidR="008C257E" w:rsidRPr="008C257E" w:rsidRDefault="008C257E" w:rsidP="008C257E">
      <w:r>
        <w:t>Since listing on the PBS, overall prescriptions of progesterone for the prevention of preterm birth have increased</w:t>
      </w:r>
      <w:r w:rsidRPr="008C257E">
        <w:t xml:space="preserve">, with utilisation </w:t>
      </w:r>
      <w:r>
        <w:t xml:space="preserve">of Utrogestan </w:t>
      </w:r>
      <w:r w:rsidRPr="008C257E">
        <w:t xml:space="preserve">being </w:t>
      </w:r>
      <w:r>
        <w:t>higher than Oripro</w:t>
      </w:r>
      <w:r w:rsidR="00F94F87">
        <w:t xml:space="preserve"> (Figure 1 and Table 3)</w:t>
      </w:r>
      <w:r>
        <w:t xml:space="preserve">. </w:t>
      </w:r>
    </w:p>
    <w:p w14:paraId="22E73C6E" w14:textId="082DDFDC" w:rsidR="008C257E" w:rsidRPr="008C257E" w:rsidRDefault="008C257E" w:rsidP="008C257E">
      <w:r w:rsidRPr="008C257E">
        <w:t>S</w:t>
      </w:r>
      <w:r>
        <w:t xml:space="preserve">ince listing on 1 July 2021, the </w:t>
      </w:r>
      <w:r w:rsidR="00F94F87">
        <w:t>number of patients using</w:t>
      </w:r>
      <w:r>
        <w:t xml:space="preserve"> Utrogestan continues to increase, whereas following the initial increase </w:t>
      </w:r>
      <w:r w:rsidR="00F94F87">
        <w:t xml:space="preserve">of patients using </w:t>
      </w:r>
      <w:r>
        <w:t xml:space="preserve">Oripro (on 1 June 2021) the </w:t>
      </w:r>
      <w:r w:rsidR="00F94F87">
        <w:t xml:space="preserve">number of patients using Oripro </w:t>
      </w:r>
      <w:r>
        <w:t xml:space="preserve">appears to be </w:t>
      </w:r>
      <w:r w:rsidR="00F94F87">
        <w:t>stab</w:t>
      </w:r>
      <w:r w:rsidR="009D4CC1">
        <w:t>i</w:t>
      </w:r>
      <w:r w:rsidR="00F94F87">
        <w:t>lising (Figure 3)</w:t>
      </w:r>
      <w:r>
        <w:t>.</w:t>
      </w:r>
    </w:p>
    <w:p w14:paraId="2187D163" w14:textId="4573B175" w:rsidR="008C257E" w:rsidRPr="008C257E" w:rsidRDefault="008C257E" w:rsidP="008C257E">
      <w:r>
        <w:lastRenderedPageBreak/>
        <w:t>The age distribution of patients using progesterone to prevent preterm birth in Quarter 3 of 2023 was highest in the 30-34 year old age group, with 1018 prevalent patients and 686 initiating patients</w:t>
      </w:r>
      <w:r w:rsidR="00F94F87">
        <w:t xml:space="preserve"> (Figure 4)</w:t>
      </w:r>
      <w:r>
        <w:t xml:space="preserve">. An increased use over time can be observed for </w:t>
      </w:r>
      <w:proofErr w:type="gramStart"/>
      <w:r>
        <w:t>the majority of</w:t>
      </w:r>
      <w:proofErr w:type="gramEnd"/>
      <w:r>
        <w:t xml:space="preserve"> age groups</w:t>
      </w:r>
      <w:r w:rsidR="00F94F87">
        <w:t xml:space="preserve"> (Figure 5)</w:t>
      </w:r>
      <w:r>
        <w:t>.</w:t>
      </w:r>
    </w:p>
    <w:p w14:paraId="05EE1D39" w14:textId="59D74FD9" w:rsidR="008C257E" w:rsidRDefault="008C257E" w:rsidP="008C257E">
      <w:r w:rsidRPr="00F41B63">
        <w:t xml:space="preserve">Prior to the PBS listing of progesterone for preterm births the PBAC advised that progesterone </w:t>
      </w:r>
      <w:r>
        <w:t xml:space="preserve">would be </w:t>
      </w:r>
      <w:r w:rsidRPr="00F41B63">
        <w:t>suitable for prescribing by nurse practitioners and midwives, noting that this would support access to treatment for women in regional and remote areas.</w:t>
      </w:r>
      <w:r>
        <w:t xml:space="preserve"> T</w:t>
      </w:r>
      <w:r w:rsidR="00F94F87">
        <w:t xml:space="preserve">able 4 shows that the prescribing of progesterone for reducing preterm birth by nurse practitioners and midwives </w:t>
      </w:r>
      <w:r>
        <w:t xml:space="preserve">has </w:t>
      </w:r>
      <w:r w:rsidR="00F94F87">
        <w:t xml:space="preserve">been very low in practice. </w:t>
      </w:r>
    </w:p>
    <w:p w14:paraId="341F2754" w14:textId="54A3A243" w:rsidR="00F94F87" w:rsidRDefault="00F94F87" w:rsidP="008C257E">
      <w:r>
        <w:t xml:space="preserve">Table 4 and Figure 7 show that the most common prescriber for progesterone for the prevention of preterm birth are obstetricians and </w:t>
      </w:r>
      <w:r w:rsidR="00205CEE">
        <w:t>gynaecologists</w:t>
      </w:r>
      <w:r>
        <w:t>, followed by vocationally registered GPs and non-vocationally registered GPs.</w:t>
      </w:r>
    </w:p>
    <w:p w14:paraId="52385A58" w14:textId="4C353033" w:rsidR="008C257E" w:rsidRDefault="00E41A78" w:rsidP="00F1132C">
      <w:r>
        <w:t>Clinical g</w:t>
      </w:r>
      <w:r w:rsidR="009E099C">
        <w:t>uidelines recommend starting progesterone at 20-24 weeks until 34 weeks’ gestation to reduce preterm birth risk (American College of Obstetricians and Gynecologists 2022</w:t>
      </w:r>
      <w:r w:rsidR="00A92EE3">
        <w:t>; RANZCOG Clinical Statement November 2023</w:t>
      </w:r>
      <w:r w:rsidR="009E099C">
        <w:t xml:space="preserve">). </w:t>
      </w:r>
      <w:r w:rsidR="00A92EE3">
        <w:t xml:space="preserve">The mean and median number of prescriptions supplied per patient was 2.17 and 2, respectively. </w:t>
      </w:r>
      <w:r w:rsidR="00A00B3E">
        <w:t>This suggests that most patients are supplied progesterone for a shorter time compared to recommended use.</w:t>
      </w:r>
    </w:p>
    <w:p w14:paraId="2735C3F7" w14:textId="78327A9D" w:rsidR="00AF6C36" w:rsidRDefault="00AF6C36" w:rsidP="00AF6C36">
      <w:r>
        <w:t>AIHW</w:t>
      </w:r>
      <w:r w:rsidRPr="00AF6C36">
        <w:rPr>
          <w:vertAlign w:val="superscript"/>
        </w:rPr>
        <w:t>1</w:t>
      </w:r>
      <w:r>
        <w:t xml:space="preserve"> data shows that in 2022 there were 264,341 births of which 22,053 were pre-term (20-36 weeks), which is a rate of 8.3%. Over the same period, the PBS data shows that 5,995 women initiated treatment with PBS progesterone for prevention of pre-term birth. If progesterone treatment for the prevention of preterm birth is effective and widely used, overtime the pre-term birth rate should decrease, however this has not happened yet as the pre-term birth rate is still 8.3%.</w:t>
      </w:r>
    </w:p>
    <w:p w14:paraId="7DB172F1" w14:textId="77777777" w:rsidR="00DD6973" w:rsidRDefault="00DD6973" w:rsidP="00DD6973">
      <w:pPr>
        <w:pStyle w:val="Heading1"/>
      </w:pPr>
      <w:r>
        <w:t>DUSC consideration</w:t>
      </w:r>
    </w:p>
    <w:p w14:paraId="28510E9E" w14:textId="77777777" w:rsidR="00AF3A02" w:rsidRPr="00DE36B7" w:rsidRDefault="00AF3A02" w:rsidP="00AF3A02">
      <w:r w:rsidRPr="00DE36B7">
        <w:t>DUSC noted:</w:t>
      </w:r>
    </w:p>
    <w:p w14:paraId="48AA8602" w14:textId="77777777" w:rsidR="00AF3A02" w:rsidRPr="00DE36B7" w:rsidRDefault="00AF3A02" w:rsidP="00AF3A02">
      <w:pPr>
        <w:pStyle w:val="ListParagraph"/>
        <w:numPr>
          <w:ilvl w:val="0"/>
          <w:numId w:val="13"/>
        </w:numPr>
        <w:spacing w:line="276" w:lineRule="auto"/>
      </w:pPr>
      <w:r w:rsidRPr="00DE36B7">
        <w:t>The data might be too immature for a reduction in preterm births to be observed.</w:t>
      </w:r>
    </w:p>
    <w:p w14:paraId="50E3E6EC" w14:textId="77777777" w:rsidR="00AF3A02" w:rsidRPr="00DE36B7" w:rsidRDefault="00AF3A02" w:rsidP="00AF3A02">
      <w:pPr>
        <w:pStyle w:val="ListParagraph"/>
        <w:numPr>
          <w:ilvl w:val="0"/>
          <w:numId w:val="13"/>
        </w:numPr>
        <w:spacing w:line="276" w:lineRule="auto"/>
      </w:pPr>
      <w:r w:rsidRPr="00DE36B7">
        <w:t xml:space="preserve">The population includes new women having first births, and thus they would not have the history of preterm births that forms part of the restriction and would not be taking progesterone as a preventative measure. </w:t>
      </w:r>
    </w:p>
    <w:p w14:paraId="521ED0A9" w14:textId="77777777" w:rsidR="00AF3A02" w:rsidRPr="00DE36B7" w:rsidRDefault="00AF3A02" w:rsidP="00AF3A02">
      <w:pPr>
        <w:pStyle w:val="ListParagraph"/>
        <w:numPr>
          <w:ilvl w:val="1"/>
          <w:numId w:val="13"/>
        </w:numPr>
        <w:spacing w:line="276" w:lineRule="auto"/>
      </w:pPr>
      <w:r w:rsidRPr="00DE36B7">
        <w:t>DUSC commented that this might form part of the reasons behind why the number of preterm births has not decreased.</w:t>
      </w:r>
    </w:p>
    <w:p w14:paraId="0337D6F0" w14:textId="77777777" w:rsidR="00AF3A02" w:rsidRPr="00DE36B7" w:rsidRDefault="00AF3A02" w:rsidP="00AF3A02">
      <w:pPr>
        <w:pStyle w:val="ListParagraph"/>
        <w:numPr>
          <w:ilvl w:val="0"/>
          <w:numId w:val="13"/>
        </w:numPr>
        <w:spacing w:line="276" w:lineRule="auto"/>
      </w:pPr>
      <w:r w:rsidRPr="00DE36B7">
        <w:t xml:space="preserve">The higher utilisation of </w:t>
      </w:r>
      <w:proofErr w:type="spellStart"/>
      <w:r w:rsidRPr="00DE36B7">
        <w:t>Utrogestan</w:t>
      </w:r>
      <w:proofErr w:type="spellEnd"/>
      <w:r w:rsidRPr="00DE36B7">
        <w:t xml:space="preserve"> may be due to it being less oily than </w:t>
      </w:r>
      <w:proofErr w:type="spellStart"/>
      <w:r w:rsidRPr="00DE36B7">
        <w:t>Oripro</w:t>
      </w:r>
      <w:proofErr w:type="spellEnd"/>
      <w:r w:rsidRPr="00DE36B7">
        <w:t>, and as such being easier for women to use.</w:t>
      </w:r>
    </w:p>
    <w:p w14:paraId="103D6C1D" w14:textId="77777777" w:rsidR="00AF3A02" w:rsidRPr="00DE36B7" w:rsidRDefault="00AF3A02" w:rsidP="00AF3A02">
      <w:pPr>
        <w:pStyle w:val="ListParagraph"/>
        <w:numPr>
          <w:ilvl w:val="0"/>
          <w:numId w:val="13"/>
        </w:numPr>
        <w:spacing w:line="276" w:lineRule="auto"/>
      </w:pPr>
      <w:r w:rsidRPr="00DE36B7">
        <w:t>The mean number of scripts suggests that progesterone was being used for a shorter amount of time than predicted. DUSC commented that the guidelines recommend starting treatment at 20-24 weeks compared to the 16 weeks of the submission.</w:t>
      </w:r>
    </w:p>
    <w:p w14:paraId="1F694D7C" w14:textId="77777777" w:rsidR="00AF3A02" w:rsidRPr="00DE36B7" w:rsidRDefault="00AF3A02" w:rsidP="00AF3A02">
      <w:pPr>
        <w:pStyle w:val="ListParagraph"/>
        <w:numPr>
          <w:ilvl w:val="0"/>
          <w:numId w:val="13"/>
        </w:numPr>
        <w:spacing w:line="276" w:lineRule="auto"/>
      </w:pPr>
      <w:r w:rsidRPr="00DE36B7">
        <w:t>That perhaps women are not using the medication for long enough.</w:t>
      </w:r>
    </w:p>
    <w:p w14:paraId="25CE5A53" w14:textId="77777777" w:rsidR="00AF3A02" w:rsidRPr="00DE36B7" w:rsidRDefault="00AF3A02" w:rsidP="00AF3A02">
      <w:pPr>
        <w:pStyle w:val="ListParagraph"/>
        <w:numPr>
          <w:ilvl w:val="0"/>
          <w:numId w:val="13"/>
        </w:numPr>
        <w:spacing w:line="276" w:lineRule="auto"/>
      </w:pPr>
      <w:r w:rsidRPr="00DE36B7">
        <w:t xml:space="preserve">Nurse practitioner and midwife prescribing was low. DUSC commented that nurse practitioner numbers are low and that midwives may be less inclined to prescribe </w:t>
      </w:r>
      <w:r w:rsidRPr="00DE36B7">
        <w:lastRenderedPageBreak/>
        <w:t>progesterone as part of their care model where the guidelines direct care to be referred to a doctor/specialist.</w:t>
      </w:r>
    </w:p>
    <w:p w14:paraId="786BF88B" w14:textId="77777777" w:rsidR="00AF3A02" w:rsidRPr="00DE36B7" w:rsidRDefault="00AF3A02" w:rsidP="00DE36B7">
      <w:pPr>
        <w:pStyle w:val="ListParagraph"/>
        <w:numPr>
          <w:ilvl w:val="0"/>
          <w:numId w:val="13"/>
        </w:numPr>
        <w:spacing w:line="276" w:lineRule="auto"/>
        <w:ind w:right="-30"/>
      </w:pPr>
      <w:r w:rsidRPr="00DE36B7">
        <w:t xml:space="preserve">Pregnancy care standards are evolving. DUSC commented that </w:t>
      </w:r>
      <w:proofErr w:type="gramStart"/>
      <w:r w:rsidRPr="00DE36B7">
        <w:t>in the near future</w:t>
      </w:r>
      <w:proofErr w:type="gramEnd"/>
      <w:r w:rsidRPr="00DE36B7">
        <w:t>, detection of early cervical shortening (through cervical length measurement) will form part of routine care for pregnant women. DUSC considered that utilisation of progesterone for the prevention of preterm birth may increase as part of this change.</w:t>
      </w:r>
    </w:p>
    <w:p w14:paraId="612AD6E4" w14:textId="77777777" w:rsidR="00AF3A02" w:rsidRPr="00DE36B7" w:rsidRDefault="00AF3A02" w:rsidP="00AF3A02">
      <w:r w:rsidRPr="00DE36B7">
        <w:t>DUSC commented that:</w:t>
      </w:r>
    </w:p>
    <w:p w14:paraId="36C47F8D" w14:textId="77777777" w:rsidR="005E430A" w:rsidRDefault="001F63FD" w:rsidP="005E430A">
      <w:pPr>
        <w:pStyle w:val="ListParagraph"/>
        <w:numPr>
          <w:ilvl w:val="0"/>
          <w:numId w:val="14"/>
        </w:numPr>
        <w:spacing w:line="276" w:lineRule="auto"/>
      </w:pPr>
      <w:r>
        <w:t>A</w:t>
      </w:r>
      <w:r w:rsidRPr="00816067">
        <w:t xml:space="preserve"> future review should only be undertaken once the data has had time to mature, and changes in birthing practices and patient care models have had time to flow through to be represented in the data.</w:t>
      </w:r>
    </w:p>
    <w:p w14:paraId="682627E6" w14:textId="1CEC7801" w:rsidR="005E430A" w:rsidRPr="00816067" w:rsidRDefault="00AF3A02" w:rsidP="005E430A">
      <w:pPr>
        <w:pStyle w:val="ListParagraph"/>
        <w:numPr>
          <w:ilvl w:val="0"/>
          <w:numId w:val="14"/>
        </w:numPr>
        <w:spacing w:line="276" w:lineRule="auto"/>
      </w:pPr>
      <w:r w:rsidRPr="00DE36B7">
        <w:t>Reviewing use in high-risk population groups (</w:t>
      </w:r>
      <w:proofErr w:type="gramStart"/>
      <w:r w:rsidRPr="00DE36B7">
        <w:t>i.e.</w:t>
      </w:r>
      <w:proofErr w:type="gramEnd"/>
      <w:r w:rsidRPr="00DE36B7">
        <w:t xml:space="preserve"> smokers, via linking with smoking cessation medicines) would be beneficial.</w:t>
      </w:r>
      <w:r w:rsidR="005E430A">
        <w:t xml:space="preserve"> </w:t>
      </w:r>
      <w:r w:rsidR="005E430A" w:rsidRPr="00816067">
        <w:t>DUSC suggested incorporating geographical data in future analyses.</w:t>
      </w:r>
    </w:p>
    <w:p w14:paraId="0FCB2E3D" w14:textId="5E60BC82" w:rsidR="00AF3A02" w:rsidRPr="00AF3A02" w:rsidRDefault="00AF3A02" w:rsidP="005E430A">
      <w:pPr>
        <w:pStyle w:val="ListParagraph"/>
        <w:numPr>
          <w:ilvl w:val="0"/>
          <w:numId w:val="14"/>
        </w:numPr>
        <w:spacing w:line="276" w:lineRule="auto"/>
      </w:pPr>
      <w:r w:rsidRPr="00DE36B7">
        <w:t>A breakdown of utilisation for the Indigenous population through the S100 RAS program could be useful, noting that Indigenous women mostly receive care through midwives. DUSC discussed if this model of care was appropriate for Indigenous women.</w:t>
      </w:r>
      <w:r w:rsidR="005E430A">
        <w:t xml:space="preserve"> </w:t>
      </w:r>
    </w:p>
    <w:p w14:paraId="00B98818" w14:textId="77777777" w:rsidR="00AF3A02" w:rsidRPr="00AF3A02" w:rsidRDefault="00AF3A02" w:rsidP="00AF3A02">
      <w:pPr>
        <w:pStyle w:val="ListParagraph"/>
        <w:numPr>
          <w:ilvl w:val="0"/>
          <w:numId w:val="14"/>
        </w:numPr>
        <w:spacing w:line="276" w:lineRule="auto"/>
      </w:pPr>
      <w:r w:rsidRPr="00DE36B7">
        <w:t>There might be leakage into the IVF market for women who have increased numbers of scripts or are using higher doses.</w:t>
      </w:r>
    </w:p>
    <w:p w14:paraId="2ECBFE48" w14:textId="782520C6" w:rsidR="001310AE" w:rsidRDefault="00C050B6" w:rsidP="00F73113">
      <w:pPr>
        <w:pStyle w:val="Heading1"/>
      </w:pPr>
      <w:r w:rsidRPr="00C050B6">
        <w:t xml:space="preserve">Actions undertaken by the </w:t>
      </w:r>
      <w:r w:rsidR="00801E74">
        <w:t xml:space="preserve">DUSC </w:t>
      </w:r>
      <w:r w:rsidRPr="00C050B6">
        <w:t>Secretariat</w:t>
      </w:r>
    </w:p>
    <w:p w14:paraId="3F558DC1" w14:textId="77777777" w:rsidR="00323C1D" w:rsidRDefault="00323C1D" w:rsidP="00323C1D">
      <w:pPr>
        <w:rPr>
          <w:rFonts w:cstheme="minorHAnsi"/>
          <w:color w:val="222222"/>
          <w:shd w:val="clear" w:color="auto" w:fill="FFFFFF"/>
        </w:rPr>
      </w:pPr>
      <w:r>
        <w:rPr>
          <w:rFonts w:cstheme="minorHAnsi"/>
          <w:color w:val="222222"/>
          <w:shd w:val="clear" w:color="auto" w:fill="FFFFFF"/>
        </w:rPr>
        <w:t xml:space="preserve">DUSC requested the report be provided to the PBAC for consideration. </w:t>
      </w:r>
    </w:p>
    <w:p w14:paraId="39BA739A" w14:textId="77777777" w:rsidR="002C138F" w:rsidRDefault="002C138F" w:rsidP="002C138F">
      <w:pPr>
        <w:pStyle w:val="Heading1"/>
      </w:pPr>
      <w:r w:rsidRPr="0092516A">
        <w:t>Context for analysis</w:t>
      </w:r>
    </w:p>
    <w:p w14:paraId="40F19FA8" w14:textId="77777777" w:rsidR="002C138F" w:rsidRDefault="002C138F" w:rsidP="002C138F">
      <w:r>
        <w:t>The DUSC is a Sub Committee of the Pharmaceutical Benefits Advisory Committee (PBAC). The DUSC assesses estimates on projected usage and financial cost of medicines.</w:t>
      </w:r>
    </w:p>
    <w:p w14:paraId="1086B92A" w14:textId="77777777" w:rsidR="002C138F" w:rsidRDefault="002C138F" w:rsidP="002C138F">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1B7A3E87" w14:textId="77777777" w:rsidR="002C138F" w:rsidRDefault="002C138F" w:rsidP="002C138F">
      <w:r>
        <w:t xml:space="preserve">The DUSC operates in accordance with the quality use of medicines objective of the National Medicines Policy and considers that the DUSC utilisation analyses will assist consumers and health professionals to better understand the costs, </w:t>
      </w:r>
      <w:proofErr w:type="gramStart"/>
      <w:r>
        <w:t>benefits</w:t>
      </w:r>
      <w:proofErr w:type="gramEnd"/>
      <w:r>
        <w:t xml:space="preserve"> and risks of medicines.</w:t>
      </w:r>
    </w:p>
    <w:p w14:paraId="3BBD7259" w14:textId="77777777" w:rsidR="002C138F" w:rsidRDefault="002C138F" w:rsidP="00DE36B7">
      <w:pPr>
        <w:ind w:right="-172"/>
      </w:pPr>
      <w:r>
        <w:t>The utilisation analysis report was provided to the pharmaceutical sponsors of each drug and comments on the report were provided to DUSC prior to its consideration of the analysis.</w:t>
      </w:r>
    </w:p>
    <w:p w14:paraId="6DD887BC" w14:textId="77777777" w:rsidR="002C138F" w:rsidRDefault="002C138F" w:rsidP="002C138F">
      <w:pPr>
        <w:pStyle w:val="Heading1"/>
      </w:pPr>
      <w:r>
        <w:lastRenderedPageBreak/>
        <w:t>Sponsor</w:t>
      </w:r>
      <w:r w:rsidRPr="0092516A">
        <w:t>s</w:t>
      </w:r>
      <w:r>
        <w:t>’</w:t>
      </w:r>
      <w:r w:rsidRPr="0092516A">
        <w:t xml:space="preserve"> comments</w:t>
      </w:r>
    </w:p>
    <w:p w14:paraId="2CB7286D" w14:textId="14EBA06C" w:rsidR="003E5AF5" w:rsidRPr="00110428" w:rsidRDefault="007D5BDB">
      <w:pPr>
        <w:spacing w:line="276" w:lineRule="auto"/>
      </w:pPr>
      <w:proofErr w:type="spellStart"/>
      <w:r w:rsidRPr="00110428">
        <w:t>Besins</w:t>
      </w:r>
      <w:proofErr w:type="spellEnd"/>
      <w:r w:rsidRPr="00110428">
        <w:t xml:space="preserve"> </w:t>
      </w:r>
      <w:r w:rsidR="002D1BEB" w:rsidRPr="00110428">
        <w:t>Healthcare Australia Pty Ltd:</w:t>
      </w:r>
      <w:r w:rsidR="00110428" w:rsidRPr="00110428">
        <w:t xml:space="preserve"> </w:t>
      </w:r>
      <w:r w:rsidR="00110428" w:rsidRPr="00110428">
        <w:t>The sponsor has no comment</w:t>
      </w:r>
      <w:r w:rsidR="00110428">
        <w:t>.</w:t>
      </w:r>
    </w:p>
    <w:p w14:paraId="7C239D7B" w14:textId="5E379212" w:rsidR="002D1BEB" w:rsidRDefault="002D1BEB">
      <w:pPr>
        <w:spacing w:line="276" w:lineRule="auto"/>
      </w:pPr>
      <w:r w:rsidRPr="00110428">
        <w:t>Orion Lab</w:t>
      </w:r>
      <w:r w:rsidR="001D7953" w:rsidRPr="00110428">
        <w:t>oratories PTY Ltd:</w:t>
      </w:r>
      <w:r w:rsidR="00110428" w:rsidRPr="00110428">
        <w:t xml:space="preserve"> </w:t>
      </w:r>
      <w:r w:rsidR="00110428" w:rsidRPr="00110428">
        <w:t>The sponsor has no comment</w:t>
      </w:r>
      <w:r w:rsidR="00110428">
        <w:t>.</w:t>
      </w:r>
    </w:p>
    <w:p w14:paraId="603A3510" w14:textId="77777777" w:rsidR="003E5AF5" w:rsidRDefault="003E5AF5" w:rsidP="003E5AF5">
      <w:pPr>
        <w:pStyle w:val="Heading1"/>
      </w:pPr>
      <w:r w:rsidRPr="00A4020E">
        <w:t>Disclaimer</w:t>
      </w:r>
    </w:p>
    <w:p w14:paraId="341294F5" w14:textId="77777777" w:rsidR="003E5AF5" w:rsidRDefault="003E5AF5" w:rsidP="003E5AF5">
      <w:r>
        <w:t xml:space="preserve">The information provided in this report does not constitute medical advice and is not intended to take the place of professional medical advice or care.  It is not intended to define what constitutes reasonable, </w:t>
      </w:r>
      <w:proofErr w:type="gramStart"/>
      <w:r>
        <w:t>appropriate</w:t>
      </w:r>
      <w:proofErr w:type="gramEnd"/>
      <w:r>
        <w:t xml:space="preserve"> or best care for any individual for any given health issue.  The information should not be used as a substitute for the judgement and skill of a medical practitioner.</w:t>
      </w:r>
    </w:p>
    <w:p w14:paraId="47E9554B" w14:textId="77777777" w:rsidR="003E5AF5" w:rsidRDefault="003E5AF5" w:rsidP="003E5AF5">
      <w:r>
        <w:t xml:space="preserve">The Department of Health and Aged Care has made all reasonable efforts to ensure that information provided in this report is accurate. The information provided in this report was </w:t>
      </w:r>
      <w:proofErr w:type="gramStart"/>
      <w:r>
        <w:t>up-to-date</w:t>
      </w:r>
      <w:proofErr w:type="gramEnd"/>
      <w:r>
        <w:t xml:space="preserve"> when it was considered by the Drug Utilisation Sub-committee of the Pharmaceutical Benefits Advisory Committee.  The context for that information may have changed since publication.</w:t>
      </w:r>
    </w:p>
    <w:p w14:paraId="5D79F35D" w14:textId="77777777" w:rsidR="003E5AF5" w:rsidRDefault="003E5AF5" w:rsidP="00151D96">
      <w:pPr>
        <w:ind w:right="-172"/>
      </w:pPr>
      <w:r>
        <w:t xml:space="preserve">To the extent provided by law, the Department of Health and Aged Care makes no warranties or representations as to accuracy or completeness of information contained in this report. </w:t>
      </w:r>
    </w:p>
    <w:p w14:paraId="2A7A1DD0" w14:textId="77777777" w:rsidR="003E5AF5" w:rsidRDefault="003E5AF5" w:rsidP="003E5AF5">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592083E3" w14:textId="69E2612F" w:rsidR="00A9673C" w:rsidRDefault="00A9673C">
      <w:pPr>
        <w:spacing w:line="276" w:lineRule="auto"/>
        <w:rPr>
          <w:rFonts w:eastAsiaTheme="majorEastAsia" w:cstheme="majorBidi"/>
          <w:b/>
          <w:bCs/>
          <w:sz w:val="32"/>
          <w:szCs w:val="32"/>
        </w:rPr>
      </w:pPr>
      <w:r>
        <w:br w:type="page"/>
      </w:r>
    </w:p>
    <w:p w14:paraId="35AA6988" w14:textId="25BCDABE" w:rsidR="004B306F" w:rsidRDefault="004B306F" w:rsidP="00F73113">
      <w:pPr>
        <w:pStyle w:val="Heading1"/>
      </w:pPr>
      <w:r>
        <w:lastRenderedPageBreak/>
        <w:t>References</w:t>
      </w:r>
    </w:p>
    <w:p w14:paraId="0959518D" w14:textId="04B3A06F" w:rsidR="009E099C" w:rsidRPr="009E099C" w:rsidRDefault="009E099C" w:rsidP="009E099C">
      <w:pPr>
        <w:pStyle w:val="Heading1"/>
        <w:shd w:val="clear" w:color="auto" w:fill="FFFFFF"/>
        <w:rPr>
          <w:rFonts w:eastAsiaTheme="minorEastAsia" w:cstheme="minorBidi"/>
          <w:b w:val="0"/>
          <w:bCs w:val="0"/>
          <w:sz w:val="24"/>
          <w:szCs w:val="24"/>
        </w:rPr>
      </w:pPr>
      <w:bookmarkStart w:id="5" w:name="_Hlk148963327"/>
      <w:r w:rsidRPr="009E099C">
        <w:rPr>
          <w:rFonts w:eastAsiaTheme="minorEastAsia" w:cstheme="minorBidi"/>
          <w:b w:val="0"/>
          <w:bCs w:val="0"/>
          <w:sz w:val="24"/>
          <w:szCs w:val="24"/>
        </w:rPr>
        <w:t>American College of Obstetricians and Gynecologists</w:t>
      </w:r>
      <w:r>
        <w:rPr>
          <w:rFonts w:eastAsiaTheme="minorEastAsia" w:cstheme="minorBidi"/>
          <w:b w:val="0"/>
          <w:bCs w:val="0"/>
          <w:sz w:val="24"/>
          <w:szCs w:val="24"/>
        </w:rPr>
        <w:t xml:space="preserve">. </w:t>
      </w:r>
      <w:r w:rsidRPr="009E099C">
        <w:rPr>
          <w:rFonts w:eastAsiaTheme="minorEastAsia" w:cstheme="minorBidi"/>
          <w:b w:val="0"/>
          <w:bCs w:val="0"/>
          <w:sz w:val="24"/>
          <w:szCs w:val="24"/>
        </w:rPr>
        <w:t>Practice Guidelines - Predicting and Preventing Preterm Birth: Recommendations From ACOG</w:t>
      </w:r>
      <w:r>
        <w:rPr>
          <w:rFonts w:eastAsiaTheme="minorEastAsia" w:cstheme="minorBidi"/>
          <w:b w:val="0"/>
          <w:bCs w:val="0"/>
          <w:sz w:val="24"/>
          <w:szCs w:val="24"/>
        </w:rPr>
        <w:t xml:space="preserve">. </w:t>
      </w:r>
      <w:r w:rsidRPr="009E099C">
        <w:rPr>
          <w:rFonts w:eastAsiaTheme="minorEastAsia" w:cstheme="minorBidi"/>
          <w:b w:val="0"/>
          <w:bCs w:val="0"/>
          <w:sz w:val="24"/>
          <w:szCs w:val="24"/>
        </w:rPr>
        <w:t>Am Fam Physician. 2022;106(3):337-339</w:t>
      </w:r>
      <w:r w:rsidR="00A92EE3">
        <w:rPr>
          <w:rFonts w:eastAsiaTheme="minorEastAsia" w:cstheme="minorBidi"/>
          <w:b w:val="0"/>
          <w:bCs w:val="0"/>
          <w:sz w:val="24"/>
          <w:szCs w:val="24"/>
        </w:rPr>
        <w:t>.</w:t>
      </w:r>
    </w:p>
    <w:p w14:paraId="151D120B" w14:textId="107DDF38" w:rsidR="00A92EE3" w:rsidRDefault="00A92EE3" w:rsidP="00B643CE">
      <w:r w:rsidRPr="00A92EE3">
        <w:t xml:space="preserve">RANZCOG Clinical Statement November 2023– C Obs 29b Progesterone – Use in the second and third trimester. Accessed on 19 December 2023 at: </w:t>
      </w:r>
      <w:hyperlink r:id="rId26" w:history="1">
        <w:r w:rsidR="004C3B13" w:rsidRPr="00A42E7E">
          <w:rPr>
            <w:rStyle w:val="Hyperlink"/>
          </w:rPr>
          <w:t>https://ranzcog.edu.au/wp-content/uploads/2022/05/Progesterone-Use-in-the-second-and-third-trimester-of-pregnancy-for-the-prevention-of-preterm-birth.pdf</w:t>
        </w:r>
      </w:hyperlink>
    </w:p>
    <w:p w14:paraId="193B2433" w14:textId="43D67396" w:rsidR="00B643CE" w:rsidRDefault="00B643CE" w:rsidP="00B643CE">
      <w:r w:rsidRPr="00B643CE">
        <w:t>Oripro</w:t>
      </w:r>
      <w:r>
        <w:t xml:space="preserve"> </w:t>
      </w:r>
      <w:r w:rsidRPr="00926481">
        <w:t>(</w:t>
      </w:r>
      <w:r>
        <w:t>progesterone</w:t>
      </w:r>
      <w:r w:rsidRPr="00926481">
        <w:t>). Australian Approved Product Information.</w:t>
      </w:r>
      <w:r>
        <w:t xml:space="preserve"> </w:t>
      </w:r>
      <w:r w:rsidRPr="00B643CE">
        <w:t>Orion Laboratories Pty Ltd,</w:t>
      </w:r>
      <w:r w:rsidRPr="00926481">
        <w:t xml:space="preserve"> Approved </w:t>
      </w:r>
      <w:r>
        <w:t>December 2003</w:t>
      </w:r>
      <w:r w:rsidRPr="00926481">
        <w:t xml:space="preserve">, updated </w:t>
      </w:r>
      <w:r>
        <w:t>12 November 2019</w:t>
      </w:r>
      <w:r w:rsidRPr="00926481">
        <w:t>. Available from</w:t>
      </w:r>
      <w:r>
        <w:t xml:space="preserve"> </w:t>
      </w:r>
      <w:hyperlink r:id="rId27" w:history="1">
        <w:r w:rsidRPr="00934FDB">
          <w:rPr>
            <w:rStyle w:val="Hyperlink"/>
          </w:rPr>
          <w:t>https://www.ebs.tga.gov.au/ebs/picmi/picmirepository.nsf/pdf?OpenAgent&amp;id=CP-2013-PI-01724-1&amp;d=20231023172310101</w:t>
        </w:r>
      </w:hyperlink>
    </w:p>
    <w:p w14:paraId="598CBF5A" w14:textId="065C2D1B" w:rsidR="00B643CE" w:rsidRDefault="00B643CE" w:rsidP="00B643CE">
      <w:pPr>
        <w:pStyle w:val="FootnoteText"/>
        <w:rPr>
          <w:sz w:val="24"/>
          <w:szCs w:val="24"/>
        </w:rPr>
      </w:pPr>
      <w:r w:rsidRPr="00B643CE">
        <w:rPr>
          <w:sz w:val="24"/>
          <w:szCs w:val="24"/>
        </w:rPr>
        <w:t>Prometrium</w:t>
      </w:r>
      <w:r w:rsidRPr="00926481">
        <w:rPr>
          <w:sz w:val="24"/>
          <w:szCs w:val="24"/>
        </w:rPr>
        <w:t xml:space="preserve"> (</w:t>
      </w:r>
      <w:r>
        <w:rPr>
          <w:sz w:val="24"/>
          <w:szCs w:val="24"/>
        </w:rPr>
        <w:t>progesterone</w:t>
      </w:r>
      <w:r w:rsidRPr="00926481">
        <w:rPr>
          <w:sz w:val="24"/>
          <w:szCs w:val="24"/>
        </w:rPr>
        <w:t>). Australian Approved Product Information.</w:t>
      </w:r>
      <w:r>
        <w:rPr>
          <w:sz w:val="24"/>
          <w:szCs w:val="24"/>
        </w:rPr>
        <w:t xml:space="preserve"> </w:t>
      </w:r>
      <w:r w:rsidRPr="00B643CE">
        <w:rPr>
          <w:sz w:val="24"/>
          <w:szCs w:val="24"/>
        </w:rPr>
        <w:t>Besins Healthcare Australia Pty Ltd,</w:t>
      </w:r>
      <w:r w:rsidRPr="00926481">
        <w:rPr>
          <w:sz w:val="24"/>
          <w:szCs w:val="24"/>
        </w:rPr>
        <w:t xml:space="preserve"> Approved </w:t>
      </w:r>
      <w:r>
        <w:rPr>
          <w:sz w:val="24"/>
          <w:szCs w:val="24"/>
        </w:rPr>
        <w:t>20 June</w:t>
      </w:r>
      <w:r w:rsidRPr="00926481">
        <w:rPr>
          <w:sz w:val="24"/>
          <w:szCs w:val="24"/>
        </w:rPr>
        <w:t xml:space="preserve"> 20</w:t>
      </w:r>
      <w:r>
        <w:rPr>
          <w:sz w:val="24"/>
          <w:szCs w:val="24"/>
        </w:rPr>
        <w:t>16</w:t>
      </w:r>
      <w:r w:rsidRPr="00926481">
        <w:rPr>
          <w:sz w:val="24"/>
          <w:szCs w:val="24"/>
        </w:rPr>
        <w:t xml:space="preserve">, updated </w:t>
      </w:r>
      <w:r>
        <w:rPr>
          <w:sz w:val="24"/>
          <w:szCs w:val="24"/>
        </w:rPr>
        <w:t>1 February 2022</w:t>
      </w:r>
      <w:r w:rsidRPr="00926481">
        <w:rPr>
          <w:sz w:val="24"/>
          <w:szCs w:val="24"/>
        </w:rPr>
        <w:t xml:space="preserve">. Available from </w:t>
      </w:r>
      <w:bookmarkEnd w:id="5"/>
      <w:r>
        <w:rPr>
          <w:sz w:val="24"/>
          <w:szCs w:val="24"/>
        </w:rPr>
        <w:fldChar w:fldCharType="begin"/>
      </w:r>
      <w:r>
        <w:rPr>
          <w:sz w:val="24"/>
          <w:szCs w:val="24"/>
        </w:rPr>
        <w:instrText xml:space="preserve"> HYPERLINK "</w:instrText>
      </w:r>
      <w:r w:rsidRPr="00B643CE">
        <w:rPr>
          <w:sz w:val="24"/>
          <w:szCs w:val="24"/>
        </w:rPr>
        <w:instrText>https://www.ebs.tga.gov.au/ebs/picmi/picmirepository.nsf/pdf?OpenAgent&amp;id=CP-2016-PI-02089-1</w:instrText>
      </w:r>
      <w:r>
        <w:rPr>
          <w:sz w:val="24"/>
          <w:szCs w:val="24"/>
        </w:rPr>
        <w:instrText xml:space="preserve">" </w:instrText>
      </w:r>
      <w:r>
        <w:rPr>
          <w:sz w:val="24"/>
          <w:szCs w:val="24"/>
        </w:rPr>
      </w:r>
      <w:r>
        <w:rPr>
          <w:sz w:val="24"/>
          <w:szCs w:val="24"/>
        </w:rPr>
        <w:fldChar w:fldCharType="separate"/>
      </w:r>
      <w:r w:rsidRPr="00934FDB">
        <w:rPr>
          <w:rStyle w:val="Hyperlink"/>
          <w:sz w:val="24"/>
          <w:szCs w:val="24"/>
        </w:rPr>
        <w:t>https://www.ebs.tga.gov.au/ebs/picmi/picmirepository.nsf/pdf?OpenAgent&amp;id=CP-2016-PI-02089-1</w:t>
      </w:r>
      <w:r>
        <w:rPr>
          <w:sz w:val="24"/>
          <w:szCs w:val="24"/>
        </w:rPr>
        <w:fldChar w:fldCharType="end"/>
      </w:r>
    </w:p>
    <w:p w14:paraId="20343568" w14:textId="77777777" w:rsidR="00B643CE" w:rsidRPr="00926481" w:rsidRDefault="00B643CE" w:rsidP="00B643CE">
      <w:pPr>
        <w:pStyle w:val="FootnoteText"/>
        <w:rPr>
          <w:sz w:val="24"/>
          <w:szCs w:val="24"/>
        </w:rPr>
      </w:pPr>
    </w:p>
    <w:p w14:paraId="1206F034" w14:textId="4CAC5CB8" w:rsidR="00B643CE" w:rsidRDefault="00B643CE" w:rsidP="00792948">
      <w:r>
        <w:t>Utrogesan</w:t>
      </w:r>
      <w:r w:rsidRPr="00926481">
        <w:t xml:space="preserve"> (</w:t>
      </w:r>
      <w:r>
        <w:t>progesterone</w:t>
      </w:r>
      <w:r w:rsidRPr="00926481">
        <w:t>). Australian Approved Product Information.</w:t>
      </w:r>
      <w:r>
        <w:t xml:space="preserve"> </w:t>
      </w:r>
      <w:r w:rsidRPr="00B643CE">
        <w:t>Besins Healthcare Australia Pty Ltd,</w:t>
      </w:r>
      <w:r w:rsidRPr="00926481">
        <w:t xml:space="preserve"> Approved </w:t>
      </w:r>
      <w:r>
        <w:t>12 July</w:t>
      </w:r>
      <w:r w:rsidRPr="00926481">
        <w:t xml:space="preserve"> 20</w:t>
      </w:r>
      <w:r>
        <w:t>16</w:t>
      </w:r>
      <w:r w:rsidRPr="00926481">
        <w:t xml:space="preserve">, updated </w:t>
      </w:r>
      <w:r>
        <w:t>22 February 2022</w:t>
      </w:r>
      <w:r w:rsidRPr="00926481">
        <w:t>. Available from</w:t>
      </w:r>
      <w:r>
        <w:t xml:space="preserve"> </w:t>
      </w:r>
      <w:hyperlink r:id="rId28" w:history="1">
        <w:r w:rsidRPr="00934FDB">
          <w:rPr>
            <w:rStyle w:val="Hyperlink"/>
          </w:rPr>
          <w:t>https://www.ebs.tga.gov.au/ebs/picmi/picmirepository.nsf/pdf?OpenAgent&amp;id=CP-2016-PI-02351-1</w:t>
        </w:r>
      </w:hyperlink>
    </w:p>
    <w:p w14:paraId="51503E64" w14:textId="0733EC80" w:rsidR="001759B8" w:rsidRDefault="001759B8" w:rsidP="001759B8">
      <w:pPr>
        <w:pStyle w:val="Heading1"/>
        <w:shd w:val="clear" w:color="auto" w:fill="FFFFFF"/>
        <w:spacing w:before="0" w:after="330"/>
        <w:rPr>
          <w:rStyle w:val="Hyperlink"/>
          <w:rFonts w:eastAsiaTheme="minorEastAsia" w:cstheme="minorBidi"/>
          <w:b w:val="0"/>
          <w:bCs w:val="0"/>
          <w:sz w:val="24"/>
          <w:szCs w:val="24"/>
        </w:rPr>
      </w:pPr>
      <w:r>
        <w:rPr>
          <w:rFonts w:eastAsiaTheme="minorEastAsia" w:cstheme="minorBidi"/>
          <w:b w:val="0"/>
          <w:bCs w:val="0"/>
          <w:sz w:val="24"/>
          <w:szCs w:val="24"/>
        </w:rPr>
        <w:t xml:space="preserve">Oripro </w:t>
      </w:r>
      <w:r w:rsidRPr="001759B8">
        <w:rPr>
          <w:rFonts w:eastAsiaTheme="minorEastAsia" w:cstheme="minorBidi"/>
          <w:b w:val="0"/>
          <w:bCs w:val="0"/>
          <w:sz w:val="24"/>
          <w:szCs w:val="24"/>
        </w:rPr>
        <w:t>PBAC Public Summary Documents – November 2020</w:t>
      </w:r>
      <w:r>
        <w:rPr>
          <w:rFonts w:eastAsiaTheme="minorEastAsia" w:cstheme="minorBidi"/>
          <w:b w:val="0"/>
          <w:bCs w:val="0"/>
          <w:sz w:val="24"/>
          <w:szCs w:val="24"/>
        </w:rPr>
        <w:t xml:space="preserve">. Available from </w:t>
      </w:r>
      <w:hyperlink r:id="rId29" w:history="1">
        <w:r w:rsidRPr="001759B8">
          <w:rPr>
            <w:rStyle w:val="Hyperlink"/>
            <w:rFonts w:eastAsiaTheme="minorEastAsia" w:cstheme="minorBidi"/>
            <w:b w:val="0"/>
            <w:bCs w:val="0"/>
            <w:sz w:val="24"/>
            <w:szCs w:val="24"/>
          </w:rPr>
          <w:t>https://www.pbs.gov.au/info/industry/listing/elements/pbac-meetings/psd/2020-11/progesterone-pessary-200-mg-oripro</w:t>
        </w:r>
      </w:hyperlink>
    </w:p>
    <w:p w14:paraId="3F86C17B" w14:textId="0530017D" w:rsidR="001759B8" w:rsidRDefault="001759B8" w:rsidP="001759B8">
      <w:pPr>
        <w:pStyle w:val="Heading1"/>
        <w:shd w:val="clear" w:color="auto" w:fill="FFFFFF"/>
        <w:spacing w:before="0" w:after="330"/>
        <w:rPr>
          <w:rFonts w:eastAsiaTheme="minorEastAsia" w:cstheme="minorBidi"/>
          <w:b w:val="0"/>
          <w:bCs w:val="0"/>
          <w:sz w:val="24"/>
          <w:szCs w:val="24"/>
        </w:rPr>
      </w:pPr>
      <w:r w:rsidRPr="001759B8">
        <w:rPr>
          <w:rFonts w:eastAsiaTheme="minorEastAsia" w:cstheme="minorBidi"/>
          <w:b w:val="0"/>
          <w:bCs w:val="0"/>
          <w:sz w:val="24"/>
          <w:szCs w:val="24"/>
        </w:rPr>
        <w:t>Utrogestan PBAC Public Summary Documents – November 2020. Available from</w:t>
      </w:r>
      <w:r>
        <w:rPr>
          <w:rFonts w:eastAsiaTheme="minorEastAsia" w:cstheme="minorBidi"/>
          <w:b w:val="0"/>
          <w:bCs w:val="0"/>
          <w:sz w:val="24"/>
          <w:szCs w:val="24"/>
        </w:rPr>
        <w:t xml:space="preserve"> </w:t>
      </w:r>
      <w:hyperlink r:id="rId30" w:history="1">
        <w:r w:rsidRPr="00A42E7E">
          <w:rPr>
            <w:rStyle w:val="Hyperlink"/>
            <w:rFonts w:eastAsiaTheme="minorEastAsia" w:cstheme="minorBidi"/>
            <w:b w:val="0"/>
            <w:bCs w:val="0"/>
            <w:sz w:val="24"/>
            <w:szCs w:val="24"/>
          </w:rPr>
          <w:t>https://www.pbs.gov.au/info/industry/listing/elements/pbac-meetings/psd/2020-11/progesterone-capsule-200-mg-utrogestan</w:t>
        </w:r>
      </w:hyperlink>
    </w:p>
    <w:p w14:paraId="6A4DB41D" w14:textId="77777777" w:rsidR="001759B8" w:rsidRPr="001759B8" w:rsidRDefault="001759B8" w:rsidP="001759B8"/>
    <w:p w14:paraId="2734D20B" w14:textId="77777777" w:rsidR="001759B8" w:rsidRPr="00792948" w:rsidRDefault="001759B8" w:rsidP="00792948"/>
    <w:p w14:paraId="0FBC379F" w14:textId="77777777" w:rsidR="00765BAF" w:rsidRDefault="00765BAF" w:rsidP="00F73113">
      <w:pPr>
        <w:pStyle w:val="Heading1"/>
      </w:pPr>
    </w:p>
    <w:p w14:paraId="52AF5198" w14:textId="77777777" w:rsidR="00765BAF" w:rsidRDefault="00765BAF">
      <w:pPr>
        <w:spacing w:line="276" w:lineRule="auto"/>
        <w:rPr>
          <w:rFonts w:eastAsiaTheme="majorEastAsia" w:cstheme="majorBidi"/>
          <w:b/>
          <w:bCs/>
          <w:sz w:val="32"/>
          <w:szCs w:val="32"/>
        </w:rPr>
      </w:pPr>
      <w:r>
        <w:br w:type="page"/>
      </w:r>
    </w:p>
    <w:p w14:paraId="00B752C5" w14:textId="47EF9DF2" w:rsidR="009A537C" w:rsidRDefault="009A537C" w:rsidP="009A537C">
      <w:pPr>
        <w:rPr>
          <w:b/>
          <w:sz w:val="28"/>
        </w:rPr>
      </w:pPr>
      <w:r>
        <w:rPr>
          <w:b/>
          <w:sz w:val="28"/>
        </w:rPr>
        <w:lastRenderedPageBreak/>
        <w:t xml:space="preserve">Appendix A:  </w:t>
      </w:r>
      <w:r w:rsidR="00765BAF">
        <w:rPr>
          <w:b/>
          <w:sz w:val="28"/>
        </w:rPr>
        <w:t xml:space="preserve">Prescriber types included in the “Other” </w:t>
      </w:r>
      <w:r w:rsidR="003D70D8">
        <w:rPr>
          <w:b/>
          <w:sz w:val="28"/>
        </w:rPr>
        <w:t>category.</w:t>
      </w:r>
    </w:p>
    <w:tbl>
      <w:tblPr>
        <w:tblW w:w="4040" w:type="dxa"/>
        <w:tblLook w:val="04A0" w:firstRow="1" w:lastRow="0" w:firstColumn="1" w:lastColumn="0" w:noHBand="0" w:noVBand="1"/>
      </w:tblPr>
      <w:tblGrid>
        <w:gridCol w:w="4040"/>
      </w:tblGrid>
      <w:tr w:rsidR="00765BAF" w:rsidRPr="00765BAF" w14:paraId="1B84F45C" w14:textId="77777777" w:rsidTr="00765BAF">
        <w:trPr>
          <w:trHeight w:val="288"/>
        </w:trPr>
        <w:tc>
          <w:tcPr>
            <w:tcW w:w="4040" w:type="dxa"/>
            <w:tcBorders>
              <w:top w:val="nil"/>
              <w:left w:val="nil"/>
              <w:bottom w:val="nil"/>
              <w:right w:val="nil"/>
            </w:tcBorders>
            <w:shd w:val="clear" w:color="auto" w:fill="auto"/>
            <w:noWrap/>
            <w:vAlign w:val="bottom"/>
            <w:hideMark/>
          </w:tcPr>
          <w:p w14:paraId="225B16C3" w14:textId="5E47AF1B"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Endocrinology</w:t>
            </w:r>
            <w:r>
              <w:rPr>
                <w:rFonts w:ascii="Calibri" w:eastAsia="Times New Roman" w:hAnsi="Calibri" w:cs="Calibri"/>
                <w:sz w:val="22"/>
                <w:szCs w:val="22"/>
              </w:rPr>
              <w:t xml:space="preserve">, </w:t>
            </w:r>
          </w:p>
        </w:tc>
      </w:tr>
      <w:tr w:rsidR="00765BAF" w:rsidRPr="00765BAF" w14:paraId="3278C0D2" w14:textId="77777777" w:rsidTr="00765BAF">
        <w:trPr>
          <w:trHeight w:val="288"/>
        </w:trPr>
        <w:tc>
          <w:tcPr>
            <w:tcW w:w="4040" w:type="dxa"/>
            <w:tcBorders>
              <w:top w:val="nil"/>
              <w:left w:val="nil"/>
              <w:bottom w:val="nil"/>
              <w:right w:val="nil"/>
            </w:tcBorders>
            <w:shd w:val="clear" w:color="auto" w:fill="auto"/>
            <w:noWrap/>
            <w:vAlign w:val="bottom"/>
            <w:hideMark/>
          </w:tcPr>
          <w:p w14:paraId="569F25C4"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Midwife</w:t>
            </w:r>
          </w:p>
        </w:tc>
      </w:tr>
      <w:tr w:rsidR="00765BAF" w:rsidRPr="00765BAF" w14:paraId="14EEED46" w14:textId="77777777" w:rsidTr="00765BAF">
        <w:trPr>
          <w:trHeight w:val="288"/>
        </w:trPr>
        <w:tc>
          <w:tcPr>
            <w:tcW w:w="4040" w:type="dxa"/>
            <w:tcBorders>
              <w:top w:val="nil"/>
              <w:left w:val="nil"/>
              <w:bottom w:val="nil"/>
              <w:right w:val="nil"/>
            </w:tcBorders>
            <w:shd w:val="clear" w:color="auto" w:fill="auto"/>
            <w:noWrap/>
            <w:vAlign w:val="bottom"/>
            <w:hideMark/>
          </w:tcPr>
          <w:p w14:paraId="5D8A125A"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Intensive Care</w:t>
            </w:r>
          </w:p>
        </w:tc>
      </w:tr>
      <w:tr w:rsidR="00765BAF" w:rsidRPr="00765BAF" w14:paraId="0F214EDB" w14:textId="77777777" w:rsidTr="00765BAF">
        <w:trPr>
          <w:trHeight w:val="288"/>
        </w:trPr>
        <w:tc>
          <w:tcPr>
            <w:tcW w:w="4040" w:type="dxa"/>
            <w:tcBorders>
              <w:top w:val="nil"/>
              <w:left w:val="nil"/>
              <w:bottom w:val="nil"/>
              <w:right w:val="nil"/>
            </w:tcBorders>
            <w:shd w:val="clear" w:color="auto" w:fill="auto"/>
            <w:noWrap/>
            <w:vAlign w:val="bottom"/>
            <w:hideMark/>
          </w:tcPr>
          <w:p w14:paraId="2D116375"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Urogynaecology</w:t>
            </w:r>
          </w:p>
        </w:tc>
      </w:tr>
      <w:tr w:rsidR="00765BAF" w:rsidRPr="00765BAF" w14:paraId="681FC246" w14:textId="77777777" w:rsidTr="00765BAF">
        <w:trPr>
          <w:trHeight w:val="288"/>
        </w:trPr>
        <w:tc>
          <w:tcPr>
            <w:tcW w:w="4040" w:type="dxa"/>
            <w:tcBorders>
              <w:top w:val="nil"/>
              <w:left w:val="nil"/>
              <w:bottom w:val="nil"/>
              <w:right w:val="nil"/>
            </w:tcBorders>
            <w:shd w:val="clear" w:color="auto" w:fill="auto"/>
            <w:noWrap/>
            <w:vAlign w:val="bottom"/>
            <w:hideMark/>
          </w:tcPr>
          <w:p w14:paraId="0BDAE8C0"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Nurse Practitioner</w:t>
            </w:r>
          </w:p>
        </w:tc>
      </w:tr>
      <w:tr w:rsidR="00765BAF" w:rsidRPr="00765BAF" w14:paraId="5C8ADFE1" w14:textId="77777777" w:rsidTr="00765BAF">
        <w:trPr>
          <w:trHeight w:val="288"/>
        </w:trPr>
        <w:tc>
          <w:tcPr>
            <w:tcW w:w="4040" w:type="dxa"/>
            <w:tcBorders>
              <w:top w:val="nil"/>
              <w:left w:val="nil"/>
              <w:bottom w:val="nil"/>
              <w:right w:val="nil"/>
            </w:tcBorders>
            <w:shd w:val="clear" w:color="auto" w:fill="auto"/>
            <w:noWrap/>
            <w:vAlign w:val="bottom"/>
            <w:hideMark/>
          </w:tcPr>
          <w:p w14:paraId="256CDDEF"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Anaesthetics</w:t>
            </w:r>
          </w:p>
        </w:tc>
      </w:tr>
      <w:tr w:rsidR="00765BAF" w:rsidRPr="00765BAF" w14:paraId="7A0B2C36" w14:textId="77777777" w:rsidTr="00765BAF">
        <w:trPr>
          <w:trHeight w:val="288"/>
        </w:trPr>
        <w:tc>
          <w:tcPr>
            <w:tcW w:w="4040" w:type="dxa"/>
            <w:tcBorders>
              <w:top w:val="nil"/>
              <w:left w:val="nil"/>
              <w:bottom w:val="nil"/>
              <w:right w:val="nil"/>
            </w:tcBorders>
            <w:shd w:val="clear" w:color="auto" w:fill="auto"/>
            <w:noWrap/>
            <w:vAlign w:val="bottom"/>
            <w:hideMark/>
          </w:tcPr>
          <w:p w14:paraId="56BBB492"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Nephrology</w:t>
            </w:r>
          </w:p>
        </w:tc>
      </w:tr>
      <w:tr w:rsidR="00765BAF" w:rsidRPr="00765BAF" w14:paraId="7A308912" w14:textId="77777777" w:rsidTr="00765BAF">
        <w:trPr>
          <w:trHeight w:val="288"/>
        </w:trPr>
        <w:tc>
          <w:tcPr>
            <w:tcW w:w="4040" w:type="dxa"/>
            <w:tcBorders>
              <w:top w:val="nil"/>
              <w:left w:val="nil"/>
              <w:bottom w:val="nil"/>
              <w:right w:val="nil"/>
            </w:tcBorders>
            <w:shd w:val="clear" w:color="auto" w:fill="auto"/>
            <w:noWrap/>
            <w:vAlign w:val="bottom"/>
            <w:hideMark/>
          </w:tcPr>
          <w:p w14:paraId="19AC1865"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Paediatric Medicine</w:t>
            </w:r>
          </w:p>
        </w:tc>
      </w:tr>
      <w:tr w:rsidR="00765BAF" w:rsidRPr="00765BAF" w14:paraId="3D4ACB39" w14:textId="77777777" w:rsidTr="00765BAF">
        <w:trPr>
          <w:trHeight w:val="288"/>
        </w:trPr>
        <w:tc>
          <w:tcPr>
            <w:tcW w:w="4040" w:type="dxa"/>
            <w:tcBorders>
              <w:top w:val="nil"/>
              <w:left w:val="nil"/>
              <w:bottom w:val="nil"/>
              <w:right w:val="nil"/>
            </w:tcBorders>
            <w:shd w:val="clear" w:color="auto" w:fill="auto"/>
            <w:noWrap/>
            <w:vAlign w:val="bottom"/>
            <w:hideMark/>
          </w:tcPr>
          <w:p w14:paraId="33076217"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Surgery</w:t>
            </w:r>
          </w:p>
        </w:tc>
      </w:tr>
      <w:tr w:rsidR="00765BAF" w:rsidRPr="00765BAF" w14:paraId="67DF4B7E" w14:textId="77777777" w:rsidTr="00765BAF">
        <w:trPr>
          <w:trHeight w:val="288"/>
        </w:trPr>
        <w:tc>
          <w:tcPr>
            <w:tcW w:w="4040" w:type="dxa"/>
            <w:tcBorders>
              <w:top w:val="nil"/>
              <w:left w:val="nil"/>
              <w:bottom w:val="nil"/>
              <w:right w:val="nil"/>
            </w:tcBorders>
            <w:shd w:val="clear" w:color="auto" w:fill="auto"/>
            <w:noWrap/>
            <w:vAlign w:val="bottom"/>
            <w:hideMark/>
          </w:tcPr>
          <w:p w14:paraId="79630C64"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Internal Medicine</w:t>
            </w:r>
          </w:p>
        </w:tc>
      </w:tr>
      <w:tr w:rsidR="00765BAF" w:rsidRPr="00765BAF" w14:paraId="0A2C5E8E" w14:textId="77777777" w:rsidTr="00765BAF">
        <w:trPr>
          <w:trHeight w:val="288"/>
        </w:trPr>
        <w:tc>
          <w:tcPr>
            <w:tcW w:w="4040" w:type="dxa"/>
            <w:tcBorders>
              <w:top w:val="nil"/>
              <w:left w:val="nil"/>
              <w:bottom w:val="nil"/>
              <w:right w:val="nil"/>
            </w:tcBorders>
            <w:shd w:val="clear" w:color="auto" w:fill="auto"/>
            <w:noWrap/>
            <w:vAlign w:val="bottom"/>
            <w:hideMark/>
          </w:tcPr>
          <w:p w14:paraId="7C6001A7"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Maternal-foetal Medicine</w:t>
            </w:r>
          </w:p>
        </w:tc>
      </w:tr>
      <w:tr w:rsidR="00765BAF" w:rsidRPr="00765BAF" w14:paraId="61443BBA" w14:textId="77777777" w:rsidTr="00765BAF">
        <w:trPr>
          <w:trHeight w:val="288"/>
        </w:trPr>
        <w:tc>
          <w:tcPr>
            <w:tcW w:w="4040" w:type="dxa"/>
            <w:tcBorders>
              <w:top w:val="nil"/>
              <w:left w:val="nil"/>
              <w:bottom w:val="nil"/>
              <w:right w:val="nil"/>
            </w:tcBorders>
            <w:shd w:val="clear" w:color="auto" w:fill="auto"/>
            <w:noWrap/>
            <w:vAlign w:val="bottom"/>
            <w:hideMark/>
          </w:tcPr>
          <w:p w14:paraId="63341CDD"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Respiratory and Sleep Medicine</w:t>
            </w:r>
          </w:p>
        </w:tc>
      </w:tr>
      <w:tr w:rsidR="00765BAF" w:rsidRPr="00765BAF" w14:paraId="4784D58F" w14:textId="77777777" w:rsidTr="00765BAF">
        <w:trPr>
          <w:trHeight w:val="288"/>
        </w:trPr>
        <w:tc>
          <w:tcPr>
            <w:tcW w:w="4040" w:type="dxa"/>
            <w:tcBorders>
              <w:top w:val="nil"/>
              <w:left w:val="nil"/>
              <w:bottom w:val="nil"/>
              <w:right w:val="nil"/>
            </w:tcBorders>
            <w:shd w:val="clear" w:color="auto" w:fill="auto"/>
            <w:noWrap/>
            <w:vAlign w:val="bottom"/>
            <w:hideMark/>
          </w:tcPr>
          <w:p w14:paraId="11B42890"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Ophthalmology</w:t>
            </w:r>
          </w:p>
        </w:tc>
      </w:tr>
      <w:tr w:rsidR="00765BAF" w:rsidRPr="00765BAF" w14:paraId="2F67AE0F" w14:textId="77777777" w:rsidTr="00765BAF">
        <w:trPr>
          <w:trHeight w:val="288"/>
        </w:trPr>
        <w:tc>
          <w:tcPr>
            <w:tcW w:w="4040" w:type="dxa"/>
            <w:tcBorders>
              <w:top w:val="nil"/>
              <w:left w:val="nil"/>
              <w:bottom w:val="nil"/>
              <w:right w:val="nil"/>
            </w:tcBorders>
            <w:shd w:val="clear" w:color="auto" w:fill="auto"/>
            <w:noWrap/>
            <w:vAlign w:val="bottom"/>
            <w:hideMark/>
          </w:tcPr>
          <w:p w14:paraId="4E01A019" w14:textId="18BEBB82"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E</w:t>
            </w:r>
            <w:r w:rsidR="003D70D8">
              <w:rPr>
                <w:rFonts w:ascii="Calibri" w:eastAsia="Times New Roman" w:hAnsi="Calibri" w:cs="Calibri"/>
                <w:sz w:val="22"/>
                <w:szCs w:val="22"/>
              </w:rPr>
              <w:t xml:space="preserve">ar, </w:t>
            </w:r>
            <w:r w:rsidRPr="00765BAF">
              <w:rPr>
                <w:rFonts w:ascii="Calibri" w:eastAsia="Times New Roman" w:hAnsi="Calibri" w:cs="Calibri"/>
                <w:sz w:val="22"/>
                <w:szCs w:val="22"/>
              </w:rPr>
              <w:t>N</w:t>
            </w:r>
            <w:r w:rsidR="003D70D8">
              <w:rPr>
                <w:rFonts w:ascii="Calibri" w:eastAsia="Times New Roman" w:hAnsi="Calibri" w:cs="Calibri"/>
                <w:sz w:val="22"/>
                <w:szCs w:val="22"/>
              </w:rPr>
              <w:t xml:space="preserve">ose and </w:t>
            </w:r>
            <w:r w:rsidRPr="00765BAF">
              <w:rPr>
                <w:rFonts w:ascii="Calibri" w:eastAsia="Times New Roman" w:hAnsi="Calibri" w:cs="Calibri"/>
                <w:sz w:val="22"/>
                <w:szCs w:val="22"/>
              </w:rPr>
              <w:t>T</w:t>
            </w:r>
            <w:r w:rsidR="003D70D8">
              <w:rPr>
                <w:rFonts w:ascii="Calibri" w:eastAsia="Times New Roman" w:hAnsi="Calibri" w:cs="Calibri"/>
                <w:sz w:val="22"/>
                <w:szCs w:val="22"/>
              </w:rPr>
              <w:t xml:space="preserve">hroat </w:t>
            </w:r>
          </w:p>
        </w:tc>
      </w:tr>
      <w:tr w:rsidR="00765BAF" w:rsidRPr="00765BAF" w14:paraId="3FFD0006" w14:textId="77777777" w:rsidTr="00765BAF">
        <w:trPr>
          <w:trHeight w:val="288"/>
        </w:trPr>
        <w:tc>
          <w:tcPr>
            <w:tcW w:w="4040" w:type="dxa"/>
            <w:tcBorders>
              <w:top w:val="nil"/>
              <w:left w:val="nil"/>
              <w:bottom w:val="nil"/>
              <w:right w:val="nil"/>
            </w:tcBorders>
            <w:shd w:val="clear" w:color="auto" w:fill="auto"/>
            <w:noWrap/>
            <w:vAlign w:val="bottom"/>
            <w:hideMark/>
          </w:tcPr>
          <w:p w14:paraId="378D3A29"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Oral and Maxillofacial Surgery</w:t>
            </w:r>
          </w:p>
        </w:tc>
      </w:tr>
      <w:tr w:rsidR="00765BAF" w:rsidRPr="00765BAF" w14:paraId="01CF3EDF" w14:textId="77777777" w:rsidTr="00765BAF">
        <w:trPr>
          <w:trHeight w:val="288"/>
        </w:trPr>
        <w:tc>
          <w:tcPr>
            <w:tcW w:w="4040" w:type="dxa"/>
            <w:tcBorders>
              <w:top w:val="nil"/>
              <w:left w:val="nil"/>
              <w:bottom w:val="nil"/>
              <w:right w:val="nil"/>
            </w:tcBorders>
            <w:shd w:val="clear" w:color="auto" w:fill="auto"/>
            <w:noWrap/>
            <w:vAlign w:val="bottom"/>
            <w:hideMark/>
          </w:tcPr>
          <w:p w14:paraId="67F6CACE"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Palliative Medicine</w:t>
            </w:r>
          </w:p>
        </w:tc>
      </w:tr>
      <w:tr w:rsidR="00765BAF" w:rsidRPr="00765BAF" w14:paraId="7F0F00E5" w14:textId="77777777" w:rsidTr="00765BAF">
        <w:trPr>
          <w:trHeight w:val="288"/>
        </w:trPr>
        <w:tc>
          <w:tcPr>
            <w:tcW w:w="4040" w:type="dxa"/>
            <w:tcBorders>
              <w:top w:val="nil"/>
              <w:left w:val="nil"/>
              <w:bottom w:val="nil"/>
              <w:right w:val="nil"/>
            </w:tcBorders>
            <w:shd w:val="clear" w:color="auto" w:fill="auto"/>
            <w:noWrap/>
            <w:vAlign w:val="bottom"/>
            <w:hideMark/>
          </w:tcPr>
          <w:p w14:paraId="06AB920F"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Psychiatry</w:t>
            </w:r>
          </w:p>
        </w:tc>
      </w:tr>
      <w:tr w:rsidR="00765BAF" w:rsidRPr="00765BAF" w14:paraId="572D2498" w14:textId="77777777" w:rsidTr="00765BAF">
        <w:trPr>
          <w:trHeight w:val="288"/>
        </w:trPr>
        <w:tc>
          <w:tcPr>
            <w:tcW w:w="4040" w:type="dxa"/>
            <w:tcBorders>
              <w:top w:val="nil"/>
              <w:left w:val="nil"/>
              <w:bottom w:val="nil"/>
              <w:right w:val="nil"/>
            </w:tcBorders>
            <w:shd w:val="clear" w:color="auto" w:fill="auto"/>
            <w:noWrap/>
            <w:vAlign w:val="bottom"/>
            <w:hideMark/>
          </w:tcPr>
          <w:p w14:paraId="7DA251E8"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GP Unclassified</w:t>
            </w:r>
          </w:p>
        </w:tc>
      </w:tr>
      <w:tr w:rsidR="00765BAF" w:rsidRPr="00765BAF" w14:paraId="6610ADE8" w14:textId="77777777" w:rsidTr="00765BAF">
        <w:trPr>
          <w:trHeight w:val="288"/>
        </w:trPr>
        <w:tc>
          <w:tcPr>
            <w:tcW w:w="4040" w:type="dxa"/>
            <w:tcBorders>
              <w:top w:val="nil"/>
              <w:left w:val="nil"/>
              <w:bottom w:val="nil"/>
              <w:right w:val="nil"/>
            </w:tcBorders>
            <w:shd w:val="clear" w:color="auto" w:fill="auto"/>
            <w:noWrap/>
            <w:vAlign w:val="bottom"/>
            <w:hideMark/>
          </w:tcPr>
          <w:p w14:paraId="79E1CA09"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Occupational &amp; Environmental Medicine</w:t>
            </w:r>
          </w:p>
        </w:tc>
      </w:tr>
      <w:tr w:rsidR="00765BAF" w:rsidRPr="00765BAF" w14:paraId="17E3F569" w14:textId="77777777" w:rsidTr="00765BAF">
        <w:trPr>
          <w:trHeight w:val="288"/>
        </w:trPr>
        <w:tc>
          <w:tcPr>
            <w:tcW w:w="4040" w:type="dxa"/>
            <w:tcBorders>
              <w:top w:val="nil"/>
              <w:left w:val="nil"/>
              <w:bottom w:val="nil"/>
              <w:right w:val="nil"/>
            </w:tcBorders>
            <w:shd w:val="clear" w:color="auto" w:fill="auto"/>
            <w:noWrap/>
            <w:vAlign w:val="bottom"/>
            <w:hideMark/>
          </w:tcPr>
          <w:p w14:paraId="28EC9A30"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Rehabilitation Medicine</w:t>
            </w:r>
          </w:p>
        </w:tc>
      </w:tr>
      <w:tr w:rsidR="00765BAF" w:rsidRPr="00765BAF" w14:paraId="09EB661B" w14:textId="77777777" w:rsidTr="00765BAF">
        <w:trPr>
          <w:trHeight w:val="288"/>
        </w:trPr>
        <w:tc>
          <w:tcPr>
            <w:tcW w:w="4040" w:type="dxa"/>
            <w:tcBorders>
              <w:top w:val="nil"/>
              <w:left w:val="nil"/>
              <w:bottom w:val="nil"/>
              <w:right w:val="nil"/>
            </w:tcBorders>
            <w:shd w:val="clear" w:color="auto" w:fill="auto"/>
            <w:noWrap/>
            <w:vAlign w:val="bottom"/>
            <w:hideMark/>
          </w:tcPr>
          <w:p w14:paraId="1F4A8C0C"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Geriatric Medicine</w:t>
            </w:r>
          </w:p>
        </w:tc>
      </w:tr>
      <w:tr w:rsidR="00765BAF" w:rsidRPr="00765BAF" w14:paraId="18C550EC" w14:textId="77777777" w:rsidTr="00765BAF">
        <w:trPr>
          <w:trHeight w:val="288"/>
        </w:trPr>
        <w:tc>
          <w:tcPr>
            <w:tcW w:w="4040" w:type="dxa"/>
            <w:tcBorders>
              <w:top w:val="nil"/>
              <w:left w:val="nil"/>
              <w:bottom w:val="nil"/>
              <w:right w:val="nil"/>
            </w:tcBorders>
            <w:shd w:val="clear" w:color="auto" w:fill="auto"/>
            <w:noWrap/>
            <w:vAlign w:val="bottom"/>
            <w:hideMark/>
          </w:tcPr>
          <w:p w14:paraId="26B8C0B3"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Cardiology</w:t>
            </w:r>
          </w:p>
        </w:tc>
      </w:tr>
      <w:tr w:rsidR="00765BAF" w:rsidRPr="00765BAF" w14:paraId="6D40A3F5" w14:textId="77777777" w:rsidTr="00765BAF">
        <w:trPr>
          <w:trHeight w:val="288"/>
        </w:trPr>
        <w:tc>
          <w:tcPr>
            <w:tcW w:w="4040" w:type="dxa"/>
            <w:tcBorders>
              <w:top w:val="nil"/>
              <w:left w:val="nil"/>
              <w:bottom w:val="nil"/>
              <w:right w:val="nil"/>
            </w:tcBorders>
            <w:shd w:val="clear" w:color="auto" w:fill="auto"/>
            <w:noWrap/>
            <w:vAlign w:val="bottom"/>
            <w:hideMark/>
          </w:tcPr>
          <w:p w14:paraId="64BE228F"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Medical Oncology</w:t>
            </w:r>
          </w:p>
        </w:tc>
      </w:tr>
      <w:tr w:rsidR="00765BAF" w:rsidRPr="00765BAF" w14:paraId="7AB5B560" w14:textId="77777777" w:rsidTr="00765BAF">
        <w:trPr>
          <w:trHeight w:val="288"/>
        </w:trPr>
        <w:tc>
          <w:tcPr>
            <w:tcW w:w="4040" w:type="dxa"/>
            <w:tcBorders>
              <w:top w:val="nil"/>
              <w:left w:val="nil"/>
              <w:bottom w:val="nil"/>
              <w:right w:val="nil"/>
            </w:tcBorders>
            <w:shd w:val="clear" w:color="auto" w:fill="auto"/>
            <w:noWrap/>
            <w:vAlign w:val="bottom"/>
            <w:hideMark/>
          </w:tcPr>
          <w:p w14:paraId="63DEF04D"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Gastroenterology and Hepatology</w:t>
            </w:r>
          </w:p>
        </w:tc>
      </w:tr>
      <w:tr w:rsidR="00765BAF" w:rsidRPr="00765BAF" w14:paraId="0FEF7A5B" w14:textId="77777777" w:rsidTr="00765BAF">
        <w:trPr>
          <w:trHeight w:val="288"/>
        </w:trPr>
        <w:tc>
          <w:tcPr>
            <w:tcW w:w="4040" w:type="dxa"/>
            <w:tcBorders>
              <w:top w:val="nil"/>
              <w:left w:val="nil"/>
              <w:bottom w:val="nil"/>
              <w:right w:val="nil"/>
            </w:tcBorders>
            <w:shd w:val="clear" w:color="auto" w:fill="auto"/>
            <w:noWrap/>
            <w:vAlign w:val="bottom"/>
            <w:hideMark/>
          </w:tcPr>
          <w:p w14:paraId="27FC2A4C"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Neurology</w:t>
            </w:r>
          </w:p>
        </w:tc>
      </w:tr>
      <w:tr w:rsidR="00765BAF" w:rsidRPr="00765BAF" w14:paraId="3510649A" w14:textId="77777777" w:rsidTr="00765BAF">
        <w:trPr>
          <w:trHeight w:val="288"/>
        </w:trPr>
        <w:tc>
          <w:tcPr>
            <w:tcW w:w="4040" w:type="dxa"/>
            <w:tcBorders>
              <w:top w:val="nil"/>
              <w:left w:val="nil"/>
              <w:bottom w:val="nil"/>
              <w:right w:val="nil"/>
            </w:tcBorders>
            <w:shd w:val="clear" w:color="auto" w:fill="auto"/>
            <w:noWrap/>
            <w:vAlign w:val="bottom"/>
            <w:hideMark/>
          </w:tcPr>
          <w:p w14:paraId="7135B93E"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Rheumatology</w:t>
            </w:r>
          </w:p>
        </w:tc>
      </w:tr>
      <w:tr w:rsidR="00765BAF" w:rsidRPr="00765BAF" w14:paraId="2C4C4B5D" w14:textId="77777777" w:rsidTr="00765BAF">
        <w:trPr>
          <w:trHeight w:val="288"/>
        </w:trPr>
        <w:tc>
          <w:tcPr>
            <w:tcW w:w="4040" w:type="dxa"/>
            <w:tcBorders>
              <w:top w:val="nil"/>
              <w:left w:val="nil"/>
              <w:bottom w:val="nil"/>
              <w:right w:val="nil"/>
            </w:tcBorders>
            <w:shd w:val="clear" w:color="auto" w:fill="auto"/>
            <w:noWrap/>
            <w:vAlign w:val="bottom"/>
            <w:hideMark/>
          </w:tcPr>
          <w:p w14:paraId="50F04322"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Dermatology</w:t>
            </w:r>
          </w:p>
        </w:tc>
      </w:tr>
      <w:tr w:rsidR="00765BAF" w:rsidRPr="00765BAF" w14:paraId="7E4C302C" w14:textId="77777777" w:rsidTr="00765BAF">
        <w:trPr>
          <w:trHeight w:val="288"/>
        </w:trPr>
        <w:tc>
          <w:tcPr>
            <w:tcW w:w="4040" w:type="dxa"/>
            <w:tcBorders>
              <w:top w:val="nil"/>
              <w:left w:val="nil"/>
              <w:bottom w:val="nil"/>
              <w:right w:val="nil"/>
            </w:tcBorders>
            <w:shd w:val="clear" w:color="auto" w:fill="auto"/>
            <w:noWrap/>
            <w:vAlign w:val="bottom"/>
            <w:hideMark/>
          </w:tcPr>
          <w:p w14:paraId="05F40ABA"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Social Worker</w:t>
            </w:r>
          </w:p>
        </w:tc>
      </w:tr>
      <w:tr w:rsidR="00765BAF" w:rsidRPr="00765BAF" w14:paraId="12E72C7B" w14:textId="77777777" w:rsidTr="00765BAF">
        <w:trPr>
          <w:trHeight w:val="288"/>
        </w:trPr>
        <w:tc>
          <w:tcPr>
            <w:tcW w:w="4040" w:type="dxa"/>
            <w:tcBorders>
              <w:top w:val="nil"/>
              <w:left w:val="nil"/>
              <w:bottom w:val="nil"/>
              <w:right w:val="nil"/>
            </w:tcBorders>
            <w:shd w:val="clear" w:color="auto" w:fill="auto"/>
            <w:noWrap/>
            <w:vAlign w:val="bottom"/>
            <w:hideMark/>
          </w:tcPr>
          <w:p w14:paraId="4BE10770" w14:textId="77777777" w:rsidR="00765BAF" w:rsidRPr="00765BAF" w:rsidRDefault="00765BAF" w:rsidP="00765BAF">
            <w:pPr>
              <w:spacing w:after="0"/>
              <w:rPr>
                <w:rFonts w:ascii="Calibri" w:eastAsia="Times New Roman" w:hAnsi="Calibri" w:cs="Calibri"/>
                <w:sz w:val="22"/>
                <w:szCs w:val="22"/>
              </w:rPr>
            </w:pPr>
            <w:r w:rsidRPr="00765BAF">
              <w:rPr>
                <w:rFonts w:ascii="Calibri" w:eastAsia="Times New Roman" w:hAnsi="Calibri" w:cs="Calibri"/>
                <w:sz w:val="22"/>
                <w:szCs w:val="22"/>
              </w:rPr>
              <w:t>Pathology</w:t>
            </w:r>
          </w:p>
        </w:tc>
      </w:tr>
    </w:tbl>
    <w:p w14:paraId="4FE08AA2" w14:textId="6CC42FA2" w:rsidR="002E0655" w:rsidRDefault="002E0655" w:rsidP="009A537C">
      <w:pPr>
        <w:rPr>
          <w:b/>
          <w:sz w:val="28"/>
        </w:rPr>
      </w:pPr>
    </w:p>
    <w:p w14:paraId="5B23B1F0" w14:textId="77777777" w:rsidR="002E0655" w:rsidRDefault="002E0655" w:rsidP="00B92877">
      <w:pPr>
        <w:spacing w:line="276" w:lineRule="auto"/>
        <w:rPr>
          <w:highlight w:val="yellow"/>
        </w:rPr>
      </w:pPr>
    </w:p>
    <w:sectPr w:rsidR="002E0655" w:rsidSect="00151D96">
      <w:pgSz w:w="11906" w:h="16838"/>
      <w:pgMar w:top="1134" w:right="1276"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82FE" w14:textId="77777777" w:rsidR="008E1457" w:rsidRDefault="008E1457" w:rsidP="00A35800">
      <w:r>
        <w:separator/>
      </w:r>
    </w:p>
  </w:endnote>
  <w:endnote w:type="continuationSeparator" w:id="0">
    <w:p w14:paraId="07F89109" w14:textId="77777777" w:rsidR="008E1457" w:rsidRDefault="008E1457"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D5E5" w14:textId="00764563"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45F31">
      <w:rPr>
        <w:rStyle w:val="PageNumber"/>
        <w:noProof/>
      </w:rPr>
      <w:t>2</w: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25B068D3" w:rsidR="000E72C6" w:rsidRPr="000E72C6" w:rsidRDefault="00073360" w:rsidP="000E72C6">
            <w:pPr>
              <w:pStyle w:val="Footer"/>
              <w:jc w:val="center"/>
              <w:rPr>
                <w:i/>
                <w:sz w:val="20"/>
              </w:rPr>
            </w:pPr>
            <w:r>
              <w:rPr>
                <w:i/>
                <w:sz w:val="20"/>
              </w:rPr>
              <w:t>Public Release Document, February 2024 DUSC Meeting</w:t>
            </w:r>
          </w:p>
          <w:p w14:paraId="10292A9A" w14:textId="7D864046"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FA1BA3">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FA1BA3">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5736F" w14:textId="77777777" w:rsidR="008E1457" w:rsidRDefault="008E1457" w:rsidP="00A35800">
      <w:r>
        <w:separator/>
      </w:r>
    </w:p>
  </w:footnote>
  <w:footnote w:type="continuationSeparator" w:id="0">
    <w:p w14:paraId="54FF7841" w14:textId="77777777" w:rsidR="008E1457" w:rsidRDefault="008E1457" w:rsidP="00A35800">
      <w:r>
        <w:continuationSeparator/>
      </w:r>
    </w:p>
  </w:footnote>
  <w:footnote w:id="1">
    <w:p w14:paraId="03F65EE5" w14:textId="77777777" w:rsidR="00AF6C36" w:rsidRDefault="00AF6C36" w:rsidP="00AF6C36">
      <w:pPr>
        <w:pStyle w:val="FootnoteText"/>
      </w:pPr>
      <w:r>
        <w:rPr>
          <w:rStyle w:val="FootnoteReference"/>
        </w:rPr>
        <w:footnoteRef/>
      </w:r>
      <w:r>
        <w:t xml:space="preserve"> </w:t>
      </w:r>
      <w:hyperlink r:id="rId1" w:history="1">
        <w:r>
          <w:rPr>
            <w:rStyle w:val="Hyperlink"/>
          </w:rPr>
          <w:t>https://www.aihw.gov.au/reports/mothers-babies/australias-mothers-babies/contents/summary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675"/>
    <w:multiLevelType w:val="hybridMultilevel"/>
    <w:tmpl w:val="B69E4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420F8D"/>
    <w:multiLevelType w:val="hybridMultilevel"/>
    <w:tmpl w:val="94AC2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C7562B"/>
    <w:multiLevelType w:val="hybridMultilevel"/>
    <w:tmpl w:val="FB0E0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C8077E"/>
    <w:multiLevelType w:val="hybridMultilevel"/>
    <w:tmpl w:val="35CC3D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5599150E"/>
    <w:multiLevelType w:val="hybridMultilevel"/>
    <w:tmpl w:val="F3DC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E55DF7"/>
    <w:multiLevelType w:val="hybridMultilevel"/>
    <w:tmpl w:val="2B048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8259F"/>
    <w:multiLevelType w:val="hybridMultilevel"/>
    <w:tmpl w:val="EECCC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608129F"/>
    <w:multiLevelType w:val="hybridMultilevel"/>
    <w:tmpl w:val="0C6605E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72880EB7"/>
    <w:multiLevelType w:val="hybridMultilevel"/>
    <w:tmpl w:val="4E00AB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84D033C"/>
    <w:multiLevelType w:val="multilevel"/>
    <w:tmpl w:val="45FC285E"/>
    <w:lvl w:ilvl="0">
      <w:start w:val="1"/>
      <w:numFmt w:val="decimal"/>
      <w:pStyle w:val="2-SectionHeading"/>
      <w:lvlText w:val="%1"/>
      <w:lvlJc w:val="left"/>
      <w:pPr>
        <w:ind w:left="720" w:hanging="720"/>
      </w:pPr>
      <w:rPr>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516771271">
    <w:abstractNumId w:val="10"/>
  </w:num>
  <w:num w:numId="2" w16cid:durableId="281352750">
    <w:abstractNumId w:val="8"/>
  </w:num>
  <w:num w:numId="3" w16cid:durableId="908543920">
    <w:abstractNumId w:val="3"/>
  </w:num>
  <w:num w:numId="4" w16cid:durableId="1481924327">
    <w:abstractNumId w:val="4"/>
  </w:num>
  <w:num w:numId="5" w16cid:durableId="1611165406">
    <w:abstractNumId w:val="1"/>
  </w:num>
  <w:num w:numId="6" w16cid:durableId="1798989085">
    <w:abstractNumId w:val="6"/>
  </w:num>
  <w:num w:numId="7" w16cid:durableId="269897469">
    <w:abstractNumId w:val="0"/>
  </w:num>
  <w:num w:numId="8" w16cid:durableId="545723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909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639749">
    <w:abstractNumId w:val="5"/>
  </w:num>
  <w:num w:numId="11" w16cid:durableId="219295602">
    <w:abstractNumId w:val="11"/>
  </w:num>
  <w:num w:numId="12" w16cid:durableId="1409769760">
    <w:abstractNumId w:val="7"/>
  </w:num>
  <w:num w:numId="13" w16cid:durableId="795488447">
    <w:abstractNumId w:val="2"/>
  </w:num>
  <w:num w:numId="14" w16cid:durableId="963996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4DCA"/>
    <w:rsid w:val="00007E85"/>
    <w:rsid w:val="00013465"/>
    <w:rsid w:val="00017ECF"/>
    <w:rsid w:val="0002208D"/>
    <w:rsid w:val="000226B3"/>
    <w:rsid w:val="0002272A"/>
    <w:rsid w:val="00024549"/>
    <w:rsid w:val="00025B40"/>
    <w:rsid w:val="000274E1"/>
    <w:rsid w:val="00032354"/>
    <w:rsid w:val="00035A2F"/>
    <w:rsid w:val="00044CB5"/>
    <w:rsid w:val="000544B6"/>
    <w:rsid w:val="000604AF"/>
    <w:rsid w:val="00073360"/>
    <w:rsid w:val="000850E2"/>
    <w:rsid w:val="00086C11"/>
    <w:rsid w:val="00094DCF"/>
    <w:rsid w:val="000A0677"/>
    <w:rsid w:val="000A12E7"/>
    <w:rsid w:val="000A6CFD"/>
    <w:rsid w:val="000B0982"/>
    <w:rsid w:val="000B796C"/>
    <w:rsid w:val="000C0677"/>
    <w:rsid w:val="000C46BB"/>
    <w:rsid w:val="000C4D9D"/>
    <w:rsid w:val="000C79A8"/>
    <w:rsid w:val="000C7C4B"/>
    <w:rsid w:val="000C7D8B"/>
    <w:rsid w:val="000E485D"/>
    <w:rsid w:val="000E72C6"/>
    <w:rsid w:val="000E78D9"/>
    <w:rsid w:val="000F1893"/>
    <w:rsid w:val="000F1DBF"/>
    <w:rsid w:val="000F2F51"/>
    <w:rsid w:val="00104A6B"/>
    <w:rsid w:val="00110428"/>
    <w:rsid w:val="00113CF8"/>
    <w:rsid w:val="00113D74"/>
    <w:rsid w:val="00117C5C"/>
    <w:rsid w:val="001238FA"/>
    <w:rsid w:val="001310AE"/>
    <w:rsid w:val="001361E4"/>
    <w:rsid w:val="001420B3"/>
    <w:rsid w:val="00145F31"/>
    <w:rsid w:val="001460C4"/>
    <w:rsid w:val="00151D96"/>
    <w:rsid w:val="0015241D"/>
    <w:rsid w:val="00154D66"/>
    <w:rsid w:val="0015691C"/>
    <w:rsid w:val="00156D5E"/>
    <w:rsid w:val="00157DDA"/>
    <w:rsid w:val="001621F7"/>
    <w:rsid w:val="001624D7"/>
    <w:rsid w:val="001759B8"/>
    <w:rsid w:val="00177B86"/>
    <w:rsid w:val="00182585"/>
    <w:rsid w:val="00191182"/>
    <w:rsid w:val="00192489"/>
    <w:rsid w:val="0019600F"/>
    <w:rsid w:val="0019664D"/>
    <w:rsid w:val="00196CFA"/>
    <w:rsid w:val="001A5646"/>
    <w:rsid w:val="001A6103"/>
    <w:rsid w:val="001A63B1"/>
    <w:rsid w:val="001B2F4A"/>
    <w:rsid w:val="001B5D37"/>
    <w:rsid w:val="001B6DA8"/>
    <w:rsid w:val="001B7CD6"/>
    <w:rsid w:val="001C2940"/>
    <w:rsid w:val="001C4016"/>
    <w:rsid w:val="001C548D"/>
    <w:rsid w:val="001C6A5D"/>
    <w:rsid w:val="001D7953"/>
    <w:rsid w:val="001E31A6"/>
    <w:rsid w:val="001E42C7"/>
    <w:rsid w:val="001E4CAB"/>
    <w:rsid w:val="001E5002"/>
    <w:rsid w:val="001E75BE"/>
    <w:rsid w:val="001F0A4E"/>
    <w:rsid w:val="001F2F3E"/>
    <w:rsid w:val="001F4906"/>
    <w:rsid w:val="001F63FD"/>
    <w:rsid w:val="001F7C4A"/>
    <w:rsid w:val="00205166"/>
    <w:rsid w:val="0020578A"/>
    <w:rsid w:val="00205CEE"/>
    <w:rsid w:val="00207631"/>
    <w:rsid w:val="00214013"/>
    <w:rsid w:val="00214CA2"/>
    <w:rsid w:val="00220FC1"/>
    <w:rsid w:val="0022173B"/>
    <w:rsid w:val="00222E9A"/>
    <w:rsid w:val="0023179D"/>
    <w:rsid w:val="0023776A"/>
    <w:rsid w:val="002444E0"/>
    <w:rsid w:val="0025389D"/>
    <w:rsid w:val="00254E02"/>
    <w:rsid w:val="00261CE9"/>
    <w:rsid w:val="0026265F"/>
    <w:rsid w:val="00272963"/>
    <w:rsid w:val="002818C2"/>
    <w:rsid w:val="00286C3A"/>
    <w:rsid w:val="002930F5"/>
    <w:rsid w:val="002A0049"/>
    <w:rsid w:val="002A06B7"/>
    <w:rsid w:val="002A344A"/>
    <w:rsid w:val="002C138F"/>
    <w:rsid w:val="002C1462"/>
    <w:rsid w:val="002C6E0C"/>
    <w:rsid w:val="002D144A"/>
    <w:rsid w:val="002D1BEB"/>
    <w:rsid w:val="002E0655"/>
    <w:rsid w:val="002E19A3"/>
    <w:rsid w:val="002E212B"/>
    <w:rsid w:val="002E3337"/>
    <w:rsid w:val="002E66FB"/>
    <w:rsid w:val="002E6D03"/>
    <w:rsid w:val="002F49A8"/>
    <w:rsid w:val="002F5E66"/>
    <w:rsid w:val="002F61CA"/>
    <w:rsid w:val="002F7645"/>
    <w:rsid w:val="0030010D"/>
    <w:rsid w:val="003045AD"/>
    <w:rsid w:val="00305AD7"/>
    <w:rsid w:val="00311CF7"/>
    <w:rsid w:val="00313693"/>
    <w:rsid w:val="00321185"/>
    <w:rsid w:val="00322EBE"/>
    <w:rsid w:val="00323C1D"/>
    <w:rsid w:val="0033504C"/>
    <w:rsid w:val="00335397"/>
    <w:rsid w:val="00336816"/>
    <w:rsid w:val="00336863"/>
    <w:rsid w:val="003370D0"/>
    <w:rsid w:val="00337355"/>
    <w:rsid w:val="003402E4"/>
    <w:rsid w:val="00340F95"/>
    <w:rsid w:val="003417E3"/>
    <w:rsid w:val="00344728"/>
    <w:rsid w:val="00344758"/>
    <w:rsid w:val="0034732D"/>
    <w:rsid w:val="00347824"/>
    <w:rsid w:val="003531ED"/>
    <w:rsid w:val="00360B9A"/>
    <w:rsid w:val="003630C6"/>
    <w:rsid w:val="0039017F"/>
    <w:rsid w:val="00391B8D"/>
    <w:rsid w:val="00394AEE"/>
    <w:rsid w:val="003B4775"/>
    <w:rsid w:val="003C2D98"/>
    <w:rsid w:val="003C77C1"/>
    <w:rsid w:val="003D3A96"/>
    <w:rsid w:val="003D3B9C"/>
    <w:rsid w:val="003D5604"/>
    <w:rsid w:val="003D70D8"/>
    <w:rsid w:val="003E5AF5"/>
    <w:rsid w:val="003E5DC2"/>
    <w:rsid w:val="00404F03"/>
    <w:rsid w:val="00407845"/>
    <w:rsid w:val="00412051"/>
    <w:rsid w:val="00420040"/>
    <w:rsid w:val="00423B94"/>
    <w:rsid w:val="00442DC7"/>
    <w:rsid w:val="004466A0"/>
    <w:rsid w:val="00462377"/>
    <w:rsid w:val="00463731"/>
    <w:rsid w:val="0046400A"/>
    <w:rsid w:val="00467B25"/>
    <w:rsid w:val="00480BE5"/>
    <w:rsid w:val="00481108"/>
    <w:rsid w:val="0049042B"/>
    <w:rsid w:val="00495473"/>
    <w:rsid w:val="00496463"/>
    <w:rsid w:val="004A14C0"/>
    <w:rsid w:val="004A222F"/>
    <w:rsid w:val="004A458E"/>
    <w:rsid w:val="004B23E7"/>
    <w:rsid w:val="004B306F"/>
    <w:rsid w:val="004C3186"/>
    <w:rsid w:val="004C3B13"/>
    <w:rsid w:val="004C5042"/>
    <w:rsid w:val="004D491A"/>
    <w:rsid w:val="004E4422"/>
    <w:rsid w:val="004E53EF"/>
    <w:rsid w:val="004E7EFA"/>
    <w:rsid w:val="00503998"/>
    <w:rsid w:val="0050623B"/>
    <w:rsid w:val="0051519E"/>
    <w:rsid w:val="00521046"/>
    <w:rsid w:val="00522A05"/>
    <w:rsid w:val="00523181"/>
    <w:rsid w:val="00524D13"/>
    <w:rsid w:val="00531951"/>
    <w:rsid w:val="005339F6"/>
    <w:rsid w:val="00537978"/>
    <w:rsid w:val="005413E9"/>
    <w:rsid w:val="00545322"/>
    <w:rsid w:val="00550547"/>
    <w:rsid w:val="00550EBC"/>
    <w:rsid w:val="00555C59"/>
    <w:rsid w:val="0057600F"/>
    <w:rsid w:val="00576B18"/>
    <w:rsid w:val="005831FB"/>
    <w:rsid w:val="00587724"/>
    <w:rsid w:val="00591512"/>
    <w:rsid w:val="005B0370"/>
    <w:rsid w:val="005B2D91"/>
    <w:rsid w:val="005B48B4"/>
    <w:rsid w:val="005C6661"/>
    <w:rsid w:val="005C6E3B"/>
    <w:rsid w:val="005D474B"/>
    <w:rsid w:val="005D7E80"/>
    <w:rsid w:val="005E085C"/>
    <w:rsid w:val="005E147D"/>
    <w:rsid w:val="005E22C2"/>
    <w:rsid w:val="005E303D"/>
    <w:rsid w:val="005E430A"/>
    <w:rsid w:val="005E57BB"/>
    <w:rsid w:val="005E74C8"/>
    <w:rsid w:val="005F0017"/>
    <w:rsid w:val="005F068E"/>
    <w:rsid w:val="005F2A6D"/>
    <w:rsid w:val="005F5F53"/>
    <w:rsid w:val="00600F81"/>
    <w:rsid w:val="006014F1"/>
    <w:rsid w:val="0061357B"/>
    <w:rsid w:val="00614A7D"/>
    <w:rsid w:val="00632553"/>
    <w:rsid w:val="0063631C"/>
    <w:rsid w:val="0063757B"/>
    <w:rsid w:val="006377CE"/>
    <w:rsid w:val="00644A6C"/>
    <w:rsid w:val="006537D9"/>
    <w:rsid w:val="00664A48"/>
    <w:rsid w:val="00665DEF"/>
    <w:rsid w:val="00674B12"/>
    <w:rsid w:val="00675BB1"/>
    <w:rsid w:val="006775F1"/>
    <w:rsid w:val="00681B32"/>
    <w:rsid w:val="0068493D"/>
    <w:rsid w:val="006867BC"/>
    <w:rsid w:val="00690BF1"/>
    <w:rsid w:val="00692AA7"/>
    <w:rsid w:val="00697FEC"/>
    <w:rsid w:val="006A175F"/>
    <w:rsid w:val="006A33AE"/>
    <w:rsid w:val="006A44F5"/>
    <w:rsid w:val="006B4537"/>
    <w:rsid w:val="006B5F85"/>
    <w:rsid w:val="006B6929"/>
    <w:rsid w:val="006B709B"/>
    <w:rsid w:val="006C2B55"/>
    <w:rsid w:val="006C54AF"/>
    <w:rsid w:val="006D2AC9"/>
    <w:rsid w:val="006D5BF5"/>
    <w:rsid w:val="006E0181"/>
    <w:rsid w:val="006E37E1"/>
    <w:rsid w:val="006E3AE1"/>
    <w:rsid w:val="006E7170"/>
    <w:rsid w:val="00700C0E"/>
    <w:rsid w:val="0070276D"/>
    <w:rsid w:val="00705DAD"/>
    <w:rsid w:val="00707574"/>
    <w:rsid w:val="00710412"/>
    <w:rsid w:val="0071285C"/>
    <w:rsid w:val="007142BB"/>
    <w:rsid w:val="007247B9"/>
    <w:rsid w:val="00727D85"/>
    <w:rsid w:val="00730179"/>
    <w:rsid w:val="007335B7"/>
    <w:rsid w:val="007346C7"/>
    <w:rsid w:val="00736041"/>
    <w:rsid w:val="007408C7"/>
    <w:rsid w:val="00741BF2"/>
    <w:rsid w:val="007465DA"/>
    <w:rsid w:val="00752C7F"/>
    <w:rsid w:val="007624CD"/>
    <w:rsid w:val="00765BAF"/>
    <w:rsid w:val="00765CE4"/>
    <w:rsid w:val="0076673C"/>
    <w:rsid w:val="00776598"/>
    <w:rsid w:val="00783D9B"/>
    <w:rsid w:val="00792948"/>
    <w:rsid w:val="00794FD7"/>
    <w:rsid w:val="00796E84"/>
    <w:rsid w:val="007A3ADE"/>
    <w:rsid w:val="007A5733"/>
    <w:rsid w:val="007A5774"/>
    <w:rsid w:val="007D2502"/>
    <w:rsid w:val="007D28BA"/>
    <w:rsid w:val="007D5BDB"/>
    <w:rsid w:val="007D6D21"/>
    <w:rsid w:val="007E4AFA"/>
    <w:rsid w:val="007E751C"/>
    <w:rsid w:val="00801E74"/>
    <w:rsid w:val="0080485E"/>
    <w:rsid w:val="00811A22"/>
    <w:rsid w:val="008142B4"/>
    <w:rsid w:val="00816067"/>
    <w:rsid w:val="008202D9"/>
    <w:rsid w:val="00825476"/>
    <w:rsid w:val="008319DD"/>
    <w:rsid w:val="00832324"/>
    <w:rsid w:val="00833F94"/>
    <w:rsid w:val="00835337"/>
    <w:rsid w:val="00846DCD"/>
    <w:rsid w:val="00851D85"/>
    <w:rsid w:val="008577F9"/>
    <w:rsid w:val="00860CCB"/>
    <w:rsid w:val="008740A3"/>
    <w:rsid w:val="0089203D"/>
    <w:rsid w:val="0089297B"/>
    <w:rsid w:val="008B2CB8"/>
    <w:rsid w:val="008B30F6"/>
    <w:rsid w:val="008C257E"/>
    <w:rsid w:val="008C36CA"/>
    <w:rsid w:val="008C3B3E"/>
    <w:rsid w:val="008E1457"/>
    <w:rsid w:val="008E3F8C"/>
    <w:rsid w:val="008F64E5"/>
    <w:rsid w:val="00902FD0"/>
    <w:rsid w:val="009053D3"/>
    <w:rsid w:val="0090691F"/>
    <w:rsid w:val="009149B0"/>
    <w:rsid w:val="00916D28"/>
    <w:rsid w:val="00924265"/>
    <w:rsid w:val="00927DF9"/>
    <w:rsid w:val="0093001B"/>
    <w:rsid w:val="0093111F"/>
    <w:rsid w:val="0093482A"/>
    <w:rsid w:val="00935689"/>
    <w:rsid w:val="0093729E"/>
    <w:rsid w:val="00941FD6"/>
    <w:rsid w:val="00947B87"/>
    <w:rsid w:val="0095303B"/>
    <w:rsid w:val="009663B6"/>
    <w:rsid w:val="009717C0"/>
    <w:rsid w:val="00974A47"/>
    <w:rsid w:val="00980286"/>
    <w:rsid w:val="00980408"/>
    <w:rsid w:val="0098452F"/>
    <w:rsid w:val="00990DCF"/>
    <w:rsid w:val="00993838"/>
    <w:rsid w:val="009A4CD6"/>
    <w:rsid w:val="009A537C"/>
    <w:rsid w:val="009A75D2"/>
    <w:rsid w:val="009C0886"/>
    <w:rsid w:val="009C19EE"/>
    <w:rsid w:val="009C28D0"/>
    <w:rsid w:val="009C35F2"/>
    <w:rsid w:val="009C7782"/>
    <w:rsid w:val="009D1ED5"/>
    <w:rsid w:val="009D3777"/>
    <w:rsid w:val="009D4C13"/>
    <w:rsid w:val="009D4CC1"/>
    <w:rsid w:val="009E099C"/>
    <w:rsid w:val="009E21A7"/>
    <w:rsid w:val="00A00B3E"/>
    <w:rsid w:val="00A07A0F"/>
    <w:rsid w:val="00A103ED"/>
    <w:rsid w:val="00A11DC0"/>
    <w:rsid w:val="00A13C60"/>
    <w:rsid w:val="00A14ACE"/>
    <w:rsid w:val="00A15134"/>
    <w:rsid w:val="00A341A3"/>
    <w:rsid w:val="00A35800"/>
    <w:rsid w:val="00A44325"/>
    <w:rsid w:val="00A445C5"/>
    <w:rsid w:val="00A51B28"/>
    <w:rsid w:val="00A52918"/>
    <w:rsid w:val="00A547B3"/>
    <w:rsid w:val="00A60234"/>
    <w:rsid w:val="00A642A8"/>
    <w:rsid w:val="00A70E82"/>
    <w:rsid w:val="00A84B1A"/>
    <w:rsid w:val="00A84CAD"/>
    <w:rsid w:val="00A90E50"/>
    <w:rsid w:val="00A91FC6"/>
    <w:rsid w:val="00A92EE3"/>
    <w:rsid w:val="00A95FA5"/>
    <w:rsid w:val="00A9673C"/>
    <w:rsid w:val="00A96D92"/>
    <w:rsid w:val="00AA7C8C"/>
    <w:rsid w:val="00AB199C"/>
    <w:rsid w:val="00AB3733"/>
    <w:rsid w:val="00AB588C"/>
    <w:rsid w:val="00AB7897"/>
    <w:rsid w:val="00AC5054"/>
    <w:rsid w:val="00AE4BAC"/>
    <w:rsid w:val="00AF3A02"/>
    <w:rsid w:val="00AF6C36"/>
    <w:rsid w:val="00AF7519"/>
    <w:rsid w:val="00B00192"/>
    <w:rsid w:val="00B034FC"/>
    <w:rsid w:val="00B05310"/>
    <w:rsid w:val="00B0539E"/>
    <w:rsid w:val="00B10A0B"/>
    <w:rsid w:val="00B13397"/>
    <w:rsid w:val="00B206BB"/>
    <w:rsid w:val="00B259A1"/>
    <w:rsid w:val="00B30D85"/>
    <w:rsid w:val="00B31314"/>
    <w:rsid w:val="00B32934"/>
    <w:rsid w:val="00B32942"/>
    <w:rsid w:val="00B35A4A"/>
    <w:rsid w:val="00B453CF"/>
    <w:rsid w:val="00B63C89"/>
    <w:rsid w:val="00B63FD7"/>
    <w:rsid w:val="00B643CE"/>
    <w:rsid w:val="00B74117"/>
    <w:rsid w:val="00B816D9"/>
    <w:rsid w:val="00B81B4A"/>
    <w:rsid w:val="00B9120F"/>
    <w:rsid w:val="00B9216C"/>
    <w:rsid w:val="00B924A4"/>
    <w:rsid w:val="00B92877"/>
    <w:rsid w:val="00BB0D1A"/>
    <w:rsid w:val="00BB1D3B"/>
    <w:rsid w:val="00BB236F"/>
    <w:rsid w:val="00BB7EE4"/>
    <w:rsid w:val="00BC35ED"/>
    <w:rsid w:val="00BD454B"/>
    <w:rsid w:val="00BE205A"/>
    <w:rsid w:val="00BE3802"/>
    <w:rsid w:val="00BF12BE"/>
    <w:rsid w:val="00BF238E"/>
    <w:rsid w:val="00BF2F4A"/>
    <w:rsid w:val="00BF544D"/>
    <w:rsid w:val="00C001AF"/>
    <w:rsid w:val="00C0076F"/>
    <w:rsid w:val="00C0301C"/>
    <w:rsid w:val="00C050B6"/>
    <w:rsid w:val="00C05515"/>
    <w:rsid w:val="00C10F12"/>
    <w:rsid w:val="00C11A2A"/>
    <w:rsid w:val="00C11E3C"/>
    <w:rsid w:val="00C124BB"/>
    <w:rsid w:val="00C142EA"/>
    <w:rsid w:val="00C245EA"/>
    <w:rsid w:val="00C256F6"/>
    <w:rsid w:val="00C26296"/>
    <w:rsid w:val="00C27CE8"/>
    <w:rsid w:val="00C3097E"/>
    <w:rsid w:val="00C336F1"/>
    <w:rsid w:val="00C35ECC"/>
    <w:rsid w:val="00C361A8"/>
    <w:rsid w:val="00C41246"/>
    <w:rsid w:val="00C42C2E"/>
    <w:rsid w:val="00C45E5F"/>
    <w:rsid w:val="00C46291"/>
    <w:rsid w:val="00C63412"/>
    <w:rsid w:val="00C714B3"/>
    <w:rsid w:val="00C714D0"/>
    <w:rsid w:val="00C90ABA"/>
    <w:rsid w:val="00C90EF4"/>
    <w:rsid w:val="00C91734"/>
    <w:rsid w:val="00C9623C"/>
    <w:rsid w:val="00C96E9B"/>
    <w:rsid w:val="00CA015A"/>
    <w:rsid w:val="00CA1489"/>
    <w:rsid w:val="00CB2F91"/>
    <w:rsid w:val="00CC1AA3"/>
    <w:rsid w:val="00CC3EDF"/>
    <w:rsid w:val="00CD4486"/>
    <w:rsid w:val="00CE20F5"/>
    <w:rsid w:val="00CE5B62"/>
    <w:rsid w:val="00CF5E22"/>
    <w:rsid w:val="00D06A44"/>
    <w:rsid w:val="00D130FB"/>
    <w:rsid w:val="00D14A89"/>
    <w:rsid w:val="00D151EB"/>
    <w:rsid w:val="00D300E0"/>
    <w:rsid w:val="00D374CD"/>
    <w:rsid w:val="00D650CE"/>
    <w:rsid w:val="00D71719"/>
    <w:rsid w:val="00D71A87"/>
    <w:rsid w:val="00D776DA"/>
    <w:rsid w:val="00D824CF"/>
    <w:rsid w:val="00D8758B"/>
    <w:rsid w:val="00D942B3"/>
    <w:rsid w:val="00D94863"/>
    <w:rsid w:val="00DA0981"/>
    <w:rsid w:val="00DA2310"/>
    <w:rsid w:val="00DA62CA"/>
    <w:rsid w:val="00DA7D09"/>
    <w:rsid w:val="00DC2183"/>
    <w:rsid w:val="00DC2630"/>
    <w:rsid w:val="00DC49E9"/>
    <w:rsid w:val="00DC55E4"/>
    <w:rsid w:val="00DC760B"/>
    <w:rsid w:val="00DC7D71"/>
    <w:rsid w:val="00DD011D"/>
    <w:rsid w:val="00DD188C"/>
    <w:rsid w:val="00DD29A3"/>
    <w:rsid w:val="00DD48EE"/>
    <w:rsid w:val="00DD6973"/>
    <w:rsid w:val="00DD7565"/>
    <w:rsid w:val="00DE0B96"/>
    <w:rsid w:val="00DE10B9"/>
    <w:rsid w:val="00DE36B7"/>
    <w:rsid w:val="00DF0B13"/>
    <w:rsid w:val="00DF0C90"/>
    <w:rsid w:val="00DF2EB8"/>
    <w:rsid w:val="00DF4A94"/>
    <w:rsid w:val="00DF6003"/>
    <w:rsid w:val="00E00095"/>
    <w:rsid w:val="00E066C3"/>
    <w:rsid w:val="00E10D8C"/>
    <w:rsid w:val="00E116F6"/>
    <w:rsid w:val="00E1353A"/>
    <w:rsid w:val="00E15455"/>
    <w:rsid w:val="00E1564B"/>
    <w:rsid w:val="00E15F40"/>
    <w:rsid w:val="00E208A0"/>
    <w:rsid w:val="00E25B49"/>
    <w:rsid w:val="00E32020"/>
    <w:rsid w:val="00E371EA"/>
    <w:rsid w:val="00E40194"/>
    <w:rsid w:val="00E41A78"/>
    <w:rsid w:val="00E52861"/>
    <w:rsid w:val="00E56D9A"/>
    <w:rsid w:val="00E64429"/>
    <w:rsid w:val="00E677DD"/>
    <w:rsid w:val="00E7580E"/>
    <w:rsid w:val="00E7594B"/>
    <w:rsid w:val="00E86699"/>
    <w:rsid w:val="00E95DAD"/>
    <w:rsid w:val="00EA22E4"/>
    <w:rsid w:val="00EB4688"/>
    <w:rsid w:val="00EB6C07"/>
    <w:rsid w:val="00EC028D"/>
    <w:rsid w:val="00ED633B"/>
    <w:rsid w:val="00EE2BBB"/>
    <w:rsid w:val="00EE478C"/>
    <w:rsid w:val="00EE49F7"/>
    <w:rsid w:val="00F0043F"/>
    <w:rsid w:val="00F03F2F"/>
    <w:rsid w:val="00F1131D"/>
    <w:rsid w:val="00F1132C"/>
    <w:rsid w:val="00F15DD5"/>
    <w:rsid w:val="00F17D4B"/>
    <w:rsid w:val="00F23139"/>
    <w:rsid w:val="00F2334A"/>
    <w:rsid w:val="00F41B63"/>
    <w:rsid w:val="00F45CE0"/>
    <w:rsid w:val="00F53921"/>
    <w:rsid w:val="00F56BE3"/>
    <w:rsid w:val="00F63D46"/>
    <w:rsid w:val="00F64359"/>
    <w:rsid w:val="00F66CD5"/>
    <w:rsid w:val="00F67A9A"/>
    <w:rsid w:val="00F70F4E"/>
    <w:rsid w:val="00F70FE2"/>
    <w:rsid w:val="00F73113"/>
    <w:rsid w:val="00F75FC4"/>
    <w:rsid w:val="00F77310"/>
    <w:rsid w:val="00F77A8E"/>
    <w:rsid w:val="00F85981"/>
    <w:rsid w:val="00F87263"/>
    <w:rsid w:val="00F93725"/>
    <w:rsid w:val="00F94F87"/>
    <w:rsid w:val="00FA1BA3"/>
    <w:rsid w:val="00FA4890"/>
    <w:rsid w:val="00FA489A"/>
    <w:rsid w:val="00FB77FA"/>
    <w:rsid w:val="00FC3C70"/>
    <w:rsid w:val="00FC4A73"/>
    <w:rsid w:val="00FC559C"/>
    <w:rsid w:val="00FC7F0D"/>
    <w:rsid w:val="00FE645A"/>
    <w:rsid w:val="00FF0E08"/>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15:docId w15:val="{7B12D9AF-EC66-4B44-B56B-9AA4AF46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aliases w:val="Table Title"/>
    <w:basedOn w:val="DefaultParagraphFont"/>
    <w:uiPriority w:val="99"/>
    <w:unhideWhenUsed/>
    <w:qFormat/>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aliases w:val="Summary box,Table Gridbeth,CMA Table Template,ASD Table"/>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Body Text Bullet Points,Numbered para,List Paragraph1,Bullet point,List Paragraph11,Recommendation,Section heading,Footnote,Styl moj,Akapit z listą1,Akapit z listą11,Bullets Points,ES Paragraph,PBAC ES Paragraph"/>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C05515"/>
    <w:pPr>
      <w:spacing w:after="0" w:line="240" w:lineRule="auto"/>
    </w:pPr>
    <w:rPr>
      <w:sz w:val="24"/>
      <w:szCs w:val="24"/>
    </w:rPr>
  </w:style>
  <w:style w:type="character" w:styleId="UnresolvedMention">
    <w:name w:val="Unresolved Mention"/>
    <w:basedOn w:val="DefaultParagraphFont"/>
    <w:uiPriority w:val="99"/>
    <w:semiHidden/>
    <w:unhideWhenUsed/>
    <w:rsid w:val="00B643CE"/>
    <w:rPr>
      <w:color w:val="605E5C"/>
      <w:shd w:val="clear" w:color="auto" w:fill="E1DFDD"/>
    </w:rPr>
  </w:style>
  <w:style w:type="character" w:styleId="FollowedHyperlink">
    <w:name w:val="FollowedHyperlink"/>
    <w:basedOn w:val="DefaultParagraphFont"/>
    <w:uiPriority w:val="99"/>
    <w:semiHidden/>
    <w:unhideWhenUsed/>
    <w:rsid w:val="007D28BA"/>
    <w:rPr>
      <w:color w:val="800080" w:themeColor="followedHyperlink"/>
      <w:u w:val="single"/>
    </w:rPr>
  </w:style>
  <w:style w:type="paragraph" w:styleId="NormalWeb">
    <w:name w:val="Normal (Web)"/>
    <w:basedOn w:val="Normal"/>
    <w:uiPriority w:val="99"/>
    <w:semiHidden/>
    <w:unhideWhenUsed/>
    <w:rsid w:val="002A344A"/>
    <w:pPr>
      <w:spacing w:before="100" w:beforeAutospacing="1" w:after="100" w:afterAutospacing="1"/>
    </w:pPr>
    <w:rPr>
      <w:rFonts w:ascii="Times New Roman" w:eastAsia="Times New Roman" w:hAnsi="Times New Roman" w:cs="Times New Roman"/>
    </w:rPr>
  </w:style>
  <w:style w:type="paragraph" w:customStyle="1" w:styleId="2-SectionHeading">
    <w:name w:val="2-Section Heading"/>
    <w:qFormat/>
    <w:rsid w:val="00CE20F5"/>
    <w:pPr>
      <w:keepNext/>
      <w:numPr>
        <w:numId w:val="8"/>
      </w:numPr>
      <w:snapToGrid w:val="0"/>
      <w:spacing w:before="240" w:after="120" w:line="240" w:lineRule="auto"/>
      <w:outlineLvl w:val="0"/>
    </w:pPr>
    <w:rPr>
      <w:rFonts w:eastAsia="Times New Roman" w:cs="Arial"/>
      <w:b/>
      <w:sz w:val="32"/>
      <w:szCs w:val="32"/>
    </w:rPr>
  </w:style>
  <w:style w:type="character" w:customStyle="1" w:styleId="3-BodyTextChar">
    <w:name w:val="3-Body Text Char"/>
    <w:basedOn w:val="DefaultParagraphFont"/>
    <w:link w:val="3-BodyText"/>
    <w:locked/>
    <w:rsid w:val="00CE20F5"/>
    <w:rPr>
      <w:rFonts w:eastAsia="Times New Roman" w:cs="Arial"/>
    </w:rPr>
  </w:style>
  <w:style w:type="paragraph" w:customStyle="1" w:styleId="3-BodyText">
    <w:name w:val="3-Body Text"/>
    <w:basedOn w:val="ListParagraph"/>
    <w:link w:val="3-BodyTextChar"/>
    <w:qFormat/>
    <w:rsid w:val="00CE20F5"/>
    <w:pPr>
      <w:numPr>
        <w:ilvl w:val="1"/>
        <w:numId w:val="8"/>
      </w:numPr>
      <w:snapToGrid w:val="0"/>
      <w:spacing w:after="120"/>
      <w:contextualSpacing w:val="0"/>
      <w:jc w:val="both"/>
    </w:pPr>
    <w:rPr>
      <w:rFonts w:eastAsia="Times New Roman" w:cs="Arial"/>
      <w:sz w:val="22"/>
      <w:szCs w:val="22"/>
    </w:rPr>
  </w:style>
  <w:style w:type="paragraph" w:customStyle="1" w:styleId="TableText">
    <w:name w:val="Table Text"/>
    <w:link w:val="TableTextChar"/>
    <w:qFormat/>
    <w:rsid w:val="00B63C89"/>
    <w:pPr>
      <w:keepNext/>
      <w:spacing w:after="0" w:line="240" w:lineRule="auto"/>
    </w:pPr>
    <w:rPr>
      <w:rFonts w:ascii="Arial Narrow" w:eastAsiaTheme="majorEastAsia" w:hAnsi="Arial Narrow" w:cstheme="majorBidi"/>
      <w:bCs/>
      <w:sz w:val="20"/>
      <w:szCs w:val="24"/>
    </w:rPr>
  </w:style>
  <w:style w:type="paragraph" w:customStyle="1" w:styleId="In-tableHeading">
    <w:name w:val="In-table Heading"/>
    <w:qFormat/>
    <w:rsid w:val="00B63C89"/>
    <w:pPr>
      <w:keepNext/>
      <w:spacing w:after="0" w:line="240" w:lineRule="auto"/>
    </w:pPr>
    <w:rPr>
      <w:rFonts w:ascii="Arial Narrow" w:eastAsiaTheme="majorEastAsia" w:hAnsi="Arial Narrow" w:cs="Times New Roman"/>
      <w:b/>
      <w:sz w:val="20"/>
      <w:szCs w:val="24"/>
      <w:lang w:val="en-US"/>
    </w:rPr>
  </w:style>
  <w:style w:type="character" w:customStyle="1" w:styleId="TableTextChar">
    <w:name w:val="Table Text Char"/>
    <w:basedOn w:val="DefaultParagraphFont"/>
    <w:link w:val="TableText"/>
    <w:rsid w:val="00B63C89"/>
    <w:rPr>
      <w:rFonts w:ascii="Arial Narrow" w:eastAsiaTheme="majorEastAsia" w:hAnsi="Arial Narrow" w:cstheme="majorBidi"/>
      <w:bCs/>
      <w:sz w:val="20"/>
      <w:szCs w:val="24"/>
    </w:rPr>
  </w:style>
  <w:style w:type="paragraph" w:customStyle="1" w:styleId="TableFooter">
    <w:name w:val="Table Footer"/>
    <w:basedOn w:val="TableText"/>
    <w:link w:val="TableFooterChar"/>
    <w:qFormat/>
    <w:rsid w:val="00B63C89"/>
    <w:pPr>
      <w:keepNext w:val="0"/>
    </w:pPr>
    <w:rPr>
      <w:rFonts w:eastAsia="Calibri" w:cs="Arial"/>
      <w:bCs w:val="0"/>
      <w:sz w:val="18"/>
      <w:szCs w:val="18"/>
    </w:rPr>
  </w:style>
  <w:style w:type="character" w:customStyle="1" w:styleId="TableFooterChar">
    <w:name w:val="Table Footer Char"/>
    <w:link w:val="TableFooter"/>
    <w:rsid w:val="00B63C89"/>
    <w:rPr>
      <w:rFonts w:ascii="Arial Narrow" w:eastAsia="Calibri" w:hAnsi="Arial Narrow" w:cs="Arial"/>
      <w:sz w:val="18"/>
      <w:szCs w:val="18"/>
    </w:rPr>
  </w:style>
  <w:style w:type="paragraph" w:customStyle="1" w:styleId="TableFigureHeading">
    <w:name w:val="Table/Figure Heading"/>
    <w:next w:val="In-tableHeading"/>
    <w:link w:val="TableFigureHeadingChar"/>
    <w:qFormat/>
    <w:rsid w:val="00B63C89"/>
    <w:pPr>
      <w:keepNext/>
      <w:spacing w:after="0" w:line="240" w:lineRule="auto"/>
    </w:pPr>
    <w:rPr>
      <w:rFonts w:ascii="Arial Narrow" w:eastAsiaTheme="majorEastAsia" w:hAnsi="Arial Narrow" w:cstheme="majorBidi"/>
      <w:b/>
      <w:bCs/>
      <w:sz w:val="20"/>
      <w:szCs w:val="24"/>
    </w:rPr>
  </w:style>
  <w:style w:type="character" w:customStyle="1" w:styleId="TableFigureHeadingChar">
    <w:name w:val="Table/Figure Heading Char"/>
    <w:basedOn w:val="DefaultParagraphFont"/>
    <w:link w:val="TableFigureHeading"/>
    <w:rsid w:val="00B63C89"/>
    <w:rPr>
      <w:rFonts w:ascii="Arial Narrow" w:eastAsiaTheme="majorEastAsia" w:hAnsi="Arial Narrow" w:cstheme="majorBidi"/>
      <w:b/>
      <w:bCs/>
      <w:sz w:val="20"/>
      <w:szCs w:val="24"/>
    </w:rPr>
  </w:style>
  <w:style w:type="paragraph" w:customStyle="1" w:styleId="TableFigureFooter">
    <w:name w:val="Table/Figure Footer"/>
    <w:basedOn w:val="Normal"/>
    <w:link w:val="TableFigureFooterChar"/>
    <w:qFormat/>
    <w:rsid w:val="00B63C89"/>
    <w:pPr>
      <w:spacing w:after="120"/>
      <w:contextualSpacing/>
      <w:jc w:val="both"/>
    </w:pPr>
    <w:rPr>
      <w:rFonts w:ascii="Arial Narrow" w:eastAsia="Times New Roman" w:hAnsi="Arial Narrow" w:cs="Times New Roman"/>
      <w:snapToGrid w:val="0"/>
      <w:sz w:val="18"/>
      <w:szCs w:val="22"/>
      <w:lang w:eastAsia="en-GB"/>
    </w:rPr>
  </w:style>
  <w:style w:type="character" w:customStyle="1" w:styleId="TableFigureFooterChar">
    <w:name w:val="Table/Figure Footer Char"/>
    <w:link w:val="TableFigureFooter"/>
    <w:rsid w:val="00B63C89"/>
    <w:rPr>
      <w:rFonts w:ascii="Arial Narrow" w:eastAsia="Times New Roman" w:hAnsi="Arial Narrow" w:cs="Times New Roman"/>
      <w:snapToGrid w:val="0"/>
      <w:sz w:val="18"/>
      <w:lang w:eastAsia="en-GB"/>
    </w:rPr>
  </w:style>
  <w:style w:type="character" w:customStyle="1" w:styleId="ListParagraphChar">
    <w:name w:val="List Paragraph Char"/>
    <w:aliases w:val="BulletPoints Char,Body Text Bullet Points Char,Numbered para Char,List Paragraph1 Char,Bullet point Char,List Paragraph11 Char,Recommendation Char,Section heading Char,Footnote Char,Styl moj Char,Akapit z listą1 Char"/>
    <w:basedOn w:val="DefaultParagraphFont"/>
    <w:link w:val="ListParagraph"/>
    <w:uiPriority w:val="34"/>
    <w:qFormat/>
    <w:locked/>
    <w:rsid w:val="00B63C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0812">
      <w:bodyDiv w:val="1"/>
      <w:marLeft w:val="0"/>
      <w:marRight w:val="0"/>
      <w:marTop w:val="0"/>
      <w:marBottom w:val="0"/>
      <w:divBdr>
        <w:top w:val="none" w:sz="0" w:space="0" w:color="auto"/>
        <w:left w:val="none" w:sz="0" w:space="0" w:color="auto"/>
        <w:bottom w:val="none" w:sz="0" w:space="0" w:color="auto"/>
        <w:right w:val="none" w:sz="0" w:space="0" w:color="auto"/>
      </w:divBdr>
    </w:div>
    <w:div w:id="219901547">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5317137">
      <w:bodyDiv w:val="1"/>
      <w:marLeft w:val="0"/>
      <w:marRight w:val="0"/>
      <w:marTop w:val="0"/>
      <w:marBottom w:val="0"/>
      <w:divBdr>
        <w:top w:val="none" w:sz="0" w:space="0" w:color="auto"/>
        <w:left w:val="none" w:sz="0" w:space="0" w:color="auto"/>
        <w:bottom w:val="none" w:sz="0" w:space="0" w:color="auto"/>
        <w:right w:val="none" w:sz="0" w:space="0" w:color="auto"/>
      </w:divBdr>
    </w:div>
    <w:div w:id="764115197">
      <w:bodyDiv w:val="1"/>
      <w:marLeft w:val="0"/>
      <w:marRight w:val="0"/>
      <w:marTop w:val="0"/>
      <w:marBottom w:val="0"/>
      <w:divBdr>
        <w:top w:val="none" w:sz="0" w:space="0" w:color="auto"/>
        <w:left w:val="none" w:sz="0" w:space="0" w:color="auto"/>
        <w:bottom w:val="none" w:sz="0" w:space="0" w:color="auto"/>
        <w:right w:val="none" w:sz="0" w:space="0" w:color="auto"/>
      </w:divBdr>
    </w:div>
    <w:div w:id="776678057">
      <w:bodyDiv w:val="1"/>
      <w:marLeft w:val="0"/>
      <w:marRight w:val="0"/>
      <w:marTop w:val="0"/>
      <w:marBottom w:val="0"/>
      <w:divBdr>
        <w:top w:val="none" w:sz="0" w:space="0" w:color="auto"/>
        <w:left w:val="none" w:sz="0" w:space="0" w:color="auto"/>
        <w:bottom w:val="none" w:sz="0" w:space="0" w:color="auto"/>
        <w:right w:val="none" w:sz="0" w:space="0" w:color="auto"/>
      </w:divBdr>
    </w:div>
    <w:div w:id="824131059">
      <w:bodyDiv w:val="1"/>
      <w:marLeft w:val="0"/>
      <w:marRight w:val="0"/>
      <w:marTop w:val="0"/>
      <w:marBottom w:val="0"/>
      <w:divBdr>
        <w:top w:val="none" w:sz="0" w:space="0" w:color="auto"/>
        <w:left w:val="none" w:sz="0" w:space="0" w:color="auto"/>
        <w:bottom w:val="none" w:sz="0" w:space="0" w:color="auto"/>
        <w:right w:val="none" w:sz="0" w:space="0" w:color="auto"/>
      </w:divBdr>
    </w:div>
    <w:div w:id="910235982">
      <w:bodyDiv w:val="1"/>
      <w:marLeft w:val="0"/>
      <w:marRight w:val="0"/>
      <w:marTop w:val="0"/>
      <w:marBottom w:val="0"/>
      <w:divBdr>
        <w:top w:val="none" w:sz="0" w:space="0" w:color="auto"/>
        <w:left w:val="none" w:sz="0" w:space="0" w:color="auto"/>
        <w:bottom w:val="none" w:sz="0" w:space="0" w:color="auto"/>
        <w:right w:val="none" w:sz="0" w:space="0" w:color="auto"/>
      </w:divBdr>
    </w:div>
    <w:div w:id="1005287153">
      <w:bodyDiv w:val="1"/>
      <w:marLeft w:val="0"/>
      <w:marRight w:val="0"/>
      <w:marTop w:val="0"/>
      <w:marBottom w:val="0"/>
      <w:divBdr>
        <w:top w:val="none" w:sz="0" w:space="0" w:color="auto"/>
        <w:left w:val="none" w:sz="0" w:space="0" w:color="auto"/>
        <w:bottom w:val="none" w:sz="0" w:space="0" w:color="auto"/>
        <w:right w:val="none" w:sz="0" w:space="0" w:color="auto"/>
      </w:divBdr>
    </w:div>
    <w:div w:id="1071584955">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26856431">
      <w:bodyDiv w:val="1"/>
      <w:marLeft w:val="0"/>
      <w:marRight w:val="0"/>
      <w:marTop w:val="0"/>
      <w:marBottom w:val="0"/>
      <w:divBdr>
        <w:top w:val="none" w:sz="0" w:space="0" w:color="auto"/>
        <w:left w:val="none" w:sz="0" w:space="0" w:color="auto"/>
        <w:bottom w:val="none" w:sz="0" w:space="0" w:color="auto"/>
        <w:right w:val="none" w:sz="0" w:space="0" w:color="auto"/>
      </w:divBdr>
    </w:div>
    <w:div w:id="1249344763">
      <w:bodyDiv w:val="1"/>
      <w:marLeft w:val="0"/>
      <w:marRight w:val="0"/>
      <w:marTop w:val="0"/>
      <w:marBottom w:val="0"/>
      <w:divBdr>
        <w:top w:val="none" w:sz="0" w:space="0" w:color="auto"/>
        <w:left w:val="none" w:sz="0" w:space="0" w:color="auto"/>
        <w:bottom w:val="none" w:sz="0" w:space="0" w:color="auto"/>
        <w:right w:val="none" w:sz="0" w:space="0" w:color="auto"/>
      </w:divBdr>
    </w:div>
    <w:div w:id="1646203757">
      <w:bodyDiv w:val="1"/>
      <w:marLeft w:val="0"/>
      <w:marRight w:val="0"/>
      <w:marTop w:val="0"/>
      <w:marBottom w:val="0"/>
      <w:divBdr>
        <w:top w:val="none" w:sz="0" w:space="0" w:color="auto"/>
        <w:left w:val="none" w:sz="0" w:space="0" w:color="auto"/>
        <w:bottom w:val="none" w:sz="0" w:space="0" w:color="auto"/>
        <w:right w:val="none" w:sz="0" w:space="0" w:color="auto"/>
      </w:divBdr>
    </w:div>
    <w:div w:id="1707290350">
      <w:bodyDiv w:val="1"/>
      <w:marLeft w:val="0"/>
      <w:marRight w:val="0"/>
      <w:marTop w:val="0"/>
      <w:marBottom w:val="0"/>
      <w:divBdr>
        <w:top w:val="none" w:sz="0" w:space="0" w:color="auto"/>
        <w:left w:val="none" w:sz="0" w:space="0" w:color="auto"/>
        <w:bottom w:val="none" w:sz="0" w:space="0" w:color="auto"/>
        <w:right w:val="none" w:sz="0" w:space="0" w:color="auto"/>
      </w:divBdr>
    </w:div>
    <w:div w:id="1985086170">
      <w:bodyDiv w:val="1"/>
      <w:marLeft w:val="0"/>
      <w:marRight w:val="0"/>
      <w:marTop w:val="0"/>
      <w:marBottom w:val="0"/>
      <w:divBdr>
        <w:top w:val="none" w:sz="0" w:space="0" w:color="auto"/>
        <w:left w:val="none" w:sz="0" w:space="0" w:color="auto"/>
        <w:bottom w:val="none" w:sz="0" w:space="0" w:color="auto"/>
        <w:right w:val="none" w:sz="0" w:space="0" w:color="auto"/>
      </w:divBdr>
    </w:div>
    <w:div w:id="203576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s/australian-register-therapeutic-goods-artg/product-information" TargetMode="External"/><Relationship Id="rId13" Type="http://schemas.openxmlformats.org/officeDocument/2006/relationships/hyperlink" Target="https://www.pbs.gov.au/industry/listing/elements/pbac-meetings/psd/2020-11/files/progesterone-oripro-psd-nov-2020.pdf" TargetMode="External"/><Relationship Id="rId18" Type="http://schemas.openxmlformats.org/officeDocument/2006/relationships/chart" Target="charts/chart5.xml"/><Relationship Id="rId26" Type="http://schemas.openxmlformats.org/officeDocument/2006/relationships/hyperlink" Target="https://ranzcog.edu.au/wp-content/uploads/2022/05/Progesterone-Use-in-the-second-and-third-trimester-of-pregnancy-for-the-prevention-of-preterm-birth.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bs.gov.au/industry/listing/elements/pbac-meetings/psd/2020-11/files/progesterone-utrogestan-psd-nov-2020.pdf" TargetMode="External"/><Relationship Id="rId17" Type="http://schemas.openxmlformats.org/officeDocument/2006/relationships/chart" Target="charts/chart4.xml"/><Relationship Id="rId25" Type="http://schemas.openxmlformats.org/officeDocument/2006/relationships/hyperlink" Target="https://www.pbs.gov.au/info/industry/listing/elements/pbac-meetings/psd/2020-11/progesterone-capsule-200-mg-utrogestan"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29" Type="http://schemas.openxmlformats.org/officeDocument/2006/relationships/hyperlink" Target="https://www.pbs.gov.au/info/industry/listing/elements/pbac-meetings/psd/2020-11/progesterone-pessary-200-mg-orip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pbs/home" TargetMode="External"/><Relationship Id="rId24" Type="http://schemas.openxmlformats.org/officeDocument/2006/relationships/hyperlink" Target="https://www.pbs.gov.au/industry/listing/elements/pbac-meetings/psd/2020-11/files/progesterone-oripro-psd-nov-2020.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7.xml"/><Relationship Id="rId28" Type="http://schemas.openxmlformats.org/officeDocument/2006/relationships/hyperlink" Target="https://www.ebs.tga.gov.au/ebs/picmi/picmirepository.nsf/pdf?OpenAgent&amp;id=CP-2016-PI-02351-1" TargetMode="External"/><Relationship Id="rId10" Type="http://schemas.openxmlformats.org/officeDocument/2006/relationships/hyperlink" Target="http://www.pbs.gov.au/pbs/home" TargetMode="External"/><Relationship Id="rId19" Type="http://schemas.openxmlformats.org/officeDocument/2006/relationships/chart" Target="charts/chart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ga.gov.au/products/australian-register-therapeutic-goods-artg/consumer-medicines-information-cmi" TargetMode="External"/><Relationship Id="rId14" Type="http://schemas.openxmlformats.org/officeDocument/2006/relationships/chart" Target="charts/chart1.xml"/><Relationship Id="rId22" Type="http://schemas.openxmlformats.org/officeDocument/2006/relationships/footer" Target="footer3.xml"/><Relationship Id="rId27" Type="http://schemas.openxmlformats.org/officeDocument/2006/relationships/hyperlink" Target="https://www.ebs.tga.gov.au/ebs/picmi/picmirepository.nsf/pdf?OpenAgent&amp;id=CP-2013-PI-01724-1&amp;d=20231023172310101" TargetMode="External"/><Relationship Id="rId30" Type="http://schemas.openxmlformats.org/officeDocument/2006/relationships/hyperlink" Target="https://www.pbs.gov.au/info/industry/listing/elements/pbac-meetings/psd/2020-11/progesterone-capsule-200-mg-utrogest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reports/mothers-babies/australias-mothers-babies/contents/summar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[D1542 - progesterone scrpts  Pat cnt timeseries + pva.xlsx]Sheet1!PivotTable1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Sheet1!$B$3:$B$5</c:f>
              <c:strCache>
                <c:ptCount val="1"/>
                <c:pt idx="0">
                  <c:v>12465C - Pessary 200 mg</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strRef>
              <c:f>Sheet1!$A$6:$A$34</c:f>
              <c:strCache>
                <c:ptCount val="28"/>
                <c:pt idx="0">
                  <c:v>202106</c:v>
                </c:pt>
                <c:pt idx="1">
                  <c:v>202107</c:v>
                </c:pt>
                <c:pt idx="2">
                  <c:v>202108</c:v>
                </c:pt>
                <c:pt idx="3">
                  <c:v>202109</c:v>
                </c:pt>
                <c:pt idx="4">
                  <c:v>202110</c:v>
                </c:pt>
                <c:pt idx="5">
                  <c:v>202111</c:v>
                </c:pt>
                <c:pt idx="6">
                  <c:v>202112</c:v>
                </c:pt>
                <c:pt idx="7">
                  <c:v>202201</c:v>
                </c:pt>
                <c:pt idx="8">
                  <c:v>202202</c:v>
                </c:pt>
                <c:pt idx="9">
                  <c:v>202203</c:v>
                </c:pt>
                <c:pt idx="10">
                  <c:v>202204</c:v>
                </c:pt>
                <c:pt idx="11">
                  <c:v>202205</c:v>
                </c:pt>
                <c:pt idx="12">
                  <c:v>202206</c:v>
                </c:pt>
                <c:pt idx="13">
                  <c:v>202207</c:v>
                </c:pt>
                <c:pt idx="14">
                  <c:v>202208</c:v>
                </c:pt>
                <c:pt idx="15">
                  <c:v>202209</c:v>
                </c:pt>
                <c:pt idx="16">
                  <c:v>202210</c:v>
                </c:pt>
                <c:pt idx="17">
                  <c:v>202211</c:v>
                </c:pt>
                <c:pt idx="18">
                  <c:v>202212</c:v>
                </c:pt>
                <c:pt idx="19">
                  <c:v>202301</c:v>
                </c:pt>
                <c:pt idx="20">
                  <c:v>202302</c:v>
                </c:pt>
                <c:pt idx="21">
                  <c:v>202303</c:v>
                </c:pt>
                <c:pt idx="22">
                  <c:v>202304</c:v>
                </c:pt>
                <c:pt idx="23">
                  <c:v>202305</c:v>
                </c:pt>
                <c:pt idx="24">
                  <c:v>202306</c:v>
                </c:pt>
                <c:pt idx="25">
                  <c:v>202307</c:v>
                </c:pt>
                <c:pt idx="26">
                  <c:v>202308</c:v>
                </c:pt>
                <c:pt idx="27">
                  <c:v>202309</c:v>
                </c:pt>
              </c:strCache>
            </c:strRef>
          </c:cat>
          <c:val>
            <c:numRef>
              <c:f>Sheet1!$B$6:$B$34</c:f>
              <c:numCache>
                <c:formatCode>General</c:formatCode>
                <c:ptCount val="28"/>
                <c:pt idx="0">
                  <c:v>255</c:v>
                </c:pt>
                <c:pt idx="1">
                  <c:v>373</c:v>
                </c:pt>
                <c:pt idx="2">
                  <c:v>537</c:v>
                </c:pt>
                <c:pt idx="3">
                  <c:v>521</c:v>
                </c:pt>
                <c:pt idx="4">
                  <c:v>484</c:v>
                </c:pt>
                <c:pt idx="5">
                  <c:v>458</c:v>
                </c:pt>
                <c:pt idx="6">
                  <c:v>474</c:v>
                </c:pt>
                <c:pt idx="7">
                  <c:v>457</c:v>
                </c:pt>
                <c:pt idx="8">
                  <c:v>402</c:v>
                </c:pt>
                <c:pt idx="9">
                  <c:v>502</c:v>
                </c:pt>
                <c:pt idx="10">
                  <c:v>485</c:v>
                </c:pt>
                <c:pt idx="11">
                  <c:v>426</c:v>
                </c:pt>
                <c:pt idx="12">
                  <c:v>393</c:v>
                </c:pt>
                <c:pt idx="13">
                  <c:v>422</c:v>
                </c:pt>
                <c:pt idx="14">
                  <c:v>503</c:v>
                </c:pt>
                <c:pt idx="15">
                  <c:v>475</c:v>
                </c:pt>
                <c:pt idx="16">
                  <c:v>429</c:v>
                </c:pt>
                <c:pt idx="17">
                  <c:v>464</c:v>
                </c:pt>
                <c:pt idx="18">
                  <c:v>453</c:v>
                </c:pt>
                <c:pt idx="19">
                  <c:v>428</c:v>
                </c:pt>
                <c:pt idx="20">
                  <c:v>420</c:v>
                </c:pt>
                <c:pt idx="21">
                  <c:v>488</c:v>
                </c:pt>
                <c:pt idx="22">
                  <c:v>403</c:v>
                </c:pt>
                <c:pt idx="23">
                  <c:v>477</c:v>
                </c:pt>
                <c:pt idx="24">
                  <c:v>509</c:v>
                </c:pt>
                <c:pt idx="25">
                  <c:v>558</c:v>
                </c:pt>
                <c:pt idx="26">
                  <c:v>492</c:v>
                </c:pt>
                <c:pt idx="27">
                  <c:v>489</c:v>
                </c:pt>
              </c:numCache>
            </c:numRef>
          </c:val>
          <c:smooth val="0"/>
          <c:extLst>
            <c:ext xmlns:c16="http://schemas.microsoft.com/office/drawing/2014/chart" uri="{C3380CC4-5D6E-409C-BE32-E72D297353CC}">
              <c16:uniqueId val="{00000000-F965-47C6-8C49-69451E616931}"/>
            </c:ext>
          </c:extLst>
        </c:ser>
        <c:ser>
          <c:idx val="1"/>
          <c:order val="1"/>
          <c:tx>
            <c:strRef>
              <c:f>Sheet1!$D$3:$D$5</c:f>
              <c:strCache>
                <c:ptCount val="1"/>
                <c:pt idx="0">
                  <c:v>12598C - Capsule 200 mg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Sheet1!$A$6:$A$34</c:f>
              <c:strCache>
                <c:ptCount val="28"/>
                <c:pt idx="0">
                  <c:v>202106</c:v>
                </c:pt>
                <c:pt idx="1">
                  <c:v>202107</c:v>
                </c:pt>
                <c:pt idx="2">
                  <c:v>202108</c:v>
                </c:pt>
                <c:pt idx="3">
                  <c:v>202109</c:v>
                </c:pt>
                <c:pt idx="4">
                  <c:v>202110</c:v>
                </c:pt>
                <c:pt idx="5">
                  <c:v>202111</c:v>
                </c:pt>
                <c:pt idx="6">
                  <c:v>202112</c:v>
                </c:pt>
                <c:pt idx="7">
                  <c:v>202201</c:v>
                </c:pt>
                <c:pt idx="8">
                  <c:v>202202</c:v>
                </c:pt>
                <c:pt idx="9">
                  <c:v>202203</c:v>
                </c:pt>
                <c:pt idx="10">
                  <c:v>202204</c:v>
                </c:pt>
                <c:pt idx="11">
                  <c:v>202205</c:v>
                </c:pt>
                <c:pt idx="12">
                  <c:v>202206</c:v>
                </c:pt>
                <c:pt idx="13">
                  <c:v>202207</c:v>
                </c:pt>
                <c:pt idx="14">
                  <c:v>202208</c:v>
                </c:pt>
                <c:pt idx="15">
                  <c:v>202209</c:v>
                </c:pt>
                <c:pt idx="16">
                  <c:v>202210</c:v>
                </c:pt>
                <c:pt idx="17">
                  <c:v>202211</c:v>
                </c:pt>
                <c:pt idx="18">
                  <c:v>202212</c:v>
                </c:pt>
                <c:pt idx="19">
                  <c:v>202301</c:v>
                </c:pt>
                <c:pt idx="20">
                  <c:v>202302</c:v>
                </c:pt>
                <c:pt idx="21">
                  <c:v>202303</c:v>
                </c:pt>
                <c:pt idx="22">
                  <c:v>202304</c:v>
                </c:pt>
                <c:pt idx="23">
                  <c:v>202305</c:v>
                </c:pt>
                <c:pt idx="24">
                  <c:v>202306</c:v>
                </c:pt>
                <c:pt idx="25">
                  <c:v>202307</c:v>
                </c:pt>
                <c:pt idx="26">
                  <c:v>202308</c:v>
                </c:pt>
                <c:pt idx="27">
                  <c:v>202309</c:v>
                </c:pt>
              </c:strCache>
            </c:strRef>
          </c:cat>
          <c:val>
            <c:numRef>
              <c:f>Sheet1!$D$6:$D$34</c:f>
              <c:numCache>
                <c:formatCode>General</c:formatCode>
                <c:ptCount val="28"/>
                <c:pt idx="1">
                  <c:v>223</c:v>
                </c:pt>
                <c:pt idx="2">
                  <c:v>317</c:v>
                </c:pt>
                <c:pt idx="3">
                  <c:v>337</c:v>
                </c:pt>
                <c:pt idx="4">
                  <c:v>347</c:v>
                </c:pt>
                <c:pt idx="5">
                  <c:v>405</c:v>
                </c:pt>
                <c:pt idx="6">
                  <c:v>446</c:v>
                </c:pt>
                <c:pt idx="7">
                  <c:v>405</c:v>
                </c:pt>
                <c:pt idx="8">
                  <c:v>383</c:v>
                </c:pt>
                <c:pt idx="9">
                  <c:v>541</c:v>
                </c:pt>
                <c:pt idx="10">
                  <c:v>494</c:v>
                </c:pt>
                <c:pt idx="11">
                  <c:v>606</c:v>
                </c:pt>
                <c:pt idx="12">
                  <c:v>634</c:v>
                </c:pt>
                <c:pt idx="13">
                  <c:v>644</c:v>
                </c:pt>
                <c:pt idx="14">
                  <c:v>708</c:v>
                </c:pt>
                <c:pt idx="15">
                  <c:v>781</c:v>
                </c:pt>
                <c:pt idx="16">
                  <c:v>807</c:v>
                </c:pt>
                <c:pt idx="17">
                  <c:v>862</c:v>
                </c:pt>
                <c:pt idx="18">
                  <c:v>864</c:v>
                </c:pt>
                <c:pt idx="19">
                  <c:v>772</c:v>
                </c:pt>
                <c:pt idx="20">
                  <c:v>759</c:v>
                </c:pt>
                <c:pt idx="21">
                  <c:v>976</c:v>
                </c:pt>
                <c:pt idx="22">
                  <c:v>850</c:v>
                </c:pt>
                <c:pt idx="23">
                  <c:v>1017</c:v>
                </c:pt>
                <c:pt idx="24">
                  <c:v>1020</c:v>
                </c:pt>
                <c:pt idx="25">
                  <c:v>1093</c:v>
                </c:pt>
                <c:pt idx="26">
                  <c:v>1130</c:v>
                </c:pt>
                <c:pt idx="27">
                  <c:v>1063</c:v>
                </c:pt>
              </c:numCache>
            </c:numRef>
          </c:val>
          <c:smooth val="0"/>
          <c:extLst>
            <c:ext xmlns:c16="http://schemas.microsoft.com/office/drawing/2014/chart" uri="{C3380CC4-5D6E-409C-BE32-E72D297353CC}">
              <c16:uniqueId val="{00000001-F965-47C6-8C49-69451E616931}"/>
            </c:ext>
          </c:extLst>
        </c:ser>
        <c:dLbls>
          <c:showLegendKey val="0"/>
          <c:showVal val="0"/>
          <c:showCatName val="0"/>
          <c:showSerName val="0"/>
          <c:showPercent val="0"/>
          <c:showBubbleSize val="0"/>
        </c:dLbls>
        <c:marker val="1"/>
        <c:smooth val="0"/>
        <c:axId val="310443528"/>
        <c:axId val="310446408"/>
      </c:lineChart>
      <c:dateAx>
        <c:axId val="310443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 of supply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396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446408"/>
        <c:crosses val="autoZero"/>
        <c:auto val="0"/>
        <c:lblOffset val="100"/>
        <c:baseTimeUnit val="days"/>
      </c:dateAx>
      <c:valAx>
        <c:axId val="310446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443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[D1542 - progesterone scrpts  Pat cnt timeseries + pva.xlsx]Sheet1 (3)!PivotTable2</c:name>
    <c:fmtId val="-1"/>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(3)'!$B$4:$B$5</c:f>
              <c:strCache>
                <c:ptCount val="1"/>
                <c:pt idx="0">
                  <c:v>prevalent patients by therapy</c:v>
                </c:pt>
              </c:strCache>
            </c:strRef>
          </c:tx>
          <c:spPr>
            <a:ln w="28575" cap="rnd">
              <a:solidFill>
                <a:srgbClr val="92D050"/>
              </a:solidFill>
              <a:round/>
            </a:ln>
            <a:effectLst/>
          </c:spPr>
          <c:marker>
            <c:symbol val="circle"/>
            <c:size val="5"/>
            <c:spPr>
              <a:solidFill>
                <a:srgbClr val="92D050"/>
              </a:solidFill>
              <a:ln w="9525">
                <a:solidFill>
                  <a:srgbClr val="92D050"/>
                </a:solidFill>
              </a:ln>
              <a:effectLst/>
            </c:spPr>
          </c:marker>
          <c:cat>
            <c:strRef>
              <c:f>'Sheet1 (3)'!$A$6:$A$16</c:f>
              <c:strCache>
                <c:ptCount val="10"/>
                <c:pt idx="0">
                  <c:v>2021Q2</c:v>
                </c:pt>
                <c:pt idx="1">
                  <c:v>2021Q3</c:v>
                </c:pt>
                <c:pt idx="2">
                  <c:v>2021Q4</c:v>
                </c:pt>
                <c:pt idx="3">
                  <c:v>2022Q1</c:v>
                </c:pt>
                <c:pt idx="4">
                  <c:v>2022Q2</c:v>
                </c:pt>
                <c:pt idx="5">
                  <c:v>2022Q3</c:v>
                </c:pt>
                <c:pt idx="6">
                  <c:v>2022Q4</c:v>
                </c:pt>
                <c:pt idx="7">
                  <c:v>2023Q1</c:v>
                </c:pt>
                <c:pt idx="8">
                  <c:v>2023Q2</c:v>
                </c:pt>
                <c:pt idx="9">
                  <c:v>2023Q3</c:v>
                </c:pt>
              </c:strCache>
            </c:strRef>
          </c:cat>
          <c:val>
            <c:numRef>
              <c:f>'Sheet1 (3)'!$B$6:$B$16</c:f>
              <c:numCache>
                <c:formatCode>General</c:formatCode>
                <c:ptCount val="10"/>
                <c:pt idx="0">
                  <c:v>223</c:v>
                </c:pt>
                <c:pt idx="1">
                  <c:v>1349</c:v>
                </c:pt>
                <c:pt idx="2">
                  <c:v>1604</c:v>
                </c:pt>
                <c:pt idx="3">
                  <c:v>1715</c:v>
                </c:pt>
                <c:pt idx="4">
                  <c:v>1955</c:v>
                </c:pt>
                <c:pt idx="5">
                  <c:v>2224</c:v>
                </c:pt>
                <c:pt idx="6">
                  <c:v>2430</c:v>
                </c:pt>
                <c:pt idx="7">
                  <c:v>2433</c:v>
                </c:pt>
                <c:pt idx="8">
                  <c:v>2638</c:v>
                </c:pt>
                <c:pt idx="9">
                  <c:v>2963</c:v>
                </c:pt>
              </c:numCache>
            </c:numRef>
          </c:val>
          <c:smooth val="0"/>
          <c:extLst>
            <c:ext xmlns:c16="http://schemas.microsoft.com/office/drawing/2014/chart" uri="{C3380CC4-5D6E-409C-BE32-E72D297353CC}">
              <c16:uniqueId val="{00000000-53FB-4073-9096-7C48EC87AE8A}"/>
            </c:ext>
          </c:extLst>
        </c:ser>
        <c:ser>
          <c:idx val="1"/>
          <c:order val="1"/>
          <c:tx>
            <c:strRef>
              <c:f>'Sheet1 (3)'!$C$4:$C$5</c:f>
              <c:strCache>
                <c:ptCount val="1"/>
                <c:pt idx="0">
                  <c:v>initiating patients by therapy - no script since listing 202106</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cat>
            <c:strRef>
              <c:f>'Sheet1 (3)'!$A$6:$A$16</c:f>
              <c:strCache>
                <c:ptCount val="10"/>
                <c:pt idx="0">
                  <c:v>2021Q2</c:v>
                </c:pt>
                <c:pt idx="1">
                  <c:v>2021Q3</c:v>
                </c:pt>
                <c:pt idx="2">
                  <c:v>2021Q4</c:v>
                </c:pt>
                <c:pt idx="3">
                  <c:v>2022Q1</c:v>
                </c:pt>
                <c:pt idx="4">
                  <c:v>2022Q2</c:v>
                </c:pt>
                <c:pt idx="5">
                  <c:v>2022Q3</c:v>
                </c:pt>
                <c:pt idx="6">
                  <c:v>2022Q4</c:v>
                </c:pt>
                <c:pt idx="7">
                  <c:v>2023Q1</c:v>
                </c:pt>
                <c:pt idx="8">
                  <c:v>2023Q2</c:v>
                </c:pt>
                <c:pt idx="9">
                  <c:v>2023Q3</c:v>
                </c:pt>
              </c:strCache>
            </c:strRef>
          </c:cat>
          <c:val>
            <c:numRef>
              <c:f>'Sheet1 (3)'!$C$6:$C$16</c:f>
              <c:numCache>
                <c:formatCode>General</c:formatCode>
                <c:ptCount val="10"/>
                <c:pt idx="0">
                  <c:v>223</c:v>
                </c:pt>
                <c:pt idx="1">
                  <c:v>1242</c:v>
                </c:pt>
                <c:pt idx="2">
                  <c:v>1198</c:v>
                </c:pt>
                <c:pt idx="3">
                  <c:v>1232</c:v>
                </c:pt>
                <c:pt idx="4">
                  <c:v>1416</c:v>
                </c:pt>
                <c:pt idx="5">
                  <c:v>1584</c:v>
                </c:pt>
                <c:pt idx="6">
                  <c:v>1763</c:v>
                </c:pt>
                <c:pt idx="7">
                  <c:v>1712</c:v>
                </c:pt>
                <c:pt idx="8">
                  <c:v>1788</c:v>
                </c:pt>
                <c:pt idx="9">
                  <c:v>2051</c:v>
                </c:pt>
              </c:numCache>
            </c:numRef>
          </c:val>
          <c:smooth val="0"/>
          <c:extLst>
            <c:ext xmlns:c16="http://schemas.microsoft.com/office/drawing/2014/chart" uri="{C3380CC4-5D6E-409C-BE32-E72D297353CC}">
              <c16:uniqueId val="{00000001-53FB-4073-9096-7C48EC87AE8A}"/>
            </c:ext>
          </c:extLst>
        </c:ser>
        <c:dLbls>
          <c:showLegendKey val="0"/>
          <c:showVal val="0"/>
          <c:showCatName val="0"/>
          <c:showSerName val="0"/>
          <c:showPercent val="0"/>
          <c:showBubbleSize val="0"/>
        </c:dLbls>
        <c:marker val="1"/>
        <c:smooth val="0"/>
        <c:axId val="773835192"/>
        <c:axId val="773837712"/>
      </c:lineChart>
      <c:catAx>
        <c:axId val="773835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7712"/>
        <c:crosses val="autoZero"/>
        <c:auto val="1"/>
        <c:lblAlgn val="ctr"/>
        <c:lblOffset val="100"/>
        <c:noMultiLvlLbl val="0"/>
      </c:catAx>
      <c:valAx>
        <c:axId val="77383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manualLayout>
              <c:xMode val="edge"/>
              <c:yMode val="edge"/>
              <c:x val="1.3268465280849183E-2"/>
              <c:y val="0.344822513693940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5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[D1542 - progesterone scrpts  Pat cnt timeseries + pva.xlsx]Sheet1 (4)!PivotTable2</c:name>
    <c:fmtId val="-1"/>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rgbClr val="0070C0"/>
            </a:solidFill>
            <a:prstDash val="dash"/>
            <a:round/>
          </a:ln>
          <a:effectLst/>
        </c:spPr>
        <c:marker>
          <c:symbol val="circle"/>
          <c:size val="5"/>
          <c:spPr>
            <a:solidFill>
              <a:srgbClr val="0070C0"/>
            </a:solidFill>
            <a:ln w="9525">
              <a:solidFill>
                <a:srgbClr val="0070C0"/>
              </a:solidFill>
              <a:prstDash val="dash"/>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6">
                <a:lumMod val="60000"/>
                <a:lumOff val="40000"/>
              </a:schemeClr>
            </a:solidFill>
            <a:round/>
          </a:ln>
          <a:effectLst/>
        </c:spPr>
        <c:marker>
          <c:symbol val="circle"/>
          <c:size val="5"/>
          <c:spPr>
            <a:solidFill>
              <a:schemeClr val="accent6">
                <a:lumMod val="40000"/>
                <a:lumOff val="6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6">
                <a:lumMod val="60000"/>
                <a:lumOff val="40000"/>
              </a:schemeClr>
            </a:solidFill>
            <a:prstDash val="dash"/>
            <a:round/>
          </a:ln>
          <a:effectLst/>
        </c:spPr>
        <c:marker>
          <c:symbol val="circle"/>
          <c:size val="5"/>
          <c:spPr>
            <a:solidFill>
              <a:schemeClr val="accent6">
                <a:lumMod val="60000"/>
                <a:lumOff val="40000"/>
              </a:schemeClr>
            </a:solidFill>
            <a:ln w="9525">
              <a:solidFill>
                <a:schemeClr val="accent6">
                  <a:lumMod val="60000"/>
                  <a:lumOff val="40000"/>
                </a:schemeClr>
              </a:solidFill>
              <a:prstDash val="dash"/>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rgbClr val="0070C0"/>
            </a:solidFill>
            <a:prstDash val="dash"/>
            <a:round/>
          </a:ln>
          <a:effectLst/>
        </c:spPr>
        <c:marker>
          <c:symbol val="circle"/>
          <c:size val="5"/>
          <c:spPr>
            <a:solidFill>
              <a:srgbClr val="0070C0"/>
            </a:solidFill>
            <a:ln w="9525">
              <a:solidFill>
                <a:srgbClr val="0070C0"/>
              </a:solidFill>
              <a:prstDash val="dash"/>
            </a:ln>
            <a:effectLst/>
          </c:spPr>
        </c:marker>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rgbClr val="0070C0"/>
            </a:solidFill>
            <a:prstDash val="dash"/>
            <a:round/>
          </a:ln>
          <a:effectLst/>
        </c:spPr>
        <c:marker>
          <c:symbol val="circle"/>
          <c:size val="5"/>
          <c:spPr>
            <a:solidFill>
              <a:srgbClr val="0070C0"/>
            </a:solidFill>
            <a:ln w="9525">
              <a:solidFill>
                <a:srgbClr val="0070C0"/>
              </a:solidFill>
              <a:prstDash val="dash"/>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6">
                <a:lumMod val="60000"/>
                <a:lumOff val="40000"/>
              </a:schemeClr>
            </a:solidFill>
            <a:round/>
          </a:ln>
          <a:effectLst/>
        </c:spPr>
        <c:marker>
          <c:symbol val="circle"/>
          <c:size val="5"/>
          <c:spPr>
            <a:solidFill>
              <a:schemeClr val="accent6">
                <a:lumMod val="40000"/>
                <a:lumOff val="6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6">
                <a:lumMod val="60000"/>
                <a:lumOff val="40000"/>
              </a:schemeClr>
            </a:solidFill>
            <a:prstDash val="dash"/>
            <a:round/>
          </a:ln>
          <a:effectLst/>
        </c:spPr>
        <c:marker>
          <c:symbol val="circle"/>
          <c:size val="5"/>
          <c:spPr>
            <a:solidFill>
              <a:schemeClr val="accent6">
                <a:lumMod val="60000"/>
                <a:lumOff val="40000"/>
              </a:schemeClr>
            </a:solidFill>
            <a:ln w="9525">
              <a:solidFill>
                <a:schemeClr val="accent6">
                  <a:lumMod val="60000"/>
                  <a:lumOff val="40000"/>
                </a:schemeClr>
              </a:solidFill>
              <a:prstDash val="dash"/>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rgbClr val="0070C0"/>
            </a:solidFill>
            <a:prstDash val="dash"/>
            <a:round/>
          </a:ln>
          <a:effectLst/>
        </c:spPr>
        <c:marker>
          <c:symbol val="circle"/>
          <c:size val="5"/>
          <c:spPr>
            <a:solidFill>
              <a:srgbClr val="0070C0"/>
            </a:solidFill>
            <a:ln w="9525">
              <a:solidFill>
                <a:srgbClr val="0070C0"/>
              </a:solidFill>
              <a:prstDash val="dash"/>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6">
                <a:lumMod val="60000"/>
                <a:lumOff val="40000"/>
              </a:schemeClr>
            </a:solidFill>
            <a:round/>
          </a:ln>
          <a:effectLst/>
        </c:spPr>
        <c:marker>
          <c:symbol val="circle"/>
          <c:size val="5"/>
          <c:spPr>
            <a:solidFill>
              <a:schemeClr val="accent6">
                <a:lumMod val="40000"/>
                <a:lumOff val="6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6">
                <a:lumMod val="60000"/>
                <a:lumOff val="40000"/>
              </a:schemeClr>
            </a:solidFill>
            <a:prstDash val="dash"/>
            <a:round/>
          </a:ln>
          <a:effectLst/>
        </c:spPr>
        <c:marker>
          <c:symbol val="circle"/>
          <c:size val="5"/>
          <c:spPr>
            <a:solidFill>
              <a:schemeClr val="accent6">
                <a:lumMod val="60000"/>
                <a:lumOff val="40000"/>
              </a:schemeClr>
            </a:solidFill>
            <a:ln w="9525">
              <a:solidFill>
                <a:schemeClr val="accent6">
                  <a:lumMod val="60000"/>
                  <a:lumOff val="40000"/>
                </a:schemeClr>
              </a:solidFill>
              <a:prstDash val="dash"/>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519047735132179"/>
          <c:y val="4.2393872107139075E-2"/>
          <c:w val="0.87540649911021184"/>
          <c:h val="0.59227128376908689"/>
        </c:manualLayout>
      </c:layout>
      <c:lineChart>
        <c:grouping val="standard"/>
        <c:varyColors val="0"/>
        <c:ser>
          <c:idx val="0"/>
          <c:order val="0"/>
          <c:tx>
            <c:strRef>
              <c:f>'Sheet1 (4)'!$B$4:$B$7</c:f>
              <c:strCache>
                <c:ptCount val="1"/>
                <c:pt idx="0">
                  <c:v>12598C - Capsule 200 mg - prevalent patients by item_code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(4)'!$A$8:$A$18</c:f>
              <c:strCache>
                <c:ptCount val="10"/>
                <c:pt idx="0">
                  <c:v>2021Q2</c:v>
                </c:pt>
                <c:pt idx="1">
                  <c:v>2021Q3</c:v>
                </c:pt>
                <c:pt idx="2">
                  <c:v>2021Q4</c:v>
                </c:pt>
                <c:pt idx="3">
                  <c:v>2022Q1</c:v>
                </c:pt>
                <c:pt idx="4">
                  <c:v>2022Q2</c:v>
                </c:pt>
                <c:pt idx="5">
                  <c:v>2022Q3</c:v>
                </c:pt>
                <c:pt idx="6">
                  <c:v>2022Q4</c:v>
                </c:pt>
                <c:pt idx="7">
                  <c:v>2023Q1</c:v>
                </c:pt>
                <c:pt idx="8">
                  <c:v>2023Q2</c:v>
                </c:pt>
                <c:pt idx="9">
                  <c:v>2023Q3</c:v>
                </c:pt>
              </c:strCache>
            </c:strRef>
          </c:cat>
          <c:val>
            <c:numRef>
              <c:f>'Sheet1 (4)'!$B$8:$B$18</c:f>
              <c:numCache>
                <c:formatCode>General</c:formatCode>
                <c:ptCount val="10"/>
                <c:pt idx="1">
                  <c:v>591</c:v>
                </c:pt>
                <c:pt idx="2">
                  <c:v>799</c:v>
                </c:pt>
                <c:pt idx="3">
                  <c:v>920</c:v>
                </c:pt>
                <c:pt idx="4">
                  <c:v>1142</c:v>
                </c:pt>
                <c:pt idx="5">
                  <c:v>1360</c:v>
                </c:pt>
                <c:pt idx="6">
                  <c:v>1564</c:v>
                </c:pt>
                <c:pt idx="7">
                  <c:v>1563</c:v>
                </c:pt>
                <c:pt idx="8">
                  <c:v>1763</c:v>
                </c:pt>
                <c:pt idx="9">
                  <c:v>2000</c:v>
                </c:pt>
              </c:numCache>
            </c:numRef>
          </c:val>
          <c:smooth val="0"/>
          <c:extLst>
            <c:ext xmlns:c16="http://schemas.microsoft.com/office/drawing/2014/chart" uri="{C3380CC4-5D6E-409C-BE32-E72D297353CC}">
              <c16:uniqueId val="{00000000-B60F-41E5-A002-2E01B573FF32}"/>
            </c:ext>
          </c:extLst>
        </c:ser>
        <c:ser>
          <c:idx val="1"/>
          <c:order val="1"/>
          <c:tx>
            <c:strRef>
              <c:f>'Sheet1 (4)'!$C$4:$C$7</c:f>
              <c:strCache>
                <c:ptCount val="1"/>
                <c:pt idx="0">
                  <c:v>12598C - Capsule 200 mg - initiating patients by item_code - no script since listing 202106</c:v>
                </c:pt>
              </c:strCache>
            </c:strRef>
          </c:tx>
          <c:spPr>
            <a:ln w="28575" cap="rnd">
              <a:solidFill>
                <a:srgbClr val="0070C0"/>
              </a:solidFill>
              <a:prstDash val="dash"/>
              <a:round/>
            </a:ln>
            <a:effectLst/>
          </c:spPr>
          <c:marker>
            <c:symbol val="circle"/>
            <c:size val="5"/>
            <c:spPr>
              <a:solidFill>
                <a:srgbClr val="0070C0"/>
              </a:solidFill>
              <a:ln w="9525">
                <a:solidFill>
                  <a:srgbClr val="0070C0"/>
                </a:solidFill>
                <a:prstDash val="dash"/>
              </a:ln>
              <a:effectLst/>
            </c:spPr>
          </c:marker>
          <c:cat>
            <c:strRef>
              <c:f>'Sheet1 (4)'!$A$8:$A$18</c:f>
              <c:strCache>
                <c:ptCount val="10"/>
                <c:pt idx="0">
                  <c:v>2021Q2</c:v>
                </c:pt>
                <c:pt idx="1">
                  <c:v>2021Q3</c:v>
                </c:pt>
                <c:pt idx="2">
                  <c:v>2021Q4</c:v>
                </c:pt>
                <c:pt idx="3">
                  <c:v>2022Q1</c:v>
                </c:pt>
                <c:pt idx="4">
                  <c:v>2022Q2</c:v>
                </c:pt>
                <c:pt idx="5">
                  <c:v>2022Q3</c:v>
                </c:pt>
                <c:pt idx="6">
                  <c:v>2022Q4</c:v>
                </c:pt>
                <c:pt idx="7">
                  <c:v>2023Q1</c:v>
                </c:pt>
                <c:pt idx="8">
                  <c:v>2023Q2</c:v>
                </c:pt>
                <c:pt idx="9">
                  <c:v>2023Q3</c:v>
                </c:pt>
              </c:strCache>
            </c:strRef>
          </c:cat>
          <c:val>
            <c:numRef>
              <c:f>'Sheet1 (4)'!$C$8:$C$18</c:f>
              <c:numCache>
                <c:formatCode>General</c:formatCode>
                <c:ptCount val="10"/>
                <c:pt idx="1">
                  <c:v>591</c:v>
                </c:pt>
                <c:pt idx="2">
                  <c:v>649</c:v>
                </c:pt>
                <c:pt idx="3">
                  <c:v>706</c:v>
                </c:pt>
                <c:pt idx="4">
                  <c:v>866</c:v>
                </c:pt>
                <c:pt idx="5">
                  <c:v>986</c:v>
                </c:pt>
                <c:pt idx="6">
                  <c:v>1176</c:v>
                </c:pt>
                <c:pt idx="7">
                  <c:v>1120</c:v>
                </c:pt>
                <c:pt idx="8">
                  <c:v>1229</c:v>
                </c:pt>
                <c:pt idx="9">
                  <c:v>1421</c:v>
                </c:pt>
              </c:numCache>
            </c:numRef>
          </c:val>
          <c:smooth val="0"/>
          <c:extLst>
            <c:ext xmlns:c16="http://schemas.microsoft.com/office/drawing/2014/chart" uri="{C3380CC4-5D6E-409C-BE32-E72D297353CC}">
              <c16:uniqueId val="{00000001-B60F-41E5-A002-2E01B573FF32}"/>
            </c:ext>
          </c:extLst>
        </c:ser>
        <c:ser>
          <c:idx val="2"/>
          <c:order val="2"/>
          <c:tx>
            <c:strRef>
              <c:f>'Sheet1 (4)'!$F$4:$F$7</c:f>
              <c:strCache>
                <c:ptCount val="1"/>
                <c:pt idx="0">
                  <c:v>12465C - Pessary 200 mg - prevalent patients by item_code</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strRef>
              <c:f>'Sheet1 (4)'!$A$8:$A$18</c:f>
              <c:strCache>
                <c:ptCount val="10"/>
                <c:pt idx="0">
                  <c:v>2021Q2</c:v>
                </c:pt>
                <c:pt idx="1">
                  <c:v>2021Q3</c:v>
                </c:pt>
                <c:pt idx="2">
                  <c:v>2021Q4</c:v>
                </c:pt>
                <c:pt idx="3">
                  <c:v>2022Q1</c:v>
                </c:pt>
                <c:pt idx="4">
                  <c:v>2022Q2</c:v>
                </c:pt>
                <c:pt idx="5">
                  <c:v>2022Q3</c:v>
                </c:pt>
                <c:pt idx="6">
                  <c:v>2022Q4</c:v>
                </c:pt>
                <c:pt idx="7">
                  <c:v>2023Q1</c:v>
                </c:pt>
                <c:pt idx="8">
                  <c:v>2023Q2</c:v>
                </c:pt>
                <c:pt idx="9">
                  <c:v>2023Q3</c:v>
                </c:pt>
              </c:strCache>
            </c:strRef>
          </c:cat>
          <c:val>
            <c:numRef>
              <c:f>'Sheet1 (4)'!$F$8:$F$18</c:f>
              <c:numCache>
                <c:formatCode>General</c:formatCode>
                <c:ptCount val="10"/>
                <c:pt idx="0">
                  <c:v>223</c:v>
                </c:pt>
                <c:pt idx="1">
                  <c:v>780</c:v>
                </c:pt>
                <c:pt idx="2">
                  <c:v>826</c:v>
                </c:pt>
                <c:pt idx="3">
                  <c:v>824</c:v>
                </c:pt>
                <c:pt idx="4">
                  <c:v>849</c:v>
                </c:pt>
                <c:pt idx="5">
                  <c:v>907</c:v>
                </c:pt>
                <c:pt idx="6">
                  <c:v>906</c:v>
                </c:pt>
                <c:pt idx="7">
                  <c:v>902</c:v>
                </c:pt>
                <c:pt idx="8">
                  <c:v>928</c:v>
                </c:pt>
                <c:pt idx="9">
                  <c:v>1016</c:v>
                </c:pt>
              </c:numCache>
            </c:numRef>
          </c:val>
          <c:smooth val="0"/>
          <c:extLst>
            <c:ext xmlns:c16="http://schemas.microsoft.com/office/drawing/2014/chart" uri="{C3380CC4-5D6E-409C-BE32-E72D297353CC}">
              <c16:uniqueId val="{00000002-B60F-41E5-A002-2E01B573FF32}"/>
            </c:ext>
          </c:extLst>
        </c:ser>
        <c:ser>
          <c:idx val="3"/>
          <c:order val="3"/>
          <c:tx>
            <c:strRef>
              <c:f>'Sheet1 (4)'!$G$4:$G$7</c:f>
              <c:strCache>
                <c:ptCount val="1"/>
                <c:pt idx="0">
                  <c:v>12465C - Pessary 200 mg - initiating patients by item_code - no script since listing 202106</c:v>
                </c:pt>
              </c:strCache>
            </c:strRef>
          </c:tx>
          <c:spPr>
            <a:ln w="28575" cap="rnd">
              <a:solidFill>
                <a:srgbClr val="C00000"/>
              </a:solidFill>
              <a:prstDash val="dash"/>
              <a:round/>
            </a:ln>
            <a:effectLst/>
          </c:spPr>
          <c:marker>
            <c:symbol val="circle"/>
            <c:size val="5"/>
            <c:spPr>
              <a:solidFill>
                <a:srgbClr val="C00000"/>
              </a:solidFill>
              <a:ln w="9525">
                <a:solidFill>
                  <a:srgbClr val="C00000"/>
                </a:solidFill>
                <a:prstDash val="dash"/>
              </a:ln>
              <a:effectLst/>
            </c:spPr>
          </c:marker>
          <c:cat>
            <c:strRef>
              <c:f>'Sheet1 (4)'!$A$8:$A$18</c:f>
              <c:strCache>
                <c:ptCount val="10"/>
                <c:pt idx="0">
                  <c:v>2021Q2</c:v>
                </c:pt>
                <c:pt idx="1">
                  <c:v>2021Q3</c:v>
                </c:pt>
                <c:pt idx="2">
                  <c:v>2021Q4</c:v>
                </c:pt>
                <c:pt idx="3">
                  <c:v>2022Q1</c:v>
                </c:pt>
                <c:pt idx="4">
                  <c:v>2022Q2</c:v>
                </c:pt>
                <c:pt idx="5">
                  <c:v>2022Q3</c:v>
                </c:pt>
                <c:pt idx="6">
                  <c:v>2022Q4</c:v>
                </c:pt>
                <c:pt idx="7">
                  <c:v>2023Q1</c:v>
                </c:pt>
                <c:pt idx="8">
                  <c:v>2023Q2</c:v>
                </c:pt>
                <c:pt idx="9">
                  <c:v>2023Q3</c:v>
                </c:pt>
              </c:strCache>
            </c:strRef>
          </c:cat>
          <c:val>
            <c:numRef>
              <c:f>'Sheet1 (4)'!$G$8:$G$18</c:f>
              <c:numCache>
                <c:formatCode>General</c:formatCode>
                <c:ptCount val="10"/>
                <c:pt idx="0">
                  <c:v>223</c:v>
                </c:pt>
                <c:pt idx="1">
                  <c:v>680</c:v>
                </c:pt>
                <c:pt idx="2">
                  <c:v>579</c:v>
                </c:pt>
                <c:pt idx="3">
                  <c:v>573</c:v>
                </c:pt>
                <c:pt idx="4">
                  <c:v>603</c:v>
                </c:pt>
                <c:pt idx="5">
                  <c:v>661</c:v>
                </c:pt>
                <c:pt idx="6">
                  <c:v>655</c:v>
                </c:pt>
                <c:pt idx="7">
                  <c:v>672</c:v>
                </c:pt>
                <c:pt idx="8">
                  <c:v>663</c:v>
                </c:pt>
                <c:pt idx="9">
                  <c:v>734</c:v>
                </c:pt>
              </c:numCache>
            </c:numRef>
          </c:val>
          <c:smooth val="0"/>
          <c:extLst>
            <c:ext xmlns:c16="http://schemas.microsoft.com/office/drawing/2014/chart" uri="{C3380CC4-5D6E-409C-BE32-E72D297353CC}">
              <c16:uniqueId val="{00000003-B60F-41E5-A002-2E01B573FF32}"/>
            </c:ext>
          </c:extLst>
        </c:ser>
        <c:dLbls>
          <c:showLegendKey val="0"/>
          <c:showVal val="0"/>
          <c:showCatName val="0"/>
          <c:showSerName val="0"/>
          <c:showPercent val="0"/>
          <c:showBubbleSize val="0"/>
        </c:dLbls>
        <c:marker val="1"/>
        <c:smooth val="0"/>
        <c:axId val="773835192"/>
        <c:axId val="773837712"/>
      </c:lineChart>
      <c:catAx>
        <c:axId val="773835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layout>
            <c:manualLayout>
              <c:xMode val="edge"/>
              <c:yMode val="edge"/>
              <c:x val="0.46214848143982001"/>
              <c:y val="0.6957138092545062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7712"/>
        <c:crosses val="autoZero"/>
        <c:auto val="1"/>
        <c:lblAlgn val="ctr"/>
        <c:lblOffset val="100"/>
        <c:noMultiLvlLbl val="0"/>
      </c:catAx>
      <c:valAx>
        <c:axId val="77383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manualLayout>
              <c:xMode val="edge"/>
              <c:yMode val="edge"/>
              <c:x val="1.2815038986999689E-2"/>
              <c:y val="0.301132325273500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5192"/>
        <c:crosses val="autoZero"/>
        <c:crossBetween val="between"/>
      </c:valAx>
      <c:spPr>
        <a:noFill/>
        <a:ln>
          <a:noFill/>
        </a:ln>
        <a:effectLst/>
      </c:spPr>
    </c:plotArea>
    <c:legend>
      <c:legendPos val="b"/>
      <c:layout>
        <c:manualLayout>
          <c:xMode val="edge"/>
          <c:yMode val="edge"/>
          <c:x val="3.0084242565654524E-2"/>
          <c:y val="0.74953785472948475"/>
          <c:w val="0.93762010398854945"/>
          <c:h val="0.228362697756703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[D1542 - progesterone additional analyses v2.xlsx]Sheet1 (3)!PivotTable2</c:name>
    <c:fmtId val="-1"/>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564390364517128"/>
          <c:y val="3.7402244134648079E-2"/>
          <c:w val="0.85560775491298879"/>
          <c:h val="0.63435536750077071"/>
        </c:manualLayout>
      </c:layout>
      <c:lineChart>
        <c:grouping val="standard"/>
        <c:varyColors val="0"/>
        <c:ser>
          <c:idx val="0"/>
          <c:order val="0"/>
          <c:tx>
            <c:strRef>
              <c:f>'Sheet1 (3)'!$B$6:$B$7</c:f>
              <c:strCache>
                <c:ptCount val="1"/>
                <c:pt idx="0">
                  <c:v>prevalent patients by therapy</c:v>
                </c:pt>
              </c:strCache>
            </c:strRef>
          </c:tx>
          <c:spPr>
            <a:ln w="28575" cap="rnd">
              <a:solidFill>
                <a:srgbClr val="92D050"/>
              </a:solidFill>
              <a:round/>
            </a:ln>
            <a:effectLst/>
          </c:spPr>
          <c:marker>
            <c:symbol val="circle"/>
            <c:size val="5"/>
            <c:spPr>
              <a:solidFill>
                <a:srgbClr val="92D050"/>
              </a:solidFill>
              <a:ln w="9525">
                <a:solidFill>
                  <a:srgbClr val="92D050"/>
                </a:solidFill>
              </a:ln>
              <a:effectLst/>
            </c:spPr>
          </c:marker>
          <c:cat>
            <c:multiLvlStrRef>
              <c:f>'Sheet1 (3)'!$A$8:$A$19</c:f>
              <c:multiLvlStrCache>
                <c:ptCount val="10"/>
                <c:lvl>
                  <c:pt idx="0">
                    <c:v>15-19 yrs</c:v>
                  </c:pt>
                  <c:pt idx="1">
                    <c:v>20-24 yrs</c:v>
                  </c:pt>
                  <c:pt idx="2">
                    <c:v>25-29 yrs</c:v>
                  </c:pt>
                  <c:pt idx="3">
                    <c:v>30-34 yrs</c:v>
                  </c:pt>
                  <c:pt idx="4">
                    <c:v>35-39 yrs</c:v>
                  </c:pt>
                  <c:pt idx="5">
                    <c:v>40-44 yrs</c:v>
                  </c:pt>
                  <c:pt idx="6">
                    <c:v>45-49 yrs</c:v>
                  </c:pt>
                  <c:pt idx="7">
                    <c:v>50-54 yrs</c:v>
                  </c:pt>
                  <c:pt idx="8">
                    <c:v>60-64 yrs</c:v>
                  </c:pt>
                  <c:pt idx="9">
                    <c:v>70-74 yrs</c:v>
                  </c:pt>
                </c:lvl>
                <c:lvl>
                  <c:pt idx="0">
                    <c:v>2023Q3</c:v>
                  </c:pt>
                </c:lvl>
              </c:multiLvlStrCache>
            </c:multiLvlStrRef>
          </c:cat>
          <c:val>
            <c:numRef>
              <c:f>'Sheet1 (3)'!$B$8:$B$19</c:f>
              <c:numCache>
                <c:formatCode>General</c:formatCode>
                <c:ptCount val="10"/>
                <c:pt idx="0">
                  <c:v>38</c:v>
                </c:pt>
                <c:pt idx="1">
                  <c:v>148</c:v>
                </c:pt>
                <c:pt idx="2">
                  <c:v>494</c:v>
                </c:pt>
                <c:pt idx="3">
                  <c:v>1018</c:v>
                </c:pt>
                <c:pt idx="4">
                  <c:v>858</c:v>
                </c:pt>
                <c:pt idx="5">
                  <c:v>352</c:v>
                </c:pt>
                <c:pt idx="6">
                  <c:v>39</c:v>
                </c:pt>
                <c:pt idx="7">
                  <c:v>10</c:v>
                </c:pt>
                <c:pt idx="8">
                  <c:v>3</c:v>
                </c:pt>
                <c:pt idx="9">
                  <c:v>1</c:v>
                </c:pt>
              </c:numCache>
            </c:numRef>
          </c:val>
          <c:smooth val="0"/>
          <c:extLst>
            <c:ext xmlns:c16="http://schemas.microsoft.com/office/drawing/2014/chart" uri="{C3380CC4-5D6E-409C-BE32-E72D297353CC}">
              <c16:uniqueId val="{00000000-11A2-4E5E-BFB6-9F7C618BEA4D}"/>
            </c:ext>
          </c:extLst>
        </c:ser>
        <c:ser>
          <c:idx val="1"/>
          <c:order val="1"/>
          <c:tx>
            <c:strRef>
              <c:f>'Sheet1 (3)'!$C$6:$C$7</c:f>
              <c:strCache>
                <c:ptCount val="1"/>
                <c:pt idx="0">
                  <c:v>initiating patients by therapy - no script since listing 202106</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cat>
            <c:multiLvlStrRef>
              <c:f>'Sheet1 (3)'!$A$8:$A$19</c:f>
              <c:multiLvlStrCache>
                <c:ptCount val="10"/>
                <c:lvl>
                  <c:pt idx="0">
                    <c:v>15-19 yrs</c:v>
                  </c:pt>
                  <c:pt idx="1">
                    <c:v>20-24 yrs</c:v>
                  </c:pt>
                  <c:pt idx="2">
                    <c:v>25-29 yrs</c:v>
                  </c:pt>
                  <c:pt idx="3">
                    <c:v>30-34 yrs</c:v>
                  </c:pt>
                  <c:pt idx="4">
                    <c:v>35-39 yrs</c:v>
                  </c:pt>
                  <c:pt idx="5">
                    <c:v>40-44 yrs</c:v>
                  </c:pt>
                  <c:pt idx="6">
                    <c:v>45-49 yrs</c:v>
                  </c:pt>
                  <c:pt idx="7">
                    <c:v>50-54 yrs</c:v>
                  </c:pt>
                  <c:pt idx="8">
                    <c:v>60-64 yrs</c:v>
                  </c:pt>
                  <c:pt idx="9">
                    <c:v>70-74 yrs</c:v>
                  </c:pt>
                </c:lvl>
                <c:lvl>
                  <c:pt idx="0">
                    <c:v>2023Q3</c:v>
                  </c:pt>
                </c:lvl>
              </c:multiLvlStrCache>
            </c:multiLvlStrRef>
          </c:cat>
          <c:val>
            <c:numRef>
              <c:f>'Sheet1 (3)'!$C$8:$C$19</c:f>
              <c:numCache>
                <c:formatCode>General</c:formatCode>
                <c:ptCount val="10"/>
                <c:pt idx="0">
                  <c:v>33</c:v>
                </c:pt>
                <c:pt idx="1">
                  <c:v>114</c:v>
                </c:pt>
                <c:pt idx="2">
                  <c:v>354</c:v>
                </c:pt>
                <c:pt idx="3">
                  <c:v>686</c:v>
                </c:pt>
                <c:pt idx="4">
                  <c:v>558</c:v>
                </c:pt>
                <c:pt idx="5">
                  <c:v>270</c:v>
                </c:pt>
                <c:pt idx="6">
                  <c:v>27</c:v>
                </c:pt>
                <c:pt idx="7">
                  <c:v>6</c:v>
                </c:pt>
                <c:pt idx="8">
                  <c:v>2</c:v>
                </c:pt>
                <c:pt idx="9">
                  <c:v>1</c:v>
                </c:pt>
              </c:numCache>
            </c:numRef>
          </c:val>
          <c:smooth val="0"/>
          <c:extLst>
            <c:ext xmlns:c16="http://schemas.microsoft.com/office/drawing/2014/chart" uri="{C3380CC4-5D6E-409C-BE32-E72D297353CC}">
              <c16:uniqueId val="{00000001-11A2-4E5E-BFB6-9F7C618BEA4D}"/>
            </c:ext>
          </c:extLst>
        </c:ser>
        <c:dLbls>
          <c:showLegendKey val="0"/>
          <c:showVal val="0"/>
          <c:showCatName val="0"/>
          <c:showSerName val="0"/>
          <c:showPercent val="0"/>
          <c:showBubbleSize val="0"/>
        </c:dLbls>
        <c:marker val="1"/>
        <c:smooth val="0"/>
        <c:axId val="773835192"/>
        <c:axId val="773837712"/>
      </c:lineChart>
      <c:catAx>
        <c:axId val="773835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a:t>
                </a:r>
                <a:r>
                  <a:rPr lang="en-US" baseline="0"/>
                  <a:t> age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7712"/>
        <c:crosses val="autoZero"/>
        <c:auto val="1"/>
        <c:lblAlgn val="ctr"/>
        <c:lblOffset val="100"/>
        <c:noMultiLvlLbl val="0"/>
      </c:catAx>
      <c:valAx>
        <c:axId val="77383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5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[D1542 - progesterone additional analyses v2.xlsx]Sheet1 (5)!PivotTable2</c:name>
    <c:fmtId val="-1"/>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0016402748418057"/>
          <c:y val="2.3756999830307143E-2"/>
          <c:w val="0.88877891811511178"/>
          <c:h val="0.65023261644533237"/>
        </c:manualLayout>
      </c:layout>
      <c:barChart>
        <c:barDir val="col"/>
        <c:grouping val="clustered"/>
        <c:varyColors val="0"/>
        <c:ser>
          <c:idx val="0"/>
          <c:order val="0"/>
          <c:tx>
            <c:strRef>
              <c:f>'Sheet1 (5)'!$B$6:$B$7</c:f>
              <c:strCache>
                <c:ptCount val="1"/>
                <c:pt idx="0">
                  <c:v>prevalent patients by therapy</c:v>
                </c:pt>
              </c:strCache>
            </c:strRef>
          </c:tx>
          <c:spPr>
            <a:solidFill>
              <a:srgbClr val="92D050"/>
            </a:solidFill>
            <a:ln>
              <a:solidFill>
                <a:srgbClr val="92D050"/>
              </a:solidFill>
            </a:ln>
            <a:effectLst/>
          </c:spPr>
          <c:invertIfNegative val="0"/>
          <c:cat>
            <c:multiLvlStrRef>
              <c:f>'Sheet1 (5)'!$A$8:$A$87</c:f>
              <c:multiLvlStrCache>
                <c:ptCount val="71"/>
                <c:lvl>
                  <c:pt idx="0">
                    <c:v>2021Q3</c:v>
                  </c:pt>
                  <c:pt idx="1">
                    <c:v>2021Q4</c:v>
                  </c:pt>
                  <c:pt idx="2">
                    <c:v>2022Q1</c:v>
                  </c:pt>
                  <c:pt idx="3">
                    <c:v>2022Q2</c:v>
                  </c:pt>
                  <c:pt idx="4">
                    <c:v>2022Q3</c:v>
                  </c:pt>
                  <c:pt idx="5">
                    <c:v>2022Q4</c:v>
                  </c:pt>
                  <c:pt idx="6">
                    <c:v>2023Q1</c:v>
                  </c:pt>
                  <c:pt idx="7">
                    <c:v>2023Q2</c:v>
                  </c:pt>
                  <c:pt idx="8">
                    <c:v>2023Q3</c:v>
                  </c:pt>
                  <c:pt idx="9">
                    <c:v>2021Q3</c:v>
                  </c:pt>
                  <c:pt idx="10">
                    <c:v>2021Q4</c:v>
                  </c:pt>
                  <c:pt idx="11">
                    <c:v>2022Q1</c:v>
                  </c:pt>
                  <c:pt idx="12">
                    <c:v>2022Q2</c:v>
                  </c:pt>
                  <c:pt idx="13">
                    <c:v>2022Q3</c:v>
                  </c:pt>
                  <c:pt idx="14">
                    <c:v>2022Q4</c:v>
                  </c:pt>
                  <c:pt idx="15">
                    <c:v>2023Q1</c:v>
                  </c:pt>
                  <c:pt idx="16">
                    <c:v>2023Q2</c:v>
                  </c:pt>
                  <c:pt idx="17">
                    <c:v>2023Q3</c:v>
                  </c:pt>
                  <c:pt idx="18">
                    <c:v>2021Q3</c:v>
                  </c:pt>
                  <c:pt idx="19">
                    <c:v>2021Q4</c:v>
                  </c:pt>
                  <c:pt idx="20">
                    <c:v>2022Q1</c:v>
                  </c:pt>
                  <c:pt idx="21">
                    <c:v>2022Q2</c:v>
                  </c:pt>
                  <c:pt idx="22">
                    <c:v>2022Q3</c:v>
                  </c:pt>
                  <c:pt idx="23">
                    <c:v>2022Q4</c:v>
                  </c:pt>
                  <c:pt idx="24">
                    <c:v>2023Q1</c:v>
                  </c:pt>
                  <c:pt idx="25">
                    <c:v>2023Q2</c:v>
                  </c:pt>
                  <c:pt idx="26">
                    <c:v>2023Q3</c:v>
                  </c:pt>
                  <c:pt idx="27">
                    <c:v>2021Q3</c:v>
                  </c:pt>
                  <c:pt idx="28">
                    <c:v>2021Q4</c:v>
                  </c:pt>
                  <c:pt idx="29">
                    <c:v>2022Q1</c:v>
                  </c:pt>
                  <c:pt idx="30">
                    <c:v>2022Q2</c:v>
                  </c:pt>
                  <c:pt idx="31">
                    <c:v>2022Q3</c:v>
                  </c:pt>
                  <c:pt idx="32">
                    <c:v>2022Q4</c:v>
                  </c:pt>
                  <c:pt idx="33">
                    <c:v>2023Q1</c:v>
                  </c:pt>
                  <c:pt idx="34">
                    <c:v>2023Q2</c:v>
                  </c:pt>
                  <c:pt idx="35">
                    <c:v>2023Q3</c:v>
                  </c:pt>
                  <c:pt idx="36">
                    <c:v>2021Q3</c:v>
                  </c:pt>
                  <c:pt idx="37">
                    <c:v>2021Q4</c:v>
                  </c:pt>
                  <c:pt idx="38">
                    <c:v>2022Q1</c:v>
                  </c:pt>
                  <c:pt idx="39">
                    <c:v>2022Q2</c:v>
                  </c:pt>
                  <c:pt idx="40">
                    <c:v>2022Q3</c:v>
                  </c:pt>
                  <c:pt idx="41">
                    <c:v>2022Q4</c:v>
                  </c:pt>
                  <c:pt idx="42">
                    <c:v>2023Q1</c:v>
                  </c:pt>
                  <c:pt idx="43">
                    <c:v>2023Q2</c:v>
                  </c:pt>
                  <c:pt idx="44">
                    <c:v>2023Q3</c:v>
                  </c:pt>
                  <c:pt idx="45">
                    <c:v>2021Q3</c:v>
                  </c:pt>
                  <c:pt idx="46">
                    <c:v>2021Q4</c:v>
                  </c:pt>
                  <c:pt idx="47">
                    <c:v>2022Q1</c:v>
                  </c:pt>
                  <c:pt idx="48">
                    <c:v>2022Q2</c:v>
                  </c:pt>
                  <c:pt idx="49">
                    <c:v>2022Q3</c:v>
                  </c:pt>
                  <c:pt idx="50">
                    <c:v>2022Q4</c:v>
                  </c:pt>
                  <c:pt idx="51">
                    <c:v>2023Q1</c:v>
                  </c:pt>
                  <c:pt idx="52">
                    <c:v>2023Q2</c:v>
                  </c:pt>
                  <c:pt idx="53">
                    <c:v>2023Q3</c:v>
                  </c:pt>
                  <c:pt idx="54">
                    <c:v>2021Q3</c:v>
                  </c:pt>
                  <c:pt idx="55">
                    <c:v>2021Q4</c:v>
                  </c:pt>
                  <c:pt idx="56">
                    <c:v>2022Q1</c:v>
                  </c:pt>
                  <c:pt idx="57">
                    <c:v>2022Q2</c:v>
                  </c:pt>
                  <c:pt idx="58">
                    <c:v>2022Q3</c:v>
                  </c:pt>
                  <c:pt idx="59">
                    <c:v>2022Q4</c:v>
                  </c:pt>
                  <c:pt idx="60">
                    <c:v>2023Q1</c:v>
                  </c:pt>
                  <c:pt idx="61">
                    <c:v>2023Q2</c:v>
                  </c:pt>
                  <c:pt idx="62">
                    <c:v>2023Q3</c:v>
                  </c:pt>
                  <c:pt idx="63">
                    <c:v>2021Q4</c:v>
                  </c:pt>
                  <c:pt idx="64">
                    <c:v>2022Q1</c:v>
                  </c:pt>
                  <c:pt idx="65">
                    <c:v>2022Q2</c:v>
                  </c:pt>
                  <c:pt idx="66">
                    <c:v>2022Q3</c:v>
                  </c:pt>
                  <c:pt idx="67">
                    <c:v>2022Q4</c:v>
                  </c:pt>
                  <c:pt idx="68">
                    <c:v>2023Q1</c:v>
                  </c:pt>
                  <c:pt idx="69">
                    <c:v>2023Q2</c:v>
                  </c:pt>
                  <c:pt idx="70">
                    <c:v>2023Q3</c:v>
                  </c:pt>
                </c:lvl>
                <c:lvl>
                  <c:pt idx="0">
                    <c:v>15-19 yrs</c:v>
                  </c:pt>
                  <c:pt idx="9">
                    <c:v>20-24 yrs</c:v>
                  </c:pt>
                  <c:pt idx="18">
                    <c:v>25-29 yrs</c:v>
                  </c:pt>
                  <c:pt idx="27">
                    <c:v>30-34 yrs</c:v>
                  </c:pt>
                  <c:pt idx="36">
                    <c:v>35-39 yrs</c:v>
                  </c:pt>
                  <c:pt idx="45">
                    <c:v>40-44 yrs</c:v>
                  </c:pt>
                  <c:pt idx="54">
                    <c:v>45-49 yrs</c:v>
                  </c:pt>
                  <c:pt idx="63">
                    <c:v>50-54 yrs</c:v>
                  </c:pt>
                </c:lvl>
              </c:multiLvlStrCache>
            </c:multiLvlStrRef>
          </c:cat>
          <c:val>
            <c:numRef>
              <c:f>'Sheet1 (5)'!$B$8:$B$87</c:f>
              <c:numCache>
                <c:formatCode>General</c:formatCode>
                <c:ptCount val="71"/>
                <c:pt idx="0">
                  <c:v>18</c:v>
                </c:pt>
                <c:pt idx="1">
                  <c:v>14</c:v>
                </c:pt>
                <c:pt idx="2">
                  <c:v>13</c:v>
                </c:pt>
                <c:pt idx="3">
                  <c:v>16</c:v>
                </c:pt>
                <c:pt idx="4">
                  <c:v>21</c:v>
                </c:pt>
                <c:pt idx="5">
                  <c:v>28</c:v>
                </c:pt>
                <c:pt idx="6">
                  <c:v>26</c:v>
                </c:pt>
                <c:pt idx="7">
                  <c:v>27</c:v>
                </c:pt>
                <c:pt idx="8">
                  <c:v>38</c:v>
                </c:pt>
                <c:pt idx="9">
                  <c:v>100</c:v>
                </c:pt>
                <c:pt idx="10">
                  <c:v>102</c:v>
                </c:pt>
                <c:pt idx="11">
                  <c:v>102</c:v>
                </c:pt>
                <c:pt idx="12">
                  <c:v>106</c:v>
                </c:pt>
                <c:pt idx="13">
                  <c:v>104</c:v>
                </c:pt>
                <c:pt idx="14">
                  <c:v>107</c:v>
                </c:pt>
                <c:pt idx="15">
                  <c:v>123</c:v>
                </c:pt>
                <c:pt idx="16">
                  <c:v>144</c:v>
                </c:pt>
                <c:pt idx="17">
                  <c:v>148</c:v>
                </c:pt>
                <c:pt idx="18">
                  <c:v>223</c:v>
                </c:pt>
                <c:pt idx="19">
                  <c:v>289</c:v>
                </c:pt>
                <c:pt idx="20">
                  <c:v>324</c:v>
                </c:pt>
                <c:pt idx="21">
                  <c:v>351</c:v>
                </c:pt>
                <c:pt idx="22">
                  <c:v>394</c:v>
                </c:pt>
                <c:pt idx="23">
                  <c:v>412</c:v>
                </c:pt>
                <c:pt idx="24">
                  <c:v>436</c:v>
                </c:pt>
                <c:pt idx="25">
                  <c:v>426</c:v>
                </c:pt>
                <c:pt idx="26">
                  <c:v>494</c:v>
                </c:pt>
                <c:pt idx="27">
                  <c:v>445</c:v>
                </c:pt>
                <c:pt idx="28">
                  <c:v>570</c:v>
                </c:pt>
                <c:pt idx="29">
                  <c:v>610</c:v>
                </c:pt>
                <c:pt idx="30">
                  <c:v>702</c:v>
                </c:pt>
                <c:pt idx="31">
                  <c:v>813</c:v>
                </c:pt>
                <c:pt idx="32">
                  <c:v>845</c:v>
                </c:pt>
                <c:pt idx="33">
                  <c:v>814</c:v>
                </c:pt>
                <c:pt idx="34">
                  <c:v>917</c:v>
                </c:pt>
                <c:pt idx="35">
                  <c:v>1018</c:v>
                </c:pt>
                <c:pt idx="36">
                  <c:v>405</c:v>
                </c:pt>
                <c:pt idx="37">
                  <c:v>474</c:v>
                </c:pt>
                <c:pt idx="38">
                  <c:v>485</c:v>
                </c:pt>
                <c:pt idx="39">
                  <c:v>570</c:v>
                </c:pt>
                <c:pt idx="40">
                  <c:v>625</c:v>
                </c:pt>
                <c:pt idx="41">
                  <c:v>719</c:v>
                </c:pt>
                <c:pt idx="42">
                  <c:v>740</c:v>
                </c:pt>
                <c:pt idx="43">
                  <c:v>823</c:v>
                </c:pt>
                <c:pt idx="44">
                  <c:v>858</c:v>
                </c:pt>
                <c:pt idx="45">
                  <c:v>139</c:v>
                </c:pt>
                <c:pt idx="46">
                  <c:v>132</c:v>
                </c:pt>
                <c:pt idx="47">
                  <c:v>156</c:v>
                </c:pt>
                <c:pt idx="48">
                  <c:v>179</c:v>
                </c:pt>
                <c:pt idx="49">
                  <c:v>223</c:v>
                </c:pt>
                <c:pt idx="50">
                  <c:v>265</c:v>
                </c:pt>
                <c:pt idx="51">
                  <c:v>242</c:v>
                </c:pt>
                <c:pt idx="52">
                  <c:v>244</c:v>
                </c:pt>
                <c:pt idx="53">
                  <c:v>352</c:v>
                </c:pt>
                <c:pt idx="54">
                  <c:v>16</c:v>
                </c:pt>
                <c:pt idx="55">
                  <c:v>15</c:v>
                </c:pt>
                <c:pt idx="56">
                  <c:v>19</c:v>
                </c:pt>
                <c:pt idx="57">
                  <c:v>24</c:v>
                </c:pt>
                <c:pt idx="58">
                  <c:v>36</c:v>
                </c:pt>
                <c:pt idx="59">
                  <c:v>44</c:v>
                </c:pt>
                <c:pt idx="60">
                  <c:v>37</c:v>
                </c:pt>
                <c:pt idx="61">
                  <c:v>42</c:v>
                </c:pt>
                <c:pt idx="62">
                  <c:v>39</c:v>
                </c:pt>
                <c:pt idx="63">
                  <c:v>1</c:v>
                </c:pt>
                <c:pt idx="64">
                  <c:v>3</c:v>
                </c:pt>
                <c:pt idx="65">
                  <c:v>5</c:v>
                </c:pt>
                <c:pt idx="66">
                  <c:v>6</c:v>
                </c:pt>
                <c:pt idx="67">
                  <c:v>6</c:v>
                </c:pt>
                <c:pt idx="68">
                  <c:v>8</c:v>
                </c:pt>
                <c:pt idx="69">
                  <c:v>7</c:v>
                </c:pt>
                <c:pt idx="70">
                  <c:v>10</c:v>
                </c:pt>
              </c:numCache>
            </c:numRef>
          </c:val>
          <c:extLst>
            <c:ext xmlns:c16="http://schemas.microsoft.com/office/drawing/2014/chart" uri="{C3380CC4-5D6E-409C-BE32-E72D297353CC}">
              <c16:uniqueId val="{00000000-9B6E-41D3-B183-3F6E1B823361}"/>
            </c:ext>
          </c:extLst>
        </c:ser>
        <c:dLbls>
          <c:showLegendKey val="0"/>
          <c:showVal val="0"/>
          <c:showCatName val="0"/>
          <c:showSerName val="0"/>
          <c:showPercent val="0"/>
          <c:showBubbleSize val="0"/>
        </c:dLbls>
        <c:gapWidth val="150"/>
        <c:axId val="773835192"/>
        <c:axId val="773837712"/>
      </c:barChart>
      <c:catAx>
        <c:axId val="773835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a:t>
                </a:r>
                <a:r>
                  <a:rPr lang="en-US" baseline="0"/>
                  <a:t> age</a:t>
                </a:r>
                <a:endParaRPr lang="en-US"/>
              </a:p>
            </c:rich>
          </c:tx>
          <c:layout>
            <c:manualLayout>
              <c:xMode val="edge"/>
              <c:yMode val="edge"/>
              <c:x val="0.46725353216296878"/>
              <c:y val="0.877549100694671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73837712"/>
        <c:crosses val="autoZero"/>
        <c:auto val="1"/>
        <c:lblAlgn val="ctr"/>
        <c:lblOffset val="100"/>
        <c:noMultiLvlLbl val="0"/>
      </c:catAx>
      <c:valAx>
        <c:axId val="77383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layout>
            <c:manualLayout>
              <c:xMode val="edge"/>
              <c:yMode val="edge"/>
              <c:x val="6.6342326404245913E-3"/>
              <c:y val="0.295946211373162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5192"/>
        <c:crosses val="autoZero"/>
        <c:crossBetween val="between"/>
      </c:valAx>
      <c:spPr>
        <a:noFill/>
        <a:ln>
          <a:noFill/>
        </a:ln>
        <a:effectLst/>
      </c:spPr>
    </c:plotArea>
    <c:legend>
      <c:legendPos val="b"/>
      <c:layout>
        <c:manualLayout>
          <c:xMode val="edge"/>
          <c:yMode val="edge"/>
          <c:x val="0.34985808662462081"/>
          <c:y val="0.93254668891825476"/>
          <c:w val="0.3135522920316075"/>
          <c:h val="5.727173972589927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[D1542 - progesterone additional analyses v2.xlsx]Sheet1 (4)!PivotTable2</c:name>
    <c:fmtId val="-1"/>
  </c:pivotSource>
  <c:chart>
    <c:autoTitleDeleted val="1"/>
    <c:pivotFmts>
      <c:pivotFmt>
        <c:idx val="0"/>
        <c:spPr>
          <a:solidFill>
            <a:schemeClr val="accent1"/>
          </a:solidFill>
          <a:ln>
            <a:noFill/>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circle"/>
          <c:size val="5"/>
          <c:spPr>
            <a:solidFill>
              <a:schemeClr val="accent2">
                <a:lumMod val="60000"/>
              </a:schemeClr>
            </a:solidFill>
            <a:ln w="9525">
              <a:solidFill>
                <a:schemeClr val="accent2">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circle"/>
          <c:size val="5"/>
          <c:spPr>
            <a:solidFill>
              <a:schemeClr val="accent3">
                <a:lumMod val="60000"/>
              </a:schemeClr>
            </a:solidFill>
            <a:ln w="9525">
              <a:solidFill>
                <a:schemeClr val="accent3">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 (4)'!$B$6:$B$7</c:f>
              <c:strCache>
                <c:ptCount val="1"/>
                <c:pt idx="0">
                  <c:v>prevalent patients by item_code</c:v>
                </c:pt>
              </c:strCache>
            </c:strRef>
          </c:tx>
          <c:spPr>
            <a:ln w="28575" cap="rnd">
              <a:solidFill>
                <a:srgbClr val="92D050"/>
              </a:solidFill>
              <a:round/>
            </a:ln>
            <a:effectLst/>
          </c:spPr>
          <c:marker>
            <c:symbol val="circle"/>
            <c:size val="5"/>
            <c:spPr>
              <a:solidFill>
                <a:srgbClr val="92D050"/>
              </a:solidFill>
              <a:ln w="9525">
                <a:solidFill>
                  <a:srgbClr val="92D050"/>
                </a:solidFill>
              </a:ln>
              <a:effectLst/>
            </c:spPr>
          </c:marker>
          <c:cat>
            <c:multiLvlStrRef>
              <c:f>'Sheet1 (4)'!$A$8:$A$31</c:f>
              <c:multiLvlStrCache>
                <c:ptCount val="18"/>
                <c:lvl>
                  <c:pt idx="0">
                    <c:v>15-19 yrs</c:v>
                  </c:pt>
                  <c:pt idx="1">
                    <c:v>20-24 yrs</c:v>
                  </c:pt>
                  <c:pt idx="2">
                    <c:v>25-29 yrs</c:v>
                  </c:pt>
                  <c:pt idx="3">
                    <c:v>30-34 yrs</c:v>
                  </c:pt>
                  <c:pt idx="4">
                    <c:v>35-39 yrs</c:v>
                  </c:pt>
                  <c:pt idx="5">
                    <c:v>40-44 yrs</c:v>
                  </c:pt>
                  <c:pt idx="6">
                    <c:v>45-49 yrs</c:v>
                  </c:pt>
                  <c:pt idx="7">
                    <c:v>50-54 yrs</c:v>
                  </c:pt>
                  <c:pt idx="8">
                    <c:v>60-64 yrs</c:v>
                  </c:pt>
                  <c:pt idx="9">
                    <c:v>70-74 yrs</c:v>
                  </c:pt>
                  <c:pt idx="10">
                    <c:v>15-19 yrs</c:v>
                  </c:pt>
                  <c:pt idx="11">
                    <c:v>20-24 yrs</c:v>
                  </c:pt>
                  <c:pt idx="12">
                    <c:v>25-29 yrs</c:v>
                  </c:pt>
                  <c:pt idx="13">
                    <c:v>30-34 yrs</c:v>
                  </c:pt>
                  <c:pt idx="14">
                    <c:v>35-39 yrs</c:v>
                  </c:pt>
                  <c:pt idx="15">
                    <c:v>40-44 yrs</c:v>
                  </c:pt>
                  <c:pt idx="16">
                    <c:v>45-49 yrs</c:v>
                  </c:pt>
                  <c:pt idx="17">
                    <c:v>50-54 yrs</c:v>
                  </c:pt>
                </c:lvl>
                <c:lvl>
                  <c:pt idx="0">
                    <c:v>12598C</c:v>
                  </c:pt>
                  <c:pt idx="10">
                    <c:v>12465C</c:v>
                  </c:pt>
                </c:lvl>
                <c:lvl>
                  <c:pt idx="0">
                    <c:v>Capsule 200 mg</c:v>
                  </c:pt>
                  <c:pt idx="10">
                    <c:v>Pessary 200 mg</c:v>
                  </c:pt>
                </c:lvl>
                <c:lvl>
                  <c:pt idx="0">
                    <c:v>2023Q3</c:v>
                  </c:pt>
                </c:lvl>
              </c:multiLvlStrCache>
            </c:multiLvlStrRef>
          </c:cat>
          <c:val>
            <c:numRef>
              <c:f>'Sheet1 (4)'!$B$8:$B$31</c:f>
              <c:numCache>
                <c:formatCode>General</c:formatCode>
                <c:ptCount val="18"/>
                <c:pt idx="0">
                  <c:v>19</c:v>
                </c:pt>
                <c:pt idx="1">
                  <c:v>91</c:v>
                </c:pt>
                <c:pt idx="2">
                  <c:v>323</c:v>
                </c:pt>
                <c:pt idx="3">
                  <c:v>703</c:v>
                </c:pt>
                <c:pt idx="4">
                  <c:v>570</c:v>
                </c:pt>
                <c:pt idx="5">
                  <c:v>256</c:v>
                </c:pt>
                <c:pt idx="6">
                  <c:v>26</c:v>
                </c:pt>
                <c:pt idx="7">
                  <c:v>7</c:v>
                </c:pt>
                <c:pt idx="8">
                  <c:v>3</c:v>
                </c:pt>
                <c:pt idx="9">
                  <c:v>1</c:v>
                </c:pt>
                <c:pt idx="10">
                  <c:v>19</c:v>
                </c:pt>
                <c:pt idx="11">
                  <c:v>62</c:v>
                </c:pt>
                <c:pt idx="12">
                  <c:v>181</c:v>
                </c:pt>
                <c:pt idx="13">
                  <c:v>333</c:v>
                </c:pt>
                <c:pt idx="14">
                  <c:v>302</c:v>
                </c:pt>
                <c:pt idx="15">
                  <c:v>101</c:v>
                </c:pt>
                <c:pt idx="16">
                  <c:v>14</c:v>
                </c:pt>
                <c:pt idx="17">
                  <c:v>3</c:v>
                </c:pt>
              </c:numCache>
            </c:numRef>
          </c:val>
          <c:smooth val="0"/>
          <c:extLst>
            <c:ext xmlns:c16="http://schemas.microsoft.com/office/drawing/2014/chart" uri="{C3380CC4-5D6E-409C-BE32-E72D297353CC}">
              <c16:uniqueId val="{00000000-2BE4-4BB4-935F-CB96A6D440AA}"/>
            </c:ext>
          </c:extLst>
        </c:ser>
        <c:ser>
          <c:idx val="1"/>
          <c:order val="1"/>
          <c:tx>
            <c:strRef>
              <c:f>'Sheet1 (4)'!$C$6:$C$7</c:f>
              <c:strCache>
                <c:ptCount val="1"/>
                <c:pt idx="0">
                  <c:v>initiating patients by item_code - no script since listing 202106</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cat>
            <c:multiLvlStrRef>
              <c:f>'Sheet1 (4)'!$A$8:$A$31</c:f>
              <c:multiLvlStrCache>
                <c:ptCount val="18"/>
                <c:lvl>
                  <c:pt idx="0">
                    <c:v>15-19 yrs</c:v>
                  </c:pt>
                  <c:pt idx="1">
                    <c:v>20-24 yrs</c:v>
                  </c:pt>
                  <c:pt idx="2">
                    <c:v>25-29 yrs</c:v>
                  </c:pt>
                  <c:pt idx="3">
                    <c:v>30-34 yrs</c:v>
                  </c:pt>
                  <c:pt idx="4">
                    <c:v>35-39 yrs</c:v>
                  </c:pt>
                  <c:pt idx="5">
                    <c:v>40-44 yrs</c:v>
                  </c:pt>
                  <c:pt idx="6">
                    <c:v>45-49 yrs</c:v>
                  </c:pt>
                  <c:pt idx="7">
                    <c:v>50-54 yrs</c:v>
                  </c:pt>
                  <c:pt idx="8">
                    <c:v>60-64 yrs</c:v>
                  </c:pt>
                  <c:pt idx="9">
                    <c:v>70-74 yrs</c:v>
                  </c:pt>
                  <c:pt idx="10">
                    <c:v>15-19 yrs</c:v>
                  </c:pt>
                  <c:pt idx="11">
                    <c:v>20-24 yrs</c:v>
                  </c:pt>
                  <c:pt idx="12">
                    <c:v>25-29 yrs</c:v>
                  </c:pt>
                  <c:pt idx="13">
                    <c:v>30-34 yrs</c:v>
                  </c:pt>
                  <c:pt idx="14">
                    <c:v>35-39 yrs</c:v>
                  </c:pt>
                  <c:pt idx="15">
                    <c:v>40-44 yrs</c:v>
                  </c:pt>
                  <c:pt idx="16">
                    <c:v>45-49 yrs</c:v>
                  </c:pt>
                  <c:pt idx="17">
                    <c:v>50-54 yrs</c:v>
                  </c:pt>
                </c:lvl>
                <c:lvl>
                  <c:pt idx="0">
                    <c:v>12598C</c:v>
                  </c:pt>
                  <c:pt idx="10">
                    <c:v>12465C</c:v>
                  </c:pt>
                </c:lvl>
                <c:lvl>
                  <c:pt idx="0">
                    <c:v>Capsule 200 mg</c:v>
                  </c:pt>
                  <c:pt idx="10">
                    <c:v>Pessary 200 mg</c:v>
                  </c:pt>
                </c:lvl>
                <c:lvl>
                  <c:pt idx="0">
                    <c:v>2023Q3</c:v>
                  </c:pt>
                </c:lvl>
              </c:multiLvlStrCache>
            </c:multiLvlStrRef>
          </c:cat>
          <c:val>
            <c:numRef>
              <c:f>'Sheet1 (4)'!$C$8:$C$31</c:f>
              <c:numCache>
                <c:formatCode>General</c:formatCode>
                <c:ptCount val="18"/>
                <c:pt idx="0">
                  <c:v>17</c:v>
                </c:pt>
                <c:pt idx="1">
                  <c:v>73</c:v>
                </c:pt>
                <c:pt idx="2">
                  <c:v>240</c:v>
                </c:pt>
                <c:pt idx="3">
                  <c:v>482</c:v>
                </c:pt>
                <c:pt idx="4">
                  <c:v>377</c:v>
                </c:pt>
                <c:pt idx="5">
                  <c:v>209</c:v>
                </c:pt>
                <c:pt idx="6">
                  <c:v>15</c:v>
                </c:pt>
                <c:pt idx="7">
                  <c:v>5</c:v>
                </c:pt>
                <c:pt idx="8">
                  <c:v>2</c:v>
                </c:pt>
                <c:pt idx="9">
                  <c:v>1</c:v>
                </c:pt>
                <c:pt idx="10">
                  <c:v>18</c:v>
                </c:pt>
                <c:pt idx="11">
                  <c:v>48</c:v>
                </c:pt>
                <c:pt idx="12">
                  <c:v>138</c:v>
                </c:pt>
                <c:pt idx="13">
                  <c:v>238</c:v>
                </c:pt>
                <c:pt idx="14">
                  <c:v>204</c:v>
                </c:pt>
                <c:pt idx="15">
                  <c:v>74</c:v>
                </c:pt>
                <c:pt idx="16">
                  <c:v>13</c:v>
                </c:pt>
                <c:pt idx="17">
                  <c:v>1</c:v>
                </c:pt>
              </c:numCache>
            </c:numRef>
          </c:val>
          <c:smooth val="0"/>
          <c:extLst>
            <c:ext xmlns:c16="http://schemas.microsoft.com/office/drawing/2014/chart" uri="{C3380CC4-5D6E-409C-BE32-E72D297353CC}">
              <c16:uniqueId val="{00000001-2BE4-4BB4-935F-CB96A6D440AA}"/>
            </c:ext>
          </c:extLst>
        </c:ser>
        <c:dLbls>
          <c:showLegendKey val="0"/>
          <c:showVal val="0"/>
          <c:showCatName val="0"/>
          <c:showSerName val="0"/>
          <c:showPercent val="0"/>
          <c:showBubbleSize val="0"/>
        </c:dLbls>
        <c:marker val="1"/>
        <c:smooth val="0"/>
        <c:axId val="773835192"/>
        <c:axId val="773837712"/>
      </c:lineChart>
      <c:catAx>
        <c:axId val="773835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a:t>
                </a:r>
                <a:r>
                  <a:rPr lang="en-US" baseline="0"/>
                  <a:t> age</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7712"/>
        <c:crosses val="autoZero"/>
        <c:auto val="1"/>
        <c:lblAlgn val="ctr"/>
        <c:lblOffset val="100"/>
        <c:noMultiLvlLbl val="0"/>
      </c:catAx>
      <c:valAx>
        <c:axId val="77383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5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[D1542 - progesterone additional analyses v4 - alt presc_type grouping.xlsx]Sheet1 (7)!PivotTable2</c:name>
    <c:fmtId val="-1"/>
  </c:pivotSource>
  <c:chart>
    <c:autoTitleDeleted val="1"/>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0"/>
          <c:showSerName val="0"/>
          <c:showPercent val="0"/>
          <c:showBubbleSize val="0"/>
          <c:extLst>
            <c:ext xmlns:c15="http://schemas.microsoft.com/office/drawing/2012/chart" uri="{CE6537A1-D6FC-4f65-9D91-7224C49458BB}"/>
          </c:extLst>
        </c:dLbl>
      </c:pivotFmt>
      <c:pivotFmt>
        <c:idx val="2"/>
        <c:dLbl>
          <c:idx val="0"/>
          <c:showLegendKey val="0"/>
          <c:showVal val="0"/>
          <c:showCatName val="0"/>
          <c:showSerName val="0"/>
          <c:showPercent val="0"/>
          <c:showBubbleSize val="0"/>
          <c:extLst>
            <c:ext xmlns:c15="http://schemas.microsoft.com/office/drawing/2012/chart" uri="{CE6537A1-D6FC-4f65-9D91-7224C49458BB}"/>
          </c:extLst>
        </c:dLbl>
      </c:pivotFmt>
      <c:pivotFmt>
        <c:idx val="3"/>
        <c:dLbl>
          <c:idx val="0"/>
          <c:showLegendKey val="0"/>
          <c:showVal val="0"/>
          <c:showCatName val="0"/>
          <c:showSerName val="0"/>
          <c:showPercent val="0"/>
          <c:showBubbleSize val="0"/>
          <c:extLst>
            <c:ext xmlns:c15="http://schemas.microsoft.com/office/drawing/2012/chart" uri="{CE6537A1-D6FC-4f65-9D91-7224C49458BB}"/>
          </c:extLst>
        </c:dLbl>
      </c:pivotFmt>
      <c:pivotFmt>
        <c:idx val="4"/>
        <c:dLbl>
          <c:idx val="0"/>
          <c:showLegendKey val="0"/>
          <c:showVal val="0"/>
          <c:showCatName val="0"/>
          <c:showSerName val="0"/>
          <c:showPercent val="0"/>
          <c:showBubbleSize val="0"/>
          <c:extLst>
            <c:ext xmlns:c15="http://schemas.microsoft.com/office/drawing/2012/chart" uri="{CE6537A1-D6FC-4f65-9D91-7224C49458BB}"/>
          </c:extLst>
        </c:dLbl>
      </c:pivotFmt>
      <c:pivotFmt>
        <c:idx val="5"/>
        <c:dLbl>
          <c:idx val="0"/>
          <c:showLegendKey val="0"/>
          <c:showVal val="0"/>
          <c:showCatName val="0"/>
          <c:showSerName val="0"/>
          <c:showPercent val="0"/>
          <c:showBubbleSize val="0"/>
          <c:extLst>
            <c:ext xmlns:c15="http://schemas.microsoft.com/office/drawing/2012/chart" uri="{CE6537A1-D6FC-4f65-9D91-7224C49458BB}"/>
          </c:extLst>
        </c:dLbl>
      </c:pivotFmt>
      <c:pivotFmt>
        <c:idx val="6"/>
        <c:dLbl>
          <c:idx val="0"/>
          <c:showLegendKey val="0"/>
          <c:showVal val="0"/>
          <c:showCatName val="0"/>
          <c:showSerName val="0"/>
          <c:showPercent val="0"/>
          <c:showBubbleSize val="0"/>
          <c:extLst>
            <c:ext xmlns:c15="http://schemas.microsoft.com/office/drawing/2012/chart" uri="{CE6537A1-D6FC-4f65-9D91-7224C49458BB}"/>
          </c:extLst>
        </c:dLbl>
      </c:pivotFmt>
      <c:pivotFmt>
        <c:idx val="7"/>
        <c:dLbl>
          <c:idx val="0"/>
          <c:showLegendKey val="0"/>
          <c:showVal val="0"/>
          <c:showCatName val="0"/>
          <c:showSerName val="0"/>
          <c:showPercent val="0"/>
          <c:showBubbleSize val="0"/>
          <c:extLst>
            <c:ext xmlns:c15="http://schemas.microsoft.com/office/drawing/2012/chart" uri="{CE6537A1-D6FC-4f65-9D91-7224C49458BB}"/>
          </c:extLst>
        </c:dLbl>
      </c:pivotFmt>
      <c:pivotFmt>
        <c:idx val="8"/>
        <c:dLbl>
          <c:idx val="0"/>
          <c:showLegendKey val="0"/>
          <c:showVal val="0"/>
          <c:showCatName val="0"/>
          <c:showSerName val="0"/>
          <c:showPercent val="0"/>
          <c:showBubbleSize val="0"/>
          <c:extLst>
            <c:ext xmlns:c15="http://schemas.microsoft.com/office/drawing/2012/chart" uri="{CE6537A1-D6FC-4f65-9D91-7224C49458BB}"/>
          </c:extLst>
        </c:dLbl>
      </c:pivotFmt>
      <c:pivotFmt>
        <c:idx val="9"/>
        <c:dLbl>
          <c:idx val="0"/>
          <c:showLegendKey val="0"/>
          <c:showVal val="0"/>
          <c:showCatName val="0"/>
          <c:showSerName val="0"/>
          <c:showPercent val="0"/>
          <c:showBubbleSize val="0"/>
          <c:extLst>
            <c:ext xmlns:c15="http://schemas.microsoft.com/office/drawing/2012/chart" uri="{CE6537A1-D6FC-4f65-9D91-7224C49458BB}"/>
          </c:extLst>
        </c:dLbl>
      </c:pivotFmt>
      <c:pivotFmt>
        <c:idx val="10"/>
        <c:dLbl>
          <c:idx val="0"/>
          <c:showLegendKey val="0"/>
          <c:showVal val="0"/>
          <c:showCatName val="0"/>
          <c:showSerName val="0"/>
          <c:showPercent val="0"/>
          <c:showBubbleSize val="0"/>
          <c:extLst>
            <c:ext xmlns:c15="http://schemas.microsoft.com/office/drawing/2012/chart" uri="{CE6537A1-D6FC-4f65-9D91-7224C49458BB}"/>
          </c:extLst>
        </c:dLbl>
      </c:pivotFmt>
      <c:pivotFmt>
        <c:idx val="11"/>
        <c:dLbl>
          <c:idx val="0"/>
          <c:showLegendKey val="0"/>
          <c:showVal val="0"/>
          <c:showCatName val="0"/>
          <c:showSerName val="0"/>
          <c:showPercent val="0"/>
          <c:showBubbleSize val="0"/>
          <c:extLst>
            <c:ext xmlns:c15="http://schemas.microsoft.com/office/drawing/2012/chart" uri="{CE6537A1-D6FC-4f65-9D91-7224C49458BB}"/>
          </c:extLst>
        </c:dLbl>
      </c:pivotFmt>
      <c:pivotFmt>
        <c:idx val="12"/>
        <c:dLbl>
          <c:idx val="0"/>
          <c:showLegendKey val="0"/>
          <c:showVal val="0"/>
          <c:showCatName val="0"/>
          <c:showSerName val="0"/>
          <c:showPercent val="0"/>
          <c:showBubbleSize val="0"/>
          <c:extLst>
            <c:ext xmlns:c15="http://schemas.microsoft.com/office/drawing/2012/chart" uri="{CE6537A1-D6FC-4f65-9D91-7224C49458BB}"/>
          </c:extLst>
        </c:dLbl>
      </c:pivotFmt>
      <c:pivotFmt>
        <c:idx val="13"/>
        <c:dLbl>
          <c:idx val="0"/>
          <c:showLegendKey val="0"/>
          <c:showVal val="0"/>
          <c:showCatName val="0"/>
          <c:showSerName val="0"/>
          <c:showPercent val="0"/>
          <c:showBubbleSize val="0"/>
          <c:extLst>
            <c:ext xmlns:c15="http://schemas.microsoft.com/office/drawing/2012/chart" uri="{CE6537A1-D6FC-4f65-9D91-7224C49458BB}"/>
          </c:extLst>
        </c:dLbl>
      </c:pivotFmt>
      <c:pivotFmt>
        <c:idx val="14"/>
        <c:dLbl>
          <c:idx val="0"/>
          <c:showLegendKey val="0"/>
          <c:showVal val="0"/>
          <c:showCatName val="0"/>
          <c:showSerName val="0"/>
          <c:showPercent val="0"/>
          <c:showBubbleSize val="0"/>
          <c:extLst>
            <c:ext xmlns:c15="http://schemas.microsoft.com/office/drawing/2012/chart" uri="{CE6537A1-D6FC-4f65-9D91-7224C49458BB}"/>
          </c:extLst>
        </c:dLbl>
      </c:pivotFmt>
      <c:pivotFmt>
        <c:idx val="15"/>
        <c:dLbl>
          <c:idx val="0"/>
          <c:showLegendKey val="0"/>
          <c:showVal val="0"/>
          <c:showCatName val="0"/>
          <c:showSerName val="0"/>
          <c:showPercent val="0"/>
          <c:showBubbleSize val="0"/>
          <c:extLst>
            <c:ext xmlns:c15="http://schemas.microsoft.com/office/drawing/2012/chart" uri="{CE6537A1-D6FC-4f65-9D91-7224C49458BB}"/>
          </c:extLst>
        </c:dLbl>
      </c:pivotFmt>
      <c:pivotFmt>
        <c:idx val="16"/>
        <c:dLbl>
          <c:idx val="0"/>
          <c:showLegendKey val="0"/>
          <c:showVal val="0"/>
          <c:showCatName val="0"/>
          <c:showSerName val="0"/>
          <c:showPercent val="0"/>
          <c:showBubbleSize val="0"/>
          <c:extLst>
            <c:ext xmlns:c15="http://schemas.microsoft.com/office/drawing/2012/chart" uri="{CE6537A1-D6FC-4f65-9D91-7224C49458BB}"/>
          </c:extLst>
        </c:dLbl>
      </c:pivotFmt>
      <c:pivotFmt>
        <c:idx val="17"/>
        <c:dLbl>
          <c:idx val="0"/>
          <c:showLegendKey val="0"/>
          <c:showVal val="0"/>
          <c:showCatName val="0"/>
          <c:showSerName val="0"/>
          <c:showPercent val="0"/>
          <c:showBubbleSize val="0"/>
          <c:extLst>
            <c:ext xmlns:c15="http://schemas.microsoft.com/office/drawing/2012/chart" uri="{CE6537A1-D6FC-4f65-9D91-7224C49458BB}"/>
          </c:extLst>
        </c:dLbl>
      </c:pivotFmt>
      <c:pivotFmt>
        <c:idx val="18"/>
        <c:dLbl>
          <c:idx val="0"/>
          <c:showLegendKey val="0"/>
          <c:showVal val="0"/>
          <c:showCatName val="0"/>
          <c:showSerName val="0"/>
          <c:showPercent val="0"/>
          <c:showBubbleSize val="0"/>
          <c:extLst>
            <c:ext xmlns:c15="http://schemas.microsoft.com/office/drawing/2012/chart" uri="{CE6537A1-D6FC-4f65-9D91-7224C49458BB}"/>
          </c:extLst>
        </c:dLbl>
      </c:pivotFmt>
      <c:pivotFmt>
        <c:idx val="19"/>
        <c:dLbl>
          <c:idx val="0"/>
          <c:showLegendKey val="0"/>
          <c:showVal val="0"/>
          <c:showCatName val="0"/>
          <c:showSerName val="0"/>
          <c:showPercent val="0"/>
          <c:showBubbleSize val="0"/>
          <c:extLst>
            <c:ext xmlns:c15="http://schemas.microsoft.com/office/drawing/2012/chart" uri="{CE6537A1-D6FC-4f65-9D91-7224C49458BB}"/>
          </c:extLst>
        </c:dLbl>
      </c:pivotFmt>
      <c:pivotFmt>
        <c:idx val="20"/>
        <c:dLbl>
          <c:idx val="0"/>
          <c:showLegendKey val="0"/>
          <c:showVal val="0"/>
          <c:showCatName val="0"/>
          <c:showSerName val="0"/>
          <c:showPercent val="0"/>
          <c:showBubbleSize val="0"/>
          <c:extLst>
            <c:ext xmlns:c15="http://schemas.microsoft.com/office/drawing/2012/chart" uri="{CE6537A1-D6FC-4f65-9D91-7224C49458BB}"/>
          </c:extLst>
        </c:dLbl>
      </c:pivotFmt>
      <c:pivotFmt>
        <c:idx val="21"/>
        <c:dLbl>
          <c:idx val="0"/>
          <c:showLegendKey val="0"/>
          <c:showVal val="0"/>
          <c:showCatName val="0"/>
          <c:showSerName val="0"/>
          <c:showPercent val="0"/>
          <c:showBubbleSize val="0"/>
          <c:extLst>
            <c:ext xmlns:c15="http://schemas.microsoft.com/office/drawing/2012/chart" uri="{CE6537A1-D6FC-4f65-9D91-7224C49458BB}"/>
          </c:extLst>
        </c:dLbl>
      </c:pivotFmt>
      <c:pivotFmt>
        <c:idx val="22"/>
        <c:dLbl>
          <c:idx val="0"/>
          <c:showLegendKey val="0"/>
          <c:showVal val="0"/>
          <c:showCatName val="0"/>
          <c:showSerName val="0"/>
          <c:showPercent val="0"/>
          <c:showBubbleSize val="0"/>
          <c:extLst>
            <c:ext xmlns:c15="http://schemas.microsoft.com/office/drawing/2012/chart" uri="{CE6537A1-D6FC-4f65-9D91-7224C49458BB}"/>
          </c:extLst>
        </c:dLbl>
      </c:pivotFmt>
      <c:pivotFmt>
        <c:idx val="23"/>
        <c:dLbl>
          <c:idx val="0"/>
          <c:showLegendKey val="0"/>
          <c:showVal val="0"/>
          <c:showCatName val="0"/>
          <c:showSerName val="0"/>
          <c:showPercent val="0"/>
          <c:showBubbleSize val="0"/>
          <c:extLst>
            <c:ext xmlns:c15="http://schemas.microsoft.com/office/drawing/2012/chart" uri="{CE6537A1-D6FC-4f65-9D91-7224C49458BB}"/>
          </c:extLst>
        </c:dLbl>
      </c:pivotFmt>
      <c:pivotFmt>
        <c:idx val="24"/>
        <c:dLbl>
          <c:idx val="0"/>
          <c:showLegendKey val="0"/>
          <c:showVal val="0"/>
          <c:showCatName val="0"/>
          <c:showSerName val="0"/>
          <c:showPercent val="0"/>
          <c:showBubbleSize val="0"/>
          <c:extLst>
            <c:ext xmlns:c15="http://schemas.microsoft.com/office/drawing/2012/chart" uri="{CE6537A1-D6FC-4f65-9D91-7224C49458BB}"/>
          </c:extLst>
        </c:dLbl>
      </c:pivotFmt>
      <c:pivotFmt>
        <c:idx val="25"/>
        <c:dLbl>
          <c:idx val="0"/>
          <c:showLegendKey val="0"/>
          <c:showVal val="0"/>
          <c:showCatName val="0"/>
          <c:showSerName val="0"/>
          <c:showPercent val="0"/>
          <c:showBubbleSize val="0"/>
          <c:extLst>
            <c:ext xmlns:c15="http://schemas.microsoft.com/office/drawing/2012/chart" uri="{CE6537A1-D6FC-4f65-9D91-7224C49458BB}"/>
          </c:extLst>
        </c:dLbl>
      </c:pivotFmt>
      <c:pivotFmt>
        <c:idx val="26"/>
        <c:dLbl>
          <c:idx val="0"/>
          <c:showLegendKey val="0"/>
          <c:showVal val="0"/>
          <c:showCatName val="0"/>
          <c:showSerName val="0"/>
          <c:showPercent val="0"/>
          <c:showBubbleSize val="0"/>
          <c:extLst>
            <c:ext xmlns:c15="http://schemas.microsoft.com/office/drawing/2012/chart" uri="{CE6537A1-D6FC-4f65-9D91-7224C49458BB}"/>
          </c:extLst>
        </c:dLbl>
      </c:pivotFmt>
      <c:pivotFmt>
        <c:idx val="27"/>
        <c:dLbl>
          <c:idx val="0"/>
          <c:showLegendKey val="0"/>
          <c:showVal val="0"/>
          <c:showCatName val="0"/>
          <c:showSerName val="0"/>
          <c:showPercent val="0"/>
          <c:showBubbleSize val="0"/>
          <c:extLst>
            <c:ext xmlns:c15="http://schemas.microsoft.com/office/drawing/2012/chart" uri="{CE6537A1-D6FC-4f65-9D91-7224C49458BB}"/>
          </c:extLst>
        </c:dLbl>
      </c:pivotFmt>
      <c:pivotFmt>
        <c:idx val="28"/>
        <c:dLbl>
          <c:idx val="0"/>
          <c:showLegendKey val="0"/>
          <c:showVal val="0"/>
          <c:showCatName val="0"/>
          <c:showSerName val="0"/>
          <c:showPercent val="0"/>
          <c:showBubbleSize val="0"/>
          <c:extLst>
            <c:ext xmlns:c15="http://schemas.microsoft.com/office/drawing/2012/chart" uri="{CE6537A1-D6FC-4f65-9D91-7224C49458BB}"/>
          </c:extLst>
        </c:dLbl>
      </c:pivotFmt>
      <c:pivotFmt>
        <c:idx val="29"/>
        <c:dLbl>
          <c:idx val="0"/>
          <c:showLegendKey val="0"/>
          <c:showVal val="0"/>
          <c:showCatName val="0"/>
          <c:showSerName val="0"/>
          <c:showPercent val="0"/>
          <c:showBubbleSize val="0"/>
          <c:extLst>
            <c:ext xmlns:c15="http://schemas.microsoft.com/office/drawing/2012/chart" uri="{CE6537A1-D6FC-4f65-9D91-7224C49458BB}"/>
          </c:extLst>
        </c:dLbl>
      </c:pivotFmt>
      <c:pivotFmt>
        <c:idx val="30"/>
        <c:dLbl>
          <c:idx val="0"/>
          <c:showLegendKey val="0"/>
          <c:showVal val="0"/>
          <c:showCatName val="0"/>
          <c:showSerName val="0"/>
          <c:showPercent val="0"/>
          <c:showBubbleSize val="0"/>
          <c:extLst>
            <c:ext xmlns:c15="http://schemas.microsoft.com/office/drawing/2012/chart" uri="{CE6537A1-D6FC-4f65-9D91-7224C49458BB}"/>
          </c:extLst>
        </c:dLbl>
      </c:pivotFmt>
      <c:pivotFmt>
        <c:idx val="31"/>
        <c:dLbl>
          <c:idx val="0"/>
          <c:showLegendKey val="0"/>
          <c:showVal val="0"/>
          <c:showCatName val="0"/>
          <c:showSerName val="0"/>
          <c:showPercent val="0"/>
          <c:showBubbleSize val="0"/>
          <c:extLst>
            <c:ext xmlns:c15="http://schemas.microsoft.com/office/drawing/2012/chart" uri="{CE6537A1-D6FC-4f65-9D91-7224C49458BB}"/>
          </c:extLst>
        </c:dLbl>
      </c:pivotFmt>
      <c:pivotFmt>
        <c:idx val="32"/>
        <c:dLbl>
          <c:idx val="0"/>
          <c:showLegendKey val="0"/>
          <c:showVal val="0"/>
          <c:showCatName val="0"/>
          <c:showSerName val="0"/>
          <c:showPercent val="0"/>
          <c:showBubbleSize val="0"/>
          <c:extLst>
            <c:ext xmlns:c15="http://schemas.microsoft.com/office/drawing/2012/chart" uri="{CE6537A1-D6FC-4f65-9D91-7224C49458BB}"/>
          </c:extLst>
        </c:dLbl>
      </c:pivotFmt>
      <c:pivotFmt>
        <c:idx val="33"/>
        <c:dLbl>
          <c:idx val="0"/>
          <c:showLegendKey val="0"/>
          <c:showVal val="0"/>
          <c:showCatName val="0"/>
          <c:showSerName val="0"/>
          <c:showPercent val="0"/>
          <c:showBubbleSize val="0"/>
          <c:extLst>
            <c:ext xmlns:c15="http://schemas.microsoft.com/office/drawing/2012/chart" uri="{CE6537A1-D6FC-4f65-9D91-7224C49458BB}"/>
          </c:extLst>
        </c:dLbl>
      </c:pivotFmt>
      <c:pivotFmt>
        <c:idx val="34"/>
        <c:dLbl>
          <c:idx val="0"/>
          <c:showLegendKey val="0"/>
          <c:showVal val="0"/>
          <c:showCatName val="0"/>
          <c:showSerName val="0"/>
          <c:showPercent val="0"/>
          <c:showBubbleSize val="0"/>
          <c:extLst>
            <c:ext xmlns:c15="http://schemas.microsoft.com/office/drawing/2012/chart" uri="{CE6537A1-D6FC-4f65-9D91-7224C49458BB}"/>
          </c:extLst>
        </c:dLbl>
      </c:pivotFmt>
      <c:pivotFmt>
        <c:idx val="35"/>
        <c:dLbl>
          <c:idx val="0"/>
          <c:showLegendKey val="0"/>
          <c:showVal val="0"/>
          <c:showCatName val="0"/>
          <c:showSerName val="0"/>
          <c:showPercent val="0"/>
          <c:showBubbleSize val="0"/>
          <c:extLst>
            <c:ext xmlns:c15="http://schemas.microsoft.com/office/drawing/2012/chart" uri="{CE6537A1-D6FC-4f65-9D91-7224C49458BB}"/>
          </c:extLst>
        </c:dLbl>
      </c:pivotFmt>
      <c:pivotFmt>
        <c:idx val="36"/>
        <c:dLbl>
          <c:idx val="0"/>
          <c:showLegendKey val="0"/>
          <c:showVal val="0"/>
          <c:showCatName val="0"/>
          <c:showSerName val="0"/>
          <c:showPercent val="0"/>
          <c:showBubbleSize val="0"/>
          <c:extLst>
            <c:ext xmlns:c15="http://schemas.microsoft.com/office/drawing/2012/chart" uri="{CE6537A1-D6FC-4f65-9D91-7224C49458BB}"/>
          </c:extLst>
        </c:dLbl>
      </c:pivotFmt>
      <c:pivotFmt>
        <c:idx val="37"/>
        <c:dLbl>
          <c:idx val="0"/>
          <c:showLegendKey val="0"/>
          <c:showVal val="0"/>
          <c:showCatName val="0"/>
          <c:showSerName val="0"/>
          <c:showPercent val="0"/>
          <c:showBubbleSize val="0"/>
          <c:extLst>
            <c:ext xmlns:c15="http://schemas.microsoft.com/office/drawing/2012/chart" uri="{CE6537A1-D6FC-4f65-9D91-7224C49458BB}"/>
          </c:extLst>
        </c:dLbl>
      </c:pivotFmt>
      <c:pivotFmt>
        <c:idx val="38"/>
        <c:dLbl>
          <c:idx val="0"/>
          <c:showLegendKey val="0"/>
          <c:showVal val="0"/>
          <c:showCatName val="0"/>
          <c:showSerName val="0"/>
          <c:showPercent val="0"/>
          <c:showBubbleSize val="0"/>
          <c:extLst>
            <c:ext xmlns:c15="http://schemas.microsoft.com/office/drawing/2012/chart" uri="{CE6537A1-D6FC-4f65-9D91-7224C49458BB}"/>
          </c:extLst>
        </c:dLbl>
      </c:pivotFmt>
      <c:pivotFmt>
        <c:idx val="39"/>
        <c:dLbl>
          <c:idx val="0"/>
          <c:showLegendKey val="0"/>
          <c:showVal val="0"/>
          <c:showCatName val="0"/>
          <c:showSerName val="0"/>
          <c:showPercent val="0"/>
          <c:showBubbleSize val="0"/>
          <c:extLst>
            <c:ext xmlns:c15="http://schemas.microsoft.com/office/drawing/2012/chart" uri="{CE6537A1-D6FC-4f65-9D91-7224C49458BB}"/>
          </c:extLst>
        </c:dLbl>
      </c:pivotFmt>
      <c:pivotFmt>
        <c:idx val="40"/>
        <c:dLbl>
          <c:idx val="0"/>
          <c:showLegendKey val="0"/>
          <c:showVal val="0"/>
          <c:showCatName val="0"/>
          <c:showSerName val="0"/>
          <c:showPercent val="0"/>
          <c:showBubbleSize val="0"/>
          <c:extLst>
            <c:ext xmlns:c15="http://schemas.microsoft.com/office/drawing/2012/chart" uri="{CE6537A1-D6FC-4f65-9D91-7224C49458BB}"/>
          </c:extLst>
        </c:dLbl>
      </c:pivotFmt>
      <c:pivotFmt>
        <c:idx val="41"/>
        <c:dLbl>
          <c:idx val="0"/>
          <c:showLegendKey val="0"/>
          <c:showVal val="0"/>
          <c:showCatName val="0"/>
          <c:showSerName val="0"/>
          <c:showPercent val="0"/>
          <c:showBubbleSize val="0"/>
          <c:extLst>
            <c:ext xmlns:c15="http://schemas.microsoft.com/office/drawing/2012/chart" uri="{CE6537A1-D6FC-4f65-9D91-7224C49458BB}"/>
          </c:extLst>
        </c:dLbl>
      </c:pivotFmt>
      <c:pivotFmt>
        <c:idx val="42"/>
        <c:dLbl>
          <c:idx val="0"/>
          <c:showLegendKey val="0"/>
          <c:showVal val="0"/>
          <c:showCatName val="0"/>
          <c:showSerName val="0"/>
          <c:showPercent val="0"/>
          <c:showBubbleSize val="0"/>
          <c:extLst>
            <c:ext xmlns:c15="http://schemas.microsoft.com/office/drawing/2012/chart" uri="{CE6537A1-D6FC-4f65-9D91-7224C49458BB}"/>
          </c:extLst>
        </c:dLbl>
      </c:pivotFmt>
      <c:pivotFmt>
        <c:idx val="43"/>
        <c:dLbl>
          <c:idx val="0"/>
          <c:showLegendKey val="0"/>
          <c:showVal val="0"/>
          <c:showCatName val="0"/>
          <c:showSerName val="0"/>
          <c:showPercent val="0"/>
          <c:showBubbleSize val="0"/>
          <c:extLst>
            <c:ext xmlns:c15="http://schemas.microsoft.com/office/drawing/2012/chart" uri="{CE6537A1-D6FC-4f65-9D91-7224C49458BB}"/>
          </c:extLst>
        </c:dLbl>
      </c:pivotFmt>
      <c:pivotFmt>
        <c:idx val="44"/>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6"/>
          </a:solidFill>
          <a:ln>
            <a:noFill/>
          </a:ln>
          <a:effectLst/>
        </c:spPr>
        <c:marker>
          <c:symbol val="circle"/>
          <c:size val="5"/>
          <c:spPr>
            <a:solidFill>
              <a:schemeClr val="accent4">
                <a:lumMod val="70000"/>
              </a:schemeClr>
            </a:solidFill>
            <a:ln w="9525">
              <a:solidFill>
                <a:schemeClr val="accent4">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6"/>
          </a:solidFill>
          <a:ln>
            <a:noFill/>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6"/>
          </a:solidFill>
          <a:ln>
            <a:noFill/>
          </a:ln>
          <a:effectLst/>
        </c:spPr>
        <c:marker>
          <c:symbol val="circle"/>
          <c:size val="5"/>
          <c:spPr>
            <a:solidFill>
              <a:schemeClr val="accent6">
                <a:lumMod val="50000"/>
              </a:schemeClr>
            </a:solidFill>
            <a:ln w="9525">
              <a:solidFill>
                <a:schemeClr val="accent6">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6"/>
          </a:solidFill>
          <a:ln>
            <a:noFill/>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6"/>
          </a:solidFill>
          <a:ln>
            <a:noFill/>
          </a:ln>
          <a:effectLst/>
        </c:spPr>
        <c:marker>
          <c:symbol val="circle"/>
          <c:size val="5"/>
          <c:spPr>
            <a:solidFill>
              <a:schemeClr val="accent5">
                <a:lumMod val="80000"/>
              </a:schemeClr>
            </a:solidFill>
            <a:ln w="9525">
              <a:solidFill>
                <a:schemeClr val="accent5">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6"/>
          </a:solidFill>
          <a:ln>
            <a:noFill/>
          </a:ln>
          <a:effectLst/>
        </c:spPr>
        <c:marker>
          <c:symbol val="circle"/>
          <c:size val="5"/>
          <c:spPr>
            <a:solidFill>
              <a:schemeClr val="accent4">
                <a:lumMod val="50000"/>
                <a:lumOff val="50000"/>
              </a:schemeClr>
            </a:solidFill>
            <a:ln w="9525">
              <a:solidFill>
                <a:schemeClr val="accent4">
                  <a:lumMod val="50000"/>
                  <a:lumOff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6"/>
          </a:solidFill>
          <a:ln>
            <a:noFill/>
          </a:ln>
          <a:effectLst/>
        </c:spPr>
        <c:marker>
          <c:symbol val="circle"/>
          <c:size val="5"/>
          <c:spPr>
            <a:solidFill>
              <a:schemeClr val="accent5">
                <a:lumMod val="70000"/>
                <a:lumOff val="30000"/>
              </a:schemeClr>
            </a:solidFill>
            <a:ln w="9525">
              <a:solidFill>
                <a:schemeClr val="accent5">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6"/>
          </a:solidFill>
          <a:ln>
            <a:noFill/>
          </a:ln>
          <a:effectLst/>
        </c:spPr>
        <c:marker>
          <c:symbol val="circle"/>
          <c:size val="5"/>
          <c:spPr>
            <a:solidFill>
              <a:schemeClr val="accent6">
                <a:lumMod val="70000"/>
                <a:lumOff val="30000"/>
              </a:schemeClr>
            </a:solidFill>
            <a:ln w="9525">
              <a:solidFill>
                <a:schemeClr val="accent6">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6"/>
          </a:solidFill>
          <a:ln>
            <a:noFill/>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6"/>
          </a:solidFill>
          <a:ln>
            <a:noFill/>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6"/>
          </a:solidFill>
          <a:ln>
            <a:noFill/>
          </a:ln>
          <a:effectLst/>
        </c:spPr>
        <c:marker>
          <c:symbol val="circle"/>
          <c:size val="5"/>
          <c:spPr>
            <a:solidFill>
              <a:schemeClr val="accent5">
                <a:lumMod val="50000"/>
                <a:lumOff val="50000"/>
              </a:schemeClr>
            </a:solidFill>
            <a:ln w="9525">
              <a:solidFill>
                <a:schemeClr val="accent5">
                  <a:lumMod val="50000"/>
                  <a:lumOff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6"/>
          </a:solidFill>
          <a:ln>
            <a:noFill/>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6"/>
          </a:solidFill>
          <a:ln>
            <a:noFill/>
          </a:ln>
          <a:effectLst/>
        </c:spPr>
        <c:marker>
          <c:symbol val="circle"/>
          <c:size val="5"/>
          <c:spPr>
            <a:solidFill>
              <a:schemeClr val="accent4">
                <a:lumMod val="50000"/>
              </a:schemeClr>
            </a:solidFill>
            <a:ln w="9525">
              <a:solidFill>
                <a:schemeClr val="accent4">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6"/>
          </a:solidFill>
          <a:ln>
            <a:noFill/>
          </a:ln>
          <a:effectLst/>
        </c:spPr>
        <c:marker>
          <c:symbol val="circle"/>
          <c:size val="5"/>
          <c:spPr>
            <a:solidFill>
              <a:schemeClr val="accent4">
                <a:lumMod val="60000"/>
                <a:lumOff val="40000"/>
              </a:schemeClr>
            </a:solidFill>
            <a:ln w="9525">
              <a:solidFill>
                <a:schemeClr val="accent4">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6"/>
          </a:solidFill>
          <a:ln>
            <a:noFill/>
          </a:ln>
          <a:effectLst/>
        </c:spPr>
        <c:marker>
          <c:symbol val="circle"/>
          <c:size val="5"/>
          <c:spPr>
            <a:solidFill>
              <a:schemeClr val="accent4">
                <a:lumMod val="70000"/>
                <a:lumOff val="30000"/>
              </a:schemeClr>
            </a:solidFill>
            <a:ln w="9525">
              <a:solidFill>
                <a:schemeClr val="accent4">
                  <a:lumMod val="70000"/>
                  <a:lumOff val="3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6"/>
          </a:solidFill>
          <a:ln>
            <a:noFill/>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6"/>
          </a:solidFill>
          <a:ln>
            <a:noFill/>
          </a:ln>
          <a:effectLst/>
        </c:spPr>
        <c:marker>
          <c:symbol val="circle"/>
          <c:size val="5"/>
          <c:spPr>
            <a:solidFill>
              <a:schemeClr val="accent6">
                <a:lumMod val="50000"/>
                <a:lumOff val="50000"/>
              </a:schemeClr>
            </a:solidFill>
            <a:ln w="9525">
              <a:solidFill>
                <a:schemeClr val="accent6">
                  <a:lumMod val="50000"/>
                  <a:lumOff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6"/>
          </a:solidFill>
          <a:ln>
            <a:noFill/>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6"/>
          </a:solidFill>
          <a:ln>
            <a:noFill/>
          </a:ln>
          <a:effectLst/>
        </c:spPr>
        <c:marker>
          <c:symbol val="circle"/>
          <c:size val="5"/>
          <c:spPr>
            <a:solidFill>
              <a:schemeClr val="accent6">
                <a:lumMod val="70000"/>
              </a:schemeClr>
            </a:solidFill>
            <a:ln w="9525">
              <a:solidFill>
                <a:schemeClr val="accent6">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6"/>
          </a:solidFill>
          <a:ln>
            <a:noFill/>
          </a:ln>
          <a:effectLst/>
        </c:spPr>
        <c:marker>
          <c:symbol val="circle"/>
          <c:size val="5"/>
          <c:spPr>
            <a:solidFill>
              <a:schemeClr val="accent5">
                <a:lumMod val="70000"/>
              </a:schemeClr>
            </a:solidFill>
            <a:ln w="9525">
              <a:solidFill>
                <a:schemeClr val="accent5">
                  <a:lumMod val="7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6"/>
          </a:solidFill>
          <a:ln>
            <a:noFill/>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6"/>
          </a:solidFill>
          <a:ln>
            <a:noFill/>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6"/>
          </a:solidFill>
          <a:ln>
            <a:noFill/>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6"/>
          </a:solidFill>
          <a:ln>
            <a:noFill/>
          </a:ln>
          <a:effectLst/>
        </c:spPr>
        <c:marker>
          <c:symbol val="circle"/>
          <c:size val="5"/>
          <c:spPr>
            <a:solidFill>
              <a:schemeClr val="accent6">
                <a:lumMod val="60000"/>
              </a:schemeClr>
            </a:solidFill>
            <a:ln w="9525">
              <a:solidFill>
                <a:schemeClr val="accent6">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6"/>
          </a:solidFill>
          <a:ln>
            <a:noFill/>
          </a:ln>
          <a:effectLst/>
        </c:spPr>
        <c:marker>
          <c:symbol val="circle"/>
          <c:size val="5"/>
          <c:spPr>
            <a:solidFill>
              <a:schemeClr val="accent5">
                <a:lumMod val="60000"/>
              </a:schemeClr>
            </a:solidFill>
            <a:ln w="9525">
              <a:solidFill>
                <a:schemeClr val="accent5">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6"/>
          </a:solidFill>
          <a:ln>
            <a:noFill/>
          </a:ln>
          <a:effectLst/>
        </c:spPr>
        <c:marker>
          <c:symbol val="circle"/>
          <c:size val="5"/>
          <c:spPr>
            <a:solidFill>
              <a:schemeClr val="accent4">
                <a:lumMod val="60000"/>
              </a:schemeClr>
            </a:solidFill>
            <a:ln w="9525">
              <a:solidFill>
                <a:schemeClr val="accent4">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6"/>
          </a:solidFill>
          <a:ln>
            <a:noFill/>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6"/>
          </a:solidFill>
          <a:ln>
            <a:noFill/>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6"/>
          </a:solidFill>
          <a:ln>
            <a:noFill/>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6"/>
          </a:solidFill>
          <a:ln>
            <a:noFill/>
          </a:ln>
          <a:effectLst/>
        </c:spPr>
        <c:marker>
          <c:symbol val="circle"/>
          <c:size val="5"/>
          <c:spPr>
            <a:solidFill>
              <a:schemeClr val="accent6">
                <a:lumMod val="80000"/>
              </a:schemeClr>
            </a:solidFill>
            <a:ln w="9525">
              <a:solidFill>
                <a:schemeClr val="accent6">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6"/>
          </a:solidFill>
          <a:ln>
            <a:noFill/>
          </a:ln>
          <a:effectLst/>
        </c:spPr>
        <c:marker>
          <c:symbol val="circle"/>
          <c:size val="5"/>
          <c:spPr>
            <a:solidFill>
              <a:schemeClr val="accent4">
                <a:lumMod val="80000"/>
              </a:schemeClr>
            </a:solidFill>
            <a:ln w="9525">
              <a:solidFill>
                <a:schemeClr val="accent4">
                  <a:lumMod val="8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6"/>
          </a:solidFill>
          <a:ln>
            <a:noFill/>
          </a:ln>
          <a:effectLst/>
        </c:spPr>
        <c:marker>
          <c:symbol val="circle"/>
          <c:size val="5"/>
          <c:spPr>
            <a:solidFill>
              <a:schemeClr val="accent6">
                <a:lumMod val="60000"/>
                <a:lumOff val="40000"/>
              </a:schemeClr>
            </a:solidFill>
            <a:ln w="9525">
              <a:solidFill>
                <a:schemeClr val="accent6">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6"/>
          </a:solidFill>
          <a:ln>
            <a:noFill/>
          </a:ln>
          <a:effectLst/>
        </c:spPr>
        <c:marker>
          <c:symbol val="circle"/>
          <c:size val="5"/>
          <c:spPr>
            <a:solidFill>
              <a:schemeClr val="accent5">
                <a:lumMod val="60000"/>
                <a:lumOff val="40000"/>
              </a:schemeClr>
            </a:solidFill>
            <a:ln w="9525">
              <a:solidFill>
                <a:schemeClr val="accent5">
                  <a:lumMod val="60000"/>
                  <a:lumOff val="4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6"/>
          </a:solidFill>
          <a:ln>
            <a:noFill/>
          </a:ln>
          <a:effectLst/>
        </c:spPr>
        <c:marker>
          <c:symbol val="circle"/>
          <c:size val="5"/>
          <c:spPr>
            <a:solidFill>
              <a:schemeClr val="accent5">
                <a:lumMod val="50000"/>
              </a:schemeClr>
            </a:solidFill>
            <a:ln w="9525">
              <a:solidFill>
                <a:schemeClr val="accent5">
                  <a:lumMod val="5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6"/>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'Sheet1 (7)'!$C$7:$C$8</c:f>
              <c:strCache>
                <c:ptCount val="1"/>
                <c:pt idx="0">
                  <c:v>Total</c:v>
                </c:pt>
              </c:strCache>
            </c:strRef>
          </c:tx>
          <c:spPr>
            <a:solidFill>
              <a:srgbClr val="7030A0"/>
            </a:solidFill>
            <a:ln>
              <a:solidFill>
                <a:srgbClr val="7030A0"/>
              </a:solidFill>
            </a:ln>
            <a:effectLst/>
          </c:spPr>
          <c:invertIfNegative val="0"/>
          <c:cat>
            <c:multiLvlStrRef>
              <c:f>'Sheet1 (7)'!$A$9:$B$69</c:f>
              <c:multiLvlStrCache>
                <c:ptCount val="54"/>
                <c:lvl>
                  <c:pt idx="0">
                    <c:v>2021Q3</c:v>
                  </c:pt>
                  <c:pt idx="1">
                    <c:v>2021Q4</c:v>
                  </c:pt>
                  <c:pt idx="2">
                    <c:v>2022Q1</c:v>
                  </c:pt>
                  <c:pt idx="3">
                    <c:v>2022Q2</c:v>
                  </c:pt>
                  <c:pt idx="4">
                    <c:v>2022Q3</c:v>
                  </c:pt>
                  <c:pt idx="5">
                    <c:v>2022Q4</c:v>
                  </c:pt>
                  <c:pt idx="6">
                    <c:v>2023Q1</c:v>
                  </c:pt>
                  <c:pt idx="7">
                    <c:v>2023Q2</c:v>
                  </c:pt>
                  <c:pt idx="8">
                    <c:v>2023Q3</c:v>
                  </c:pt>
                  <c:pt idx="9">
                    <c:v>2021Q3</c:v>
                  </c:pt>
                  <c:pt idx="10">
                    <c:v>2021Q4</c:v>
                  </c:pt>
                  <c:pt idx="11">
                    <c:v>2022Q1</c:v>
                  </c:pt>
                  <c:pt idx="12">
                    <c:v>2022Q2</c:v>
                  </c:pt>
                  <c:pt idx="13">
                    <c:v>2022Q3</c:v>
                  </c:pt>
                  <c:pt idx="14">
                    <c:v>2022Q4</c:v>
                  </c:pt>
                  <c:pt idx="15">
                    <c:v>2023Q1</c:v>
                  </c:pt>
                  <c:pt idx="16">
                    <c:v>2023Q2</c:v>
                  </c:pt>
                  <c:pt idx="17">
                    <c:v>2023Q3</c:v>
                  </c:pt>
                  <c:pt idx="18">
                    <c:v>2021Q3</c:v>
                  </c:pt>
                  <c:pt idx="19">
                    <c:v>2021Q4</c:v>
                  </c:pt>
                  <c:pt idx="20">
                    <c:v>2022Q1</c:v>
                  </c:pt>
                  <c:pt idx="21">
                    <c:v>2022Q2</c:v>
                  </c:pt>
                  <c:pt idx="22">
                    <c:v>2022Q3</c:v>
                  </c:pt>
                  <c:pt idx="23">
                    <c:v>2022Q4</c:v>
                  </c:pt>
                  <c:pt idx="24">
                    <c:v>2023Q1</c:v>
                  </c:pt>
                  <c:pt idx="25">
                    <c:v>2023Q2</c:v>
                  </c:pt>
                  <c:pt idx="26">
                    <c:v>2023Q3</c:v>
                  </c:pt>
                  <c:pt idx="27">
                    <c:v>2021Q3</c:v>
                  </c:pt>
                  <c:pt idx="28">
                    <c:v>2021Q4</c:v>
                  </c:pt>
                  <c:pt idx="29">
                    <c:v>2022Q1</c:v>
                  </c:pt>
                  <c:pt idx="30">
                    <c:v>2022Q2</c:v>
                  </c:pt>
                  <c:pt idx="31">
                    <c:v>2022Q3</c:v>
                  </c:pt>
                  <c:pt idx="32">
                    <c:v>2022Q4</c:v>
                  </c:pt>
                  <c:pt idx="33">
                    <c:v>2023Q1</c:v>
                  </c:pt>
                  <c:pt idx="34">
                    <c:v>2023Q2</c:v>
                  </c:pt>
                  <c:pt idx="35">
                    <c:v>2023Q3</c:v>
                  </c:pt>
                  <c:pt idx="36">
                    <c:v>2021Q3</c:v>
                  </c:pt>
                  <c:pt idx="37">
                    <c:v>2021Q4</c:v>
                  </c:pt>
                  <c:pt idx="38">
                    <c:v>2022Q1</c:v>
                  </c:pt>
                  <c:pt idx="39">
                    <c:v>2022Q2</c:v>
                  </c:pt>
                  <c:pt idx="40">
                    <c:v>2022Q3</c:v>
                  </c:pt>
                  <c:pt idx="41">
                    <c:v>2022Q4</c:v>
                  </c:pt>
                  <c:pt idx="42">
                    <c:v>2023Q1</c:v>
                  </c:pt>
                  <c:pt idx="43">
                    <c:v>2023Q2</c:v>
                  </c:pt>
                  <c:pt idx="44">
                    <c:v>2023Q3</c:v>
                  </c:pt>
                  <c:pt idx="45">
                    <c:v>2021Q3</c:v>
                  </c:pt>
                  <c:pt idx="46">
                    <c:v>2021Q4</c:v>
                  </c:pt>
                  <c:pt idx="47">
                    <c:v>2022Q1</c:v>
                  </c:pt>
                  <c:pt idx="48">
                    <c:v>2022Q2</c:v>
                  </c:pt>
                  <c:pt idx="49">
                    <c:v>2022Q3</c:v>
                  </c:pt>
                  <c:pt idx="50">
                    <c:v>2022Q4</c:v>
                  </c:pt>
                  <c:pt idx="51">
                    <c:v>2023Q1</c:v>
                  </c:pt>
                  <c:pt idx="52">
                    <c:v>2023Q2</c:v>
                  </c:pt>
                  <c:pt idx="53">
                    <c:v>2023Q3</c:v>
                  </c:pt>
                </c:lvl>
                <c:lvl>
                  <c:pt idx="0">
                    <c:v>Obstetrics and Gynaecology</c:v>
                  </c:pt>
                  <c:pt idx="9">
                    <c:v>VRGP</c:v>
                  </c:pt>
                  <c:pt idx="18">
                    <c:v>NONVRGP</c:v>
                  </c:pt>
                  <c:pt idx="27">
                    <c:v>Unknown</c:v>
                  </c:pt>
                  <c:pt idx="36">
                    <c:v>GP Trainee</c:v>
                  </c:pt>
                  <c:pt idx="45">
                    <c:v>Other</c:v>
                  </c:pt>
                </c:lvl>
              </c:multiLvlStrCache>
            </c:multiLvlStrRef>
          </c:cat>
          <c:val>
            <c:numRef>
              <c:f>'Sheet1 (7)'!$C$9:$C$69</c:f>
              <c:numCache>
                <c:formatCode>General</c:formatCode>
                <c:ptCount val="54"/>
                <c:pt idx="0">
                  <c:v>623</c:v>
                </c:pt>
                <c:pt idx="1">
                  <c:v>603</c:v>
                </c:pt>
                <c:pt idx="2">
                  <c:v>667</c:v>
                </c:pt>
                <c:pt idx="3">
                  <c:v>773</c:v>
                </c:pt>
                <c:pt idx="4">
                  <c:v>907</c:v>
                </c:pt>
                <c:pt idx="5">
                  <c:v>1037</c:v>
                </c:pt>
                <c:pt idx="6">
                  <c:v>948</c:v>
                </c:pt>
                <c:pt idx="7">
                  <c:v>1038</c:v>
                </c:pt>
                <c:pt idx="8">
                  <c:v>1158</c:v>
                </c:pt>
                <c:pt idx="9">
                  <c:v>277</c:v>
                </c:pt>
                <c:pt idx="10">
                  <c:v>241</c:v>
                </c:pt>
                <c:pt idx="11">
                  <c:v>254</c:v>
                </c:pt>
                <c:pt idx="12">
                  <c:v>264</c:v>
                </c:pt>
                <c:pt idx="13">
                  <c:v>286</c:v>
                </c:pt>
                <c:pt idx="14">
                  <c:v>293</c:v>
                </c:pt>
                <c:pt idx="15">
                  <c:v>320</c:v>
                </c:pt>
                <c:pt idx="16">
                  <c:v>287</c:v>
                </c:pt>
                <c:pt idx="17">
                  <c:v>368</c:v>
                </c:pt>
                <c:pt idx="18">
                  <c:v>97</c:v>
                </c:pt>
                <c:pt idx="19">
                  <c:v>111</c:v>
                </c:pt>
                <c:pt idx="20">
                  <c:v>197</c:v>
                </c:pt>
                <c:pt idx="21">
                  <c:v>288</c:v>
                </c:pt>
                <c:pt idx="22">
                  <c:v>285</c:v>
                </c:pt>
                <c:pt idx="23">
                  <c:v>317</c:v>
                </c:pt>
                <c:pt idx="24">
                  <c:v>327</c:v>
                </c:pt>
                <c:pt idx="25">
                  <c:v>349</c:v>
                </c:pt>
                <c:pt idx="26">
                  <c:v>417</c:v>
                </c:pt>
                <c:pt idx="27">
                  <c:v>204</c:v>
                </c:pt>
                <c:pt idx="28">
                  <c:v>191</c:v>
                </c:pt>
                <c:pt idx="29">
                  <c:v>73</c:v>
                </c:pt>
                <c:pt idx="30">
                  <c:v>34</c:v>
                </c:pt>
                <c:pt idx="31">
                  <c:v>34</c:v>
                </c:pt>
                <c:pt idx="32">
                  <c:v>39</c:v>
                </c:pt>
                <c:pt idx="33">
                  <c:v>38</c:v>
                </c:pt>
                <c:pt idx="34">
                  <c:v>34</c:v>
                </c:pt>
                <c:pt idx="35">
                  <c:v>28</c:v>
                </c:pt>
                <c:pt idx="36">
                  <c:v>25</c:v>
                </c:pt>
                <c:pt idx="37">
                  <c:v>34</c:v>
                </c:pt>
                <c:pt idx="38">
                  <c:v>27</c:v>
                </c:pt>
                <c:pt idx="39">
                  <c:v>34</c:v>
                </c:pt>
                <c:pt idx="40">
                  <c:v>44</c:v>
                </c:pt>
                <c:pt idx="41">
                  <c:v>51</c:v>
                </c:pt>
                <c:pt idx="42">
                  <c:v>51</c:v>
                </c:pt>
                <c:pt idx="43">
                  <c:v>54</c:v>
                </c:pt>
                <c:pt idx="44">
                  <c:v>45</c:v>
                </c:pt>
                <c:pt idx="45">
                  <c:v>15</c:v>
                </c:pt>
                <c:pt idx="46">
                  <c:v>16</c:v>
                </c:pt>
                <c:pt idx="47">
                  <c:v>13</c:v>
                </c:pt>
                <c:pt idx="48">
                  <c:v>23</c:v>
                </c:pt>
                <c:pt idx="49">
                  <c:v>27</c:v>
                </c:pt>
                <c:pt idx="50">
                  <c:v>26</c:v>
                </c:pt>
                <c:pt idx="51">
                  <c:v>26</c:v>
                </c:pt>
                <c:pt idx="52">
                  <c:v>23</c:v>
                </c:pt>
                <c:pt idx="53">
                  <c:v>35</c:v>
                </c:pt>
              </c:numCache>
            </c:numRef>
          </c:val>
          <c:extLst>
            <c:ext xmlns:c16="http://schemas.microsoft.com/office/drawing/2014/chart" uri="{C3380CC4-5D6E-409C-BE32-E72D297353CC}">
              <c16:uniqueId val="{00000000-C418-4C87-9FD5-F093438E8B2C}"/>
            </c:ext>
          </c:extLst>
        </c:ser>
        <c:dLbls>
          <c:showLegendKey val="0"/>
          <c:showVal val="0"/>
          <c:showCatName val="0"/>
          <c:showSerName val="0"/>
          <c:showPercent val="0"/>
          <c:showBubbleSize val="0"/>
        </c:dLbls>
        <c:gapWidth val="150"/>
        <c:overlap val="100"/>
        <c:axId val="773835192"/>
        <c:axId val="773837712"/>
      </c:barChart>
      <c:catAx>
        <c:axId val="7738351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Prescriber Type</a:t>
                </a:r>
              </a:p>
            </c:rich>
          </c:tx>
          <c:layout>
            <c:manualLayout>
              <c:xMode val="edge"/>
              <c:yMode val="edge"/>
              <c:x val="0.47203309889573497"/>
              <c:y val="0.9181402094402807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7712"/>
        <c:crosses val="autoZero"/>
        <c:auto val="1"/>
        <c:lblAlgn val="ctr"/>
        <c:lblOffset val="100"/>
        <c:noMultiLvlLbl val="0"/>
      </c:catAx>
      <c:valAx>
        <c:axId val="77383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835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4555</Words>
  <Characters>25964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30459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GOULD, Judy</dc:creator>
  <cp:lastModifiedBy>GOULD, Judy</cp:lastModifiedBy>
  <cp:revision>3</cp:revision>
  <cp:lastPrinted>2013-04-17T01:11:00Z</cp:lastPrinted>
  <dcterms:created xsi:type="dcterms:W3CDTF">2024-05-22T04:18:00Z</dcterms:created>
  <dcterms:modified xsi:type="dcterms:W3CDTF">2024-07-03T04:22:00Z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