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3C130" w14:textId="4260BBEE" w:rsidR="00832324" w:rsidRDefault="001918AE" w:rsidP="00F73113">
      <w:pPr>
        <w:pStyle w:val="Title"/>
      </w:pPr>
      <w:bookmarkStart w:id="0" w:name="_Hlk170974661"/>
      <w:r>
        <w:t xml:space="preserve">Nivolumab and ipilimumab for </w:t>
      </w:r>
      <w:r w:rsidR="00772845">
        <w:t xml:space="preserve">unresectable malignant </w:t>
      </w:r>
      <w:r w:rsidR="00D62D03">
        <w:t>mesothelioma</w:t>
      </w:r>
      <w:r w:rsidR="00772845">
        <w:t>: 24 month predicted versus actual analysis</w:t>
      </w:r>
    </w:p>
    <w:p w14:paraId="68F00614" w14:textId="799F8740" w:rsidR="00736041" w:rsidRDefault="009053D3" w:rsidP="00F73113">
      <w:pPr>
        <w:pStyle w:val="Title2"/>
      </w:pPr>
      <w:r>
        <w:t>D</w:t>
      </w:r>
      <w:r w:rsidR="00832324" w:rsidRPr="0063631C">
        <w:t xml:space="preserve">rug utilisation sub-committee </w:t>
      </w:r>
      <w:r w:rsidR="00832324">
        <w:t>(DUSC)</w:t>
      </w:r>
    </w:p>
    <w:p w14:paraId="78148839" w14:textId="1EDC836A" w:rsidR="009053D3" w:rsidRPr="00F73113" w:rsidRDefault="00D62D03" w:rsidP="00F73113">
      <w:pPr>
        <w:pStyle w:val="Meetingdate"/>
      </w:pPr>
      <w:r>
        <w:t>February 2024</w:t>
      </w:r>
    </w:p>
    <w:p w14:paraId="1494B8AD" w14:textId="77777777" w:rsidR="005C6661" w:rsidRPr="00CF5E22" w:rsidRDefault="005C6661" w:rsidP="00CF5E22">
      <w:pPr>
        <w:pStyle w:val="Heading2"/>
      </w:pPr>
      <w:r w:rsidRPr="00CF5E22">
        <w:t>Abstract</w:t>
      </w:r>
    </w:p>
    <w:p w14:paraId="287D7939" w14:textId="77777777" w:rsidR="005C6661" w:rsidRPr="00CF5E22" w:rsidRDefault="005C6661" w:rsidP="00CF5E22">
      <w:pPr>
        <w:pStyle w:val="Heading3"/>
      </w:pPr>
      <w:r w:rsidRPr="00CF5E22">
        <w:t>Purpose</w:t>
      </w:r>
    </w:p>
    <w:p w14:paraId="378E50B7" w14:textId="6135F6BB" w:rsidR="002D144A" w:rsidRPr="009910F4" w:rsidRDefault="00266568" w:rsidP="00266568">
      <w:pPr>
        <w:pStyle w:val="Heading3"/>
      </w:pPr>
      <w:r w:rsidRPr="009910F4">
        <w:rPr>
          <w:b w:val="0"/>
          <w:i w:val="0"/>
          <w:szCs w:val="24"/>
        </w:rPr>
        <w:t xml:space="preserve">Analysis of the predicted versus actual utilisation of nivolumab and ipilimumab 24 months following its addition to the Pharmaceutical Benefits Scheme (PBS) for unresectable </w:t>
      </w:r>
      <w:r w:rsidR="009910F4" w:rsidRPr="009910F4">
        <w:rPr>
          <w:b w:val="0"/>
          <w:i w:val="0"/>
          <w:szCs w:val="24"/>
        </w:rPr>
        <w:t>malignant mesothelioma on 1 July 2021</w:t>
      </w:r>
      <w:r w:rsidRPr="009910F4">
        <w:rPr>
          <w:b w:val="0"/>
          <w:i w:val="0"/>
          <w:szCs w:val="24"/>
        </w:rPr>
        <w:t>.</w:t>
      </w:r>
    </w:p>
    <w:p w14:paraId="526743BB" w14:textId="77777777" w:rsidR="005C6661" w:rsidRPr="009910F4" w:rsidRDefault="005C6661" w:rsidP="00CF5E22">
      <w:pPr>
        <w:pStyle w:val="Heading3"/>
      </w:pPr>
      <w:r w:rsidRPr="009910F4">
        <w:t>Data Source / methodology</w:t>
      </w:r>
    </w:p>
    <w:p w14:paraId="4FA627BB" w14:textId="77777777" w:rsidR="009910F4" w:rsidRDefault="009910F4" w:rsidP="00CF5E22">
      <w:pPr>
        <w:pStyle w:val="Heading3"/>
        <w:rPr>
          <w:b w:val="0"/>
          <w:i w:val="0"/>
          <w:szCs w:val="24"/>
        </w:rPr>
      </w:pPr>
      <w:r w:rsidRPr="009910F4">
        <w:rPr>
          <w:b w:val="0"/>
          <w:i w:val="0"/>
          <w:szCs w:val="24"/>
        </w:rPr>
        <w:t xml:space="preserve">PBS dispensing data was extracted from the PBS data maintained by the Department of Health and Aged Care, processed by Services Australia. </w:t>
      </w:r>
    </w:p>
    <w:p w14:paraId="7599E7C1" w14:textId="1E737D99" w:rsidR="005C6661" w:rsidRDefault="005C6661" w:rsidP="00CF5E22">
      <w:pPr>
        <w:pStyle w:val="Heading3"/>
      </w:pPr>
      <w:r>
        <w:t>Key Findings</w:t>
      </w:r>
    </w:p>
    <w:p w14:paraId="013B8A7D" w14:textId="4E3E0828" w:rsidR="005C6661" w:rsidRPr="001918AE" w:rsidRDefault="005E6FDE" w:rsidP="005C6661">
      <w:pPr>
        <w:pStyle w:val="NoSpacing"/>
        <w:numPr>
          <w:ilvl w:val="0"/>
          <w:numId w:val="1"/>
        </w:numPr>
      </w:pPr>
      <w:r w:rsidRPr="001918AE">
        <w:t xml:space="preserve">In the first year of listing there was </w:t>
      </w:r>
      <w:r w:rsidR="00E542BD" w:rsidRPr="001918AE">
        <w:t xml:space="preserve">748 prevalent patients using nivolumab and ipilimumab at a cost to the PBS/RPBS of </w:t>
      </w:r>
      <w:r w:rsidR="00B60AD7" w:rsidRPr="001918AE">
        <w:t xml:space="preserve">$58 million. </w:t>
      </w:r>
      <w:r w:rsidR="006F78C4" w:rsidRPr="001918AE">
        <w:t xml:space="preserve">In the second year of listing there were 742 prevalent patients at a cost of $59 million. </w:t>
      </w:r>
    </w:p>
    <w:p w14:paraId="6F3572F7" w14:textId="23E952FD" w:rsidR="006F78C4" w:rsidRPr="001918AE" w:rsidRDefault="00DA0AF1" w:rsidP="005C6661">
      <w:pPr>
        <w:pStyle w:val="NoSpacing"/>
        <w:numPr>
          <w:ilvl w:val="0"/>
          <w:numId w:val="1"/>
        </w:numPr>
      </w:pPr>
      <w:r w:rsidRPr="001918AE">
        <w:t xml:space="preserve">Although there was a lower patient number and lower script count in the second year of listing, the high cost is likely associated with the </w:t>
      </w:r>
      <w:r w:rsidR="00C86C2F" w:rsidRPr="001918AE">
        <w:t>movement towards three-weekly flat-dosing of nivolumab at 360mg</w:t>
      </w:r>
      <w:r w:rsidR="00491BC4" w:rsidRPr="001918AE">
        <w:t xml:space="preserve"> resulting in higher </w:t>
      </w:r>
      <w:r w:rsidR="00F07C8E" w:rsidRPr="001918AE">
        <w:t xml:space="preserve">doses being used compared to two-weekly doses at </w:t>
      </w:r>
      <w:r w:rsidR="00221097" w:rsidRPr="001918AE">
        <w:t>3</w:t>
      </w:r>
      <w:r w:rsidR="00F07C8E" w:rsidRPr="001918AE">
        <w:t>mg/kg</w:t>
      </w:r>
      <w:r w:rsidR="00C9434D" w:rsidRPr="001918AE">
        <w:t>.</w:t>
      </w:r>
    </w:p>
    <w:p w14:paraId="21DF55CF" w14:textId="6181F656" w:rsidR="003E3265" w:rsidRPr="001918AE" w:rsidRDefault="003E3265" w:rsidP="005C6661">
      <w:pPr>
        <w:pStyle w:val="NoSpacing"/>
        <w:numPr>
          <w:ilvl w:val="0"/>
          <w:numId w:val="1"/>
        </w:numPr>
      </w:pPr>
      <w:r w:rsidRPr="001918AE">
        <w:t>Approximately 15-20 patients per quarter have no dispensing history of ipilimumab and appear to be undergoing nivolumab monotherapy.</w:t>
      </w:r>
    </w:p>
    <w:p w14:paraId="77EB7AAE" w14:textId="6DBB0779" w:rsidR="00ED4E3E" w:rsidRPr="001918AE" w:rsidRDefault="00ED4E3E" w:rsidP="005C6661">
      <w:pPr>
        <w:pStyle w:val="NoSpacing"/>
        <w:numPr>
          <w:ilvl w:val="0"/>
          <w:numId w:val="1"/>
        </w:numPr>
      </w:pPr>
      <w:r w:rsidRPr="001918AE">
        <w:t xml:space="preserve">There were 1,429 unique patients by 2023Q4 and the majority were classified as males (1,122) with a median age of 75 years. The remaining 307 patients were classified as female and had a median age of 71 years.  </w:t>
      </w:r>
    </w:p>
    <w:p w14:paraId="627A798C" w14:textId="77777777" w:rsidR="001918AE" w:rsidRPr="001918AE" w:rsidRDefault="0072648B" w:rsidP="0072648B">
      <w:pPr>
        <w:pStyle w:val="ListParagraph"/>
        <w:numPr>
          <w:ilvl w:val="0"/>
          <w:numId w:val="1"/>
        </w:numPr>
      </w:pPr>
      <w:r w:rsidRPr="001918AE">
        <w:t xml:space="preserve">The median time to resupply for nivolumab for mesothelioma was 16 days and for ipilimumab it was 42 days. A Kaplan-Meier analysis was undertaken was undertaken to establish time on treatment. Approximately 23-28% of patients were censored and the median time on treatment for the remaining patients was 132 and 120 days for nivolumab and ipilimumab </w:t>
      </w:r>
      <w:r w:rsidR="00C41443" w:rsidRPr="001918AE">
        <w:t xml:space="preserve">respectively. </w:t>
      </w:r>
    </w:p>
    <w:p w14:paraId="0981FC00" w14:textId="03189E38" w:rsidR="0072648B" w:rsidRDefault="00C41443" w:rsidP="0072648B">
      <w:pPr>
        <w:pStyle w:val="ListParagraph"/>
        <w:numPr>
          <w:ilvl w:val="0"/>
          <w:numId w:val="1"/>
        </w:numPr>
      </w:pPr>
      <w:r w:rsidRPr="001918AE">
        <w:lastRenderedPageBreak/>
        <w:t>T</w:t>
      </w:r>
      <w:r w:rsidR="0072648B" w:rsidRPr="001918AE">
        <w:t xml:space="preserve">here may be a small number of patients exceeding the 24 month stopping criteria that forms part of the PBS criteria. </w:t>
      </w:r>
    </w:p>
    <w:bookmarkEnd w:id="0"/>
    <w:p w14:paraId="4140AB5D" w14:textId="5D33557C" w:rsidR="00715D38" w:rsidRDefault="00715D38">
      <w:pPr>
        <w:spacing w:line="276" w:lineRule="auto"/>
      </w:pPr>
      <w:r>
        <w:br w:type="page"/>
      </w:r>
    </w:p>
    <w:p w14:paraId="5B262047" w14:textId="525241DC" w:rsidR="00E677DD" w:rsidRPr="00CF5E22" w:rsidRDefault="00E677DD" w:rsidP="00CF5E22">
      <w:pPr>
        <w:pStyle w:val="Heading1"/>
      </w:pPr>
      <w:r w:rsidRPr="00CF5E22">
        <w:lastRenderedPageBreak/>
        <w:t xml:space="preserve">Purpose of </w:t>
      </w:r>
      <w:r w:rsidR="00D151EB" w:rsidRPr="00CF5E22">
        <w:t>analysis</w:t>
      </w:r>
    </w:p>
    <w:p w14:paraId="5EEC26B2" w14:textId="77777777" w:rsidR="009910F4" w:rsidRPr="009910F4" w:rsidRDefault="009910F4" w:rsidP="009910F4">
      <w:pPr>
        <w:pStyle w:val="Heading3"/>
      </w:pPr>
      <w:r w:rsidRPr="009910F4">
        <w:rPr>
          <w:b w:val="0"/>
          <w:i w:val="0"/>
          <w:szCs w:val="24"/>
        </w:rPr>
        <w:t>Analysis of the predicted versus actual utilisation of nivolumab and ipilimumab 24 months following its addition to the Pharmaceutical Benefits Scheme (PBS) for unresectable malignant mesothelioma on 1 July 2021.</w:t>
      </w:r>
    </w:p>
    <w:p w14:paraId="0A7F0B57" w14:textId="034D22D5" w:rsidR="006537D9" w:rsidRPr="005E22C2" w:rsidRDefault="00736041" w:rsidP="00CF5E22">
      <w:pPr>
        <w:pStyle w:val="Heading1"/>
      </w:pPr>
      <w:r w:rsidRPr="005E22C2">
        <w:t>Background</w:t>
      </w:r>
    </w:p>
    <w:p w14:paraId="2C748275" w14:textId="77777777" w:rsidR="00EE2BBB" w:rsidRPr="007247B9" w:rsidRDefault="00EE2BBB" w:rsidP="00EE2BBB">
      <w:pPr>
        <w:pStyle w:val="Heading2"/>
      </w:pPr>
      <w:r w:rsidRPr="007247B9">
        <w:t>Clinical situation</w:t>
      </w:r>
    </w:p>
    <w:p w14:paraId="43FE8BDF" w14:textId="01F1BE53" w:rsidR="00D50799" w:rsidRPr="00E776EE" w:rsidRDefault="00343C23" w:rsidP="00EE2BBB">
      <w:r>
        <w:t xml:space="preserve">Mesothelioma </w:t>
      </w:r>
      <w:r w:rsidR="00576F56">
        <w:t xml:space="preserve">is a type of cancer which arises due to </w:t>
      </w:r>
      <w:r w:rsidR="005E1303">
        <w:t xml:space="preserve">the abnormal growth of mesothelial cells. Mesothelial cells are typically found forming a lining </w:t>
      </w:r>
      <w:r w:rsidR="00863E14">
        <w:t>which coats</w:t>
      </w:r>
      <w:r w:rsidR="00E311DE">
        <w:t xml:space="preserve"> the</w:t>
      </w:r>
      <w:r w:rsidR="00863E14">
        <w:t xml:space="preserve"> </w:t>
      </w:r>
      <w:r w:rsidR="00E311DE">
        <w:t xml:space="preserve">internal organs. </w:t>
      </w:r>
      <w:r w:rsidR="00EF6AD8">
        <w:t>The most common</w:t>
      </w:r>
      <w:r w:rsidR="00460B14">
        <w:t xml:space="preserve"> form of</w:t>
      </w:r>
      <w:r w:rsidR="00EF6AD8">
        <w:t xml:space="preserve"> mesothelioma is malignant pleural mesothelioma </w:t>
      </w:r>
      <w:r w:rsidR="001205DA">
        <w:t>wh</w:t>
      </w:r>
      <w:r w:rsidR="00460B14">
        <w:t>ere the pleura</w:t>
      </w:r>
      <w:r w:rsidR="00B23706">
        <w:t>,</w:t>
      </w:r>
      <w:r w:rsidR="00460B14">
        <w:t xml:space="preserve"> which </w:t>
      </w:r>
      <w:r w:rsidR="008C5DC2">
        <w:t xml:space="preserve">lines </w:t>
      </w:r>
      <w:r w:rsidR="002A638D">
        <w:t>lungs and their surrounding</w:t>
      </w:r>
      <w:r w:rsidR="008C5DC2">
        <w:t xml:space="preserve"> cavity</w:t>
      </w:r>
      <w:r w:rsidR="00B23706">
        <w:t>,</w:t>
      </w:r>
      <w:r w:rsidR="008C5DC2">
        <w:t xml:space="preserve"> experiences abnormal growth</w:t>
      </w:r>
      <w:r w:rsidR="00B23706">
        <w:t xml:space="preserve"> and typically occurs </w:t>
      </w:r>
      <w:r w:rsidR="007F2864">
        <w:t xml:space="preserve">decades after exposure to asbestos. </w:t>
      </w:r>
      <w:r w:rsidR="001B1A4B">
        <w:t>Malignant pleural mesothelioma can be treated by surgery, chemotherapy, immunotherapy</w:t>
      </w:r>
      <w:r w:rsidR="00E776EE">
        <w:t>, targeted therapies</w:t>
      </w:r>
      <w:r w:rsidR="001B1A4B">
        <w:t xml:space="preserve"> and radiation therapy. </w:t>
      </w:r>
    </w:p>
    <w:p w14:paraId="0183A567" w14:textId="413DF87B" w:rsidR="007247B9" w:rsidRDefault="007247B9" w:rsidP="00CF5E22">
      <w:pPr>
        <w:pStyle w:val="Heading2"/>
      </w:pPr>
      <w:r>
        <w:t>Pharmacology</w:t>
      </w:r>
    </w:p>
    <w:p w14:paraId="2DA83942" w14:textId="77777777" w:rsidR="00B1144A" w:rsidRDefault="00B1144A" w:rsidP="00B1144A">
      <w:r w:rsidRPr="008B430F">
        <w:t>Nivolumab is a protein which helps the immune system to attack and destroy cancer cells</w:t>
      </w:r>
      <w:r>
        <w:t>.</w:t>
      </w:r>
      <w:r w:rsidRPr="008B430F">
        <w:rPr>
          <w:rStyle w:val="FootnoteReference"/>
        </w:rPr>
        <w:footnoteReference w:id="1"/>
      </w:r>
      <w:r>
        <w:t xml:space="preserve"> </w:t>
      </w:r>
      <w:r w:rsidRPr="008B430F">
        <w:t>It is a human anti PD-1 monoclonal antibody which inhibits the programmed death 1 (PD-1) receptor from binding to its ligands (PD-L1 and PD-L2) on tumour cells, reactivating cytotoxic T lymphocytes and anti-tumour immunity.</w:t>
      </w:r>
      <w:r w:rsidRPr="008B430F">
        <w:rPr>
          <w:rStyle w:val="FootnoteReference"/>
        </w:rPr>
        <w:footnoteReference w:id="2"/>
      </w:r>
    </w:p>
    <w:p w14:paraId="29A966C1" w14:textId="77777777" w:rsidR="00B1144A" w:rsidRDefault="00B1144A" w:rsidP="00B1144A">
      <w:r>
        <w:t>Ipilimumab</w:t>
      </w:r>
      <w:r w:rsidRPr="008B430F">
        <w:t xml:space="preserve"> is </w:t>
      </w:r>
      <w:r>
        <w:t xml:space="preserve">also </w:t>
      </w:r>
      <w:r w:rsidRPr="008B430F">
        <w:t>a protein which helps the immune system to attack and destroy cancer cells.</w:t>
      </w:r>
      <w:r>
        <w:t xml:space="preserve"> It b</w:t>
      </w:r>
      <w:r w:rsidRPr="00A21DB6">
        <w:t>inds to the cytotoxic T lymphocyte-associated antigen 4 (CTLA</w:t>
      </w:r>
      <w:r w:rsidRPr="00A21DB6">
        <w:rPr>
          <w:rFonts w:ascii="Cambria Math" w:hAnsi="Cambria Math" w:cs="Cambria Math"/>
        </w:rPr>
        <w:t>‑</w:t>
      </w:r>
      <w:r w:rsidRPr="00A21DB6">
        <w:t>4) resulting in an enhanced T</w:t>
      </w:r>
      <w:r w:rsidRPr="00A21DB6">
        <w:rPr>
          <w:rFonts w:ascii="Cambria Math" w:hAnsi="Cambria Math" w:cs="Cambria Math"/>
        </w:rPr>
        <w:t>‑</w:t>
      </w:r>
      <w:r w:rsidRPr="00A21DB6">
        <w:t>cell mediated immune response which leads to tumour cell death.</w:t>
      </w:r>
      <w:r w:rsidRPr="00A21DB6">
        <w:rPr>
          <w:vertAlign w:val="superscript"/>
        </w:rPr>
        <w:t>3</w:t>
      </w:r>
    </w:p>
    <w:p w14:paraId="6AC18C88" w14:textId="7A398934" w:rsidR="001420B3" w:rsidRPr="005E22C2" w:rsidRDefault="00A52918" w:rsidP="00CF5E22">
      <w:pPr>
        <w:pStyle w:val="Heading2"/>
      </w:pPr>
      <w:r w:rsidRPr="00A52918">
        <w:t xml:space="preserve">Therapeutic Goods Administration </w:t>
      </w:r>
      <w:r>
        <w:t>(</w:t>
      </w:r>
      <w:r w:rsidR="001420B3" w:rsidRPr="005E22C2">
        <w:t>TGA</w:t>
      </w:r>
      <w:r>
        <w:t>)</w:t>
      </w:r>
      <w:r w:rsidR="001420B3" w:rsidRPr="005E22C2">
        <w:t xml:space="preserve"> approved </w:t>
      </w:r>
      <w:r w:rsidR="001420B3">
        <w:t>i</w:t>
      </w:r>
      <w:r w:rsidR="001420B3" w:rsidRPr="005E22C2">
        <w:t>ndications</w:t>
      </w:r>
    </w:p>
    <w:p w14:paraId="1E393897" w14:textId="644D2672" w:rsidR="001420B3" w:rsidRDefault="00DD2E23" w:rsidP="00A35800">
      <w:r>
        <w:t>Nivolumab has been approved by the TGA for the following indications:</w:t>
      </w:r>
    </w:p>
    <w:p w14:paraId="7B669ADA" w14:textId="2E929AD8" w:rsidR="00DD2E23" w:rsidRDefault="00DD2E23" w:rsidP="00DD2E23">
      <w:pPr>
        <w:pStyle w:val="ListParagraph"/>
        <w:numPr>
          <w:ilvl w:val="0"/>
          <w:numId w:val="4"/>
        </w:numPr>
      </w:pPr>
      <w:r>
        <w:t>Melanoma</w:t>
      </w:r>
      <w:r w:rsidR="00FF4EA0">
        <w:t xml:space="preserve"> monotherapy or in combination with </w:t>
      </w:r>
      <w:r w:rsidR="00E868BA">
        <w:t>ipilimumab</w:t>
      </w:r>
    </w:p>
    <w:p w14:paraId="355F2642" w14:textId="0CCAC54D" w:rsidR="00DD2E23" w:rsidRDefault="00DD2E23" w:rsidP="00DD2E23">
      <w:pPr>
        <w:pStyle w:val="ListParagraph"/>
        <w:numPr>
          <w:ilvl w:val="0"/>
          <w:numId w:val="4"/>
        </w:numPr>
      </w:pPr>
      <w:r>
        <w:t>Non-small cell lung cancer</w:t>
      </w:r>
      <w:r w:rsidR="00E868BA">
        <w:t xml:space="preserve"> monotherapy or in combination with platinum therapy or ipilimumab</w:t>
      </w:r>
    </w:p>
    <w:p w14:paraId="7499B7A2" w14:textId="45CD9324" w:rsidR="00DD2E23" w:rsidRDefault="00DD2E23" w:rsidP="00DD2E23">
      <w:pPr>
        <w:pStyle w:val="ListParagraph"/>
        <w:numPr>
          <w:ilvl w:val="0"/>
          <w:numId w:val="4"/>
        </w:numPr>
      </w:pPr>
      <w:r>
        <w:t xml:space="preserve">Malignant pleural mesothelioma </w:t>
      </w:r>
      <w:r w:rsidR="00E868BA">
        <w:t>in combination with ipilimumab</w:t>
      </w:r>
    </w:p>
    <w:p w14:paraId="7D09097F" w14:textId="262749CA" w:rsidR="00DD2E23" w:rsidRDefault="00DD2E23" w:rsidP="00DD2E23">
      <w:pPr>
        <w:pStyle w:val="ListParagraph"/>
        <w:numPr>
          <w:ilvl w:val="0"/>
          <w:numId w:val="4"/>
        </w:numPr>
      </w:pPr>
      <w:r>
        <w:t>Renal cell carcinoma</w:t>
      </w:r>
      <w:r w:rsidR="00E868BA">
        <w:t xml:space="preserve"> monotherapy or in combination with ipilimumab or caboza</w:t>
      </w:r>
      <w:r w:rsidR="0040779B">
        <w:t>ntinib</w:t>
      </w:r>
    </w:p>
    <w:p w14:paraId="119796E4" w14:textId="77777777" w:rsidR="001E210D" w:rsidRDefault="001E210D" w:rsidP="00DD2E23">
      <w:pPr>
        <w:pStyle w:val="ListParagraph"/>
        <w:numPr>
          <w:ilvl w:val="0"/>
          <w:numId w:val="4"/>
        </w:numPr>
      </w:pPr>
      <w:r>
        <w:t>Classical Hodgkin lymphoma</w:t>
      </w:r>
    </w:p>
    <w:p w14:paraId="27070611" w14:textId="77777777" w:rsidR="001E210D" w:rsidRDefault="001E210D" w:rsidP="00DD2E23">
      <w:pPr>
        <w:pStyle w:val="ListParagraph"/>
        <w:numPr>
          <w:ilvl w:val="0"/>
          <w:numId w:val="4"/>
        </w:numPr>
      </w:pPr>
      <w:r>
        <w:t>Squamous cell carcinoma of the head and neck</w:t>
      </w:r>
    </w:p>
    <w:p w14:paraId="5C5F4DD1" w14:textId="77777777" w:rsidR="001E210D" w:rsidRDefault="001E210D" w:rsidP="00DD2E23">
      <w:pPr>
        <w:pStyle w:val="ListParagraph"/>
        <w:numPr>
          <w:ilvl w:val="0"/>
          <w:numId w:val="4"/>
        </w:numPr>
      </w:pPr>
      <w:r>
        <w:t>Urothelial carcinoma</w:t>
      </w:r>
    </w:p>
    <w:p w14:paraId="6444F4D7" w14:textId="77777777" w:rsidR="001E210D" w:rsidRDefault="001E210D" w:rsidP="00DD2E23">
      <w:pPr>
        <w:pStyle w:val="ListParagraph"/>
        <w:numPr>
          <w:ilvl w:val="0"/>
          <w:numId w:val="4"/>
        </w:numPr>
      </w:pPr>
      <w:r>
        <w:lastRenderedPageBreak/>
        <w:t>Hepatocellular carcinoma</w:t>
      </w:r>
    </w:p>
    <w:p w14:paraId="07955334" w14:textId="440509AF" w:rsidR="001E210D" w:rsidRDefault="001E210D" w:rsidP="00DD2E23">
      <w:pPr>
        <w:pStyle w:val="ListParagraph"/>
        <w:numPr>
          <w:ilvl w:val="0"/>
          <w:numId w:val="4"/>
        </w:numPr>
      </w:pPr>
      <w:r>
        <w:t>Oesophageal squamous cell carcinoma</w:t>
      </w:r>
      <w:r w:rsidR="0040779B">
        <w:t xml:space="preserve"> monotherapy or in combination with ipilimumab or </w:t>
      </w:r>
      <w:r w:rsidR="007A6900">
        <w:t>platinum therapy</w:t>
      </w:r>
    </w:p>
    <w:p w14:paraId="6B52EA19" w14:textId="77777777" w:rsidR="00F224C4" w:rsidRDefault="00F224C4" w:rsidP="00DD2E23">
      <w:pPr>
        <w:pStyle w:val="ListParagraph"/>
        <w:numPr>
          <w:ilvl w:val="0"/>
          <w:numId w:val="4"/>
        </w:numPr>
      </w:pPr>
      <w:r>
        <w:t>Adjuvant oesophageal or gastro-oesophageal junction carcinoma</w:t>
      </w:r>
    </w:p>
    <w:p w14:paraId="723E7AD5" w14:textId="7E58291A" w:rsidR="00DD2E23" w:rsidRDefault="00F224C4" w:rsidP="00DD2E23">
      <w:pPr>
        <w:pStyle w:val="ListParagraph"/>
        <w:numPr>
          <w:ilvl w:val="0"/>
          <w:numId w:val="4"/>
        </w:numPr>
      </w:pPr>
      <w:r>
        <w:t xml:space="preserve">Gastric cancer, </w:t>
      </w:r>
      <w:r w:rsidR="001E210D">
        <w:t xml:space="preserve"> </w:t>
      </w:r>
      <w:r>
        <w:t>gastro-oesophageal junction carcinoma, or oesophageal adenocarcinoma</w:t>
      </w:r>
      <w:r w:rsidR="007A6900">
        <w:t xml:space="preserve"> in combination with platinum therapy. </w:t>
      </w:r>
    </w:p>
    <w:p w14:paraId="496722CA" w14:textId="32922541" w:rsidR="00F224C4" w:rsidRDefault="00F224C4" w:rsidP="00F224C4">
      <w:r>
        <w:t xml:space="preserve">Ipilimumab has been approved by the TGA for the following indications: </w:t>
      </w:r>
    </w:p>
    <w:p w14:paraId="7FB673DD" w14:textId="2F7ADA34" w:rsidR="00F224C4" w:rsidRDefault="00C22058" w:rsidP="00F224C4">
      <w:pPr>
        <w:pStyle w:val="ListParagraph"/>
        <w:numPr>
          <w:ilvl w:val="0"/>
          <w:numId w:val="4"/>
        </w:numPr>
      </w:pPr>
      <w:r>
        <w:t xml:space="preserve">Melanoma monotherapy or in combination with </w:t>
      </w:r>
      <w:r w:rsidR="00131068">
        <w:t>nivolumab</w:t>
      </w:r>
    </w:p>
    <w:p w14:paraId="1E73C321" w14:textId="221FC51D" w:rsidR="00131068" w:rsidRDefault="00131068" w:rsidP="00F224C4">
      <w:pPr>
        <w:pStyle w:val="ListParagraph"/>
        <w:numPr>
          <w:ilvl w:val="0"/>
          <w:numId w:val="4"/>
        </w:numPr>
      </w:pPr>
      <w:r>
        <w:t xml:space="preserve">Renal cell carcinoma in combination with nivolumab </w:t>
      </w:r>
    </w:p>
    <w:p w14:paraId="3327053A" w14:textId="711F074F" w:rsidR="00131068" w:rsidRDefault="00C63F2A" w:rsidP="00F224C4">
      <w:pPr>
        <w:pStyle w:val="ListParagraph"/>
        <w:numPr>
          <w:ilvl w:val="0"/>
          <w:numId w:val="4"/>
        </w:numPr>
      </w:pPr>
      <w:r>
        <w:t xml:space="preserve">Non-small cell lung cancer in </w:t>
      </w:r>
      <w:r w:rsidR="003545DB">
        <w:t>combination with nivolumab</w:t>
      </w:r>
    </w:p>
    <w:p w14:paraId="11703269" w14:textId="01FCF692" w:rsidR="003545DB" w:rsidRDefault="003545DB" w:rsidP="00F224C4">
      <w:pPr>
        <w:pStyle w:val="ListParagraph"/>
        <w:numPr>
          <w:ilvl w:val="0"/>
          <w:numId w:val="4"/>
        </w:numPr>
      </w:pPr>
      <w:r>
        <w:t xml:space="preserve">Malignant pleural mesothelioma in combination with nivolumab </w:t>
      </w:r>
    </w:p>
    <w:p w14:paraId="7393073F" w14:textId="7D0AA7AF" w:rsidR="003545DB" w:rsidRDefault="00C00B24" w:rsidP="00F224C4">
      <w:pPr>
        <w:pStyle w:val="ListParagraph"/>
        <w:numPr>
          <w:ilvl w:val="0"/>
          <w:numId w:val="4"/>
        </w:numPr>
      </w:pPr>
      <w:r>
        <w:t xml:space="preserve">Oesophageal squamous cell carcinoma in combination with nivolumab. </w:t>
      </w:r>
    </w:p>
    <w:p w14:paraId="15E919C1" w14:textId="1B3BA560" w:rsidR="006B709B" w:rsidRDefault="006B709B" w:rsidP="00CF5E22">
      <w:pPr>
        <w:pStyle w:val="Heading2"/>
      </w:pPr>
      <w:r>
        <w:t>Dosage and administration</w:t>
      </w:r>
    </w:p>
    <w:p w14:paraId="34A72305" w14:textId="77777777" w:rsidR="00AF3C3E" w:rsidRDefault="00AF3C3E" w:rsidP="00080B2F">
      <w:pPr>
        <w:rPr>
          <w:b/>
        </w:rPr>
      </w:pPr>
      <w:r w:rsidRPr="00AF3C3E">
        <w:t>The recommended dose of nivolumab is 3</w:t>
      </w:r>
      <w:r>
        <w:rPr>
          <w:b/>
        </w:rPr>
        <w:t xml:space="preserve"> </w:t>
      </w:r>
      <w:r w:rsidRPr="00AF3C3E">
        <w:t xml:space="preserve">mg/kg every 2 weeks or 360 mg every 3 weeks in combination with 1 mg/kg </w:t>
      </w:r>
      <w:r w:rsidRPr="00080B2F">
        <w:rPr>
          <w:bCs/>
        </w:rPr>
        <w:t>of ipilimumab</w:t>
      </w:r>
      <w:r w:rsidRPr="00AF3C3E">
        <w:t xml:space="preserve"> every 6 weeks. </w:t>
      </w:r>
    </w:p>
    <w:p w14:paraId="51E22FB7" w14:textId="2B5D4830" w:rsidR="003370D0" w:rsidRPr="00AF3C3E" w:rsidRDefault="00AF3C3E" w:rsidP="00080B2F">
      <w:r w:rsidRPr="00AF3C3E">
        <w:t>Treatment should be continued until disease</w:t>
      </w:r>
      <w:r>
        <w:rPr>
          <w:b/>
        </w:rPr>
        <w:t xml:space="preserve"> </w:t>
      </w:r>
      <w:r w:rsidRPr="00AF3C3E">
        <w:t>progression, unacceptable toxicity, or up to 2 years in patients without disease progression.</w:t>
      </w:r>
    </w:p>
    <w:p w14:paraId="6682A05C" w14:textId="3E837A5D" w:rsidR="00F17D4B" w:rsidRPr="002F61CA" w:rsidRDefault="00F17D4B" w:rsidP="00080B2F">
      <w:r w:rsidRPr="002F61CA">
        <w:t xml:space="preserve">The current Product Information (PI) and Consumer Medicine Information (CMI) are available from </w:t>
      </w:r>
      <w:hyperlink r:id="rId8" w:history="1">
        <w:r>
          <w:rPr>
            <w:rStyle w:val="Hyperlink"/>
          </w:rPr>
          <w:t>the TGA (Product Information)</w:t>
        </w:r>
      </w:hyperlink>
      <w:r>
        <w:t xml:space="preserve"> and </w:t>
      </w:r>
      <w:hyperlink r:id="rId9" w:history="1">
        <w:r>
          <w:rPr>
            <w:rStyle w:val="Hyperlink"/>
          </w:rPr>
          <w:t>the TGA (Consumer Medicines Information)</w:t>
        </w:r>
      </w:hyperlink>
      <w:r>
        <w:t>.</w:t>
      </w:r>
    </w:p>
    <w:p w14:paraId="6F269760" w14:textId="77777777" w:rsidR="00A14690" w:rsidRDefault="00A14690">
      <w:pPr>
        <w:spacing w:line="276" w:lineRule="auto"/>
        <w:rPr>
          <w:b/>
          <w:sz w:val="28"/>
        </w:rPr>
      </w:pPr>
      <w:r>
        <w:br w:type="page"/>
      </w:r>
    </w:p>
    <w:p w14:paraId="46E2BB42" w14:textId="3DCCA6C5" w:rsidR="00DF0B13" w:rsidRPr="007247B9" w:rsidDel="00EE2BBB" w:rsidRDefault="00DF0B13" w:rsidP="00CF5E22">
      <w:pPr>
        <w:pStyle w:val="Heading2"/>
      </w:pPr>
      <w:r w:rsidRPr="007247B9" w:rsidDel="00EE2BBB">
        <w:lastRenderedPageBreak/>
        <w:t>PBS listing details</w:t>
      </w:r>
      <w:r w:rsidR="00D151EB" w:rsidDel="00EE2BBB">
        <w:t xml:space="preserve"> (as at </w:t>
      </w:r>
      <w:r w:rsidR="001F2939">
        <w:t>1 December 2023)</w:t>
      </w:r>
    </w:p>
    <w:p w14:paraId="1D47784A" w14:textId="2C98FDC7" w:rsidR="001420B3" w:rsidRPr="001420B3" w:rsidDel="00EE2BBB" w:rsidRDefault="001420B3" w:rsidP="00CF5E22">
      <w:pPr>
        <w:pStyle w:val="Tabletitle"/>
      </w:pPr>
      <w:r w:rsidRPr="001420B3" w:rsidDel="00EE2BBB">
        <w:t xml:space="preserve">Table </w:t>
      </w:r>
      <w:r w:rsidR="001F2939">
        <w:t>1</w:t>
      </w:r>
      <w:r w:rsidRPr="001420B3" w:rsidDel="00EE2BBB">
        <w:t xml:space="preserve">: </w:t>
      </w:r>
      <w:r w:rsidR="009663B6" w:rsidDel="00EE2BBB">
        <w:t>PB</w:t>
      </w:r>
      <w:r w:rsidR="00D151EB" w:rsidDel="00EE2BBB">
        <w:t xml:space="preserve">S listing of </w:t>
      </w:r>
      <w:r w:rsidR="001F2939">
        <w:t>nivolumab and ipilimumab for unresectable malignant mesothelioma</w:t>
      </w:r>
      <w:r w:rsidR="00D151EB" w:rsidDel="00EE2BBB">
        <w:t xml:space="preserve"> </w:t>
      </w:r>
    </w:p>
    <w:tbl>
      <w:tblPr>
        <w:tblStyle w:val="TableGrid"/>
        <w:tblW w:w="9064" w:type="dxa"/>
        <w:tblLayout w:type="fixed"/>
        <w:tblLook w:val="04A0" w:firstRow="1" w:lastRow="0" w:firstColumn="1" w:lastColumn="0" w:noHBand="0" w:noVBand="1"/>
      </w:tblPr>
      <w:tblGrid>
        <w:gridCol w:w="969"/>
        <w:gridCol w:w="2400"/>
        <w:gridCol w:w="1701"/>
        <w:gridCol w:w="737"/>
        <w:gridCol w:w="1153"/>
        <w:gridCol w:w="2104"/>
      </w:tblGrid>
      <w:tr w:rsidR="0093111F" w:rsidRPr="00A35800" w:rsidDel="00EE2BBB" w14:paraId="6AA19A37" w14:textId="77B518AD" w:rsidTr="00B41DD2">
        <w:trPr>
          <w:trHeight w:val="694"/>
          <w:tblHeader/>
        </w:trPr>
        <w:tc>
          <w:tcPr>
            <w:tcW w:w="969" w:type="dxa"/>
            <w:shd w:val="clear" w:color="auto" w:fill="BFBFBF" w:themeFill="background1" w:themeFillShade="BF"/>
          </w:tcPr>
          <w:p w14:paraId="56A3DEA0" w14:textId="1A878237" w:rsidR="0093111F" w:rsidRPr="00A35800" w:rsidDel="00EE2BBB" w:rsidRDefault="0093111F" w:rsidP="00A35800">
            <w:pPr>
              <w:pStyle w:val="Tableheading"/>
              <w:rPr>
                <w:sz w:val="20"/>
                <w:szCs w:val="20"/>
              </w:rPr>
            </w:pPr>
            <w:r w:rsidRPr="00A35800" w:rsidDel="00EE2BBB">
              <w:rPr>
                <w:sz w:val="20"/>
                <w:szCs w:val="20"/>
              </w:rPr>
              <w:t>Item</w:t>
            </w:r>
          </w:p>
        </w:tc>
        <w:tc>
          <w:tcPr>
            <w:tcW w:w="2400" w:type="dxa"/>
            <w:shd w:val="clear" w:color="auto" w:fill="BFBFBF" w:themeFill="background1" w:themeFillShade="BF"/>
          </w:tcPr>
          <w:p w14:paraId="67A07252" w14:textId="6DE43662" w:rsidR="0093111F" w:rsidRPr="00A35800" w:rsidDel="00EE2BBB" w:rsidRDefault="0093111F" w:rsidP="00A35800">
            <w:pPr>
              <w:pStyle w:val="Tableheading"/>
              <w:rPr>
                <w:sz w:val="20"/>
                <w:szCs w:val="20"/>
              </w:rPr>
            </w:pPr>
            <w:r w:rsidRPr="00A35800" w:rsidDel="00EE2BBB">
              <w:rPr>
                <w:sz w:val="20"/>
                <w:szCs w:val="20"/>
              </w:rPr>
              <w:t>Name, form &amp; strength, pack size</w:t>
            </w:r>
          </w:p>
        </w:tc>
        <w:tc>
          <w:tcPr>
            <w:tcW w:w="1701" w:type="dxa"/>
            <w:shd w:val="clear" w:color="auto" w:fill="BFBFBF" w:themeFill="background1" w:themeFillShade="BF"/>
          </w:tcPr>
          <w:p w14:paraId="114E9799" w14:textId="71E76A27" w:rsidR="0093111F" w:rsidRPr="00A35800" w:rsidDel="00EE2BBB" w:rsidRDefault="0093111F" w:rsidP="00A35800">
            <w:pPr>
              <w:pStyle w:val="Tableheading"/>
              <w:rPr>
                <w:sz w:val="20"/>
                <w:szCs w:val="20"/>
              </w:rPr>
            </w:pPr>
            <w:r w:rsidRPr="00A35800" w:rsidDel="00EE2BBB">
              <w:rPr>
                <w:sz w:val="20"/>
                <w:szCs w:val="20"/>
              </w:rPr>
              <w:t>Max</w:t>
            </w:r>
            <w:r w:rsidR="00A13C60" w:rsidRPr="00A35800" w:rsidDel="00EE2BBB">
              <w:rPr>
                <w:sz w:val="20"/>
                <w:szCs w:val="20"/>
              </w:rPr>
              <w:t xml:space="preserve">. </w:t>
            </w:r>
            <w:r w:rsidRPr="00A35800" w:rsidDel="00EE2BBB">
              <w:rPr>
                <w:sz w:val="20"/>
                <w:szCs w:val="20"/>
              </w:rPr>
              <w:t xml:space="preserve">quant. </w:t>
            </w:r>
          </w:p>
        </w:tc>
        <w:tc>
          <w:tcPr>
            <w:tcW w:w="737" w:type="dxa"/>
            <w:shd w:val="clear" w:color="auto" w:fill="BFBFBF" w:themeFill="background1" w:themeFillShade="BF"/>
          </w:tcPr>
          <w:p w14:paraId="0F1A79F7" w14:textId="170F6D44" w:rsidR="0093111F" w:rsidRPr="00A35800" w:rsidDel="00EE2BBB" w:rsidRDefault="0093111F" w:rsidP="00A35800">
            <w:pPr>
              <w:pStyle w:val="Tableheading"/>
              <w:rPr>
                <w:sz w:val="20"/>
                <w:szCs w:val="20"/>
              </w:rPr>
            </w:pPr>
            <w:r w:rsidRPr="00A35800" w:rsidDel="00EE2BBB">
              <w:rPr>
                <w:sz w:val="20"/>
                <w:szCs w:val="20"/>
              </w:rPr>
              <w:t xml:space="preserve">Rpts </w:t>
            </w:r>
          </w:p>
        </w:tc>
        <w:tc>
          <w:tcPr>
            <w:tcW w:w="1153" w:type="dxa"/>
            <w:shd w:val="clear" w:color="auto" w:fill="BFBFBF" w:themeFill="background1" w:themeFillShade="BF"/>
          </w:tcPr>
          <w:p w14:paraId="05C5A0BF" w14:textId="2CFF9AC9" w:rsidR="0093111F" w:rsidRPr="00A35800" w:rsidDel="00EE2BBB" w:rsidRDefault="0093111F" w:rsidP="00A35800">
            <w:pPr>
              <w:pStyle w:val="Tableheading"/>
              <w:rPr>
                <w:sz w:val="20"/>
                <w:szCs w:val="20"/>
              </w:rPr>
            </w:pPr>
            <w:r w:rsidRPr="00A35800" w:rsidDel="00EE2BBB">
              <w:rPr>
                <w:sz w:val="20"/>
                <w:szCs w:val="20"/>
              </w:rPr>
              <w:t>DPMQ</w:t>
            </w:r>
          </w:p>
        </w:tc>
        <w:tc>
          <w:tcPr>
            <w:tcW w:w="2104" w:type="dxa"/>
            <w:shd w:val="clear" w:color="auto" w:fill="BFBFBF" w:themeFill="background1" w:themeFillShade="BF"/>
          </w:tcPr>
          <w:p w14:paraId="09B472B7" w14:textId="479D46E2" w:rsidR="0093111F" w:rsidRPr="00A35800" w:rsidDel="00EE2BBB" w:rsidRDefault="0093111F" w:rsidP="00A35800">
            <w:pPr>
              <w:pStyle w:val="Tableheading"/>
              <w:rPr>
                <w:sz w:val="20"/>
                <w:szCs w:val="20"/>
              </w:rPr>
            </w:pPr>
            <w:r w:rsidRPr="00A35800" w:rsidDel="00EE2BBB">
              <w:rPr>
                <w:sz w:val="20"/>
                <w:szCs w:val="20"/>
              </w:rPr>
              <w:t>Brand name and manufacturer</w:t>
            </w:r>
          </w:p>
        </w:tc>
      </w:tr>
      <w:tr w:rsidR="00DE65CF" w:rsidRPr="00A35800" w:rsidDel="00EE2BBB" w14:paraId="2AF9D84B" w14:textId="0D323411" w:rsidTr="00B41DD2">
        <w:trPr>
          <w:trHeight w:val="701"/>
          <w:tblHeader/>
        </w:trPr>
        <w:tc>
          <w:tcPr>
            <w:tcW w:w="969" w:type="dxa"/>
            <w:shd w:val="clear" w:color="auto" w:fill="auto"/>
          </w:tcPr>
          <w:p w14:paraId="0A3E3442" w14:textId="3BAC03F5" w:rsidR="00DE65CF" w:rsidRPr="00A35800" w:rsidDel="00EE2BBB" w:rsidRDefault="00DE65CF" w:rsidP="00A35800">
            <w:pPr>
              <w:pStyle w:val="Tablewriting"/>
            </w:pPr>
            <w:r>
              <w:t>12574T</w:t>
            </w:r>
          </w:p>
        </w:tc>
        <w:tc>
          <w:tcPr>
            <w:tcW w:w="2400" w:type="dxa"/>
            <w:vMerge w:val="restart"/>
            <w:shd w:val="clear" w:color="auto" w:fill="auto"/>
          </w:tcPr>
          <w:p w14:paraId="28D666EA" w14:textId="35FACDB0" w:rsidR="00DE65CF" w:rsidRPr="00A47023" w:rsidRDefault="00DE65CF" w:rsidP="00A47023">
            <w:pPr>
              <w:pStyle w:val="Tablewriting"/>
            </w:pPr>
            <w:r>
              <w:t>Nivolumab, i</w:t>
            </w:r>
            <w:r w:rsidRPr="00A47023">
              <w:t>njection</w:t>
            </w:r>
          </w:p>
          <w:p w14:paraId="4436DC26" w14:textId="77777777" w:rsidR="00DE65CF" w:rsidRPr="00A47023" w:rsidRDefault="00DE65CF" w:rsidP="00A47023">
            <w:pPr>
              <w:pStyle w:val="Tablewriting"/>
            </w:pPr>
            <w:r w:rsidRPr="00A47023">
              <w:t>concentrate for</w:t>
            </w:r>
          </w:p>
          <w:p w14:paraId="07A8800A" w14:textId="77777777" w:rsidR="00DE65CF" w:rsidRPr="00A47023" w:rsidRDefault="00DE65CF" w:rsidP="00A47023">
            <w:pPr>
              <w:pStyle w:val="Tablewriting"/>
            </w:pPr>
            <w:r w:rsidRPr="00A47023">
              <w:t>I.V. infusion 100</w:t>
            </w:r>
          </w:p>
          <w:p w14:paraId="6644B820" w14:textId="77777777" w:rsidR="00DE65CF" w:rsidRPr="00A47023" w:rsidRDefault="00DE65CF" w:rsidP="00A47023">
            <w:pPr>
              <w:pStyle w:val="Tablewriting"/>
            </w:pPr>
            <w:r w:rsidRPr="00A47023">
              <w:t>mg in 10 mL &amp; 40</w:t>
            </w:r>
          </w:p>
          <w:p w14:paraId="0F676F51" w14:textId="7558A22D" w:rsidR="00DE65CF" w:rsidRPr="00A35800" w:rsidDel="00EE2BBB" w:rsidRDefault="00DE65CF" w:rsidP="00A47023">
            <w:pPr>
              <w:pStyle w:val="Tablewriting"/>
            </w:pPr>
            <w:r w:rsidRPr="00A47023">
              <w:t>mg in 4 mL</w:t>
            </w:r>
          </w:p>
        </w:tc>
        <w:tc>
          <w:tcPr>
            <w:tcW w:w="1701" w:type="dxa"/>
            <w:vMerge w:val="restart"/>
            <w:shd w:val="clear" w:color="auto" w:fill="auto"/>
          </w:tcPr>
          <w:p w14:paraId="0E2637C4" w14:textId="72FF27D1" w:rsidR="00DE65CF" w:rsidRPr="00A35800" w:rsidDel="00EE2BBB" w:rsidRDefault="00DE65CF" w:rsidP="00A35800">
            <w:pPr>
              <w:pStyle w:val="Tablewriting"/>
            </w:pPr>
            <w:r>
              <w:t>360mg</w:t>
            </w:r>
          </w:p>
        </w:tc>
        <w:tc>
          <w:tcPr>
            <w:tcW w:w="737" w:type="dxa"/>
            <w:vMerge w:val="restart"/>
            <w:shd w:val="clear" w:color="auto" w:fill="auto"/>
          </w:tcPr>
          <w:p w14:paraId="6B361CAA" w14:textId="41A76D52" w:rsidR="00DE65CF" w:rsidRPr="00A35800" w:rsidDel="00EE2BBB" w:rsidRDefault="00DE65CF" w:rsidP="00A35800">
            <w:pPr>
              <w:pStyle w:val="Tablewriting"/>
            </w:pPr>
            <w:r>
              <w:t>8</w:t>
            </w:r>
          </w:p>
        </w:tc>
        <w:tc>
          <w:tcPr>
            <w:tcW w:w="1153" w:type="dxa"/>
            <w:shd w:val="clear" w:color="auto" w:fill="auto"/>
          </w:tcPr>
          <w:p w14:paraId="15F68405" w14:textId="632250BA" w:rsidR="00DE65CF" w:rsidRPr="00A35800" w:rsidDel="00EE2BBB" w:rsidRDefault="00DE65CF" w:rsidP="00A35800">
            <w:pPr>
              <w:pStyle w:val="Tablewriting"/>
            </w:pPr>
            <w:r>
              <w:t>$7333.85</w:t>
            </w:r>
          </w:p>
        </w:tc>
        <w:tc>
          <w:tcPr>
            <w:tcW w:w="2104" w:type="dxa"/>
            <w:vMerge w:val="restart"/>
            <w:shd w:val="clear" w:color="auto" w:fill="auto"/>
          </w:tcPr>
          <w:p w14:paraId="2D337AC6" w14:textId="720B1CF6" w:rsidR="00DE65CF" w:rsidRPr="00A35800" w:rsidDel="00EE2BBB" w:rsidRDefault="00DE65CF" w:rsidP="00A35800">
            <w:pPr>
              <w:pStyle w:val="Tablewriting"/>
            </w:pPr>
            <w:r w:rsidRPr="002F299E">
              <w:t>Bristol-Myers Squibb Australia Pty Ltd</w:t>
            </w:r>
          </w:p>
        </w:tc>
      </w:tr>
      <w:tr w:rsidR="00DE65CF" w:rsidRPr="00A35800" w:rsidDel="00EE2BBB" w14:paraId="5A26F6DA" w14:textId="5F9D4936" w:rsidTr="00B41DD2">
        <w:trPr>
          <w:trHeight w:val="546"/>
          <w:tblHeader/>
        </w:trPr>
        <w:tc>
          <w:tcPr>
            <w:tcW w:w="969" w:type="dxa"/>
            <w:shd w:val="clear" w:color="auto" w:fill="auto"/>
          </w:tcPr>
          <w:p w14:paraId="76F26606" w14:textId="19456A14" w:rsidR="00DE65CF" w:rsidRPr="00A35800" w:rsidDel="00EE2BBB" w:rsidRDefault="00DE65CF" w:rsidP="00A35800">
            <w:pPr>
              <w:pStyle w:val="Tablewriting"/>
            </w:pPr>
            <w:r>
              <w:t>12602G</w:t>
            </w:r>
          </w:p>
        </w:tc>
        <w:tc>
          <w:tcPr>
            <w:tcW w:w="2400" w:type="dxa"/>
            <w:vMerge/>
            <w:shd w:val="clear" w:color="auto" w:fill="auto"/>
          </w:tcPr>
          <w:p w14:paraId="4C40F7E7" w14:textId="6A600047" w:rsidR="00DE65CF" w:rsidRPr="00A35800" w:rsidDel="00EE2BBB" w:rsidRDefault="00DE65CF" w:rsidP="00A35800">
            <w:pPr>
              <w:pStyle w:val="Tablewriting"/>
            </w:pPr>
          </w:p>
        </w:tc>
        <w:tc>
          <w:tcPr>
            <w:tcW w:w="1701" w:type="dxa"/>
            <w:vMerge/>
            <w:shd w:val="clear" w:color="auto" w:fill="auto"/>
          </w:tcPr>
          <w:p w14:paraId="73733F58" w14:textId="7FF7A651" w:rsidR="00DE65CF" w:rsidRPr="00A35800" w:rsidDel="00EE2BBB" w:rsidRDefault="00DE65CF" w:rsidP="00A35800">
            <w:pPr>
              <w:pStyle w:val="Tablewriting"/>
            </w:pPr>
          </w:p>
        </w:tc>
        <w:tc>
          <w:tcPr>
            <w:tcW w:w="737" w:type="dxa"/>
            <w:vMerge/>
            <w:shd w:val="clear" w:color="auto" w:fill="auto"/>
          </w:tcPr>
          <w:p w14:paraId="2751F86C" w14:textId="5AB45B4C" w:rsidR="00DE65CF" w:rsidRPr="00A35800" w:rsidDel="00EE2BBB" w:rsidRDefault="00DE65CF" w:rsidP="00A35800">
            <w:pPr>
              <w:pStyle w:val="Tablewriting"/>
            </w:pPr>
          </w:p>
        </w:tc>
        <w:tc>
          <w:tcPr>
            <w:tcW w:w="1153" w:type="dxa"/>
            <w:shd w:val="clear" w:color="auto" w:fill="auto"/>
          </w:tcPr>
          <w:p w14:paraId="0EB41EFB" w14:textId="61B9922A" w:rsidR="00DE65CF" w:rsidRPr="00A35800" w:rsidDel="00EE2BBB" w:rsidRDefault="00DE65CF" w:rsidP="00A35800">
            <w:pPr>
              <w:pStyle w:val="Tablewriting"/>
            </w:pPr>
            <w:r>
              <w:t>$7191.12</w:t>
            </w:r>
          </w:p>
        </w:tc>
        <w:tc>
          <w:tcPr>
            <w:tcW w:w="2104" w:type="dxa"/>
            <w:vMerge/>
            <w:shd w:val="clear" w:color="auto" w:fill="auto"/>
          </w:tcPr>
          <w:p w14:paraId="2F152B32" w14:textId="53903DBC" w:rsidR="00DE65CF" w:rsidRPr="00A35800" w:rsidDel="00EE2BBB" w:rsidRDefault="00DE65CF" w:rsidP="00A35800">
            <w:pPr>
              <w:pStyle w:val="Tablewriting"/>
            </w:pPr>
          </w:p>
        </w:tc>
      </w:tr>
      <w:tr w:rsidR="008D096E" w:rsidRPr="00A35800" w:rsidDel="00EE2BBB" w14:paraId="50F6CE6A" w14:textId="77777777" w:rsidTr="00B41DD2">
        <w:trPr>
          <w:trHeight w:val="701"/>
          <w:tblHeader/>
        </w:trPr>
        <w:tc>
          <w:tcPr>
            <w:tcW w:w="969" w:type="dxa"/>
            <w:shd w:val="clear" w:color="auto" w:fill="auto"/>
          </w:tcPr>
          <w:p w14:paraId="5742AD11" w14:textId="61C61E43" w:rsidR="008D096E" w:rsidRPr="00A35800" w:rsidDel="00EE2BBB" w:rsidRDefault="008D096E" w:rsidP="00205FE6">
            <w:pPr>
              <w:pStyle w:val="Tablewriting"/>
            </w:pPr>
            <w:r>
              <w:t>12</w:t>
            </w:r>
            <w:r w:rsidR="00BA3492">
              <w:t>583G</w:t>
            </w:r>
          </w:p>
        </w:tc>
        <w:tc>
          <w:tcPr>
            <w:tcW w:w="2400" w:type="dxa"/>
            <w:vMerge w:val="restart"/>
            <w:shd w:val="clear" w:color="auto" w:fill="auto"/>
          </w:tcPr>
          <w:p w14:paraId="33F64EE7" w14:textId="2F6D9109" w:rsidR="008D096E" w:rsidRPr="00A47023" w:rsidRDefault="00BA3492" w:rsidP="00205FE6">
            <w:pPr>
              <w:pStyle w:val="Tablewriting"/>
            </w:pPr>
            <w:r>
              <w:t>Ipilimumab</w:t>
            </w:r>
            <w:r w:rsidR="008D096E">
              <w:t>, i</w:t>
            </w:r>
            <w:r w:rsidR="008D096E" w:rsidRPr="00A47023">
              <w:t>njection</w:t>
            </w:r>
          </w:p>
          <w:p w14:paraId="0B3DB2B6" w14:textId="77777777" w:rsidR="008D096E" w:rsidRPr="00A47023" w:rsidRDefault="008D096E" w:rsidP="00205FE6">
            <w:pPr>
              <w:pStyle w:val="Tablewriting"/>
            </w:pPr>
            <w:r w:rsidRPr="00A47023">
              <w:t>concentrate for</w:t>
            </w:r>
          </w:p>
          <w:p w14:paraId="58FDABD5" w14:textId="59781402" w:rsidR="008D096E" w:rsidRPr="00A47023" w:rsidRDefault="008D096E" w:rsidP="00205FE6">
            <w:pPr>
              <w:pStyle w:val="Tablewriting"/>
            </w:pPr>
            <w:r w:rsidRPr="00A47023">
              <w:t xml:space="preserve">I.V. infusion </w:t>
            </w:r>
            <w:r w:rsidR="00BA3492">
              <w:t>5</w:t>
            </w:r>
            <w:r w:rsidRPr="00A47023">
              <w:t>0</w:t>
            </w:r>
          </w:p>
          <w:p w14:paraId="16B601AB" w14:textId="40294190" w:rsidR="00BA3492" w:rsidRPr="00A47023" w:rsidRDefault="008D096E" w:rsidP="00BA3492">
            <w:pPr>
              <w:pStyle w:val="Tablewriting"/>
            </w:pPr>
            <w:r w:rsidRPr="00A47023">
              <w:t xml:space="preserve">mg in 10 mL </w:t>
            </w:r>
          </w:p>
          <w:p w14:paraId="5F6AB730" w14:textId="2F5E6082" w:rsidR="008D096E" w:rsidRPr="00A35800" w:rsidDel="00EE2BBB" w:rsidRDefault="008D096E" w:rsidP="00205FE6">
            <w:pPr>
              <w:pStyle w:val="Tablewriting"/>
            </w:pPr>
          </w:p>
        </w:tc>
        <w:tc>
          <w:tcPr>
            <w:tcW w:w="1701" w:type="dxa"/>
            <w:vMerge w:val="restart"/>
            <w:shd w:val="clear" w:color="auto" w:fill="auto"/>
          </w:tcPr>
          <w:p w14:paraId="1C02A3E0" w14:textId="3E9843AA" w:rsidR="008D096E" w:rsidRPr="00A35800" w:rsidDel="00EE2BBB" w:rsidRDefault="00BA3492" w:rsidP="00205FE6">
            <w:pPr>
              <w:pStyle w:val="Tablewriting"/>
            </w:pPr>
            <w:r>
              <w:t>12</w:t>
            </w:r>
            <w:r w:rsidR="008D096E">
              <w:t>0mg</w:t>
            </w:r>
          </w:p>
        </w:tc>
        <w:tc>
          <w:tcPr>
            <w:tcW w:w="737" w:type="dxa"/>
            <w:vMerge w:val="restart"/>
            <w:shd w:val="clear" w:color="auto" w:fill="auto"/>
          </w:tcPr>
          <w:p w14:paraId="2C559062" w14:textId="2D839EE5" w:rsidR="008D096E" w:rsidRPr="00A35800" w:rsidDel="00EE2BBB" w:rsidRDefault="00B41DD2" w:rsidP="00205FE6">
            <w:pPr>
              <w:pStyle w:val="Tablewriting"/>
            </w:pPr>
            <w:r>
              <w:t>3</w:t>
            </w:r>
          </w:p>
        </w:tc>
        <w:tc>
          <w:tcPr>
            <w:tcW w:w="1153" w:type="dxa"/>
            <w:shd w:val="clear" w:color="auto" w:fill="auto"/>
          </w:tcPr>
          <w:p w14:paraId="6990C86E" w14:textId="76C51CC2" w:rsidR="008D096E" w:rsidRPr="00A35800" w:rsidDel="00EE2BBB" w:rsidRDefault="008D096E" w:rsidP="00205FE6">
            <w:pPr>
              <w:pStyle w:val="Tablewriting"/>
            </w:pPr>
            <w:r>
              <w:t>$</w:t>
            </w:r>
            <w:r w:rsidR="00B41DD2">
              <w:t>16966.38</w:t>
            </w:r>
          </w:p>
        </w:tc>
        <w:tc>
          <w:tcPr>
            <w:tcW w:w="2104" w:type="dxa"/>
            <w:vMerge w:val="restart"/>
            <w:shd w:val="clear" w:color="auto" w:fill="auto"/>
          </w:tcPr>
          <w:p w14:paraId="72661314" w14:textId="77777777" w:rsidR="008D096E" w:rsidRPr="00A35800" w:rsidDel="00EE2BBB" w:rsidRDefault="008D096E" w:rsidP="00205FE6">
            <w:pPr>
              <w:pStyle w:val="Tablewriting"/>
            </w:pPr>
            <w:r w:rsidRPr="002F299E">
              <w:t>Bristol-Myers Squibb Australia Pty Ltd</w:t>
            </w:r>
          </w:p>
        </w:tc>
      </w:tr>
      <w:tr w:rsidR="008D096E" w:rsidRPr="00A35800" w:rsidDel="00EE2BBB" w14:paraId="7AD1C93D" w14:textId="77777777" w:rsidTr="00B41DD2">
        <w:trPr>
          <w:trHeight w:val="546"/>
          <w:tblHeader/>
        </w:trPr>
        <w:tc>
          <w:tcPr>
            <w:tcW w:w="969" w:type="dxa"/>
            <w:shd w:val="clear" w:color="auto" w:fill="auto"/>
          </w:tcPr>
          <w:p w14:paraId="2759A4EE" w14:textId="45C90888" w:rsidR="008D096E" w:rsidRPr="00A35800" w:rsidDel="00EE2BBB" w:rsidRDefault="008D096E" w:rsidP="00205FE6">
            <w:pPr>
              <w:pStyle w:val="Tablewriting"/>
            </w:pPr>
            <w:r>
              <w:t>12</w:t>
            </w:r>
            <w:r w:rsidR="00BA3492">
              <w:t>601F</w:t>
            </w:r>
          </w:p>
        </w:tc>
        <w:tc>
          <w:tcPr>
            <w:tcW w:w="2400" w:type="dxa"/>
            <w:vMerge/>
            <w:shd w:val="clear" w:color="auto" w:fill="auto"/>
          </w:tcPr>
          <w:p w14:paraId="351911EF" w14:textId="77777777" w:rsidR="008D096E" w:rsidRPr="00A35800" w:rsidDel="00EE2BBB" w:rsidRDefault="008D096E" w:rsidP="00205FE6">
            <w:pPr>
              <w:pStyle w:val="Tablewriting"/>
            </w:pPr>
          </w:p>
        </w:tc>
        <w:tc>
          <w:tcPr>
            <w:tcW w:w="1701" w:type="dxa"/>
            <w:vMerge/>
            <w:shd w:val="clear" w:color="auto" w:fill="auto"/>
          </w:tcPr>
          <w:p w14:paraId="1DD1BEA4" w14:textId="77777777" w:rsidR="008D096E" w:rsidRPr="00A35800" w:rsidDel="00EE2BBB" w:rsidRDefault="008D096E" w:rsidP="00205FE6">
            <w:pPr>
              <w:pStyle w:val="Tablewriting"/>
            </w:pPr>
          </w:p>
        </w:tc>
        <w:tc>
          <w:tcPr>
            <w:tcW w:w="737" w:type="dxa"/>
            <w:vMerge/>
            <w:shd w:val="clear" w:color="auto" w:fill="auto"/>
          </w:tcPr>
          <w:p w14:paraId="128B51A1" w14:textId="77777777" w:rsidR="008D096E" w:rsidRPr="00A35800" w:rsidDel="00EE2BBB" w:rsidRDefault="008D096E" w:rsidP="00205FE6">
            <w:pPr>
              <w:pStyle w:val="Tablewriting"/>
            </w:pPr>
          </w:p>
        </w:tc>
        <w:tc>
          <w:tcPr>
            <w:tcW w:w="1153" w:type="dxa"/>
            <w:shd w:val="clear" w:color="auto" w:fill="auto"/>
          </w:tcPr>
          <w:p w14:paraId="05C73BDF" w14:textId="123D36AB" w:rsidR="008D096E" w:rsidRPr="00A35800" w:rsidDel="00EE2BBB" w:rsidRDefault="008D096E" w:rsidP="00205FE6">
            <w:pPr>
              <w:pStyle w:val="Tablewriting"/>
            </w:pPr>
            <w:r>
              <w:t>$</w:t>
            </w:r>
            <w:r w:rsidR="00B41DD2">
              <w:t>17245.95</w:t>
            </w:r>
          </w:p>
        </w:tc>
        <w:tc>
          <w:tcPr>
            <w:tcW w:w="2104" w:type="dxa"/>
            <w:vMerge/>
            <w:shd w:val="clear" w:color="auto" w:fill="auto"/>
          </w:tcPr>
          <w:p w14:paraId="47509E32" w14:textId="77777777" w:rsidR="008D096E" w:rsidRPr="00A35800" w:rsidDel="00EE2BBB" w:rsidRDefault="008D096E" w:rsidP="00205FE6">
            <w:pPr>
              <w:pStyle w:val="Tablewriting"/>
            </w:pPr>
          </w:p>
        </w:tc>
      </w:tr>
    </w:tbl>
    <w:p w14:paraId="15676253" w14:textId="52D9ED84" w:rsidR="008D096E" w:rsidRPr="00A35800" w:rsidDel="00EE2BBB" w:rsidRDefault="00A575C1" w:rsidP="00BB1D3B">
      <w:pPr>
        <w:pStyle w:val="Notes"/>
      </w:pPr>
      <w:r w:rsidRPr="00A35800" w:rsidDel="00EE2BBB">
        <w:t xml:space="preserve">Source: </w:t>
      </w:r>
      <w:r w:rsidDel="00EE2BBB">
        <w:t xml:space="preserve">the </w:t>
      </w:r>
      <w:hyperlink r:id="rId10" w:history="1">
        <w:r w:rsidRPr="001624D7" w:rsidDel="00EE2BBB">
          <w:rPr>
            <w:rStyle w:val="Hyperlink"/>
          </w:rPr>
          <w:t>PBS website</w:t>
        </w:r>
      </w:hyperlink>
      <w:r w:rsidDel="00EE2BBB">
        <w:t xml:space="preserve">.  </w:t>
      </w:r>
      <w:r w:rsidR="00A14690">
        <w:t xml:space="preserve">Note: </w:t>
      </w:r>
      <w:r w:rsidRPr="00A575C1">
        <w:t>Special Pricing Arrangements apply</w:t>
      </w:r>
      <w:r w:rsidRPr="0080485E" w:rsidDel="00EE2BBB">
        <w:t>.</w:t>
      </w:r>
    </w:p>
    <w:p w14:paraId="1AFA1485" w14:textId="3186A599" w:rsidR="004C3186" w:rsidDel="00EE2BBB" w:rsidRDefault="004C3186" w:rsidP="00CF5E22">
      <w:pPr>
        <w:pStyle w:val="Heading3"/>
      </w:pPr>
      <w:r w:rsidDel="00EE2BBB">
        <w:t>Restriction</w:t>
      </w:r>
    </w:p>
    <w:p w14:paraId="01EC7724" w14:textId="77777777" w:rsidR="005657E3" w:rsidRDefault="005657E3" w:rsidP="005657E3">
      <w:r>
        <w:t>Unresectable malignant mesothelioma</w:t>
      </w:r>
    </w:p>
    <w:p w14:paraId="7E7EAF21" w14:textId="77777777" w:rsidR="005657E3" w:rsidRDefault="005657E3" w:rsidP="005657E3">
      <w:r>
        <w:t>Clinical criteria:</w:t>
      </w:r>
    </w:p>
    <w:p w14:paraId="03D93E6E" w14:textId="77777777" w:rsidR="005657E3" w:rsidRDefault="005657E3" w:rsidP="005657E3">
      <w:pPr>
        <w:spacing w:after="0"/>
        <w:ind w:left="720"/>
      </w:pPr>
      <w:r>
        <w:t>Patient must have a WHO performance status of 0 or 1,</w:t>
      </w:r>
    </w:p>
    <w:p w14:paraId="764B215D" w14:textId="77777777" w:rsidR="005657E3" w:rsidRDefault="005657E3" w:rsidP="001F2489">
      <w:pPr>
        <w:spacing w:after="0"/>
      </w:pPr>
      <w:r>
        <w:t>AND</w:t>
      </w:r>
    </w:p>
    <w:p w14:paraId="67573FB1" w14:textId="77777777" w:rsidR="005657E3" w:rsidRDefault="005657E3" w:rsidP="005657E3">
      <w:pPr>
        <w:spacing w:after="0"/>
        <w:ind w:left="720"/>
      </w:pPr>
      <w:r>
        <w:t>The treatment must be in combination with PBS-subsidised ipilimumab, unless an intolerance to ipilimumab of a severity necessitating permanent treatment withdrawal of ipilimumab,</w:t>
      </w:r>
    </w:p>
    <w:p w14:paraId="61C589AB" w14:textId="77777777" w:rsidR="005657E3" w:rsidRDefault="005657E3" w:rsidP="001F2489">
      <w:pPr>
        <w:spacing w:after="0"/>
      </w:pPr>
      <w:r>
        <w:t>AND</w:t>
      </w:r>
    </w:p>
    <w:p w14:paraId="7F7913DF" w14:textId="77777777" w:rsidR="005657E3" w:rsidRDefault="005657E3" w:rsidP="005657E3">
      <w:pPr>
        <w:spacing w:after="0"/>
        <w:ind w:left="720"/>
      </w:pPr>
      <w:r>
        <w:t>Patient must not have developed disease progression while being treated with this drug for this condition,</w:t>
      </w:r>
    </w:p>
    <w:p w14:paraId="050D582E" w14:textId="77777777" w:rsidR="005657E3" w:rsidRDefault="005657E3" w:rsidP="001F2489">
      <w:pPr>
        <w:spacing w:after="0"/>
      </w:pPr>
      <w:r>
        <w:t>AND</w:t>
      </w:r>
    </w:p>
    <w:p w14:paraId="5284FAFF" w14:textId="77777777" w:rsidR="005657E3" w:rsidRDefault="005657E3" w:rsidP="005657E3">
      <w:pPr>
        <w:spacing w:after="0"/>
        <w:ind w:left="720"/>
      </w:pPr>
      <w:r>
        <w:t>The treatment must not exceed a maximum total of 24 months in a lifetime for this condition.</w:t>
      </w:r>
    </w:p>
    <w:p w14:paraId="529DF74E" w14:textId="77777777" w:rsidR="005657E3" w:rsidRDefault="005657E3" w:rsidP="005657E3">
      <w:pPr>
        <w:spacing w:after="0"/>
        <w:ind w:left="720"/>
      </w:pPr>
    </w:p>
    <w:p w14:paraId="15947360" w14:textId="77777777" w:rsidR="005657E3" w:rsidRDefault="005657E3" w:rsidP="005657E3">
      <w:pPr>
        <w:spacing w:after="0"/>
        <w:ind w:left="720"/>
      </w:pPr>
      <w:r>
        <w:t>The patient's body weight must be documented in the patient's medical records at the time treatment is initiated.</w:t>
      </w:r>
    </w:p>
    <w:p w14:paraId="2223D989" w14:textId="77777777" w:rsidR="001F2489" w:rsidRDefault="001F2489" w:rsidP="005657E3"/>
    <w:p w14:paraId="22433632" w14:textId="4BF8C82A" w:rsidR="006775F1" w:rsidRPr="006775F1" w:rsidDel="00EE2BBB" w:rsidRDefault="006775F1" w:rsidP="005657E3">
      <w:r w:rsidRPr="006775F1" w:rsidDel="00EE2BBB">
        <w:t xml:space="preserve">For </w:t>
      </w:r>
      <w:r w:rsidR="00835337" w:rsidDel="00EE2BBB">
        <w:t xml:space="preserve">details of the current PBS listing refer to the </w:t>
      </w:r>
      <w:hyperlink r:id="rId11" w:history="1">
        <w:r w:rsidR="00835337" w:rsidRPr="00645D51" w:rsidDel="00EE2BBB">
          <w:rPr>
            <w:rStyle w:val="Hyperlink"/>
          </w:rPr>
          <w:t>PBS website</w:t>
        </w:r>
      </w:hyperlink>
      <w:r w:rsidR="00835337" w:rsidDel="00EE2BBB">
        <w:rPr>
          <w:rStyle w:val="Hyperlink"/>
        </w:rPr>
        <w:t>.</w:t>
      </w:r>
    </w:p>
    <w:p w14:paraId="509ADFEB" w14:textId="201634E9" w:rsidR="009C35F2" w:rsidRDefault="009C35F2" w:rsidP="00CF5E22">
      <w:pPr>
        <w:pStyle w:val="Heading3"/>
      </w:pPr>
      <w:r w:rsidRPr="00675BB1" w:rsidDel="00EE2BBB">
        <w:t>Date of listing on PBS</w:t>
      </w:r>
    </w:p>
    <w:p w14:paraId="379A168E" w14:textId="308DB2DC" w:rsidR="00AB199C" w:rsidRPr="00AB199C" w:rsidDel="00EE2BBB" w:rsidRDefault="00670D44" w:rsidP="002818C2">
      <w:r>
        <w:t>Nivolumab and ipilimumab were listed on the PBS for unresectable malignant me</w:t>
      </w:r>
      <w:r w:rsidR="00B25152">
        <w:t>sothelioma</w:t>
      </w:r>
      <w:r>
        <w:t xml:space="preserve"> on 1 July 2021.</w:t>
      </w:r>
    </w:p>
    <w:p w14:paraId="383E312E" w14:textId="724CF700" w:rsidR="00736041" w:rsidRPr="005E22C2" w:rsidRDefault="00394AEE" w:rsidP="00CF5E22">
      <w:pPr>
        <w:pStyle w:val="Heading2"/>
      </w:pPr>
      <w:r>
        <w:lastRenderedPageBreak/>
        <w:t>Relevant aspects of</w:t>
      </w:r>
      <w:r w:rsidR="00736041" w:rsidRPr="005E22C2">
        <w:t xml:space="preserve"> consideration</w:t>
      </w:r>
      <w:r>
        <w:t xml:space="preserve"> by the Pharmaceutical Benefits Advisory Committee (PBAC)</w:t>
      </w:r>
    </w:p>
    <w:p w14:paraId="0D7E0AF1" w14:textId="77777777" w:rsidR="004C11E4" w:rsidRDefault="00CB1B67" w:rsidP="00AC7E78">
      <w:r>
        <w:t xml:space="preserve">Nivolumab and ipilimumab was </w:t>
      </w:r>
      <w:r w:rsidR="00E9179F">
        <w:t xml:space="preserve">considered by the PBAC at the </w:t>
      </w:r>
      <w:r w:rsidR="00C34948">
        <w:t>March 2021 PBAC meeting where it was recommended based</w:t>
      </w:r>
      <w:r w:rsidR="00982736">
        <w:t xml:space="preserve"> on high clinical need for all mesothelioma </w:t>
      </w:r>
      <w:r w:rsidR="006F03FB">
        <w:t xml:space="preserve">patients </w:t>
      </w:r>
      <w:r w:rsidR="00763389">
        <w:t xml:space="preserve">as it would provide a substantial clinical benefit compared to </w:t>
      </w:r>
      <w:r w:rsidR="00C5435C">
        <w:t xml:space="preserve">the current pemetrexed based treatments. </w:t>
      </w:r>
      <w:r w:rsidR="008B1508">
        <w:t>At the PBAC meeting it was noted th</w:t>
      </w:r>
      <w:r w:rsidR="004532F8">
        <w:t>at there w</w:t>
      </w:r>
      <w:r w:rsidR="009352A6">
        <w:t>as</w:t>
      </w:r>
      <w:r w:rsidR="004532F8">
        <w:t xml:space="preserve"> some uncertainty to the inputs provided by the submission.</w:t>
      </w:r>
      <w:r w:rsidR="003170D8">
        <w:t xml:space="preserve"> </w:t>
      </w:r>
    </w:p>
    <w:p w14:paraId="7FE74C32" w14:textId="47C2E0E1" w:rsidR="00F370B4" w:rsidRDefault="00AC7E78" w:rsidP="00AC7E78">
      <w:r>
        <w:t xml:space="preserve">The submission was considered by </w:t>
      </w:r>
      <w:r w:rsidR="00F370B4">
        <w:t xml:space="preserve">DUSC </w:t>
      </w:r>
      <w:r w:rsidR="00D06B47">
        <w:t>which noted</w:t>
      </w:r>
      <w:r w:rsidR="00F370B4">
        <w:t xml:space="preserve"> that the second line population may be larger than anticipated and leakage into the adjuvant and potentially neo-adjuvant setting may result in increased financial costs to the PBS. </w:t>
      </w:r>
      <w:r w:rsidR="000C6BC1">
        <w:t xml:space="preserve">DUSC also noted that considering the late onset </w:t>
      </w:r>
      <w:r w:rsidR="00E07B81">
        <w:t>nature of mesothelioma, the incidence rate would likely increase over time</w:t>
      </w:r>
      <w:r w:rsidR="00BA7E43">
        <w:t xml:space="preserve"> and that </w:t>
      </w:r>
      <w:r w:rsidR="000830A5">
        <w:t xml:space="preserve">the newer flat-dosing regimens </w:t>
      </w:r>
      <w:r w:rsidR="00527E70">
        <w:t>we</w:t>
      </w:r>
      <w:r w:rsidR="000830A5">
        <w:t xml:space="preserve">re likely to increase financial costs to the PBS. </w:t>
      </w:r>
    </w:p>
    <w:p w14:paraId="70539E18" w14:textId="5AF13C4D" w:rsidR="00D94863" w:rsidRPr="00F65F0D" w:rsidRDefault="00D94863" w:rsidP="00D94863">
      <w:r>
        <w:t xml:space="preserve">For further details refer to </w:t>
      </w:r>
      <w:r w:rsidRPr="00F65F0D">
        <w:t xml:space="preserve">the </w:t>
      </w:r>
      <w:bookmarkStart w:id="1" w:name="_Hlk153961790"/>
      <w:r>
        <w:fldChar w:fldCharType="begin"/>
      </w:r>
      <w:r>
        <w:instrText>HYPERLINK "https://www.pbs.gov.au/info/industry/listing/elements/pbac-meetings/psd/2021-03/nivolumab-and-ipilimumab-nivolumab-injection-concentrate_f"</w:instrText>
      </w:r>
      <w:r>
        <w:fldChar w:fldCharType="separate"/>
      </w:r>
      <w:r w:rsidRPr="009732B3">
        <w:rPr>
          <w:rStyle w:val="Hyperlink"/>
        </w:rPr>
        <w:t>Public Summary Document</w:t>
      </w:r>
      <w:r>
        <w:rPr>
          <w:rStyle w:val="Hyperlink"/>
        </w:rPr>
        <w:fldChar w:fldCharType="end"/>
      </w:r>
      <w:r w:rsidRPr="00F65F0D">
        <w:t xml:space="preserve"> from the </w:t>
      </w:r>
      <w:r w:rsidR="009732B3">
        <w:t>March 2021</w:t>
      </w:r>
      <w:r>
        <w:t xml:space="preserve"> PBAC meeting.</w:t>
      </w:r>
      <w:bookmarkEnd w:id="1"/>
    </w:p>
    <w:p w14:paraId="72C2CA24" w14:textId="4A28B89A" w:rsidR="000F2F51" w:rsidRDefault="00ED633B" w:rsidP="00CF5E22">
      <w:pPr>
        <w:pStyle w:val="Heading2"/>
      </w:pPr>
      <w:r>
        <w:t>A</w:t>
      </w:r>
      <w:r w:rsidR="000F2F51">
        <w:t xml:space="preserve">pproach </w:t>
      </w:r>
      <w:r>
        <w:t xml:space="preserve">taken to </w:t>
      </w:r>
      <w:r w:rsidR="000F2F51">
        <w:t>estimat</w:t>
      </w:r>
      <w:r>
        <w:t>e</w:t>
      </w:r>
      <w:r w:rsidR="000F2F51">
        <w:t xml:space="preserve"> utilisation</w:t>
      </w:r>
    </w:p>
    <w:p w14:paraId="76D34BEC" w14:textId="45A225F6" w:rsidR="0001525C" w:rsidRDefault="00B37E0A" w:rsidP="0001525C">
      <w:r>
        <w:t xml:space="preserve">The submission used an epidemiological </w:t>
      </w:r>
      <w:r w:rsidR="00852370">
        <w:t xml:space="preserve">model to estimate utilisation. </w:t>
      </w:r>
      <w:r w:rsidR="00AC3FE5">
        <w:t xml:space="preserve">A first line and second line incident population was calculated before applying </w:t>
      </w:r>
      <w:r w:rsidR="00DB6FFD">
        <w:t xml:space="preserve">assumed treatment uptake rates. </w:t>
      </w:r>
    </w:p>
    <w:p w14:paraId="629D61C2" w14:textId="18E21A5E" w:rsidR="0084403C" w:rsidRDefault="0084403C" w:rsidP="0001525C">
      <w:r>
        <w:t xml:space="preserve">The first line incidence rate was </w:t>
      </w:r>
      <w:r w:rsidR="0041519E">
        <w:t>estimated based on Australian Institute of Health and Welfare</w:t>
      </w:r>
      <w:r w:rsidR="006812BE">
        <w:t xml:space="preserve"> data and applied to projected populations from the Australian Bureau of Statistics</w:t>
      </w:r>
      <w:r w:rsidR="002874DE">
        <w:t xml:space="preserve">. </w:t>
      </w:r>
    </w:p>
    <w:p w14:paraId="4B0C53AF" w14:textId="20174412" w:rsidR="002874DE" w:rsidRDefault="00CF1068" w:rsidP="0001525C">
      <w:r>
        <w:t xml:space="preserve">The second line incident population was established </w:t>
      </w:r>
      <w:r w:rsidR="007B0659">
        <w:t xml:space="preserve">by applying the previous inputs to </w:t>
      </w:r>
      <w:r w:rsidR="00503B4C">
        <w:t xml:space="preserve">an earlier population and </w:t>
      </w:r>
      <w:r w:rsidR="003F1D18">
        <w:t xml:space="preserve">using the Checkmate 743 trial to estimate diagnosis and disease progression. </w:t>
      </w:r>
    </w:p>
    <w:p w14:paraId="596553C3" w14:textId="31EB07DC" w:rsidR="009E3FD3" w:rsidRDefault="00832BB5" w:rsidP="0001525C">
      <w:r>
        <w:t xml:space="preserve">Uptake rates were based on </w:t>
      </w:r>
      <w:r w:rsidR="00873537">
        <w:t xml:space="preserve">suggestions from the sponsor’s advisory board and the number of scripts dispensed was </w:t>
      </w:r>
      <w:r w:rsidR="00874F67">
        <w:t xml:space="preserve">based on the mean number of doses in Checkmate 743 for first line and </w:t>
      </w:r>
      <w:r w:rsidR="00F93D94">
        <w:t xml:space="preserve">median number of doses in the INITIATE trial. </w:t>
      </w:r>
    </w:p>
    <w:p w14:paraId="209953D9" w14:textId="1BEBD85A" w:rsidR="0098621D" w:rsidRPr="0001525C" w:rsidRDefault="0098621D" w:rsidP="0001525C">
      <w:r>
        <w:t xml:space="preserve">For further information about the methods, refer to the </w:t>
      </w:r>
      <w:hyperlink r:id="rId12" w:history="1">
        <w:r w:rsidRPr="009732B3">
          <w:rPr>
            <w:rStyle w:val="Hyperlink"/>
          </w:rPr>
          <w:t>Public Summary Document</w:t>
        </w:r>
      </w:hyperlink>
      <w:r w:rsidRPr="00F65F0D">
        <w:t xml:space="preserve"> from the </w:t>
      </w:r>
      <w:r>
        <w:t>March 2021 PBAC meeting.</w:t>
      </w:r>
    </w:p>
    <w:p w14:paraId="0312FFEC" w14:textId="5C6A9662" w:rsidR="00E677DD" w:rsidRPr="005E22C2" w:rsidRDefault="00E677DD" w:rsidP="00CF5E22">
      <w:pPr>
        <w:pStyle w:val="Heading1"/>
      </w:pPr>
      <w:r w:rsidRPr="005E22C2">
        <w:t>Method</w:t>
      </w:r>
      <w:r w:rsidR="001B5D37" w:rsidRPr="005E22C2">
        <w:t>s</w:t>
      </w:r>
    </w:p>
    <w:p w14:paraId="62ED4624" w14:textId="4C5A7F84" w:rsidR="004F7246" w:rsidRDefault="009E057F" w:rsidP="00A35800">
      <w:r>
        <w:t xml:space="preserve">Data from 1 July 2021 to 30 </w:t>
      </w:r>
      <w:r w:rsidR="00D17B6D">
        <w:t>November</w:t>
      </w:r>
      <w:r>
        <w:t xml:space="preserve"> 202</w:t>
      </w:r>
      <w:r w:rsidR="00D17B6D">
        <w:t>3</w:t>
      </w:r>
      <w:r>
        <w:t xml:space="preserve"> were extracted from the PBS data maintained by Department of Health and Aged Care, processed by Services Australia on or before </w:t>
      </w:r>
      <w:r w:rsidR="00D17B6D">
        <w:t>8</w:t>
      </w:r>
      <w:r>
        <w:t xml:space="preserve"> </w:t>
      </w:r>
      <w:r w:rsidR="00D17B6D">
        <w:t>December</w:t>
      </w:r>
      <w:r>
        <w:t xml:space="preserve"> 202</w:t>
      </w:r>
      <w:r w:rsidR="00D17B6D">
        <w:t>3</w:t>
      </w:r>
      <w:r>
        <w:t xml:space="preserve"> for the PBS item codes corresponding to the </w:t>
      </w:r>
      <w:r w:rsidR="0037486A">
        <w:t xml:space="preserve">listings of </w:t>
      </w:r>
      <w:r w:rsidR="004F7246">
        <w:t>nivolumab and ipilimumab for unresectable malignant me</w:t>
      </w:r>
      <w:r w:rsidR="00AC0327">
        <w:t>sothelioma</w:t>
      </w:r>
      <w:r>
        <w:t xml:space="preserve">. </w:t>
      </w:r>
    </w:p>
    <w:p w14:paraId="3E2E894B" w14:textId="37288084" w:rsidR="004F7246" w:rsidRDefault="009E057F" w:rsidP="00A35800">
      <w:r>
        <w:t xml:space="preserve">PBS prescription data were used to determine the number of prescriptions supplied and the PBS expenditure based on the published list prices. These data were also used to count </w:t>
      </w:r>
      <w:r>
        <w:lastRenderedPageBreak/>
        <w:t xml:space="preserve">the number of patients, both incident (new to treatment) and prevalent (number treated in each time period, i.e. year or quarter). </w:t>
      </w:r>
      <w:r w:rsidR="0068420E">
        <w:t>Utilisation data was looked at collectively</w:t>
      </w:r>
      <w:r w:rsidR="002E4A90">
        <w:t xml:space="preserve"> for both nivolumab and ipilimumab</w:t>
      </w:r>
      <w:r w:rsidR="0068420E">
        <w:t xml:space="preserve"> and </w:t>
      </w:r>
      <w:r w:rsidR="002E4A90">
        <w:t xml:space="preserve">prevalent patient counts were established based on the occurrence of unique patient identifiers over a particular period of time. Following this, both medicines were isolated and unique patient counts were done again to establish the number of prevalent patients using either medicine. </w:t>
      </w:r>
    </w:p>
    <w:p w14:paraId="6A50191C" w14:textId="0D74703F" w:rsidR="00F86AED" w:rsidRDefault="009E057F" w:rsidP="00A35800">
      <w:r>
        <w:t xml:space="preserve">PBS prescription data also contains age and gender information. This information was used to perform a breakdown of prevalent patients by age and gender. </w:t>
      </w:r>
    </w:p>
    <w:p w14:paraId="0BE9D51F" w14:textId="02947DA9" w:rsidR="00AC5054" w:rsidRPr="000226B3" w:rsidRDefault="009E057F" w:rsidP="00A35800">
      <w:pPr>
        <w:rPr>
          <w:rFonts w:eastAsia="Calibri" w:cs="Times New Roman"/>
        </w:rPr>
      </w:pPr>
      <w:r>
        <w:t>The Kaplan-Meier method was used to determine the length of treatment for patients on nivolumab. A break in treatment was defined as a gap of more than three times the median time between supplies</w:t>
      </w:r>
      <w:r w:rsidR="00F86AED">
        <w:t>.</w:t>
      </w:r>
      <w:r>
        <w:t xml:space="preserve"> A patient was deemed to be continuing treatment (classified as censored in the Kaplan-Meier analysis) at the end of the data period (i.e. the end of </w:t>
      </w:r>
      <w:r w:rsidR="004B4F22">
        <w:t>November</w:t>
      </w:r>
      <w:r>
        <w:t xml:space="preserve"> 202</w:t>
      </w:r>
      <w:r w:rsidR="004B4F22">
        <w:t>3</w:t>
      </w:r>
      <w:r>
        <w:t>) if their last prescription was within three times the median time to resupply of this end date. Otherwise the patient was deemed to have ceased treatment with the treatment coverage end date being the supply date of their last prescription plus a median time to resupply. If a patient’s supply was after a gap of more than three times the median time to resupply, then the patient was deemed to have been re-treated.</w:t>
      </w:r>
    </w:p>
    <w:p w14:paraId="4F91A98A" w14:textId="15A56D07" w:rsidR="00C714D0" w:rsidRPr="005E22C2" w:rsidRDefault="00C714D0" w:rsidP="00CF5E22">
      <w:pPr>
        <w:pStyle w:val="Heading1"/>
      </w:pPr>
      <w:r w:rsidRPr="005E22C2">
        <w:t>Results</w:t>
      </w:r>
    </w:p>
    <w:p w14:paraId="2221FF19" w14:textId="336CE8B2" w:rsidR="00736041" w:rsidRPr="005E22C2" w:rsidRDefault="001B5D37" w:rsidP="00CF5E22">
      <w:pPr>
        <w:pStyle w:val="Heading2"/>
      </w:pPr>
      <w:r w:rsidRPr="005E22C2">
        <w:t xml:space="preserve">Analysis </w:t>
      </w:r>
      <w:r w:rsidR="00736041" w:rsidRPr="005E22C2">
        <w:t xml:space="preserve">of </w:t>
      </w:r>
      <w:r w:rsidR="0063631C">
        <w:t>d</w:t>
      </w:r>
      <w:r w:rsidR="00E677DD" w:rsidRPr="005E22C2">
        <w:t xml:space="preserve">rug </w:t>
      </w:r>
      <w:r w:rsidR="0063631C">
        <w:t>u</w:t>
      </w:r>
      <w:r w:rsidR="00E677DD" w:rsidRPr="005E22C2">
        <w:t>tilisation</w:t>
      </w:r>
    </w:p>
    <w:p w14:paraId="09F8A9BC" w14:textId="35E50016" w:rsidR="006A44F5" w:rsidRDefault="00736041" w:rsidP="00CF5E22">
      <w:pPr>
        <w:pStyle w:val="Heading3"/>
      </w:pPr>
      <w:r w:rsidRPr="005E22C2">
        <w:t>Overall utilisation</w:t>
      </w:r>
    </w:p>
    <w:p w14:paraId="38F3F2F8" w14:textId="2B4528AC" w:rsidR="009A4E2B" w:rsidRDefault="000C07F4" w:rsidP="00837C03">
      <w:pPr>
        <w:pStyle w:val="Figuretitle"/>
      </w:pPr>
      <w:r>
        <w:rPr>
          <w:noProof/>
        </w:rPr>
        <w:drawing>
          <wp:inline distT="0" distB="0" distL="0" distR="0" wp14:anchorId="71EDCFAB" wp14:editId="4E07D9E3">
            <wp:extent cx="5619750" cy="3333750"/>
            <wp:effectExtent l="0" t="0" r="0" b="0"/>
            <wp:docPr id="1" name="Chart 1" descr="Number of incident and prevalent patients treated with nivolumab and ipilimumab, since quarter 2 of 2022 incident has been between 100 and 150 per quarter and prevalent treated has been approximately 400 since quarter 4 of 2021">
              <a:extLst xmlns:a="http://schemas.openxmlformats.org/drawingml/2006/main">
                <a:ext uri="{FF2B5EF4-FFF2-40B4-BE49-F238E27FC236}">
                  <a16:creationId xmlns:a16="http://schemas.microsoft.com/office/drawing/2014/main" id="{EDC67572-C1A8-4A0D-8CBF-5497DCAE61A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9A4E2B">
        <w:t xml:space="preserve">Figure 1: Utilisation of nivolumab and ipilimumab </w:t>
      </w:r>
      <w:r w:rsidR="00732492">
        <w:t xml:space="preserve">(combined) </w:t>
      </w:r>
      <w:r w:rsidR="009A4E2B">
        <w:t xml:space="preserve">for the treatment of </w:t>
      </w:r>
      <w:r w:rsidR="00A1647E">
        <w:t>unresectable malignant me</w:t>
      </w:r>
      <w:r w:rsidR="00B0298C">
        <w:t xml:space="preserve">sothelioma. </w:t>
      </w:r>
    </w:p>
    <w:p w14:paraId="17574044" w14:textId="33D95DD5" w:rsidR="00837C03" w:rsidRDefault="00CA48D3" w:rsidP="00837C03">
      <w:r>
        <w:lastRenderedPageBreak/>
        <w:t xml:space="preserve">Prescription data between 2021Q3 to 2023Q3 presented as prevalent and initiating patients utilising the PBS item codes </w:t>
      </w:r>
      <w:r w:rsidR="00985042">
        <w:t>related to unresectable malignant me</w:t>
      </w:r>
      <w:r w:rsidR="00B95675">
        <w:t>sothelioma</w:t>
      </w:r>
      <w:r w:rsidR="00985042">
        <w:t xml:space="preserve"> for nivolumab and ipilimumab can be seen in Figure 1. </w:t>
      </w:r>
      <w:r w:rsidR="001D0C04">
        <w:t>The number of prevalent patients has increased steadily from 344 in the first quarter of listing to 404</w:t>
      </w:r>
      <w:r w:rsidR="00E34493">
        <w:t xml:space="preserve"> by 2023Q3 while the number of initiating patients </w:t>
      </w:r>
      <w:r w:rsidR="00F33FF4">
        <w:t>has ranged from 11</w:t>
      </w:r>
      <w:r w:rsidR="000257BF">
        <w:t>9</w:t>
      </w:r>
      <w:r w:rsidR="00F33FF4">
        <w:t>-128 per quarter</w:t>
      </w:r>
      <w:r w:rsidR="000257BF">
        <w:t xml:space="preserve"> in 2023Q1-Q3. </w:t>
      </w:r>
    </w:p>
    <w:p w14:paraId="6CA0C0CD" w14:textId="3670A2E9" w:rsidR="00866F78" w:rsidRDefault="0035654B" w:rsidP="00866F78">
      <w:pPr>
        <w:pStyle w:val="Figuretitle"/>
      </w:pPr>
      <w:r>
        <w:rPr>
          <w:noProof/>
        </w:rPr>
        <w:drawing>
          <wp:inline distT="0" distB="0" distL="0" distR="0" wp14:anchorId="6E8E7358" wp14:editId="3973B14E">
            <wp:extent cx="5687695" cy="3412617"/>
            <wp:effectExtent l="0" t="0" r="8255" b="16510"/>
            <wp:docPr id="2" name="Chart 2" descr="Number of prevalent patients of nivolumab and ipilimumab follow the same pattern with nivolumab higher, between 350 to 400 per quarter and ipilimumab between 300 to 350 per quarter">
              <a:extLst xmlns:a="http://schemas.openxmlformats.org/drawingml/2006/main">
                <a:ext uri="{FF2B5EF4-FFF2-40B4-BE49-F238E27FC236}">
                  <a16:creationId xmlns:a16="http://schemas.microsoft.com/office/drawing/2014/main" id="{A1B49C3E-E32B-C312-0906-B98D569850A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866F78">
        <w:br/>
        <w:t>Figure 2: Prevalent patients for nivolumab and ipilimumab</w:t>
      </w:r>
      <w:r w:rsidR="00732492">
        <w:t xml:space="preserve"> (separated)</w:t>
      </w:r>
      <w:r w:rsidR="00866F78">
        <w:t xml:space="preserve"> for the treatment of unresectable malignant </w:t>
      </w:r>
      <w:r w:rsidR="00EF3DD2">
        <w:t>me</w:t>
      </w:r>
      <w:r w:rsidR="00BF2989">
        <w:t>sothelioma</w:t>
      </w:r>
      <w:r w:rsidR="00EF3DD2">
        <w:t>.</w:t>
      </w:r>
    </w:p>
    <w:p w14:paraId="176787D5" w14:textId="78115DEE" w:rsidR="00732492" w:rsidRDefault="00257DC0" w:rsidP="00732492">
      <w:r>
        <w:t xml:space="preserve">The prevalent patient </w:t>
      </w:r>
      <w:r w:rsidR="00AE693A">
        <w:t>numbers</w:t>
      </w:r>
      <w:r>
        <w:t xml:space="preserve"> for nivolumab and ipilimumab when </w:t>
      </w:r>
      <w:r w:rsidR="00AE693A">
        <w:t>counted separately indicate that ipil</w:t>
      </w:r>
      <w:r w:rsidR="00011BC2">
        <w:t>imumab</w:t>
      </w:r>
      <w:r w:rsidR="0023316D">
        <w:t xml:space="preserve"> follow</w:t>
      </w:r>
      <w:r w:rsidR="008A50DD">
        <w:t>s</w:t>
      </w:r>
      <w:r w:rsidR="0023316D">
        <w:t xml:space="preserve"> the same</w:t>
      </w:r>
      <w:r w:rsidR="008A50DD">
        <w:t xml:space="preserve"> general</w:t>
      </w:r>
      <w:r w:rsidR="0023316D">
        <w:t xml:space="preserve"> trend as nivolumab however</w:t>
      </w:r>
      <w:r w:rsidR="008A50DD">
        <w:t xml:space="preserve"> appears</w:t>
      </w:r>
      <w:r w:rsidR="00011BC2">
        <w:t xml:space="preserve"> </w:t>
      </w:r>
      <w:r w:rsidR="00860410">
        <w:t xml:space="preserve">to </w:t>
      </w:r>
      <w:r w:rsidR="00EB10E6">
        <w:t>be utilised</w:t>
      </w:r>
      <w:r w:rsidR="00011BC2">
        <w:t xml:space="preserve"> </w:t>
      </w:r>
      <w:r w:rsidR="008A50DD">
        <w:t xml:space="preserve">slightly </w:t>
      </w:r>
      <w:r w:rsidR="00011BC2">
        <w:t xml:space="preserve">less </w:t>
      </w:r>
      <w:r w:rsidR="00EF7D89">
        <w:t xml:space="preserve">(Figure 2). </w:t>
      </w:r>
    </w:p>
    <w:p w14:paraId="455F8CB2" w14:textId="780C3BE2" w:rsidR="00660E12" w:rsidRDefault="00B3005B" w:rsidP="00154EE0">
      <w:r>
        <w:t>I</w:t>
      </w:r>
      <w:r w:rsidR="00C22E98">
        <w:t xml:space="preserve">nvestigating this discrepancy further results in </w:t>
      </w:r>
      <w:r w:rsidR="007E6434">
        <w:t xml:space="preserve">approximately 15-20 patients per quarter </w:t>
      </w:r>
      <w:r w:rsidR="004C74FB">
        <w:t>(117</w:t>
      </w:r>
      <w:r w:rsidR="00B23FD9">
        <w:t xml:space="preserve"> unique patients in total) </w:t>
      </w:r>
      <w:r w:rsidR="007E6434">
        <w:t>who have no dispensing history of using ipilimumab</w:t>
      </w:r>
      <w:r w:rsidR="00A87FB9">
        <w:t xml:space="preserve"> </w:t>
      </w:r>
      <w:r w:rsidR="007E6434">
        <w:t xml:space="preserve">and </w:t>
      </w:r>
      <w:r w:rsidR="00683CC1">
        <w:t>appear to be undergoing nivolumab monotherapy.</w:t>
      </w:r>
      <w:r w:rsidR="00C64AFF">
        <w:t xml:space="preserve"> This </w:t>
      </w:r>
      <w:r w:rsidR="00731BA3">
        <w:t xml:space="preserve">practice is not supported by the PBS restriction which requires an ipilimumab trial prior to withdrawal if required. </w:t>
      </w:r>
      <w:r w:rsidR="00683CC1">
        <w:t xml:space="preserve"> </w:t>
      </w:r>
    </w:p>
    <w:p w14:paraId="0356B5B6" w14:textId="0CFBFF6C" w:rsidR="004F2C9E" w:rsidRDefault="00A2787E" w:rsidP="00154EE0">
      <w:r>
        <w:t xml:space="preserve">A brief </w:t>
      </w:r>
      <w:r w:rsidR="00CF5CC0">
        <w:t xml:space="preserve">investigation was done on these 117 patients to look at their prior use of </w:t>
      </w:r>
      <w:r w:rsidR="00DA369F">
        <w:t>medicines that could be used</w:t>
      </w:r>
      <w:r w:rsidR="006627C5">
        <w:t xml:space="preserve"> as prior lines of therapy for mesothelioma. Of these patients 21 had a history of </w:t>
      </w:r>
      <w:r w:rsidR="00BC7471">
        <w:t xml:space="preserve">being supplied </w:t>
      </w:r>
      <w:r w:rsidR="00577853">
        <w:t xml:space="preserve">pemetrexed or bevacizumab. </w:t>
      </w:r>
    </w:p>
    <w:p w14:paraId="41CD6D20" w14:textId="77777777" w:rsidR="00660E12" w:rsidRDefault="00660E12" w:rsidP="00154EE0"/>
    <w:p w14:paraId="22DC159F" w14:textId="77777777" w:rsidR="00ED0DE8" w:rsidRDefault="00ED0DE8" w:rsidP="00154EE0"/>
    <w:p w14:paraId="37C8D5E2" w14:textId="77777777" w:rsidR="00660E12" w:rsidRDefault="00660E12" w:rsidP="00154EE0"/>
    <w:p w14:paraId="66803B7B" w14:textId="77777777" w:rsidR="00660E12" w:rsidRDefault="00660E12" w:rsidP="00154EE0"/>
    <w:p w14:paraId="0BD903A5" w14:textId="77777777" w:rsidR="00154EE0" w:rsidRDefault="00154EE0" w:rsidP="00154EE0"/>
    <w:p w14:paraId="09F9D349" w14:textId="62BDD901" w:rsidR="00736041" w:rsidRDefault="00736041" w:rsidP="00CF5E22">
      <w:pPr>
        <w:pStyle w:val="Heading3"/>
      </w:pPr>
      <w:r w:rsidRPr="005E22C2">
        <w:lastRenderedPageBreak/>
        <w:t>Utilisation by relevant sub-populations/regions</w:t>
      </w:r>
      <w:r w:rsidR="001B5D37" w:rsidRPr="005E22C2">
        <w:t xml:space="preserve"> or patient level analysis</w:t>
      </w:r>
    </w:p>
    <w:p w14:paraId="16F5285A" w14:textId="36446B6D" w:rsidR="00660E12" w:rsidRDefault="006A7074" w:rsidP="00447160">
      <w:pPr>
        <w:pStyle w:val="Figuretitle"/>
      </w:pPr>
      <w:r>
        <w:rPr>
          <w:noProof/>
        </w:rPr>
        <w:drawing>
          <wp:inline distT="0" distB="0" distL="0" distR="0" wp14:anchorId="7D1F05E1" wp14:editId="7E418B96">
            <wp:extent cx="5610225" cy="3784201"/>
            <wp:effectExtent l="0" t="0" r="9525" b="6985"/>
            <wp:docPr id="12" name="Chart 12" descr="There were more male patients than female initiated to treatment particularly in patients aged 70 to 89. The biggest difference is patients aged 75 to 79 in which 306 patients were male and 53 patients were female">
              <a:extLst xmlns:a="http://schemas.openxmlformats.org/drawingml/2006/main">
                <a:ext uri="{FF2B5EF4-FFF2-40B4-BE49-F238E27FC236}">
                  <a16:creationId xmlns:a16="http://schemas.microsoft.com/office/drawing/2014/main" id="{3419E5FA-00C6-285C-4CF0-D7ECF3F19B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447160">
        <w:br/>
        <w:t>Figure 3: Age and gender distribution of patients ini</w:t>
      </w:r>
      <w:r w:rsidR="00B0298C">
        <w:t>tiating nivolumab or ipilimumab for unresectable malignant mesothelioma.</w:t>
      </w:r>
    </w:p>
    <w:p w14:paraId="7CAA7847" w14:textId="0E8A9A93" w:rsidR="00660E12" w:rsidRDefault="00660E12" w:rsidP="00660E12">
      <w:r>
        <w:t xml:space="preserve">The age and gender distribution for patients initiating on either nivolumab or ipilimumab for mesothelioma can be seen in Figure 3. There were 1,429 unique patients by 2023Q4 and </w:t>
      </w:r>
      <w:r w:rsidR="00ED4E3E">
        <w:t xml:space="preserve">the </w:t>
      </w:r>
      <w:r>
        <w:t xml:space="preserve">majority were classified as males (1,122) with a median age of 75 years. The remaining 307 patients were classified as female and had a median age of 71 years.  </w:t>
      </w:r>
    </w:p>
    <w:p w14:paraId="37C8F2F8" w14:textId="77777777" w:rsidR="00660E12" w:rsidRDefault="00660E12" w:rsidP="00660E12"/>
    <w:p w14:paraId="2C3298C5" w14:textId="77777777" w:rsidR="00287460" w:rsidRDefault="00090E3B" w:rsidP="00660E12">
      <w:pPr>
        <w:pStyle w:val="Figuretitle"/>
      </w:pPr>
      <w:r>
        <w:rPr>
          <w:noProof/>
        </w:rPr>
        <w:lastRenderedPageBreak/>
        <w:drawing>
          <wp:inline distT="0" distB="0" distL="0" distR="0" wp14:anchorId="1C9CBEBA" wp14:editId="7AF1B736">
            <wp:extent cx="5650111" cy="4295775"/>
            <wp:effectExtent l="0" t="0" r="8255" b="0"/>
            <wp:docPr id="6" name="Picture 6" descr="There are peaks of doses dispensed at 240 and 360 milligrams. Approximately 47% of nivolumab prescriptions were for 360 milligrams and approximately 15% were for 240 milligrams ">
              <a:extLst xmlns:a="http://schemas.openxmlformats.org/drawingml/2006/main">
                <a:ext uri="{FF2B5EF4-FFF2-40B4-BE49-F238E27FC236}">
                  <a16:creationId xmlns:a16="http://schemas.microsoft.com/office/drawing/2014/main" id="{014CA6C2-A682-404E-2A0F-C2FFEC31ACB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here are peaks of doses dispensed at 240 and 360 milligrams. Approximately 47% of nivolumab prescriptions were for 360 milligrams and approximately 15% were for 240 milligrams ">
                      <a:extLst>
                        <a:ext uri="{FF2B5EF4-FFF2-40B4-BE49-F238E27FC236}">
                          <a16:creationId xmlns:a16="http://schemas.microsoft.com/office/drawing/2014/main" id="{014CA6C2-A682-404E-2A0F-C2FFEC31ACB7}"/>
                        </a:ext>
                      </a:extLst>
                    </pic:cNvPr>
                    <pic:cNvPicPr>
                      <a:picLocks noChangeAspect="1"/>
                    </pic:cNvPicPr>
                  </pic:nvPicPr>
                  <pic:blipFill>
                    <a:blip r:embed="rId16"/>
                    <a:stretch>
                      <a:fillRect/>
                    </a:stretch>
                  </pic:blipFill>
                  <pic:spPr>
                    <a:xfrm>
                      <a:off x="0" y="0"/>
                      <a:ext cx="5653182" cy="4298110"/>
                    </a:xfrm>
                    <a:prstGeom prst="rect">
                      <a:avLst/>
                    </a:prstGeom>
                  </pic:spPr>
                </pic:pic>
              </a:graphicData>
            </a:graphic>
          </wp:inline>
        </w:drawing>
      </w:r>
      <w:r w:rsidR="00660E12">
        <w:br/>
        <w:t xml:space="preserve">Figure 4: </w:t>
      </w:r>
      <w:r w:rsidR="00287460">
        <w:t>Dose distribution for all nivolumab prescriptions</w:t>
      </w:r>
    </w:p>
    <w:p w14:paraId="64596FB9" w14:textId="617751B7" w:rsidR="007258DA" w:rsidRDefault="005F51C6" w:rsidP="00287460">
      <w:r>
        <w:t xml:space="preserve">Approximately </w:t>
      </w:r>
      <w:r w:rsidR="00685F76">
        <w:t>47%</w:t>
      </w:r>
      <w:r w:rsidR="00AC70A1">
        <w:t xml:space="preserve"> of nivolumab prescriptions were dispensed according to the flat-dosing regimen of </w:t>
      </w:r>
      <w:r w:rsidR="0011656B">
        <w:t xml:space="preserve">360mg </w:t>
      </w:r>
      <w:r w:rsidR="007B25D8">
        <w:t xml:space="preserve">and </w:t>
      </w:r>
      <w:r w:rsidR="00FE3F0C">
        <w:t>approximately 15% were being dispensed following the 240mg flat-dosing regimen</w:t>
      </w:r>
      <w:r w:rsidR="000119D2">
        <w:t xml:space="preserve"> (Figure 4)</w:t>
      </w:r>
      <w:r w:rsidR="00FE3F0C">
        <w:t xml:space="preserve">. </w:t>
      </w:r>
      <w:r w:rsidR="0011656B">
        <w:t xml:space="preserve"> </w:t>
      </w:r>
      <w:r w:rsidR="00660E12">
        <w:br/>
      </w:r>
    </w:p>
    <w:p w14:paraId="1F9A1E76" w14:textId="77777777" w:rsidR="00090E3B" w:rsidRDefault="00090E3B" w:rsidP="0077477A"/>
    <w:p w14:paraId="71614EF1" w14:textId="73AEFBA9" w:rsidR="00090E3B" w:rsidRDefault="00090E3B" w:rsidP="00EA538B">
      <w:pPr>
        <w:pStyle w:val="Figuretitle"/>
      </w:pPr>
      <w:r>
        <w:rPr>
          <w:noProof/>
        </w:rPr>
        <w:lastRenderedPageBreak/>
        <w:drawing>
          <wp:inline distT="0" distB="0" distL="0" distR="0" wp14:anchorId="7786D065" wp14:editId="2D6C1855">
            <wp:extent cx="5687695" cy="4230370"/>
            <wp:effectExtent l="0" t="0" r="8255" b="0"/>
            <wp:docPr id="7" name="Picture 7" descr="The majority of prescriptions were dispensed with either 14 or 21 days between repeats.">
              <a:extLst xmlns:a="http://schemas.openxmlformats.org/drawingml/2006/main">
                <a:ext uri="{FF2B5EF4-FFF2-40B4-BE49-F238E27FC236}">
                  <a16:creationId xmlns:a16="http://schemas.microsoft.com/office/drawing/2014/main" id="{521CFA68-9650-99A0-64F4-0D51BD1D6A8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he majority of prescriptions were dispensed with either 14 or 21 days between repeats.">
                      <a:extLst>
                        <a:ext uri="{FF2B5EF4-FFF2-40B4-BE49-F238E27FC236}">
                          <a16:creationId xmlns:a16="http://schemas.microsoft.com/office/drawing/2014/main" id="{521CFA68-9650-99A0-64F4-0D51BD1D6A89}"/>
                        </a:ext>
                      </a:extLst>
                    </pic:cNvPr>
                    <pic:cNvPicPr>
                      <a:picLocks noChangeAspect="1"/>
                    </pic:cNvPicPr>
                  </pic:nvPicPr>
                  <pic:blipFill>
                    <a:blip r:embed="rId17"/>
                    <a:stretch>
                      <a:fillRect/>
                    </a:stretch>
                  </pic:blipFill>
                  <pic:spPr>
                    <a:xfrm>
                      <a:off x="0" y="0"/>
                      <a:ext cx="5687695" cy="4230370"/>
                    </a:xfrm>
                    <a:prstGeom prst="rect">
                      <a:avLst/>
                    </a:prstGeom>
                  </pic:spPr>
                </pic:pic>
              </a:graphicData>
            </a:graphic>
          </wp:inline>
        </w:drawing>
      </w:r>
      <w:r w:rsidR="000B40CD">
        <w:br/>
      </w:r>
      <w:bookmarkStart w:id="2" w:name="_Hlk153871698"/>
      <w:r w:rsidR="00EA538B">
        <w:t xml:space="preserve">Figure 5: Time </w:t>
      </w:r>
      <w:r w:rsidR="001459D1">
        <w:t>B</w:t>
      </w:r>
      <w:r w:rsidR="00EA538B">
        <w:t>etween</w:t>
      </w:r>
      <w:r w:rsidR="001459D1">
        <w:t xml:space="preserve"> repeat Scripts (TBS</w:t>
      </w:r>
      <w:r w:rsidR="00257BAD">
        <w:t xml:space="preserve">) </w:t>
      </w:r>
      <w:r w:rsidR="00EA538B">
        <w:t>of nivolumab</w:t>
      </w:r>
      <w:bookmarkEnd w:id="2"/>
      <w:r w:rsidR="00257BAD">
        <w:t xml:space="preserve"> in days.</w:t>
      </w:r>
    </w:p>
    <w:p w14:paraId="5B7DBBF5" w14:textId="10CC9AC9" w:rsidR="00EA538B" w:rsidRDefault="005E3AC6" w:rsidP="00EA538B">
      <w:r>
        <w:t>Figure 5 shows the time between repeat prescriptions of nivolumab for mesothelioma</w:t>
      </w:r>
      <w:r w:rsidR="00E62E2D">
        <w:t>. The majority of prescriptions were dispensed with either 14 or 21 days between repeats</w:t>
      </w:r>
      <w:r w:rsidR="00D56A1D">
        <w:t xml:space="preserve">. The 14 day scripts </w:t>
      </w:r>
      <w:r w:rsidR="00E2262C">
        <w:t xml:space="preserve">would likely be formed of the sub 360mg </w:t>
      </w:r>
      <w:r w:rsidR="00D3468C">
        <w:t>doses while the 21 days scripts would likely be t</w:t>
      </w:r>
      <w:r w:rsidR="00B10CA3">
        <w:t xml:space="preserve">hose scripts at 360mg. </w:t>
      </w:r>
    </w:p>
    <w:p w14:paraId="49EBEF9A" w14:textId="3EE02D06" w:rsidR="00090E3B" w:rsidRDefault="00AC725D" w:rsidP="0077477A">
      <w:r>
        <w:t xml:space="preserve">Further analysis of the </w:t>
      </w:r>
      <w:r w:rsidR="001C7B6F">
        <w:t xml:space="preserve">TBS of patients using only the 360mg dose indicates that approximately 70% </w:t>
      </w:r>
      <w:r w:rsidR="00AE6EE4">
        <w:t xml:space="preserve">of repeats were processed at 21 day intervals </w:t>
      </w:r>
      <w:r w:rsidR="00E0332E">
        <w:t xml:space="preserve">and very few were processed at shorter intervals. This </w:t>
      </w:r>
      <w:r w:rsidR="00CC46F8">
        <w:t xml:space="preserve">indicates that the </w:t>
      </w:r>
      <w:r w:rsidR="00D21362">
        <w:t>360mg are unlikely to be contributing to the 14 day TBS in Figure 5</w:t>
      </w:r>
      <w:r w:rsidR="00B76D52">
        <w:t xml:space="preserve"> and this higher proportion is more likely to be a result of the increased number of </w:t>
      </w:r>
      <w:r w:rsidR="00B96D45">
        <w:t xml:space="preserve">two-weekly scripts being processed compared to three-weekly. </w:t>
      </w:r>
    </w:p>
    <w:p w14:paraId="5990143D" w14:textId="1AF984D9" w:rsidR="00090E3B" w:rsidRDefault="00F43C35" w:rsidP="0044705A">
      <w:pPr>
        <w:pStyle w:val="Figuretitle"/>
      </w:pPr>
      <w:r>
        <w:rPr>
          <w:noProof/>
        </w:rPr>
        <w:lastRenderedPageBreak/>
        <w:drawing>
          <wp:inline distT="0" distB="0" distL="0" distR="0" wp14:anchorId="7BE7A1CC" wp14:editId="253F6F65">
            <wp:extent cx="5687695" cy="4239260"/>
            <wp:effectExtent l="0" t="0" r="8255" b="8890"/>
            <wp:docPr id="8" name="Picture 8" descr="The majority of doses of ipilimumab were   between 68-83 milligrams">
              <a:extLst xmlns:a="http://schemas.openxmlformats.org/drawingml/2006/main">
                <a:ext uri="{FF2B5EF4-FFF2-40B4-BE49-F238E27FC236}">
                  <a16:creationId xmlns:a16="http://schemas.microsoft.com/office/drawing/2014/main" id="{F3EA8214-6C86-4CF5-A12B-FBFE8E975F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he majority of doses of ipilimumab were   between 68-83 milligrams">
                      <a:extLst>
                        <a:ext uri="{FF2B5EF4-FFF2-40B4-BE49-F238E27FC236}">
                          <a16:creationId xmlns:a16="http://schemas.microsoft.com/office/drawing/2014/main" id="{F3EA8214-6C86-4CF5-A12B-FBFE8E975F3C}"/>
                        </a:ext>
                      </a:extLst>
                    </pic:cNvPr>
                    <pic:cNvPicPr>
                      <a:picLocks noChangeAspect="1"/>
                    </pic:cNvPicPr>
                  </pic:nvPicPr>
                  <pic:blipFill>
                    <a:blip r:embed="rId18"/>
                    <a:stretch>
                      <a:fillRect/>
                    </a:stretch>
                  </pic:blipFill>
                  <pic:spPr>
                    <a:xfrm>
                      <a:off x="0" y="0"/>
                      <a:ext cx="5687695" cy="4239260"/>
                    </a:xfrm>
                    <a:prstGeom prst="rect">
                      <a:avLst/>
                    </a:prstGeom>
                  </pic:spPr>
                </pic:pic>
              </a:graphicData>
            </a:graphic>
          </wp:inline>
        </w:drawing>
      </w:r>
      <w:r w:rsidR="0044705A">
        <w:br/>
        <w:t>Figure 6: Dose distribution for all ipil</w:t>
      </w:r>
      <w:r w:rsidR="000A0E50">
        <w:t>imumab</w:t>
      </w:r>
      <w:r w:rsidR="0044705A">
        <w:t xml:space="preserve"> prescriptions</w:t>
      </w:r>
      <w:r w:rsidR="00257BAD">
        <w:t>.</w:t>
      </w:r>
    </w:p>
    <w:p w14:paraId="0B25BB29" w14:textId="08346883" w:rsidR="00F43C35" w:rsidRDefault="005F04D3" w:rsidP="0077477A">
      <w:r>
        <w:t>Ipilimumab is dosed at 1mg/kg and Figure 6 shows the var</w:t>
      </w:r>
      <w:r w:rsidR="00283352">
        <w:t>iability in dosing seen in practice with the majority of doses sitting between 68</w:t>
      </w:r>
      <w:r w:rsidR="00192D91">
        <w:t xml:space="preserve">-83mg. </w:t>
      </w:r>
    </w:p>
    <w:p w14:paraId="5BD80E85" w14:textId="3491FF09" w:rsidR="00F43C35" w:rsidRDefault="00F43C35" w:rsidP="001539A6">
      <w:pPr>
        <w:pStyle w:val="Figuretitle"/>
      </w:pPr>
      <w:r>
        <w:rPr>
          <w:noProof/>
        </w:rPr>
        <w:lastRenderedPageBreak/>
        <w:drawing>
          <wp:inline distT="0" distB="0" distL="0" distR="0" wp14:anchorId="79FB49AE" wp14:editId="357019E0">
            <wp:extent cx="5687695" cy="4296410"/>
            <wp:effectExtent l="0" t="0" r="8255" b="8890"/>
            <wp:docPr id="9" name="Picture 9" descr="Over 60% of repeat prescriptions for ipilumumab  were supplied at 42 days after the previous prescription">
              <a:extLst xmlns:a="http://schemas.openxmlformats.org/drawingml/2006/main">
                <a:ext uri="{FF2B5EF4-FFF2-40B4-BE49-F238E27FC236}">
                  <a16:creationId xmlns:a16="http://schemas.microsoft.com/office/drawing/2014/main" id="{36CFDCCD-C61F-D6DF-8EFB-E893FB6E30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Over 60% of repeat prescriptions for ipilumumab  were supplied at 42 days after the previous prescription">
                      <a:extLst>
                        <a:ext uri="{FF2B5EF4-FFF2-40B4-BE49-F238E27FC236}">
                          <a16:creationId xmlns:a16="http://schemas.microsoft.com/office/drawing/2014/main" id="{36CFDCCD-C61F-D6DF-8EFB-E893FB6E30E4}"/>
                        </a:ext>
                      </a:extLst>
                    </pic:cNvPr>
                    <pic:cNvPicPr>
                      <a:picLocks noChangeAspect="1"/>
                    </pic:cNvPicPr>
                  </pic:nvPicPr>
                  <pic:blipFill>
                    <a:blip r:embed="rId19"/>
                    <a:stretch>
                      <a:fillRect/>
                    </a:stretch>
                  </pic:blipFill>
                  <pic:spPr>
                    <a:xfrm>
                      <a:off x="0" y="0"/>
                      <a:ext cx="5687695" cy="4296410"/>
                    </a:xfrm>
                    <a:prstGeom prst="rect">
                      <a:avLst/>
                    </a:prstGeom>
                  </pic:spPr>
                </pic:pic>
              </a:graphicData>
            </a:graphic>
          </wp:inline>
        </w:drawing>
      </w:r>
      <w:r w:rsidR="001539A6">
        <w:t xml:space="preserve">Figure </w:t>
      </w:r>
      <w:r w:rsidR="00E35523">
        <w:t>7</w:t>
      </w:r>
      <w:r w:rsidR="001539A6">
        <w:t xml:space="preserve">: </w:t>
      </w:r>
      <w:r w:rsidR="00257BAD">
        <w:t>Time Between repeat Scripts (TBS) of ipilimumab in days.</w:t>
      </w:r>
    </w:p>
    <w:p w14:paraId="7BF76615" w14:textId="30E52FEE" w:rsidR="001319CD" w:rsidRDefault="001319CD" w:rsidP="001319CD">
      <w:r>
        <w:t xml:space="preserve">The </w:t>
      </w:r>
      <w:r w:rsidR="00987709">
        <w:t xml:space="preserve">time between repeat prescriptions of ipilimumab </w:t>
      </w:r>
      <w:r w:rsidR="003E2C2B">
        <w:t xml:space="preserve">was primarily 42 days which corresponds to the recommended dosing </w:t>
      </w:r>
      <w:r w:rsidR="0045647E">
        <w:t xml:space="preserve">regimen for mesothelioma. </w:t>
      </w:r>
    </w:p>
    <w:p w14:paraId="65C8370D" w14:textId="77777777" w:rsidR="0097161D" w:rsidRDefault="0097161D" w:rsidP="0077477A"/>
    <w:p w14:paraId="7EA1177F" w14:textId="1BE2D734" w:rsidR="00F5660E" w:rsidRDefault="0097161D" w:rsidP="00F5434E">
      <w:r>
        <w:rPr>
          <w:noProof/>
        </w:rPr>
        <w:lastRenderedPageBreak/>
        <w:drawing>
          <wp:inline distT="0" distB="0" distL="0" distR="0" wp14:anchorId="78E33C36" wp14:editId="4EF4FBB4">
            <wp:extent cx="5687695" cy="4270375"/>
            <wp:effectExtent l="0" t="0" r="8255" b="0"/>
            <wp:docPr id="5" name="Picture 4" descr="The length of treatment of nivolumab and ipilimumab">
              <a:extLst xmlns:a="http://schemas.openxmlformats.org/drawingml/2006/main">
                <a:ext uri="{FF2B5EF4-FFF2-40B4-BE49-F238E27FC236}">
                  <a16:creationId xmlns:a16="http://schemas.microsoft.com/office/drawing/2014/main" id="{F2F9FA1F-83A5-70E2-4A58-15D9B17C40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The length of treatment of nivolumab and ipilimumab">
                      <a:extLst>
                        <a:ext uri="{FF2B5EF4-FFF2-40B4-BE49-F238E27FC236}">
                          <a16:creationId xmlns:a16="http://schemas.microsoft.com/office/drawing/2014/main" id="{F2F9FA1F-83A5-70E2-4A58-15D9B17C403C}"/>
                        </a:ext>
                      </a:extLst>
                    </pic:cNvPr>
                    <pic:cNvPicPr>
                      <a:picLocks noChangeAspect="1"/>
                    </pic:cNvPicPr>
                  </pic:nvPicPr>
                  <pic:blipFill>
                    <a:blip r:embed="rId20"/>
                    <a:stretch>
                      <a:fillRect/>
                    </a:stretch>
                  </pic:blipFill>
                  <pic:spPr>
                    <a:xfrm>
                      <a:off x="0" y="0"/>
                      <a:ext cx="5687695" cy="4270375"/>
                    </a:xfrm>
                    <a:prstGeom prst="rect">
                      <a:avLst/>
                    </a:prstGeom>
                  </pic:spPr>
                </pic:pic>
              </a:graphicData>
            </a:graphic>
          </wp:inline>
        </w:drawing>
      </w:r>
    </w:p>
    <w:tbl>
      <w:tblPr>
        <w:tblStyle w:val="TableGrid"/>
        <w:tblW w:w="0" w:type="auto"/>
        <w:tblLook w:val="04A0" w:firstRow="1" w:lastRow="0" w:firstColumn="1" w:lastColumn="0" w:noHBand="0" w:noVBand="1"/>
      </w:tblPr>
      <w:tblGrid>
        <w:gridCol w:w="1353"/>
        <w:gridCol w:w="1262"/>
        <w:gridCol w:w="1264"/>
        <w:gridCol w:w="1264"/>
        <w:gridCol w:w="1267"/>
        <w:gridCol w:w="1267"/>
        <w:gridCol w:w="1270"/>
      </w:tblGrid>
      <w:tr w:rsidR="007345AF" w14:paraId="05481458" w14:textId="77777777" w:rsidTr="001B5E01">
        <w:tc>
          <w:tcPr>
            <w:tcW w:w="1353" w:type="dxa"/>
            <w:vMerge w:val="restart"/>
            <w:shd w:val="clear" w:color="auto" w:fill="D9D9D9" w:themeFill="background1" w:themeFillShade="D9"/>
          </w:tcPr>
          <w:p w14:paraId="77B312EE" w14:textId="77777777" w:rsidR="007345AF" w:rsidRDefault="007345AF" w:rsidP="005D79E7">
            <w:pPr>
              <w:pStyle w:val="Tablewriting"/>
            </w:pPr>
          </w:p>
        </w:tc>
        <w:tc>
          <w:tcPr>
            <w:tcW w:w="3790" w:type="dxa"/>
            <w:gridSpan w:val="3"/>
            <w:shd w:val="clear" w:color="auto" w:fill="D9D9D9" w:themeFill="background1" w:themeFillShade="D9"/>
          </w:tcPr>
          <w:p w14:paraId="33455D61" w14:textId="36C74313" w:rsidR="007345AF" w:rsidRDefault="007345AF" w:rsidP="005D79E7">
            <w:pPr>
              <w:pStyle w:val="Tablewriting"/>
            </w:pPr>
            <w:r>
              <w:t>Quartile estimates (days)</w:t>
            </w:r>
          </w:p>
        </w:tc>
        <w:tc>
          <w:tcPr>
            <w:tcW w:w="3804" w:type="dxa"/>
            <w:gridSpan w:val="3"/>
            <w:shd w:val="clear" w:color="auto" w:fill="D9D9D9" w:themeFill="background1" w:themeFillShade="D9"/>
          </w:tcPr>
          <w:p w14:paraId="3D767A8C" w14:textId="51721D9C" w:rsidR="007345AF" w:rsidRDefault="007345AF" w:rsidP="005D79E7">
            <w:pPr>
              <w:pStyle w:val="Tablewriting"/>
            </w:pPr>
            <w:r>
              <w:t>Censoring (patients)</w:t>
            </w:r>
          </w:p>
        </w:tc>
      </w:tr>
      <w:tr w:rsidR="007345AF" w14:paraId="023156DA" w14:textId="77777777" w:rsidTr="001B5E01">
        <w:tc>
          <w:tcPr>
            <w:tcW w:w="1353" w:type="dxa"/>
            <w:vMerge/>
            <w:shd w:val="clear" w:color="auto" w:fill="D9D9D9" w:themeFill="background1" w:themeFillShade="D9"/>
          </w:tcPr>
          <w:p w14:paraId="48B7C48B" w14:textId="77777777" w:rsidR="007345AF" w:rsidRDefault="007345AF" w:rsidP="005D79E7">
            <w:pPr>
              <w:pStyle w:val="Tablewriting"/>
            </w:pPr>
          </w:p>
        </w:tc>
        <w:tc>
          <w:tcPr>
            <w:tcW w:w="1262" w:type="dxa"/>
            <w:shd w:val="clear" w:color="auto" w:fill="D9D9D9" w:themeFill="background1" w:themeFillShade="D9"/>
          </w:tcPr>
          <w:p w14:paraId="4CFBDC6A" w14:textId="361C1998" w:rsidR="007345AF" w:rsidRDefault="007345AF" w:rsidP="005D79E7">
            <w:pPr>
              <w:pStyle w:val="Tablewriting"/>
            </w:pPr>
            <w:r>
              <w:t>25</w:t>
            </w:r>
            <w:r w:rsidRPr="009C7C43">
              <w:rPr>
                <w:vertAlign w:val="superscript"/>
              </w:rPr>
              <w:t>th</w:t>
            </w:r>
            <w:r>
              <w:t xml:space="preserve"> Percentile</w:t>
            </w:r>
          </w:p>
        </w:tc>
        <w:tc>
          <w:tcPr>
            <w:tcW w:w="1264" w:type="dxa"/>
            <w:shd w:val="clear" w:color="auto" w:fill="D9D9D9" w:themeFill="background1" w:themeFillShade="D9"/>
          </w:tcPr>
          <w:p w14:paraId="7543B921" w14:textId="6F0EBA40" w:rsidR="007345AF" w:rsidRDefault="007345AF" w:rsidP="005D79E7">
            <w:pPr>
              <w:pStyle w:val="Tablewriting"/>
            </w:pPr>
            <w:r>
              <w:t>Median</w:t>
            </w:r>
          </w:p>
        </w:tc>
        <w:tc>
          <w:tcPr>
            <w:tcW w:w="1264" w:type="dxa"/>
            <w:shd w:val="clear" w:color="auto" w:fill="D9D9D9" w:themeFill="background1" w:themeFillShade="D9"/>
          </w:tcPr>
          <w:p w14:paraId="42221309" w14:textId="230C27E2" w:rsidR="007345AF" w:rsidRDefault="007345AF" w:rsidP="005D79E7">
            <w:pPr>
              <w:pStyle w:val="Tablewriting"/>
            </w:pPr>
            <w:r>
              <w:t>75</w:t>
            </w:r>
            <w:r w:rsidRPr="009C7C43">
              <w:rPr>
                <w:vertAlign w:val="superscript"/>
              </w:rPr>
              <w:t>th</w:t>
            </w:r>
            <w:r>
              <w:t xml:space="preserve"> Percentile</w:t>
            </w:r>
          </w:p>
        </w:tc>
        <w:tc>
          <w:tcPr>
            <w:tcW w:w="1267" w:type="dxa"/>
            <w:shd w:val="clear" w:color="auto" w:fill="D9D9D9" w:themeFill="background1" w:themeFillShade="D9"/>
          </w:tcPr>
          <w:p w14:paraId="3041176A" w14:textId="2462BBAE" w:rsidR="007345AF" w:rsidRDefault="007345AF" w:rsidP="005D79E7">
            <w:pPr>
              <w:pStyle w:val="Tablewriting"/>
            </w:pPr>
            <w:r>
              <w:t>Total</w:t>
            </w:r>
          </w:p>
        </w:tc>
        <w:tc>
          <w:tcPr>
            <w:tcW w:w="1267" w:type="dxa"/>
            <w:shd w:val="clear" w:color="auto" w:fill="D9D9D9" w:themeFill="background1" w:themeFillShade="D9"/>
          </w:tcPr>
          <w:p w14:paraId="4C2BFA80" w14:textId="7AC6CCFC" w:rsidR="007345AF" w:rsidRDefault="007345AF" w:rsidP="005D79E7">
            <w:pPr>
              <w:pStyle w:val="Tablewriting"/>
            </w:pPr>
            <w:r>
              <w:t>Failed</w:t>
            </w:r>
          </w:p>
        </w:tc>
        <w:tc>
          <w:tcPr>
            <w:tcW w:w="1270" w:type="dxa"/>
            <w:shd w:val="clear" w:color="auto" w:fill="D9D9D9" w:themeFill="background1" w:themeFillShade="D9"/>
          </w:tcPr>
          <w:p w14:paraId="4E35D4CB" w14:textId="37B2EA64" w:rsidR="007345AF" w:rsidRDefault="007345AF" w:rsidP="005D79E7">
            <w:pPr>
              <w:pStyle w:val="Tablewriting"/>
            </w:pPr>
            <w:r>
              <w:t>Percent Censored</w:t>
            </w:r>
          </w:p>
        </w:tc>
      </w:tr>
      <w:tr w:rsidR="002F75A2" w14:paraId="34C05A27" w14:textId="77777777" w:rsidTr="002F75A2">
        <w:tc>
          <w:tcPr>
            <w:tcW w:w="1353" w:type="dxa"/>
          </w:tcPr>
          <w:p w14:paraId="0AA625E2" w14:textId="6F8695C8" w:rsidR="002F75A2" w:rsidRDefault="002F75A2" w:rsidP="005D79E7">
            <w:pPr>
              <w:pStyle w:val="Tablewriting"/>
            </w:pPr>
            <w:r>
              <w:t>Nivolumab</w:t>
            </w:r>
          </w:p>
        </w:tc>
        <w:tc>
          <w:tcPr>
            <w:tcW w:w="1262" w:type="dxa"/>
          </w:tcPr>
          <w:p w14:paraId="23080B0C" w14:textId="00B58071" w:rsidR="002F75A2" w:rsidRPr="005D79E7" w:rsidRDefault="002F75A2" w:rsidP="005D79E7">
            <w:pPr>
              <w:pStyle w:val="Tablewriting"/>
            </w:pPr>
            <w:r w:rsidRPr="005D79E7">
              <w:t>52</w:t>
            </w:r>
          </w:p>
        </w:tc>
        <w:tc>
          <w:tcPr>
            <w:tcW w:w="1264" w:type="dxa"/>
          </w:tcPr>
          <w:p w14:paraId="069C8AD4" w14:textId="049C756A" w:rsidR="002F75A2" w:rsidRPr="005D79E7" w:rsidRDefault="002F75A2" w:rsidP="005D79E7">
            <w:pPr>
              <w:pStyle w:val="Tablewriting"/>
            </w:pPr>
            <w:r w:rsidRPr="005D79E7">
              <w:t>132</w:t>
            </w:r>
          </w:p>
        </w:tc>
        <w:tc>
          <w:tcPr>
            <w:tcW w:w="1264" w:type="dxa"/>
          </w:tcPr>
          <w:p w14:paraId="3E8694B9" w14:textId="0FCC6E17" w:rsidR="002F75A2" w:rsidRPr="005D79E7" w:rsidRDefault="002F75A2" w:rsidP="005D79E7">
            <w:pPr>
              <w:pStyle w:val="Tablewriting"/>
            </w:pPr>
            <w:r w:rsidRPr="005D79E7">
              <w:t>314</w:t>
            </w:r>
          </w:p>
        </w:tc>
        <w:tc>
          <w:tcPr>
            <w:tcW w:w="1267" w:type="dxa"/>
          </w:tcPr>
          <w:p w14:paraId="4C044F67" w14:textId="3BB62CBA" w:rsidR="002F75A2" w:rsidRPr="005D79E7" w:rsidRDefault="002F75A2" w:rsidP="005D79E7">
            <w:pPr>
              <w:pStyle w:val="Tablewriting"/>
            </w:pPr>
            <w:r w:rsidRPr="005D79E7">
              <w:t>1380</w:t>
            </w:r>
          </w:p>
        </w:tc>
        <w:tc>
          <w:tcPr>
            <w:tcW w:w="1267" w:type="dxa"/>
          </w:tcPr>
          <w:p w14:paraId="5C670639" w14:textId="6451B787" w:rsidR="002F75A2" w:rsidRPr="005D79E7" w:rsidRDefault="002F75A2" w:rsidP="005D79E7">
            <w:pPr>
              <w:pStyle w:val="Tablewriting"/>
            </w:pPr>
            <w:r w:rsidRPr="005D79E7">
              <w:t>1051</w:t>
            </w:r>
          </w:p>
        </w:tc>
        <w:tc>
          <w:tcPr>
            <w:tcW w:w="1270" w:type="dxa"/>
          </w:tcPr>
          <w:p w14:paraId="77669072" w14:textId="6B22AB8D" w:rsidR="002F75A2" w:rsidRPr="005D79E7" w:rsidRDefault="002F75A2" w:rsidP="005D79E7">
            <w:pPr>
              <w:pStyle w:val="Tablewriting"/>
            </w:pPr>
            <w:r w:rsidRPr="005D79E7">
              <w:t>23.8%</w:t>
            </w:r>
          </w:p>
        </w:tc>
      </w:tr>
      <w:tr w:rsidR="002F75A2" w14:paraId="2BC9DEF1" w14:textId="77777777" w:rsidTr="002F75A2">
        <w:tc>
          <w:tcPr>
            <w:tcW w:w="1353" w:type="dxa"/>
          </w:tcPr>
          <w:p w14:paraId="2EC785A9" w14:textId="42C8A77C" w:rsidR="002F75A2" w:rsidRDefault="002F75A2" w:rsidP="005D79E7">
            <w:pPr>
              <w:pStyle w:val="Tablewriting"/>
            </w:pPr>
            <w:r>
              <w:t>Ipilimumab</w:t>
            </w:r>
          </w:p>
        </w:tc>
        <w:tc>
          <w:tcPr>
            <w:tcW w:w="1262" w:type="dxa"/>
          </w:tcPr>
          <w:p w14:paraId="375F6090" w14:textId="4F906D6C" w:rsidR="002F75A2" w:rsidRPr="005D79E7" w:rsidRDefault="002F75A2" w:rsidP="005D79E7">
            <w:pPr>
              <w:pStyle w:val="Tablewriting"/>
            </w:pPr>
            <w:r w:rsidRPr="005D79E7">
              <w:t>41</w:t>
            </w:r>
          </w:p>
        </w:tc>
        <w:tc>
          <w:tcPr>
            <w:tcW w:w="1264" w:type="dxa"/>
          </w:tcPr>
          <w:p w14:paraId="610848AE" w14:textId="5A1894E8" w:rsidR="002F75A2" w:rsidRPr="005D79E7" w:rsidRDefault="002F75A2" w:rsidP="005D79E7">
            <w:pPr>
              <w:pStyle w:val="Tablewriting"/>
            </w:pPr>
            <w:r w:rsidRPr="005D79E7">
              <w:t>120</w:t>
            </w:r>
          </w:p>
        </w:tc>
        <w:tc>
          <w:tcPr>
            <w:tcW w:w="1264" w:type="dxa"/>
          </w:tcPr>
          <w:p w14:paraId="15D92949" w14:textId="5FDF254F" w:rsidR="002F75A2" w:rsidRPr="005D79E7" w:rsidRDefault="002F75A2" w:rsidP="005D79E7">
            <w:pPr>
              <w:pStyle w:val="Tablewriting"/>
            </w:pPr>
            <w:r w:rsidRPr="005D79E7">
              <w:t>281</w:t>
            </w:r>
          </w:p>
        </w:tc>
        <w:tc>
          <w:tcPr>
            <w:tcW w:w="1267" w:type="dxa"/>
          </w:tcPr>
          <w:p w14:paraId="4711827A" w14:textId="3C7979CE" w:rsidR="002F75A2" w:rsidRPr="005D79E7" w:rsidRDefault="002F75A2" w:rsidP="005D79E7">
            <w:pPr>
              <w:pStyle w:val="Tablewriting"/>
            </w:pPr>
            <w:r w:rsidRPr="005D79E7">
              <w:t>1326</w:t>
            </w:r>
          </w:p>
        </w:tc>
        <w:tc>
          <w:tcPr>
            <w:tcW w:w="1267" w:type="dxa"/>
          </w:tcPr>
          <w:p w14:paraId="05C75B90" w14:textId="2816BFDE" w:rsidR="002F75A2" w:rsidRPr="005D79E7" w:rsidRDefault="002F75A2" w:rsidP="005D79E7">
            <w:pPr>
              <w:pStyle w:val="Tablewriting"/>
            </w:pPr>
            <w:r w:rsidRPr="005D79E7">
              <w:t>952</w:t>
            </w:r>
          </w:p>
        </w:tc>
        <w:tc>
          <w:tcPr>
            <w:tcW w:w="1270" w:type="dxa"/>
          </w:tcPr>
          <w:p w14:paraId="4C10639A" w14:textId="09C2B569" w:rsidR="002F75A2" w:rsidRPr="005D79E7" w:rsidRDefault="002F75A2" w:rsidP="005D79E7">
            <w:pPr>
              <w:pStyle w:val="Tablewriting"/>
            </w:pPr>
            <w:r w:rsidRPr="005D79E7">
              <w:t>28.2%</w:t>
            </w:r>
          </w:p>
        </w:tc>
      </w:tr>
    </w:tbl>
    <w:p w14:paraId="67FFD54E" w14:textId="4A3FF44F" w:rsidR="0097161D" w:rsidRDefault="0045647E" w:rsidP="0045647E">
      <w:pPr>
        <w:pStyle w:val="Figuretitle"/>
      </w:pPr>
      <w:r>
        <w:t xml:space="preserve">Figure </w:t>
      </w:r>
      <w:r w:rsidR="00E35523">
        <w:t>8</w:t>
      </w:r>
      <w:r w:rsidR="00C2251B">
        <w:t xml:space="preserve">: Kaplan-Meier analysis of the time on treatment of patients supplied nivolumab and ipilimumab </w:t>
      </w:r>
      <w:r w:rsidR="00EF02F5">
        <w:t xml:space="preserve">for unresectable malignant mesothelioma including treatment breaks. </w:t>
      </w:r>
    </w:p>
    <w:p w14:paraId="657EFDBF" w14:textId="43627F79" w:rsidR="0097161D" w:rsidRDefault="00D92B9F" w:rsidP="0077477A">
      <w:r>
        <w:t xml:space="preserve">The median time to resupply for nivolumab for </w:t>
      </w:r>
      <w:r w:rsidR="009924F1">
        <w:t>mesothelioma</w:t>
      </w:r>
      <w:r>
        <w:t xml:space="preserve"> was </w:t>
      </w:r>
      <w:r w:rsidR="007565B7">
        <w:t>16</w:t>
      </w:r>
      <w:r>
        <w:t xml:space="preserve"> days</w:t>
      </w:r>
      <w:r w:rsidR="007565B7">
        <w:t xml:space="preserve"> and for ipilimumab it was </w:t>
      </w:r>
      <w:r w:rsidR="00AF7DAE">
        <w:t>42 days</w:t>
      </w:r>
      <w:r>
        <w:t xml:space="preserve">. The Kaplan-Meier analysis in Figure </w:t>
      </w:r>
      <w:r w:rsidR="00FA32AA">
        <w:t>8</w:t>
      </w:r>
      <w:r>
        <w:t xml:space="preserve"> includes patients with identified treatment breaks of longer than </w:t>
      </w:r>
      <w:r w:rsidR="00AF7DAE">
        <w:t>three times</w:t>
      </w:r>
      <w:r w:rsidR="009F509A">
        <w:t xml:space="preserve"> this median time to resupply</w:t>
      </w:r>
      <w:r>
        <w:t xml:space="preserve">. Figure </w:t>
      </w:r>
      <w:r w:rsidR="00040A53">
        <w:t>8</w:t>
      </w:r>
      <w:r>
        <w:t xml:space="preserve"> shows this analysis where </w:t>
      </w:r>
      <w:r w:rsidR="009F509A">
        <w:t>23-28</w:t>
      </w:r>
      <w:r>
        <w:t xml:space="preserve">% of patients were censored and the median time on treatment for the remaining patients was </w:t>
      </w:r>
      <w:r w:rsidR="009F509A">
        <w:t>132 and 120</w:t>
      </w:r>
      <w:r>
        <w:t xml:space="preserve"> days</w:t>
      </w:r>
      <w:r w:rsidR="009F509A">
        <w:t xml:space="preserve"> for nivolumab and ipilimumab respectively</w:t>
      </w:r>
      <w:r>
        <w:t>.</w:t>
      </w:r>
    </w:p>
    <w:p w14:paraId="519230AC" w14:textId="2C55B6B5" w:rsidR="00FA54EE" w:rsidRDefault="00FA54EE" w:rsidP="0077477A">
      <w:r>
        <w:t xml:space="preserve">It should be noted that Figure </w:t>
      </w:r>
      <w:r w:rsidR="00040A53">
        <w:t>8</w:t>
      </w:r>
      <w:r>
        <w:t xml:space="preserve"> also indicates that there may be a small number of patients exceeding the </w:t>
      </w:r>
      <w:r w:rsidR="00FE3FD0">
        <w:t xml:space="preserve">24 month stopping criteria that forms part of the PBS criteria. </w:t>
      </w:r>
    </w:p>
    <w:p w14:paraId="63F09D41" w14:textId="6685583B" w:rsidR="00343C22" w:rsidRPr="0077477A" w:rsidRDefault="00276DEC" w:rsidP="0077477A">
      <w:r>
        <w:rPr>
          <w:noProof/>
        </w:rPr>
        <w:lastRenderedPageBreak/>
        <w:drawing>
          <wp:inline distT="0" distB="0" distL="0" distR="0" wp14:anchorId="49573D1F" wp14:editId="238FD983">
            <wp:extent cx="5687695" cy="4259580"/>
            <wp:effectExtent l="0" t="0" r="8255" b="7620"/>
            <wp:docPr id="10" name="Picture 10" descr="The length of treatment of nivolumab and ipilimumab including treatment breaks">
              <a:extLst xmlns:a="http://schemas.openxmlformats.org/drawingml/2006/main">
                <a:ext uri="{FF2B5EF4-FFF2-40B4-BE49-F238E27FC236}">
                  <a16:creationId xmlns:a16="http://schemas.microsoft.com/office/drawing/2014/main" id="{7CCF6927-6C52-5CD9-2F38-6127A9973F1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he length of treatment of nivolumab and ipilimumab including treatment breaks">
                      <a:extLst>
                        <a:ext uri="{FF2B5EF4-FFF2-40B4-BE49-F238E27FC236}">
                          <a16:creationId xmlns:a16="http://schemas.microsoft.com/office/drawing/2014/main" id="{7CCF6927-6C52-5CD9-2F38-6127A9973F19}"/>
                        </a:ext>
                      </a:extLst>
                    </pic:cNvPr>
                    <pic:cNvPicPr>
                      <a:picLocks noChangeAspect="1"/>
                    </pic:cNvPicPr>
                  </pic:nvPicPr>
                  <pic:blipFill>
                    <a:blip r:embed="rId21"/>
                    <a:stretch>
                      <a:fillRect/>
                    </a:stretch>
                  </pic:blipFill>
                  <pic:spPr>
                    <a:xfrm>
                      <a:off x="0" y="0"/>
                      <a:ext cx="5687695" cy="4259580"/>
                    </a:xfrm>
                    <a:prstGeom prst="rect">
                      <a:avLst/>
                    </a:prstGeom>
                  </pic:spPr>
                </pic:pic>
              </a:graphicData>
            </a:graphic>
          </wp:inline>
        </w:drawing>
      </w:r>
    </w:p>
    <w:tbl>
      <w:tblPr>
        <w:tblStyle w:val="TableGrid"/>
        <w:tblW w:w="0" w:type="auto"/>
        <w:tblLook w:val="04A0" w:firstRow="1" w:lastRow="0" w:firstColumn="1" w:lastColumn="0" w:noHBand="0" w:noVBand="1"/>
      </w:tblPr>
      <w:tblGrid>
        <w:gridCol w:w="1353"/>
        <w:gridCol w:w="1262"/>
        <w:gridCol w:w="1264"/>
        <w:gridCol w:w="1264"/>
        <w:gridCol w:w="1267"/>
        <w:gridCol w:w="1267"/>
        <w:gridCol w:w="1270"/>
      </w:tblGrid>
      <w:tr w:rsidR="00343C22" w14:paraId="79DCD7D6" w14:textId="77777777" w:rsidTr="001B5E01">
        <w:tc>
          <w:tcPr>
            <w:tcW w:w="1353" w:type="dxa"/>
            <w:vMerge w:val="restart"/>
            <w:shd w:val="clear" w:color="auto" w:fill="D9D9D9" w:themeFill="background1" w:themeFillShade="D9"/>
          </w:tcPr>
          <w:p w14:paraId="20CDAFF7" w14:textId="77777777" w:rsidR="00343C22" w:rsidRDefault="00343C22" w:rsidP="000E768B">
            <w:pPr>
              <w:pStyle w:val="Tablewriting"/>
            </w:pPr>
          </w:p>
        </w:tc>
        <w:tc>
          <w:tcPr>
            <w:tcW w:w="3790" w:type="dxa"/>
            <w:gridSpan w:val="3"/>
            <w:shd w:val="clear" w:color="auto" w:fill="D9D9D9" w:themeFill="background1" w:themeFillShade="D9"/>
          </w:tcPr>
          <w:p w14:paraId="0DE4590C" w14:textId="77777777" w:rsidR="00343C22" w:rsidRDefault="00343C22" w:rsidP="000E768B">
            <w:pPr>
              <w:pStyle w:val="Tablewriting"/>
            </w:pPr>
            <w:r>
              <w:t>Quartile estimates (days)</w:t>
            </w:r>
          </w:p>
        </w:tc>
        <w:tc>
          <w:tcPr>
            <w:tcW w:w="3804" w:type="dxa"/>
            <w:gridSpan w:val="3"/>
            <w:shd w:val="clear" w:color="auto" w:fill="D9D9D9" w:themeFill="background1" w:themeFillShade="D9"/>
          </w:tcPr>
          <w:p w14:paraId="0C38CB53" w14:textId="77777777" w:rsidR="00343C22" w:rsidRDefault="00343C22" w:rsidP="000E768B">
            <w:pPr>
              <w:pStyle w:val="Tablewriting"/>
            </w:pPr>
            <w:r>
              <w:t>Censoring (patients)</w:t>
            </w:r>
          </w:p>
        </w:tc>
      </w:tr>
      <w:tr w:rsidR="00343C22" w14:paraId="7C0E6119" w14:textId="77777777" w:rsidTr="001B5E01">
        <w:tc>
          <w:tcPr>
            <w:tcW w:w="1353" w:type="dxa"/>
            <w:vMerge/>
            <w:shd w:val="clear" w:color="auto" w:fill="D9D9D9" w:themeFill="background1" w:themeFillShade="D9"/>
          </w:tcPr>
          <w:p w14:paraId="28511EC9" w14:textId="77777777" w:rsidR="00343C22" w:rsidRDefault="00343C22" w:rsidP="000E768B">
            <w:pPr>
              <w:pStyle w:val="Tablewriting"/>
            </w:pPr>
          </w:p>
        </w:tc>
        <w:tc>
          <w:tcPr>
            <w:tcW w:w="1262" w:type="dxa"/>
            <w:shd w:val="clear" w:color="auto" w:fill="D9D9D9" w:themeFill="background1" w:themeFillShade="D9"/>
          </w:tcPr>
          <w:p w14:paraId="4B16CA2E" w14:textId="77777777" w:rsidR="00343C22" w:rsidRDefault="00343C22" w:rsidP="000E768B">
            <w:pPr>
              <w:pStyle w:val="Tablewriting"/>
            </w:pPr>
            <w:r>
              <w:t>25</w:t>
            </w:r>
            <w:r w:rsidRPr="009C7C43">
              <w:rPr>
                <w:vertAlign w:val="superscript"/>
              </w:rPr>
              <w:t>th</w:t>
            </w:r>
            <w:r>
              <w:t xml:space="preserve"> Percentile</w:t>
            </w:r>
          </w:p>
        </w:tc>
        <w:tc>
          <w:tcPr>
            <w:tcW w:w="1264" w:type="dxa"/>
            <w:shd w:val="clear" w:color="auto" w:fill="D9D9D9" w:themeFill="background1" w:themeFillShade="D9"/>
          </w:tcPr>
          <w:p w14:paraId="4457134A" w14:textId="77777777" w:rsidR="00343C22" w:rsidRDefault="00343C22" w:rsidP="000E768B">
            <w:pPr>
              <w:pStyle w:val="Tablewriting"/>
            </w:pPr>
            <w:r>
              <w:t>Median</w:t>
            </w:r>
          </w:p>
        </w:tc>
        <w:tc>
          <w:tcPr>
            <w:tcW w:w="1264" w:type="dxa"/>
            <w:shd w:val="clear" w:color="auto" w:fill="D9D9D9" w:themeFill="background1" w:themeFillShade="D9"/>
          </w:tcPr>
          <w:p w14:paraId="5B8BC9C9" w14:textId="77777777" w:rsidR="00343C22" w:rsidRDefault="00343C22" w:rsidP="000E768B">
            <w:pPr>
              <w:pStyle w:val="Tablewriting"/>
            </w:pPr>
            <w:r>
              <w:t>75</w:t>
            </w:r>
            <w:r w:rsidRPr="009C7C43">
              <w:rPr>
                <w:vertAlign w:val="superscript"/>
              </w:rPr>
              <w:t>th</w:t>
            </w:r>
            <w:r>
              <w:t xml:space="preserve"> Percentile</w:t>
            </w:r>
          </w:p>
        </w:tc>
        <w:tc>
          <w:tcPr>
            <w:tcW w:w="1267" w:type="dxa"/>
            <w:shd w:val="clear" w:color="auto" w:fill="D9D9D9" w:themeFill="background1" w:themeFillShade="D9"/>
          </w:tcPr>
          <w:p w14:paraId="1CC8FDF0" w14:textId="77777777" w:rsidR="00343C22" w:rsidRDefault="00343C22" w:rsidP="000E768B">
            <w:pPr>
              <w:pStyle w:val="Tablewriting"/>
            </w:pPr>
            <w:r>
              <w:t>Total</w:t>
            </w:r>
          </w:p>
        </w:tc>
        <w:tc>
          <w:tcPr>
            <w:tcW w:w="1267" w:type="dxa"/>
            <w:shd w:val="clear" w:color="auto" w:fill="D9D9D9" w:themeFill="background1" w:themeFillShade="D9"/>
          </w:tcPr>
          <w:p w14:paraId="65C29276" w14:textId="77777777" w:rsidR="00343C22" w:rsidRDefault="00343C22" w:rsidP="000E768B">
            <w:pPr>
              <w:pStyle w:val="Tablewriting"/>
            </w:pPr>
            <w:r>
              <w:t>Failed</w:t>
            </w:r>
          </w:p>
        </w:tc>
        <w:tc>
          <w:tcPr>
            <w:tcW w:w="1270" w:type="dxa"/>
            <w:shd w:val="clear" w:color="auto" w:fill="D9D9D9" w:themeFill="background1" w:themeFillShade="D9"/>
          </w:tcPr>
          <w:p w14:paraId="7479B47F" w14:textId="77777777" w:rsidR="00343C22" w:rsidRDefault="00343C22" w:rsidP="000E768B">
            <w:pPr>
              <w:pStyle w:val="Tablewriting"/>
            </w:pPr>
            <w:r>
              <w:t>Percent Censored</w:t>
            </w:r>
          </w:p>
        </w:tc>
      </w:tr>
      <w:tr w:rsidR="00343C22" w14:paraId="517B168B" w14:textId="77777777" w:rsidTr="000E768B">
        <w:tc>
          <w:tcPr>
            <w:tcW w:w="1353" w:type="dxa"/>
          </w:tcPr>
          <w:p w14:paraId="4EAFEAC0" w14:textId="77777777" w:rsidR="00343C22" w:rsidRDefault="00343C22" w:rsidP="000E768B">
            <w:pPr>
              <w:pStyle w:val="Tablewriting"/>
            </w:pPr>
            <w:r>
              <w:t>Nivolumab</w:t>
            </w:r>
          </w:p>
        </w:tc>
        <w:tc>
          <w:tcPr>
            <w:tcW w:w="1262" w:type="dxa"/>
          </w:tcPr>
          <w:p w14:paraId="4DCDAC87" w14:textId="74D9B4F5" w:rsidR="00343C22" w:rsidRPr="005D79E7" w:rsidRDefault="00AF4E5E" w:rsidP="000E768B">
            <w:pPr>
              <w:pStyle w:val="Tablewriting"/>
            </w:pPr>
            <w:r>
              <w:t>41</w:t>
            </w:r>
          </w:p>
        </w:tc>
        <w:tc>
          <w:tcPr>
            <w:tcW w:w="1264" w:type="dxa"/>
          </w:tcPr>
          <w:p w14:paraId="66609CA5" w14:textId="01C1A418" w:rsidR="00343C22" w:rsidRPr="005D79E7" w:rsidRDefault="00AF4E5E" w:rsidP="000E768B">
            <w:pPr>
              <w:pStyle w:val="Tablewriting"/>
            </w:pPr>
            <w:r>
              <w:t>103</w:t>
            </w:r>
          </w:p>
        </w:tc>
        <w:tc>
          <w:tcPr>
            <w:tcW w:w="1264" w:type="dxa"/>
          </w:tcPr>
          <w:p w14:paraId="23664B79" w14:textId="0C1AE4D2" w:rsidR="00343C22" w:rsidRPr="005D79E7" w:rsidRDefault="00AF4E5E" w:rsidP="000E768B">
            <w:pPr>
              <w:pStyle w:val="Tablewriting"/>
            </w:pPr>
            <w:r>
              <w:t>233</w:t>
            </w:r>
          </w:p>
        </w:tc>
        <w:tc>
          <w:tcPr>
            <w:tcW w:w="1267" w:type="dxa"/>
          </w:tcPr>
          <w:p w14:paraId="266A1928" w14:textId="2BC5BC35" w:rsidR="00343C22" w:rsidRPr="005D79E7" w:rsidRDefault="00AF4E5E" w:rsidP="000E768B">
            <w:pPr>
              <w:pStyle w:val="Tablewriting"/>
            </w:pPr>
            <w:r>
              <w:t>1380</w:t>
            </w:r>
          </w:p>
        </w:tc>
        <w:tc>
          <w:tcPr>
            <w:tcW w:w="1267" w:type="dxa"/>
          </w:tcPr>
          <w:p w14:paraId="4F53CFD9" w14:textId="1F7B8F7F" w:rsidR="00343C22" w:rsidRPr="005D79E7" w:rsidRDefault="00AF4E5E" w:rsidP="000E768B">
            <w:pPr>
              <w:pStyle w:val="Tablewriting"/>
            </w:pPr>
            <w:r>
              <w:t>1109</w:t>
            </w:r>
          </w:p>
        </w:tc>
        <w:tc>
          <w:tcPr>
            <w:tcW w:w="1270" w:type="dxa"/>
          </w:tcPr>
          <w:p w14:paraId="5D599A23" w14:textId="2FDFE253" w:rsidR="00343C22" w:rsidRPr="005D79E7" w:rsidRDefault="00AF4E5E" w:rsidP="000E768B">
            <w:pPr>
              <w:pStyle w:val="Tablewriting"/>
            </w:pPr>
            <w:r>
              <w:t>19</w:t>
            </w:r>
            <w:r w:rsidR="00343C22" w:rsidRPr="005D79E7">
              <w:t>.</w:t>
            </w:r>
            <w:r>
              <w:t>6</w:t>
            </w:r>
            <w:r w:rsidR="00343C22" w:rsidRPr="005D79E7">
              <w:t>%</w:t>
            </w:r>
          </w:p>
        </w:tc>
      </w:tr>
      <w:tr w:rsidR="00343C22" w14:paraId="5D281A49" w14:textId="77777777" w:rsidTr="000E768B">
        <w:tc>
          <w:tcPr>
            <w:tcW w:w="1353" w:type="dxa"/>
          </w:tcPr>
          <w:p w14:paraId="7A1CA690" w14:textId="77777777" w:rsidR="00343C22" w:rsidRDefault="00343C22" w:rsidP="000E768B">
            <w:pPr>
              <w:pStyle w:val="Tablewriting"/>
            </w:pPr>
            <w:r>
              <w:t>Ipilimumab</w:t>
            </w:r>
          </w:p>
        </w:tc>
        <w:tc>
          <w:tcPr>
            <w:tcW w:w="1262" w:type="dxa"/>
          </w:tcPr>
          <w:p w14:paraId="382EDADF" w14:textId="59D408A0" w:rsidR="00343C22" w:rsidRPr="005D79E7" w:rsidRDefault="00A945B7" w:rsidP="000E768B">
            <w:pPr>
              <w:pStyle w:val="Tablewriting"/>
            </w:pPr>
            <w:r>
              <w:t>41</w:t>
            </w:r>
          </w:p>
        </w:tc>
        <w:tc>
          <w:tcPr>
            <w:tcW w:w="1264" w:type="dxa"/>
          </w:tcPr>
          <w:p w14:paraId="788F80E3" w14:textId="1415269B" w:rsidR="00343C22" w:rsidRPr="005D79E7" w:rsidRDefault="00A945B7" w:rsidP="000E768B">
            <w:pPr>
              <w:pStyle w:val="Tablewriting"/>
            </w:pPr>
            <w:r>
              <w:t>98</w:t>
            </w:r>
          </w:p>
        </w:tc>
        <w:tc>
          <w:tcPr>
            <w:tcW w:w="1264" w:type="dxa"/>
          </w:tcPr>
          <w:p w14:paraId="3450898A" w14:textId="176A1F31" w:rsidR="00343C22" w:rsidRPr="005D79E7" w:rsidRDefault="00A945B7" w:rsidP="000E768B">
            <w:pPr>
              <w:pStyle w:val="Tablewriting"/>
            </w:pPr>
            <w:r>
              <w:t>266</w:t>
            </w:r>
          </w:p>
        </w:tc>
        <w:tc>
          <w:tcPr>
            <w:tcW w:w="1267" w:type="dxa"/>
          </w:tcPr>
          <w:p w14:paraId="10B93D64" w14:textId="2820E551" w:rsidR="00343C22" w:rsidRPr="005D79E7" w:rsidRDefault="00A945B7" w:rsidP="000E768B">
            <w:pPr>
              <w:pStyle w:val="Tablewriting"/>
            </w:pPr>
            <w:r>
              <w:t>1326</w:t>
            </w:r>
          </w:p>
        </w:tc>
        <w:tc>
          <w:tcPr>
            <w:tcW w:w="1267" w:type="dxa"/>
          </w:tcPr>
          <w:p w14:paraId="2D74D908" w14:textId="39D660CF" w:rsidR="00343C22" w:rsidRPr="005D79E7" w:rsidRDefault="00A945B7" w:rsidP="000E768B">
            <w:pPr>
              <w:pStyle w:val="Tablewriting"/>
            </w:pPr>
            <w:r>
              <w:t>964</w:t>
            </w:r>
          </w:p>
        </w:tc>
        <w:tc>
          <w:tcPr>
            <w:tcW w:w="1270" w:type="dxa"/>
          </w:tcPr>
          <w:p w14:paraId="76B6C81E" w14:textId="280D1F8B" w:rsidR="00343C22" w:rsidRPr="005D79E7" w:rsidRDefault="00A945B7" w:rsidP="000E768B">
            <w:pPr>
              <w:pStyle w:val="Tablewriting"/>
            </w:pPr>
            <w:r>
              <w:t>27.3%</w:t>
            </w:r>
          </w:p>
        </w:tc>
      </w:tr>
    </w:tbl>
    <w:p w14:paraId="452B9342" w14:textId="527D2D82" w:rsidR="000E3B0E" w:rsidRDefault="000E3B0E" w:rsidP="000E3B0E">
      <w:pPr>
        <w:pStyle w:val="Figuretitle"/>
      </w:pPr>
      <w:r>
        <w:t xml:space="preserve">Figure </w:t>
      </w:r>
      <w:r w:rsidR="002774FC">
        <w:t>9</w:t>
      </w:r>
      <w:r>
        <w:t xml:space="preserve">: Kaplan-Meier analysis of the time on treatment of patients supplied nivolumab and ipilimumab for unresectable malignant mesothelioma </w:t>
      </w:r>
      <w:r w:rsidR="00BB15C9">
        <w:t xml:space="preserve">excluding </w:t>
      </w:r>
      <w:r>
        <w:t xml:space="preserve">treatment breaks. </w:t>
      </w:r>
    </w:p>
    <w:p w14:paraId="6109C6BF" w14:textId="7E85B22B" w:rsidR="002869D5" w:rsidRDefault="0094117A" w:rsidP="002869D5">
      <w:r>
        <w:t xml:space="preserve">Figure </w:t>
      </w:r>
      <w:r w:rsidR="002774FC">
        <w:t>9</w:t>
      </w:r>
      <w:r>
        <w:t xml:space="preserve"> represents </w:t>
      </w:r>
      <w:r w:rsidR="00442F79">
        <w:t xml:space="preserve">a Kaplan-Meier analysis which does not include treatment breaks and therefore is representative of a patient’s first episode of treatment. </w:t>
      </w:r>
      <w:r w:rsidR="002869D5">
        <w:t>Approximately 19-27% of patients were censored and the median time on treatment for the remaining patients was 103 and 98 days for nivolumab and ipilimumab respectively.</w:t>
      </w:r>
    </w:p>
    <w:p w14:paraId="586BB348" w14:textId="71D43E78" w:rsidR="0097161D" w:rsidRPr="0077477A" w:rsidRDefault="0097161D" w:rsidP="0077477A"/>
    <w:p w14:paraId="6A6740B8" w14:textId="77777777" w:rsidR="00EB389B" w:rsidRDefault="00EB389B">
      <w:pPr>
        <w:spacing w:line="276" w:lineRule="auto"/>
        <w:rPr>
          <w:b/>
          <w:sz w:val="28"/>
        </w:rPr>
      </w:pPr>
      <w:r>
        <w:br w:type="page"/>
      </w:r>
    </w:p>
    <w:p w14:paraId="5F22B4D8" w14:textId="484717C2" w:rsidR="00736041" w:rsidRDefault="00D151EB" w:rsidP="00F73113">
      <w:pPr>
        <w:pStyle w:val="Heading2"/>
      </w:pPr>
      <w:r>
        <w:lastRenderedPageBreak/>
        <w:t xml:space="preserve">Analysis </w:t>
      </w:r>
      <w:r w:rsidR="00C0076F" w:rsidRPr="005E22C2">
        <w:t xml:space="preserve">of </w:t>
      </w:r>
      <w:r w:rsidR="0063631C">
        <w:t>a</w:t>
      </w:r>
      <w:r w:rsidR="00C0076F" w:rsidRPr="005E22C2">
        <w:t xml:space="preserve">ctual versus </w:t>
      </w:r>
      <w:r w:rsidR="0063631C">
        <w:t>p</w:t>
      </w:r>
      <w:r w:rsidR="00C0076F" w:rsidRPr="005E22C2">
        <w:t xml:space="preserve">redicted </w:t>
      </w:r>
      <w:r w:rsidR="0063631C">
        <w:t>u</w:t>
      </w:r>
      <w:r w:rsidR="00C0076F" w:rsidRPr="005E22C2">
        <w:t>tilisation</w:t>
      </w:r>
    </w:p>
    <w:p w14:paraId="3C23385B" w14:textId="305E3130" w:rsidR="001B5E01" w:rsidRPr="001B5E01" w:rsidRDefault="001B5E01" w:rsidP="001B5E01">
      <w:pPr>
        <w:pStyle w:val="Tabletitle"/>
      </w:pPr>
      <w:r>
        <w:t xml:space="preserve">Table </w:t>
      </w:r>
      <w:r w:rsidR="001F2939">
        <w:t>2</w:t>
      </w:r>
      <w:r>
        <w:t>: Actual versus predicted utilisation and cost to the PBS/RPBS of nivolumab and ipilimumab for unresectable malignant mesothelioma</w:t>
      </w:r>
    </w:p>
    <w:tbl>
      <w:tblPr>
        <w:tblStyle w:val="TableGrid"/>
        <w:tblW w:w="0" w:type="auto"/>
        <w:tblLook w:val="04A0" w:firstRow="1" w:lastRow="0" w:firstColumn="1" w:lastColumn="0" w:noHBand="0" w:noVBand="1"/>
      </w:tblPr>
      <w:tblGrid>
        <w:gridCol w:w="1299"/>
        <w:gridCol w:w="1130"/>
        <w:gridCol w:w="1559"/>
        <w:gridCol w:w="1560"/>
        <w:gridCol w:w="1559"/>
      </w:tblGrid>
      <w:tr w:rsidR="003B6D75" w14:paraId="244F4FD4" w14:textId="77777777" w:rsidTr="000114EC">
        <w:tc>
          <w:tcPr>
            <w:tcW w:w="2429" w:type="dxa"/>
            <w:gridSpan w:val="2"/>
            <w:vMerge w:val="restart"/>
            <w:shd w:val="clear" w:color="auto" w:fill="BFBFBF" w:themeFill="background1" w:themeFillShade="BF"/>
          </w:tcPr>
          <w:p w14:paraId="4DBC7D31" w14:textId="77777777" w:rsidR="003B6D75" w:rsidRDefault="003B6D75" w:rsidP="00B15BC7">
            <w:pPr>
              <w:pStyle w:val="Tablewriting"/>
            </w:pPr>
          </w:p>
        </w:tc>
        <w:tc>
          <w:tcPr>
            <w:tcW w:w="1559" w:type="dxa"/>
            <w:shd w:val="clear" w:color="auto" w:fill="BFBFBF" w:themeFill="background1" w:themeFillShade="BF"/>
          </w:tcPr>
          <w:p w14:paraId="531BA61A" w14:textId="370DD61E" w:rsidR="003B6D75" w:rsidRPr="00A63CC6" w:rsidRDefault="003B6D75" w:rsidP="00B15BC7">
            <w:pPr>
              <w:pStyle w:val="Tablewriting"/>
              <w:rPr>
                <w:b/>
                <w:bCs/>
              </w:rPr>
            </w:pPr>
            <w:r w:rsidRPr="00A63CC6">
              <w:rPr>
                <w:b/>
                <w:bCs/>
              </w:rPr>
              <w:t>Year 1</w:t>
            </w:r>
          </w:p>
        </w:tc>
        <w:tc>
          <w:tcPr>
            <w:tcW w:w="1560" w:type="dxa"/>
            <w:shd w:val="clear" w:color="auto" w:fill="BFBFBF" w:themeFill="background1" w:themeFillShade="BF"/>
          </w:tcPr>
          <w:p w14:paraId="66C02376" w14:textId="77C3A2C9" w:rsidR="003B6D75" w:rsidRPr="00A63CC6" w:rsidRDefault="003B6D75" w:rsidP="00B15BC7">
            <w:pPr>
              <w:pStyle w:val="Tablewriting"/>
              <w:rPr>
                <w:b/>
                <w:bCs/>
              </w:rPr>
            </w:pPr>
            <w:r w:rsidRPr="00A63CC6">
              <w:rPr>
                <w:b/>
                <w:bCs/>
              </w:rPr>
              <w:t>Year 2</w:t>
            </w:r>
          </w:p>
        </w:tc>
        <w:tc>
          <w:tcPr>
            <w:tcW w:w="1559" w:type="dxa"/>
            <w:shd w:val="clear" w:color="auto" w:fill="BFBFBF" w:themeFill="background1" w:themeFillShade="BF"/>
          </w:tcPr>
          <w:p w14:paraId="741D54E8" w14:textId="3754EEDF" w:rsidR="003B6D75" w:rsidRPr="00A63CC6" w:rsidRDefault="003B6D75" w:rsidP="00B15BC7">
            <w:pPr>
              <w:pStyle w:val="Tablewriting"/>
              <w:rPr>
                <w:b/>
                <w:bCs/>
              </w:rPr>
            </w:pPr>
            <w:r w:rsidRPr="00A63CC6">
              <w:rPr>
                <w:b/>
                <w:bCs/>
              </w:rPr>
              <w:t>Year 3</w:t>
            </w:r>
          </w:p>
        </w:tc>
      </w:tr>
      <w:tr w:rsidR="003B6D75" w14:paraId="0139AE67" w14:textId="77777777" w:rsidTr="000114EC">
        <w:tc>
          <w:tcPr>
            <w:tcW w:w="2429" w:type="dxa"/>
            <w:gridSpan w:val="2"/>
            <w:vMerge/>
            <w:shd w:val="clear" w:color="auto" w:fill="BFBFBF" w:themeFill="background1" w:themeFillShade="BF"/>
          </w:tcPr>
          <w:p w14:paraId="18136B64" w14:textId="77777777" w:rsidR="003B6D75" w:rsidRDefault="003B6D75" w:rsidP="00B15BC7">
            <w:pPr>
              <w:pStyle w:val="Tablewriting"/>
            </w:pPr>
          </w:p>
        </w:tc>
        <w:tc>
          <w:tcPr>
            <w:tcW w:w="1559" w:type="dxa"/>
            <w:shd w:val="clear" w:color="auto" w:fill="BFBFBF" w:themeFill="background1" w:themeFillShade="BF"/>
          </w:tcPr>
          <w:p w14:paraId="3C0BA3C9" w14:textId="06430786" w:rsidR="003B6D75" w:rsidRPr="00A63CC6" w:rsidRDefault="00633B5D" w:rsidP="00B15BC7">
            <w:pPr>
              <w:pStyle w:val="Tablewriting"/>
              <w:rPr>
                <w:b/>
                <w:bCs/>
              </w:rPr>
            </w:pPr>
            <w:r w:rsidRPr="00A63CC6">
              <w:rPr>
                <w:b/>
                <w:bCs/>
              </w:rPr>
              <w:t>1</w:t>
            </w:r>
            <w:r w:rsidRPr="00A63CC6">
              <w:rPr>
                <w:b/>
                <w:bCs/>
                <w:vertAlign w:val="superscript"/>
              </w:rPr>
              <w:t>st</w:t>
            </w:r>
            <w:r w:rsidRPr="00A63CC6">
              <w:rPr>
                <w:b/>
                <w:bCs/>
              </w:rPr>
              <w:t xml:space="preserve"> July 2021 to </w:t>
            </w:r>
            <w:r w:rsidR="00816AA9" w:rsidRPr="00A63CC6">
              <w:rPr>
                <w:b/>
                <w:bCs/>
              </w:rPr>
              <w:t>30</w:t>
            </w:r>
            <w:r w:rsidR="00816AA9" w:rsidRPr="00A63CC6">
              <w:rPr>
                <w:b/>
                <w:bCs/>
                <w:vertAlign w:val="superscript"/>
              </w:rPr>
              <w:t>th</w:t>
            </w:r>
            <w:r w:rsidR="00816AA9" w:rsidRPr="00A63CC6">
              <w:rPr>
                <w:b/>
                <w:bCs/>
              </w:rPr>
              <w:t xml:space="preserve"> June 2022</w:t>
            </w:r>
          </w:p>
        </w:tc>
        <w:tc>
          <w:tcPr>
            <w:tcW w:w="1560" w:type="dxa"/>
            <w:shd w:val="clear" w:color="auto" w:fill="BFBFBF" w:themeFill="background1" w:themeFillShade="BF"/>
          </w:tcPr>
          <w:p w14:paraId="2597224C" w14:textId="4364873A" w:rsidR="003B6D75" w:rsidRPr="00A63CC6" w:rsidRDefault="00816AA9" w:rsidP="00B15BC7">
            <w:pPr>
              <w:pStyle w:val="Tablewriting"/>
              <w:rPr>
                <w:b/>
                <w:bCs/>
              </w:rPr>
            </w:pPr>
            <w:r w:rsidRPr="00A63CC6">
              <w:rPr>
                <w:b/>
                <w:bCs/>
              </w:rPr>
              <w:t>1</w:t>
            </w:r>
            <w:r w:rsidRPr="00A63CC6">
              <w:rPr>
                <w:b/>
                <w:bCs/>
                <w:vertAlign w:val="superscript"/>
              </w:rPr>
              <w:t>st</w:t>
            </w:r>
            <w:r w:rsidRPr="00A63CC6">
              <w:rPr>
                <w:b/>
                <w:bCs/>
              </w:rPr>
              <w:t xml:space="preserve"> July 2022 to 30</w:t>
            </w:r>
            <w:r w:rsidRPr="00A63CC6">
              <w:rPr>
                <w:b/>
                <w:bCs/>
                <w:vertAlign w:val="superscript"/>
              </w:rPr>
              <w:t>th</w:t>
            </w:r>
            <w:r w:rsidRPr="00A63CC6">
              <w:rPr>
                <w:b/>
                <w:bCs/>
              </w:rPr>
              <w:t xml:space="preserve"> June 2023</w:t>
            </w:r>
          </w:p>
        </w:tc>
        <w:tc>
          <w:tcPr>
            <w:tcW w:w="1559" w:type="dxa"/>
            <w:shd w:val="clear" w:color="auto" w:fill="BFBFBF" w:themeFill="background1" w:themeFillShade="BF"/>
          </w:tcPr>
          <w:p w14:paraId="320B9401" w14:textId="2AAC2A8E" w:rsidR="003B6D75" w:rsidRPr="00A63CC6" w:rsidRDefault="00816AA9" w:rsidP="00B15BC7">
            <w:pPr>
              <w:pStyle w:val="Tablewriting"/>
              <w:rPr>
                <w:b/>
                <w:bCs/>
              </w:rPr>
            </w:pPr>
            <w:r w:rsidRPr="00A63CC6">
              <w:rPr>
                <w:b/>
                <w:bCs/>
              </w:rPr>
              <w:t>1</w:t>
            </w:r>
            <w:r w:rsidRPr="00A63CC6">
              <w:rPr>
                <w:b/>
                <w:bCs/>
                <w:vertAlign w:val="superscript"/>
              </w:rPr>
              <w:t>st</w:t>
            </w:r>
            <w:r w:rsidRPr="00A63CC6">
              <w:rPr>
                <w:b/>
                <w:bCs/>
              </w:rPr>
              <w:t xml:space="preserve"> July 2023 to 30</w:t>
            </w:r>
            <w:r w:rsidRPr="00A63CC6">
              <w:rPr>
                <w:b/>
                <w:bCs/>
                <w:vertAlign w:val="superscript"/>
              </w:rPr>
              <w:t>th</w:t>
            </w:r>
            <w:r w:rsidRPr="00A63CC6">
              <w:rPr>
                <w:b/>
                <w:bCs/>
              </w:rPr>
              <w:t xml:space="preserve"> June 2024*</w:t>
            </w:r>
          </w:p>
        </w:tc>
      </w:tr>
      <w:tr w:rsidR="003B6D75" w:rsidRPr="00C13322" w14:paraId="0FFABA57" w14:textId="77777777" w:rsidTr="000114EC">
        <w:tc>
          <w:tcPr>
            <w:tcW w:w="1299" w:type="dxa"/>
            <w:vMerge w:val="restart"/>
          </w:tcPr>
          <w:p w14:paraId="1CE45633" w14:textId="51C5A3C3" w:rsidR="003B6D75" w:rsidRPr="00C13322" w:rsidRDefault="00E05F55" w:rsidP="00B15BC7">
            <w:pPr>
              <w:pStyle w:val="Tablewriting"/>
              <w:rPr>
                <w:b/>
                <w:bCs/>
              </w:rPr>
            </w:pPr>
            <w:r w:rsidRPr="00C13322">
              <w:rPr>
                <w:b/>
                <w:bCs/>
              </w:rPr>
              <w:t>Patients</w:t>
            </w:r>
          </w:p>
        </w:tc>
        <w:tc>
          <w:tcPr>
            <w:tcW w:w="1130" w:type="dxa"/>
          </w:tcPr>
          <w:p w14:paraId="7ECB9F84" w14:textId="1D14CD80" w:rsidR="003B6D75" w:rsidRPr="00C13322" w:rsidRDefault="003B6D75" w:rsidP="00B15BC7">
            <w:pPr>
              <w:pStyle w:val="Tablewriting"/>
              <w:rPr>
                <w:b/>
                <w:bCs/>
              </w:rPr>
            </w:pPr>
            <w:r w:rsidRPr="00C13322">
              <w:rPr>
                <w:b/>
                <w:bCs/>
              </w:rPr>
              <w:t>Predicted</w:t>
            </w:r>
          </w:p>
        </w:tc>
        <w:tc>
          <w:tcPr>
            <w:tcW w:w="1559" w:type="dxa"/>
          </w:tcPr>
          <w:p w14:paraId="64B3911C" w14:textId="7FFEDC34" w:rsidR="003B6D75" w:rsidRPr="00C13322" w:rsidRDefault="000114EC" w:rsidP="00B15BC7">
            <w:pPr>
              <w:pStyle w:val="Tablewriting"/>
            </w:pPr>
            <w:r w:rsidRPr="000114EC">
              <w:rPr>
                <w:highlight w:val="black"/>
              </w:rPr>
              <w:t>XXXXXXXXXXXX</w:t>
            </w:r>
          </w:p>
        </w:tc>
        <w:tc>
          <w:tcPr>
            <w:tcW w:w="1560" w:type="dxa"/>
          </w:tcPr>
          <w:p w14:paraId="57D2D508" w14:textId="1C042A02" w:rsidR="003B6D75" w:rsidRPr="00C13322" w:rsidRDefault="000114EC" w:rsidP="00B15BC7">
            <w:pPr>
              <w:pStyle w:val="Tablewriting"/>
            </w:pPr>
            <w:r w:rsidRPr="000114EC">
              <w:rPr>
                <w:highlight w:val="black"/>
              </w:rPr>
              <w:t>XXXXXXXXXXXX</w:t>
            </w:r>
          </w:p>
        </w:tc>
        <w:tc>
          <w:tcPr>
            <w:tcW w:w="1559" w:type="dxa"/>
          </w:tcPr>
          <w:p w14:paraId="4E438965" w14:textId="47A11935" w:rsidR="003B6D75" w:rsidRPr="00C13322" w:rsidRDefault="000114EC" w:rsidP="00B15BC7">
            <w:pPr>
              <w:pStyle w:val="Tablewriting"/>
            </w:pPr>
            <w:r w:rsidRPr="000114EC">
              <w:rPr>
                <w:highlight w:val="black"/>
              </w:rPr>
              <w:t>XXXXXXXXXXXX</w:t>
            </w:r>
          </w:p>
        </w:tc>
      </w:tr>
      <w:tr w:rsidR="003B6D75" w:rsidRPr="00C13322" w14:paraId="3C6E5FB3" w14:textId="77777777" w:rsidTr="000114EC">
        <w:tc>
          <w:tcPr>
            <w:tcW w:w="1299" w:type="dxa"/>
            <w:vMerge/>
          </w:tcPr>
          <w:p w14:paraId="20CB5C7F" w14:textId="77777777" w:rsidR="003B6D75" w:rsidRPr="00C13322" w:rsidRDefault="003B6D75" w:rsidP="00B15BC7">
            <w:pPr>
              <w:pStyle w:val="Tablewriting"/>
              <w:rPr>
                <w:b/>
                <w:bCs/>
              </w:rPr>
            </w:pPr>
          </w:p>
        </w:tc>
        <w:tc>
          <w:tcPr>
            <w:tcW w:w="1130" w:type="dxa"/>
          </w:tcPr>
          <w:p w14:paraId="34A83327" w14:textId="32B3A36A" w:rsidR="003B6D75" w:rsidRPr="00C13322" w:rsidRDefault="003B6D75" w:rsidP="00B15BC7">
            <w:pPr>
              <w:pStyle w:val="Tablewriting"/>
              <w:rPr>
                <w:b/>
                <w:bCs/>
              </w:rPr>
            </w:pPr>
            <w:r w:rsidRPr="00C13322">
              <w:rPr>
                <w:b/>
                <w:bCs/>
              </w:rPr>
              <w:t>Actual</w:t>
            </w:r>
          </w:p>
        </w:tc>
        <w:tc>
          <w:tcPr>
            <w:tcW w:w="1559" w:type="dxa"/>
          </w:tcPr>
          <w:p w14:paraId="33BF2FCB" w14:textId="61EADC67" w:rsidR="003B6D75" w:rsidRPr="00C13322" w:rsidRDefault="004B16BD" w:rsidP="00B15BC7">
            <w:pPr>
              <w:pStyle w:val="Tablewriting"/>
            </w:pPr>
            <w:r w:rsidRPr="00C13322">
              <w:t>748</w:t>
            </w:r>
          </w:p>
        </w:tc>
        <w:tc>
          <w:tcPr>
            <w:tcW w:w="1560" w:type="dxa"/>
          </w:tcPr>
          <w:p w14:paraId="4899434E" w14:textId="6F69332F" w:rsidR="003B6D75" w:rsidRPr="00C13322" w:rsidRDefault="004B16BD" w:rsidP="00B15BC7">
            <w:pPr>
              <w:pStyle w:val="Tablewriting"/>
            </w:pPr>
            <w:r w:rsidRPr="00C13322">
              <w:t>742</w:t>
            </w:r>
          </w:p>
        </w:tc>
        <w:tc>
          <w:tcPr>
            <w:tcW w:w="1559" w:type="dxa"/>
          </w:tcPr>
          <w:p w14:paraId="3AB7E8E5" w14:textId="6CF62F3A" w:rsidR="003B6D75" w:rsidRPr="00C13322" w:rsidRDefault="004B16BD" w:rsidP="00B15BC7">
            <w:pPr>
              <w:pStyle w:val="Tablewriting"/>
            </w:pPr>
            <w:r w:rsidRPr="00C13322">
              <w:t>502</w:t>
            </w:r>
          </w:p>
        </w:tc>
      </w:tr>
      <w:tr w:rsidR="003B6D75" w:rsidRPr="00C13322" w14:paraId="6B9D6C61" w14:textId="77777777" w:rsidTr="000114EC">
        <w:tc>
          <w:tcPr>
            <w:tcW w:w="1299" w:type="dxa"/>
            <w:vMerge/>
          </w:tcPr>
          <w:p w14:paraId="715A2CF1" w14:textId="77777777" w:rsidR="003B6D75" w:rsidRPr="00C13322" w:rsidRDefault="003B6D75" w:rsidP="00B15BC7">
            <w:pPr>
              <w:pStyle w:val="Tablewriting"/>
              <w:rPr>
                <w:b/>
                <w:bCs/>
              </w:rPr>
            </w:pPr>
          </w:p>
        </w:tc>
        <w:tc>
          <w:tcPr>
            <w:tcW w:w="1130" w:type="dxa"/>
          </w:tcPr>
          <w:p w14:paraId="2B7B0E5E" w14:textId="347125D3" w:rsidR="003B6D75" w:rsidRPr="00C13322" w:rsidRDefault="003B6D75" w:rsidP="00B15BC7">
            <w:pPr>
              <w:pStyle w:val="Tablewriting"/>
              <w:rPr>
                <w:b/>
                <w:bCs/>
              </w:rPr>
            </w:pPr>
            <w:r w:rsidRPr="00C13322">
              <w:rPr>
                <w:b/>
                <w:bCs/>
              </w:rPr>
              <w:t>Difference</w:t>
            </w:r>
          </w:p>
        </w:tc>
        <w:tc>
          <w:tcPr>
            <w:tcW w:w="1559" w:type="dxa"/>
          </w:tcPr>
          <w:p w14:paraId="2AE2E685" w14:textId="6F18C2E8" w:rsidR="003B6D75" w:rsidRPr="00C13322" w:rsidRDefault="000114EC" w:rsidP="00B15BC7">
            <w:pPr>
              <w:pStyle w:val="Tablewriting"/>
            </w:pPr>
            <w:r w:rsidRPr="000114EC">
              <w:rPr>
                <w:highlight w:val="black"/>
              </w:rPr>
              <w:t>XXXXXXXXXXXX</w:t>
            </w:r>
          </w:p>
        </w:tc>
        <w:tc>
          <w:tcPr>
            <w:tcW w:w="1560" w:type="dxa"/>
          </w:tcPr>
          <w:p w14:paraId="5DB242E6" w14:textId="596A44A4" w:rsidR="003B6D75" w:rsidRPr="00C13322" w:rsidRDefault="000114EC" w:rsidP="00B15BC7">
            <w:pPr>
              <w:pStyle w:val="Tablewriting"/>
            </w:pPr>
            <w:r w:rsidRPr="000114EC">
              <w:rPr>
                <w:highlight w:val="black"/>
              </w:rPr>
              <w:t>XXXXXXXXXXXX</w:t>
            </w:r>
          </w:p>
        </w:tc>
        <w:tc>
          <w:tcPr>
            <w:tcW w:w="1559" w:type="dxa"/>
          </w:tcPr>
          <w:p w14:paraId="1ABD4F71" w14:textId="28E6B8F7" w:rsidR="003B6D75" w:rsidRPr="00C13322" w:rsidRDefault="009E4D67" w:rsidP="00B15BC7">
            <w:pPr>
              <w:pStyle w:val="Tablewriting"/>
            </w:pPr>
            <w:r w:rsidRPr="00C13322">
              <w:t>NA</w:t>
            </w:r>
          </w:p>
        </w:tc>
      </w:tr>
      <w:tr w:rsidR="003B6D75" w:rsidRPr="00C13322" w14:paraId="312AD8E9" w14:textId="77777777" w:rsidTr="000114EC">
        <w:tc>
          <w:tcPr>
            <w:tcW w:w="1299" w:type="dxa"/>
            <w:vMerge w:val="restart"/>
          </w:tcPr>
          <w:p w14:paraId="1153A646" w14:textId="4DB198EA" w:rsidR="003B6D75" w:rsidRPr="00C13322" w:rsidRDefault="00E05F55" w:rsidP="00B15BC7">
            <w:pPr>
              <w:pStyle w:val="Tablewriting"/>
              <w:rPr>
                <w:b/>
                <w:bCs/>
              </w:rPr>
            </w:pPr>
            <w:r w:rsidRPr="00C13322">
              <w:rPr>
                <w:b/>
                <w:bCs/>
              </w:rPr>
              <w:t>Prescriptions</w:t>
            </w:r>
          </w:p>
        </w:tc>
        <w:tc>
          <w:tcPr>
            <w:tcW w:w="1130" w:type="dxa"/>
          </w:tcPr>
          <w:p w14:paraId="511E8799" w14:textId="0A48240A" w:rsidR="003B6D75" w:rsidRPr="00C13322" w:rsidRDefault="003B6D75" w:rsidP="00B15BC7">
            <w:pPr>
              <w:pStyle w:val="Tablewriting"/>
              <w:rPr>
                <w:b/>
                <w:bCs/>
              </w:rPr>
            </w:pPr>
            <w:r w:rsidRPr="00C13322">
              <w:rPr>
                <w:b/>
                <w:bCs/>
              </w:rPr>
              <w:t>Predicted</w:t>
            </w:r>
          </w:p>
        </w:tc>
        <w:tc>
          <w:tcPr>
            <w:tcW w:w="1559" w:type="dxa"/>
          </w:tcPr>
          <w:p w14:paraId="1B44CCF4" w14:textId="4E05FD37" w:rsidR="003B6D75" w:rsidRPr="00C13322" w:rsidRDefault="000114EC" w:rsidP="00B15BC7">
            <w:pPr>
              <w:pStyle w:val="Tablewriting"/>
            </w:pPr>
            <w:r w:rsidRPr="000114EC">
              <w:rPr>
                <w:highlight w:val="black"/>
              </w:rPr>
              <w:t>XXXXXXXXXXXX</w:t>
            </w:r>
          </w:p>
        </w:tc>
        <w:tc>
          <w:tcPr>
            <w:tcW w:w="1560" w:type="dxa"/>
          </w:tcPr>
          <w:p w14:paraId="39777459" w14:textId="064BD7FD" w:rsidR="003B6D75" w:rsidRPr="00C13322" w:rsidRDefault="000114EC" w:rsidP="00B15BC7">
            <w:pPr>
              <w:pStyle w:val="Tablewriting"/>
            </w:pPr>
            <w:r w:rsidRPr="000114EC">
              <w:rPr>
                <w:highlight w:val="black"/>
              </w:rPr>
              <w:t>XXXXXXXXXXXX</w:t>
            </w:r>
          </w:p>
        </w:tc>
        <w:tc>
          <w:tcPr>
            <w:tcW w:w="1559" w:type="dxa"/>
          </w:tcPr>
          <w:p w14:paraId="36B74DA7" w14:textId="5866DBE3" w:rsidR="003B6D75" w:rsidRPr="00C13322" w:rsidRDefault="000114EC" w:rsidP="00B15BC7">
            <w:pPr>
              <w:pStyle w:val="Tablewriting"/>
            </w:pPr>
            <w:r w:rsidRPr="000114EC">
              <w:rPr>
                <w:highlight w:val="black"/>
              </w:rPr>
              <w:t>XXXXXXXXXXXX</w:t>
            </w:r>
          </w:p>
        </w:tc>
      </w:tr>
      <w:tr w:rsidR="003B6D75" w:rsidRPr="00C13322" w14:paraId="099FE4DC" w14:textId="77777777" w:rsidTr="000114EC">
        <w:tc>
          <w:tcPr>
            <w:tcW w:w="1299" w:type="dxa"/>
            <w:vMerge/>
          </w:tcPr>
          <w:p w14:paraId="53D022EF" w14:textId="77777777" w:rsidR="003B6D75" w:rsidRPr="00C13322" w:rsidRDefault="003B6D75" w:rsidP="00B15BC7">
            <w:pPr>
              <w:pStyle w:val="Tablewriting"/>
              <w:rPr>
                <w:b/>
                <w:bCs/>
              </w:rPr>
            </w:pPr>
          </w:p>
        </w:tc>
        <w:tc>
          <w:tcPr>
            <w:tcW w:w="1130" w:type="dxa"/>
          </w:tcPr>
          <w:p w14:paraId="72D8FED1" w14:textId="0C9B4C82" w:rsidR="003B6D75" w:rsidRPr="00C13322" w:rsidRDefault="003B6D75" w:rsidP="00B15BC7">
            <w:pPr>
              <w:pStyle w:val="Tablewriting"/>
              <w:rPr>
                <w:b/>
                <w:bCs/>
              </w:rPr>
            </w:pPr>
            <w:r w:rsidRPr="00C13322">
              <w:rPr>
                <w:b/>
                <w:bCs/>
              </w:rPr>
              <w:t>Actual</w:t>
            </w:r>
          </w:p>
        </w:tc>
        <w:tc>
          <w:tcPr>
            <w:tcW w:w="1559" w:type="dxa"/>
          </w:tcPr>
          <w:p w14:paraId="09B48985" w14:textId="05F46C79" w:rsidR="003B6D75" w:rsidRPr="00C13322" w:rsidRDefault="0052229F" w:rsidP="00B15BC7">
            <w:pPr>
              <w:pStyle w:val="Tablewriting"/>
            </w:pPr>
            <w:r w:rsidRPr="00C13322">
              <w:t>7997</w:t>
            </w:r>
          </w:p>
        </w:tc>
        <w:tc>
          <w:tcPr>
            <w:tcW w:w="1560" w:type="dxa"/>
          </w:tcPr>
          <w:p w14:paraId="6E0C74E0" w14:textId="046CCECF" w:rsidR="003B6D75" w:rsidRPr="00C13322" w:rsidRDefault="0052229F" w:rsidP="00B15BC7">
            <w:pPr>
              <w:pStyle w:val="Tablewriting"/>
            </w:pPr>
            <w:r w:rsidRPr="00C13322">
              <w:t>7724</w:t>
            </w:r>
          </w:p>
        </w:tc>
        <w:tc>
          <w:tcPr>
            <w:tcW w:w="1559" w:type="dxa"/>
          </w:tcPr>
          <w:p w14:paraId="6EECB31A" w14:textId="525C5253" w:rsidR="003B6D75" w:rsidRPr="00C13322" w:rsidRDefault="0052229F" w:rsidP="00B15BC7">
            <w:pPr>
              <w:pStyle w:val="Tablewriting"/>
            </w:pPr>
            <w:r w:rsidRPr="00C13322">
              <w:t>3387</w:t>
            </w:r>
          </w:p>
        </w:tc>
      </w:tr>
      <w:tr w:rsidR="000114EC" w:rsidRPr="00C13322" w14:paraId="7D34A130" w14:textId="77777777" w:rsidTr="000114EC">
        <w:tc>
          <w:tcPr>
            <w:tcW w:w="1299" w:type="dxa"/>
            <w:vMerge/>
          </w:tcPr>
          <w:p w14:paraId="561B7B80" w14:textId="77777777" w:rsidR="000114EC" w:rsidRPr="00C13322" w:rsidRDefault="000114EC" w:rsidP="000114EC">
            <w:pPr>
              <w:pStyle w:val="Tablewriting"/>
              <w:rPr>
                <w:b/>
                <w:bCs/>
              </w:rPr>
            </w:pPr>
          </w:p>
        </w:tc>
        <w:tc>
          <w:tcPr>
            <w:tcW w:w="1130" w:type="dxa"/>
          </w:tcPr>
          <w:p w14:paraId="775DC473" w14:textId="3CD2C588" w:rsidR="000114EC" w:rsidRPr="00C13322" w:rsidRDefault="000114EC" w:rsidP="000114EC">
            <w:pPr>
              <w:pStyle w:val="Tablewriting"/>
              <w:rPr>
                <w:b/>
                <w:bCs/>
              </w:rPr>
            </w:pPr>
            <w:r w:rsidRPr="00C13322">
              <w:rPr>
                <w:b/>
                <w:bCs/>
              </w:rPr>
              <w:t>Difference</w:t>
            </w:r>
          </w:p>
        </w:tc>
        <w:tc>
          <w:tcPr>
            <w:tcW w:w="1559" w:type="dxa"/>
          </w:tcPr>
          <w:p w14:paraId="63465FA5" w14:textId="67C0EB6D" w:rsidR="000114EC" w:rsidRPr="00C13322" w:rsidRDefault="000114EC" w:rsidP="000114EC">
            <w:pPr>
              <w:pStyle w:val="Tablewriting"/>
            </w:pPr>
            <w:r w:rsidRPr="00EF5C8B">
              <w:rPr>
                <w:highlight w:val="black"/>
              </w:rPr>
              <w:t>XXXXXXXXXXXX</w:t>
            </w:r>
          </w:p>
        </w:tc>
        <w:tc>
          <w:tcPr>
            <w:tcW w:w="1560" w:type="dxa"/>
          </w:tcPr>
          <w:p w14:paraId="1DD01E20" w14:textId="07F5F352" w:rsidR="000114EC" w:rsidRPr="00C13322" w:rsidRDefault="000114EC" w:rsidP="000114EC">
            <w:pPr>
              <w:pStyle w:val="Tablewriting"/>
            </w:pPr>
            <w:r w:rsidRPr="00EF5C8B">
              <w:rPr>
                <w:highlight w:val="black"/>
              </w:rPr>
              <w:t>XXXXXXXXXXXX</w:t>
            </w:r>
          </w:p>
        </w:tc>
        <w:tc>
          <w:tcPr>
            <w:tcW w:w="1559" w:type="dxa"/>
          </w:tcPr>
          <w:p w14:paraId="54207BA7" w14:textId="1D181EB5" w:rsidR="000114EC" w:rsidRPr="00C13322" w:rsidRDefault="000114EC" w:rsidP="000114EC">
            <w:pPr>
              <w:pStyle w:val="Tablewriting"/>
            </w:pPr>
            <w:r w:rsidRPr="00C13322">
              <w:t>NA</w:t>
            </w:r>
          </w:p>
        </w:tc>
      </w:tr>
      <w:tr w:rsidR="000114EC" w:rsidRPr="00C13322" w14:paraId="2E1FA6F8" w14:textId="77777777" w:rsidTr="000114EC">
        <w:tc>
          <w:tcPr>
            <w:tcW w:w="1299" w:type="dxa"/>
            <w:vMerge w:val="restart"/>
          </w:tcPr>
          <w:p w14:paraId="457B7F21" w14:textId="33BFA638" w:rsidR="000114EC" w:rsidRPr="00C13322" w:rsidRDefault="000114EC" w:rsidP="000114EC">
            <w:pPr>
              <w:pStyle w:val="Tablewriting"/>
              <w:rPr>
                <w:b/>
                <w:bCs/>
              </w:rPr>
            </w:pPr>
            <w:r w:rsidRPr="00C13322">
              <w:rPr>
                <w:b/>
                <w:bCs/>
              </w:rPr>
              <w:t>Net Cost PBS/RPBS</w:t>
            </w:r>
          </w:p>
        </w:tc>
        <w:tc>
          <w:tcPr>
            <w:tcW w:w="1130" w:type="dxa"/>
          </w:tcPr>
          <w:p w14:paraId="2DC900BD" w14:textId="5D709340" w:rsidR="000114EC" w:rsidRPr="00C13322" w:rsidRDefault="000114EC" w:rsidP="000114EC">
            <w:pPr>
              <w:pStyle w:val="Tablewriting"/>
              <w:rPr>
                <w:b/>
                <w:bCs/>
              </w:rPr>
            </w:pPr>
            <w:r w:rsidRPr="00C13322">
              <w:rPr>
                <w:b/>
                <w:bCs/>
              </w:rPr>
              <w:t>Predicted</w:t>
            </w:r>
          </w:p>
        </w:tc>
        <w:tc>
          <w:tcPr>
            <w:tcW w:w="1559" w:type="dxa"/>
          </w:tcPr>
          <w:p w14:paraId="132E0DC8" w14:textId="5EA53A2C" w:rsidR="000114EC" w:rsidRPr="00C13322" w:rsidRDefault="000114EC" w:rsidP="000114EC">
            <w:pPr>
              <w:pStyle w:val="Tablewriting"/>
            </w:pPr>
            <w:r w:rsidRPr="00850F41">
              <w:rPr>
                <w:highlight w:val="black"/>
              </w:rPr>
              <w:t>XXXXXXXXXXXX</w:t>
            </w:r>
          </w:p>
        </w:tc>
        <w:tc>
          <w:tcPr>
            <w:tcW w:w="1560" w:type="dxa"/>
          </w:tcPr>
          <w:p w14:paraId="68D37131" w14:textId="65FF2247" w:rsidR="000114EC" w:rsidRPr="00C13322" w:rsidRDefault="000114EC" w:rsidP="000114EC">
            <w:pPr>
              <w:pStyle w:val="Tablewriting"/>
            </w:pPr>
            <w:r w:rsidRPr="00850F41">
              <w:rPr>
                <w:highlight w:val="black"/>
              </w:rPr>
              <w:t>XXXXXXXXXXXX</w:t>
            </w:r>
          </w:p>
        </w:tc>
        <w:tc>
          <w:tcPr>
            <w:tcW w:w="1559" w:type="dxa"/>
          </w:tcPr>
          <w:p w14:paraId="12AA6634" w14:textId="433EDEA1" w:rsidR="000114EC" w:rsidRPr="00C13322" w:rsidRDefault="000114EC" w:rsidP="000114EC">
            <w:pPr>
              <w:pStyle w:val="Tablewriting"/>
            </w:pPr>
            <w:r w:rsidRPr="00850F41">
              <w:rPr>
                <w:highlight w:val="black"/>
              </w:rPr>
              <w:t>XXXXXXXXXXXX</w:t>
            </w:r>
          </w:p>
        </w:tc>
      </w:tr>
      <w:tr w:rsidR="00E64E64" w:rsidRPr="00C13322" w14:paraId="3AEE614B" w14:textId="77777777" w:rsidTr="000114EC">
        <w:tc>
          <w:tcPr>
            <w:tcW w:w="1299" w:type="dxa"/>
            <w:vMerge/>
          </w:tcPr>
          <w:p w14:paraId="34DE3236" w14:textId="77777777" w:rsidR="00E64E64" w:rsidRPr="00C13322" w:rsidRDefault="00E64E64" w:rsidP="00B15BC7">
            <w:pPr>
              <w:pStyle w:val="Tablewriting"/>
              <w:rPr>
                <w:b/>
                <w:bCs/>
              </w:rPr>
            </w:pPr>
          </w:p>
        </w:tc>
        <w:tc>
          <w:tcPr>
            <w:tcW w:w="1130" w:type="dxa"/>
          </w:tcPr>
          <w:p w14:paraId="4B39031B" w14:textId="42CDD577" w:rsidR="00E64E64" w:rsidRPr="00C13322" w:rsidRDefault="00E64E64" w:rsidP="00B15BC7">
            <w:pPr>
              <w:pStyle w:val="Tablewriting"/>
              <w:rPr>
                <w:b/>
                <w:bCs/>
              </w:rPr>
            </w:pPr>
            <w:r w:rsidRPr="00C13322">
              <w:rPr>
                <w:b/>
                <w:bCs/>
              </w:rPr>
              <w:t>Actual</w:t>
            </w:r>
          </w:p>
        </w:tc>
        <w:tc>
          <w:tcPr>
            <w:tcW w:w="1559" w:type="dxa"/>
          </w:tcPr>
          <w:p w14:paraId="6538F334" w14:textId="43F8BCB3" w:rsidR="00E64E64" w:rsidRPr="00C13322" w:rsidRDefault="00E64E64" w:rsidP="00B15BC7">
            <w:pPr>
              <w:pStyle w:val="Tablewriting"/>
            </w:pPr>
            <w:r w:rsidRPr="00C13322">
              <w:t>$58,009,360</w:t>
            </w:r>
          </w:p>
        </w:tc>
        <w:tc>
          <w:tcPr>
            <w:tcW w:w="1560" w:type="dxa"/>
          </w:tcPr>
          <w:p w14:paraId="54D70E45" w14:textId="37608EAF" w:rsidR="00E64E64" w:rsidRPr="00C13322" w:rsidRDefault="00E64E64" w:rsidP="00B15BC7">
            <w:pPr>
              <w:pStyle w:val="Tablewriting"/>
            </w:pPr>
            <w:r w:rsidRPr="00C13322">
              <w:t>$59,793,100</w:t>
            </w:r>
          </w:p>
        </w:tc>
        <w:tc>
          <w:tcPr>
            <w:tcW w:w="1559" w:type="dxa"/>
          </w:tcPr>
          <w:p w14:paraId="594B5AFC" w14:textId="0F51798D" w:rsidR="00E64E64" w:rsidRPr="00C13322" w:rsidRDefault="00E64E64" w:rsidP="00B15BC7">
            <w:pPr>
              <w:pStyle w:val="Tablewriting"/>
            </w:pPr>
            <w:r w:rsidRPr="00C13322">
              <w:t>$27,911,298</w:t>
            </w:r>
          </w:p>
        </w:tc>
      </w:tr>
      <w:tr w:rsidR="000114EC" w:rsidRPr="00C13322" w14:paraId="60729F53" w14:textId="77777777" w:rsidTr="000114EC">
        <w:tc>
          <w:tcPr>
            <w:tcW w:w="1299" w:type="dxa"/>
            <w:vMerge/>
          </w:tcPr>
          <w:p w14:paraId="57B57EED" w14:textId="77777777" w:rsidR="000114EC" w:rsidRPr="00C13322" w:rsidRDefault="000114EC" w:rsidP="000114EC">
            <w:pPr>
              <w:pStyle w:val="Tablewriting"/>
              <w:rPr>
                <w:b/>
                <w:bCs/>
              </w:rPr>
            </w:pPr>
          </w:p>
        </w:tc>
        <w:tc>
          <w:tcPr>
            <w:tcW w:w="1130" w:type="dxa"/>
          </w:tcPr>
          <w:p w14:paraId="68D324AF" w14:textId="6D83208D" w:rsidR="000114EC" w:rsidRPr="00C13322" w:rsidRDefault="000114EC" w:rsidP="000114EC">
            <w:pPr>
              <w:pStyle w:val="Tablewriting"/>
              <w:rPr>
                <w:b/>
                <w:bCs/>
              </w:rPr>
            </w:pPr>
            <w:r w:rsidRPr="00C13322">
              <w:rPr>
                <w:b/>
                <w:bCs/>
              </w:rPr>
              <w:t>Difference</w:t>
            </w:r>
          </w:p>
        </w:tc>
        <w:tc>
          <w:tcPr>
            <w:tcW w:w="1559" w:type="dxa"/>
          </w:tcPr>
          <w:p w14:paraId="07333E92" w14:textId="7A2AF0A1" w:rsidR="000114EC" w:rsidRPr="00C13322" w:rsidRDefault="000114EC" w:rsidP="000114EC">
            <w:pPr>
              <w:pStyle w:val="Tablewriting"/>
            </w:pPr>
            <w:r w:rsidRPr="006F4F64">
              <w:rPr>
                <w:highlight w:val="black"/>
              </w:rPr>
              <w:t>XXXXXXXXXXXX</w:t>
            </w:r>
          </w:p>
        </w:tc>
        <w:tc>
          <w:tcPr>
            <w:tcW w:w="1560" w:type="dxa"/>
          </w:tcPr>
          <w:p w14:paraId="53F41738" w14:textId="295027CA" w:rsidR="000114EC" w:rsidRPr="00C13322" w:rsidRDefault="000114EC" w:rsidP="000114EC">
            <w:pPr>
              <w:pStyle w:val="Tablewriting"/>
            </w:pPr>
            <w:r w:rsidRPr="006F4F64">
              <w:rPr>
                <w:highlight w:val="black"/>
              </w:rPr>
              <w:t>XXXXXXXXXXXX</w:t>
            </w:r>
          </w:p>
        </w:tc>
        <w:tc>
          <w:tcPr>
            <w:tcW w:w="1559" w:type="dxa"/>
          </w:tcPr>
          <w:p w14:paraId="562B9150" w14:textId="15D1215B" w:rsidR="000114EC" w:rsidRPr="00C13322" w:rsidRDefault="000114EC" w:rsidP="000114EC">
            <w:pPr>
              <w:pStyle w:val="Tablewriting"/>
            </w:pPr>
            <w:r w:rsidRPr="006F4F64">
              <w:rPr>
                <w:highlight w:val="black"/>
              </w:rPr>
              <w:t>XXXXXXXXXXXX</w:t>
            </w:r>
          </w:p>
        </w:tc>
      </w:tr>
    </w:tbl>
    <w:p w14:paraId="4527B7C2" w14:textId="70477E45" w:rsidR="00607419" w:rsidRPr="00C13322" w:rsidRDefault="003710A4" w:rsidP="003710A4">
      <w:pPr>
        <w:pStyle w:val="Notes"/>
      </w:pPr>
      <w:r w:rsidRPr="00C13322">
        <w:t xml:space="preserve">* Year 3 </w:t>
      </w:r>
      <w:r w:rsidR="005519CA" w:rsidRPr="00C13322">
        <w:t xml:space="preserve">contains </w:t>
      </w:r>
      <w:r w:rsidR="00794F72" w:rsidRPr="00C13322">
        <w:t xml:space="preserve">data up to </w:t>
      </w:r>
      <w:r w:rsidR="00264A40" w:rsidRPr="00C13322">
        <w:t xml:space="preserve">November 2023 and is not representative of a full listing year. </w:t>
      </w:r>
    </w:p>
    <w:p w14:paraId="5C3D8187" w14:textId="53C4E1B0" w:rsidR="00550FC7" w:rsidRDefault="00C44648" w:rsidP="00607419">
      <w:r w:rsidRPr="00C13322">
        <w:t xml:space="preserve">Table </w:t>
      </w:r>
      <w:r w:rsidR="001F2939" w:rsidRPr="00C13322">
        <w:t>2</w:t>
      </w:r>
      <w:r w:rsidRPr="00C13322">
        <w:t xml:space="preserve"> presents a comparison of the predicted versus actual utilisation and expenditure of nivolumab and ipilimumab for unresectable malignant mesothelioma since listing in July 2021. In the first year of listing the number of prevalent patients was 748 which is </w:t>
      </w:r>
      <w:r w:rsidR="000114EC" w:rsidRPr="006F4F64">
        <w:rPr>
          <w:highlight w:val="black"/>
        </w:rPr>
        <w:t>XXXXX</w:t>
      </w:r>
      <w:r w:rsidRPr="00C13322">
        <w:t xml:space="preserve"> than what was predicted. The number of patients in Year 2 was </w:t>
      </w:r>
      <w:r w:rsidR="00BB7CDE" w:rsidRPr="00C13322">
        <w:t>742</w:t>
      </w:r>
      <w:r w:rsidRPr="00C13322">
        <w:t xml:space="preserve"> which is </w:t>
      </w:r>
      <w:r w:rsidR="000114EC" w:rsidRPr="006F4F64">
        <w:rPr>
          <w:highlight w:val="black"/>
        </w:rPr>
        <w:t>XXXXX</w:t>
      </w:r>
      <w:r w:rsidRPr="00C13322">
        <w:t xml:space="preserve"> than </w:t>
      </w:r>
      <w:r w:rsidR="00C866CE" w:rsidRPr="00C13322">
        <w:t>what</w:t>
      </w:r>
      <w:r w:rsidRPr="00C13322">
        <w:t xml:space="preserve"> was predicted. The number of prescriptions dispensed in </w:t>
      </w:r>
      <w:r w:rsidR="00C866CE" w:rsidRPr="00C13322">
        <w:t>the first</w:t>
      </w:r>
      <w:r w:rsidRPr="00C13322">
        <w:t xml:space="preserve"> year of listing w</w:t>
      </w:r>
      <w:r w:rsidR="00C866CE" w:rsidRPr="00C13322">
        <w:t>as</w:t>
      </w:r>
      <w:r w:rsidRPr="00C13322">
        <w:t xml:space="preserve"> </w:t>
      </w:r>
      <w:r w:rsidR="000114EC" w:rsidRPr="006F4F64">
        <w:rPr>
          <w:highlight w:val="black"/>
        </w:rPr>
        <w:t>XXXXX</w:t>
      </w:r>
      <w:r w:rsidRPr="00C13322">
        <w:t xml:space="preserve"> than what was predicted </w:t>
      </w:r>
      <w:r w:rsidR="00692E6C" w:rsidRPr="00C13322">
        <w:t xml:space="preserve">however the </w:t>
      </w:r>
      <w:r w:rsidRPr="00C13322">
        <w:t xml:space="preserve">cost to the PBS/RPBS </w:t>
      </w:r>
      <w:r w:rsidR="00692E6C" w:rsidRPr="00C13322">
        <w:t xml:space="preserve">was only </w:t>
      </w:r>
      <w:r w:rsidR="000114EC" w:rsidRPr="006F4F64">
        <w:rPr>
          <w:highlight w:val="black"/>
        </w:rPr>
        <w:t>XXXXX</w:t>
      </w:r>
      <w:r w:rsidR="00692E6C" w:rsidRPr="00C13322">
        <w:t>than predicted</w:t>
      </w:r>
      <w:r w:rsidRPr="00C13322">
        <w:t>.</w:t>
      </w:r>
      <w:r w:rsidR="00692E6C" w:rsidRPr="00C13322">
        <w:t xml:space="preserve"> </w:t>
      </w:r>
      <w:r w:rsidR="00D244B6" w:rsidRPr="00C13322">
        <w:t xml:space="preserve">The number of prescriptions in Year 2 was </w:t>
      </w:r>
      <w:r w:rsidR="000114EC" w:rsidRPr="006F4F64">
        <w:rPr>
          <w:highlight w:val="black"/>
        </w:rPr>
        <w:t>XXXXX</w:t>
      </w:r>
      <w:r w:rsidR="00D244B6" w:rsidRPr="00C13322">
        <w:t xml:space="preserve"> than predicted however the cost to PBS/RPBS </w:t>
      </w:r>
      <w:r w:rsidR="007A0F5B" w:rsidRPr="00C13322">
        <w:t xml:space="preserve">was </w:t>
      </w:r>
      <w:r w:rsidR="000114EC" w:rsidRPr="006F4F64">
        <w:rPr>
          <w:highlight w:val="black"/>
        </w:rPr>
        <w:t>XXXXX</w:t>
      </w:r>
      <w:r w:rsidR="007A0F5B" w:rsidRPr="00C13322">
        <w:t xml:space="preserve"> than predicted.</w:t>
      </w:r>
    </w:p>
    <w:p w14:paraId="24390D8A" w14:textId="77777777" w:rsidR="000F39EF" w:rsidRDefault="000F39EF" w:rsidP="00607419"/>
    <w:p w14:paraId="546E0491" w14:textId="77777777" w:rsidR="00877921" w:rsidRPr="00607419" w:rsidRDefault="00877921" w:rsidP="00607419"/>
    <w:p w14:paraId="1FD7B89B" w14:textId="77777777" w:rsidR="00E6521E" w:rsidRDefault="00E6521E">
      <w:pPr>
        <w:spacing w:line="276" w:lineRule="auto"/>
        <w:rPr>
          <w:rFonts w:eastAsiaTheme="majorEastAsia" w:cstheme="majorBidi"/>
          <w:b/>
          <w:bCs/>
          <w:sz w:val="32"/>
          <w:szCs w:val="32"/>
        </w:rPr>
      </w:pPr>
      <w:r>
        <w:br w:type="page"/>
      </w:r>
    </w:p>
    <w:p w14:paraId="3555DFBA" w14:textId="215A4A0E" w:rsidR="00591512" w:rsidRDefault="00AB3733" w:rsidP="00F73113">
      <w:pPr>
        <w:pStyle w:val="Heading1"/>
      </w:pPr>
      <w:r>
        <w:lastRenderedPageBreak/>
        <w:t>D</w:t>
      </w:r>
      <w:r w:rsidR="007346C7" w:rsidRPr="005E22C2">
        <w:t>iscussion</w:t>
      </w:r>
    </w:p>
    <w:p w14:paraId="5CC614B9" w14:textId="4C9FDECA" w:rsidR="00E27C37" w:rsidRPr="00C13322" w:rsidRDefault="00E27C37" w:rsidP="00E27C37">
      <w:r>
        <w:t xml:space="preserve">The overall utilisation with regards to patient count and prescription count of nivolumab and ipilimumab for </w:t>
      </w:r>
      <w:r w:rsidRPr="00C13322">
        <w:t xml:space="preserve">unresectable malignant mesothelioma is </w:t>
      </w:r>
      <w:r w:rsidR="000114EC" w:rsidRPr="006F4F64">
        <w:rPr>
          <w:highlight w:val="black"/>
        </w:rPr>
        <w:t>XXXXX</w:t>
      </w:r>
      <w:r w:rsidRPr="00C13322">
        <w:t>to what was predicted in the submission. As noted by the PBAC and DUSC in March 2021, the</w:t>
      </w:r>
      <w:r w:rsidR="0065042C" w:rsidRPr="00C13322">
        <w:t>re is an</w:t>
      </w:r>
      <w:r w:rsidRPr="00C13322">
        <w:t xml:space="preserve"> increasing incidence of mesothelioma</w:t>
      </w:r>
      <w:r w:rsidR="0065042C" w:rsidRPr="00C13322">
        <w:t>. This</w:t>
      </w:r>
      <w:r w:rsidRPr="00C13322">
        <w:t xml:space="preserve"> is likely contributing to the slight increase in initiating patients per quarter and resulting in the higher than expected number of prevalent patients</w:t>
      </w:r>
      <w:r w:rsidR="00F02C74" w:rsidRPr="00C13322">
        <w:t xml:space="preserve"> and contributing to the increased costs</w:t>
      </w:r>
      <w:r w:rsidRPr="00C13322">
        <w:t xml:space="preserve">. </w:t>
      </w:r>
    </w:p>
    <w:p w14:paraId="3615E9B5" w14:textId="3171BCA4" w:rsidR="00E27C37" w:rsidRDefault="00E27C37" w:rsidP="00E27C37">
      <w:r w:rsidRPr="00C13322">
        <w:t>The dosing of nivolumab was primarily three</w:t>
      </w:r>
      <w:r>
        <w:t xml:space="preserve">-weekly flat-dosing with approximately 47% of prescriptions dispensed as 360mg. The submission based the cost per infusion on the Checkmate 743 protocol of 3mg/kg and an average patient weight of 72.75kg. The PBAC and DUSC considered that this would underestimate utilisation as patients in the trial would likely be fitter than the general Australian population which would also have a higher proportion of males. The increased actual cost to the PBS/RPBS seen in Year 2 of </w:t>
      </w:r>
      <w:r w:rsidR="000114EC" w:rsidRPr="006F4F64">
        <w:rPr>
          <w:highlight w:val="black"/>
        </w:rPr>
        <w:t>XXXXX</w:t>
      </w:r>
      <w:r>
        <w:t xml:space="preserve"> illustrative of these higher doses being used. </w:t>
      </w:r>
    </w:p>
    <w:p w14:paraId="01B3844C" w14:textId="77777777" w:rsidR="00E27C37" w:rsidRDefault="00E27C37" w:rsidP="00E27C37">
      <w:r>
        <w:t xml:space="preserve">The Kaplan-Meier analysis of time on treatment indicated that there was a proportion of patients that appeared to be longer term users of nivolumab and ipilimumab and these patients combined with those who were censored in the analysis and continuing treatment are likely also contributing to the increased costs. </w:t>
      </w:r>
    </w:p>
    <w:p w14:paraId="009FC365" w14:textId="77777777" w:rsidR="005F22B4" w:rsidRDefault="005F22B4" w:rsidP="005F22B4">
      <w:pPr>
        <w:pStyle w:val="Heading1"/>
      </w:pPr>
      <w:r>
        <w:t>DUSC consideration</w:t>
      </w:r>
    </w:p>
    <w:p w14:paraId="0876A709" w14:textId="120DA5CA" w:rsidR="00516535" w:rsidRDefault="00516535" w:rsidP="00516535">
      <w:r>
        <w:t xml:space="preserve">The overall utilisation with regards to patient count and prescription count of nivolumab and ipilimumab for unresectable malignant mesothelioma is </w:t>
      </w:r>
      <w:r w:rsidR="000114EC" w:rsidRPr="006F4F64">
        <w:rPr>
          <w:highlight w:val="black"/>
        </w:rPr>
        <w:t>XXXXX</w:t>
      </w:r>
      <w:r>
        <w:t xml:space="preserve">to what was predicted in the submission. As noted by the PBAC and DUSC in March 2021, there is an increasing incidence of mesothelioma. This is likely contributing to the slight increase in initiating patients per quarter and resulting in the higher than expected number of prevalent patients and contributing to the increased costs. </w:t>
      </w:r>
    </w:p>
    <w:p w14:paraId="4AF2C130" w14:textId="37D34F8E" w:rsidR="00516535" w:rsidRDefault="00516535" w:rsidP="00516535">
      <w:r>
        <w:t xml:space="preserve">The dosing of nivolumab was primarily three-weekly flat-dosing with approximately 47% of prescriptions dispensed as 360mg. The submission based the cost per infusion on the Checkmate 743 protocol of 3mg/kg and an average patient weight of 72.75kg. The PBAC and DUSC considered that this would underestimate utilisation as patients in the trial would likely be fitter than the general Australian population which would also have a higher proportion of males. The increased actual cost to the PBS/RPBS seen in Year 2 of </w:t>
      </w:r>
      <w:r w:rsidR="000114EC" w:rsidRPr="006F4F64">
        <w:rPr>
          <w:highlight w:val="black"/>
        </w:rPr>
        <w:t>XXXXX</w:t>
      </w:r>
      <w:r>
        <w:t xml:space="preserve"> illustrative of these higher doses being used. </w:t>
      </w:r>
    </w:p>
    <w:p w14:paraId="5DEA1BC3" w14:textId="77777777" w:rsidR="00516535" w:rsidRDefault="00516535" w:rsidP="00516535">
      <w:r>
        <w:t>The Kaplan-Meier analysis of time on treatment indicated that there was a proportion of patients that appeared to be longer term users of nivolumab and ipilimumab and these patients combined with those who were censored in the analysis and continuing treatment are likely also contributing to the increased costs.</w:t>
      </w:r>
    </w:p>
    <w:p w14:paraId="05802399" w14:textId="77777777" w:rsidR="005F22B4" w:rsidRDefault="005F22B4" w:rsidP="005F22B4">
      <w:pPr>
        <w:pStyle w:val="Heading1"/>
      </w:pPr>
      <w:r>
        <w:lastRenderedPageBreak/>
        <w:t>DUSC actions</w:t>
      </w:r>
    </w:p>
    <w:p w14:paraId="1FE24F42" w14:textId="6AA1A01F" w:rsidR="005F22B4" w:rsidRPr="00832324" w:rsidRDefault="00BA0324" w:rsidP="005F22B4">
      <w:pPr>
        <w:rPr>
          <w:highlight w:val="yellow"/>
        </w:rPr>
      </w:pPr>
      <w:r w:rsidRPr="00BA0324">
        <w:t>DUSC requested that the report be provided to the PBAC for consideration.</w:t>
      </w:r>
    </w:p>
    <w:p w14:paraId="48074851" w14:textId="77777777" w:rsidR="005F22B4" w:rsidRDefault="005F22B4" w:rsidP="005F22B4">
      <w:pPr>
        <w:pStyle w:val="Heading1"/>
      </w:pPr>
      <w:r w:rsidRPr="0092516A">
        <w:t>Context for analysis</w:t>
      </w:r>
    </w:p>
    <w:p w14:paraId="5A6E297F" w14:textId="77777777" w:rsidR="005F22B4" w:rsidRDefault="005F22B4" w:rsidP="005F22B4">
      <w:r>
        <w:t>The DUSC is a Sub Committee of the Pharmaceutical Benefits Advisory Committee (PBAC). The DUSC assesses estimates on projected usage and financial cost of medicines.</w:t>
      </w:r>
    </w:p>
    <w:p w14:paraId="4F3ADC08" w14:textId="77777777" w:rsidR="005F22B4" w:rsidRDefault="005F22B4" w:rsidP="005F22B4">
      <w:r>
        <w:t xml:space="preserve">The DUSC also analyses data on actual use of medicines, including the utilisation of PBS listed medicines, and provides advice to the PBAC on these matters. This may include outlining how the current utilisation of PBS medicines compares with the use as recommended by the PBAC. </w:t>
      </w:r>
    </w:p>
    <w:p w14:paraId="2017F227" w14:textId="77777777" w:rsidR="005F22B4" w:rsidRDefault="005F22B4" w:rsidP="005F22B4">
      <w:r>
        <w:t>The DUSC operates in accordance with the quality use of medicines objective of the National Medicines Policy and considers that the DUSC utilisation analyses will assist consumers and health professionals to better understand the costs, benefits and risks of medicines.</w:t>
      </w:r>
    </w:p>
    <w:p w14:paraId="51B19470" w14:textId="77777777" w:rsidR="005F22B4" w:rsidRDefault="005F22B4" w:rsidP="005F22B4">
      <w:r>
        <w:t>The utilisation analysis report was provided to the pharmaceutical sponsors of each drug and comments on the report were provided to DUSC prior to its consideration of the analysis.</w:t>
      </w:r>
    </w:p>
    <w:p w14:paraId="24987776" w14:textId="77777777" w:rsidR="005F22B4" w:rsidRDefault="005F22B4" w:rsidP="005F22B4">
      <w:pPr>
        <w:pStyle w:val="Heading1"/>
      </w:pPr>
      <w:r>
        <w:t>Sponsor</w:t>
      </w:r>
      <w:r w:rsidRPr="0092516A">
        <w:t>s</w:t>
      </w:r>
      <w:r>
        <w:t>’</w:t>
      </w:r>
      <w:r w:rsidRPr="0092516A">
        <w:t xml:space="preserve"> comments</w:t>
      </w:r>
    </w:p>
    <w:p w14:paraId="082BBD7E" w14:textId="325C2FCE" w:rsidR="005F22B4" w:rsidRDefault="000114EC" w:rsidP="005F22B4">
      <w:r>
        <w:t xml:space="preserve">The sponsor has no comment. </w:t>
      </w:r>
    </w:p>
    <w:p w14:paraId="2EBB8DF4" w14:textId="3A6373DE" w:rsidR="00C26BF9" w:rsidRDefault="00C26BF9">
      <w:pPr>
        <w:spacing w:line="276" w:lineRule="auto"/>
      </w:pPr>
      <w:r>
        <w:br w:type="page"/>
      </w:r>
    </w:p>
    <w:p w14:paraId="27A280EE" w14:textId="77777777" w:rsidR="00C26BF9" w:rsidRDefault="00C26BF9" w:rsidP="00C26BF9">
      <w:pPr>
        <w:pStyle w:val="Heading1"/>
      </w:pPr>
      <w:r>
        <w:lastRenderedPageBreak/>
        <w:t>References</w:t>
      </w:r>
    </w:p>
    <w:p w14:paraId="21AE9D34" w14:textId="0EFD87AA" w:rsidR="00C26BF9" w:rsidRPr="00C26BF9" w:rsidRDefault="00C26BF9" w:rsidP="00C26BF9">
      <w:pPr>
        <w:pStyle w:val="ListParagraph"/>
        <w:numPr>
          <w:ilvl w:val="0"/>
          <w:numId w:val="5"/>
        </w:numPr>
      </w:pPr>
      <w:r w:rsidRPr="00C26BF9">
        <w:t xml:space="preserve">OPDIVO® (NIVOLUMAB). Consumer Medicine Information. July 2019. Available from </w:t>
      </w:r>
      <w:hyperlink r:id="rId22" w:history="1">
        <w:r w:rsidRPr="00C26BF9">
          <w:rPr>
            <w:rStyle w:val="Hyperlink"/>
          </w:rPr>
          <w:t>https://www.tga.gov.au/consumer-medicines-information-cmi</w:t>
        </w:r>
      </w:hyperlink>
    </w:p>
    <w:p w14:paraId="09B6CF4C" w14:textId="1F27B5DE" w:rsidR="00026997" w:rsidRDefault="00C26BF9" w:rsidP="00026997">
      <w:pPr>
        <w:pStyle w:val="ListParagraph"/>
        <w:numPr>
          <w:ilvl w:val="0"/>
          <w:numId w:val="5"/>
        </w:numPr>
      </w:pPr>
      <w:r w:rsidRPr="00C26BF9">
        <w:t xml:space="preserve">Australian Medicines Handbook Online. </w:t>
      </w:r>
    </w:p>
    <w:p w14:paraId="20292960" w14:textId="77777777" w:rsidR="00026997" w:rsidRDefault="00026997" w:rsidP="00026997"/>
    <w:p w14:paraId="16123F64" w14:textId="77777777" w:rsidR="002244A4" w:rsidRDefault="002244A4">
      <w:pPr>
        <w:spacing w:line="276" w:lineRule="auto"/>
        <w:rPr>
          <w:rFonts w:eastAsiaTheme="majorEastAsia" w:cstheme="majorBidi"/>
          <w:b/>
          <w:bCs/>
          <w:sz w:val="32"/>
          <w:szCs w:val="32"/>
        </w:rPr>
      </w:pPr>
      <w:r>
        <w:br w:type="page"/>
      </w:r>
    </w:p>
    <w:p w14:paraId="4B7A12E1" w14:textId="738A274A" w:rsidR="002244A4" w:rsidRDefault="002244A4" w:rsidP="002244A4">
      <w:pPr>
        <w:pStyle w:val="Heading1"/>
      </w:pPr>
      <w:r w:rsidRPr="00A4020E">
        <w:lastRenderedPageBreak/>
        <w:t>Disclaimer</w:t>
      </w:r>
    </w:p>
    <w:p w14:paraId="253314B0" w14:textId="77777777" w:rsidR="002244A4" w:rsidRDefault="002244A4" w:rsidP="002244A4">
      <w:r>
        <w:t>The information provided in this report does not constitute medical advice and is not intended to take the place of professional medical advice or care.  It is not intended to define what constitutes reasonable, appropriate or best care for any individual for any given health issue.  The information should not be used as a substitute for the judgement and skill of a medical practitioner.</w:t>
      </w:r>
    </w:p>
    <w:p w14:paraId="33AD5A56" w14:textId="77777777" w:rsidR="002244A4" w:rsidRDefault="002244A4" w:rsidP="002244A4">
      <w:r>
        <w:t>The Department of Health and Aged Care has made all reasonable efforts to ensure that information provided in this report is accurate. The information provided in this report was up-to-date when it was considered by the Drug Utilisation Sub-committee of the Pharmaceutical Benefits Advisory Committee.  The context for that information may have changed since publication.</w:t>
      </w:r>
    </w:p>
    <w:p w14:paraId="1C6F6A23" w14:textId="77777777" w:rsidR="002244A4" w:rsidRDefault="002244A4" w:rsidP="002244A4">
      <w:r>
        <w:t xml:space="preserve">To the extent provided by law, the Department of Health and Aged Care makes no warranties or representations as to accuracy or completeness of information contained in this report. </w:t>
      </w:r>
    </w:p>
    <w:p w14:paraId="794792D5" w14:textId="77777777" w:rsidR="002244A4" w:rsidRDefault="002244A4" w:rsidP="002244A4">
      <w:r>
        <w:t>To the fullest extent permitted by law, neither the Department of Health and Aged Care nor any Department of Health and Aged Care employee is liable for any liability, loss, claim, damage, expense, injury or personal injury (including death), whether direct or indirect (including consequential loss and loss of profits) and however incurred (including in tort), caused or contributed to by any person’s use or misuse of the information available from this report or contained on any third party website referred to in this report.</w:t>
      </w:r>
    </w:p>
    <w:p w14:paraId="2DD6D00E" w14:textId="77777777" w:rsidR="00026997" w:rsidRDefault="00026997" w:rsidP="00026997"/>
    <w:p w14:paraId="03B6B1A7" w14:textId="77777777" w:rsidR="00026997" w:rsidRPr="00C26BF9" w:rsidRDefault="00026997" w:rsidP="002244A4"/>
    <w:sectPr w:rsidR="00026997" w:rsidRPr="00C26BF9" w:rsidSect="00DD188C">
      <w:footerReference w:type="even" r:id="rId23"/>
      <w:footerReference w:type="default" r:id="rId24"/>
      <w:footerReference w:type="first" r:id="rId25"/>
      <w:pgSz w:w="11906" w:h="16838"/>
      <w:pgMar w:top="1644" w:right="1361" w:bottom="1644"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C1F84" w14:textId="77777777" w:rsidR="00F4271E" w:rsidRDefault="00F4271E" w:rsidP="00A35800">
      <w:r>
        <w:separator/>
      </w:r>
    </w:p>
  </w:endnote>
  <w:endnote w:type="continuationSeparator" w:id="0">
    <w:p w14:paraId="297F2A23" w14:textId="77777777" w:rsidR="00F4271E" w:rsidRDefault="00F4271E" w:rsidP="00A35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skerville">
    <w:altName w:val="Times New Roman"/>
    <w:charset w:val="00"/>
    <w:family w:val="auto"/>
    <w:pitch w:val="variable"/>
    <w:sig w:usb0="80000063" w:usb1="00000000" w:usb2="00000000" w:usb3="00000000" w:csb0="000001FB"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9D5E5" w14:textId="2D374D3F" w:rsidR="00214013" w:rsidRDefault="00214013" w:rsidP="00A35800">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5056B1">
      <w:rPr>
        <w:rStyle w:val="PageNumber"/>
        <w:noProof/>
      </w:rPr>
      <w:t>15</w:t>
    </w:r>
    <w:r>
      <w:rPr>
        <w:rStyle w:val="PageNumber"/>
      </w:rPr>
      <w:fldChar w:fldCharType="end"/>
    </w:r>
  </w:p>
  <w:p w14:paraId="2D9F9A1E" w14:textId="77777777" w:rsidR="00214013" w:rsidRDefault="00214013" w:rsidP="00A358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0733839"/>
      <w:docPartObj>
        <w:docPartGallery w:val="Page Numbers (Bottom of Page)"/>
        <w:docPartUnique/>
      </w:docPartObj>
    </w:sdtPr>
    <w:sdtContent>
      <w:sdt>
        <w:sdtPr>
          <w:id w:val="-1669238322"/>
          <w:docPartObj>
            <w:docPartGallery w:val="Page Numbers (Top of Page)"/>
            <w:docPartUnique/>
          </w:docPartObj>
        </w:sdtPr>
        <w:sdtContent>
          <w:p w14:paraId="30682B98" w14:textId="2A6FADA0" w:rsidR="000E72C6" w:rsidRPr="000E72C6" w:rsidRDefault="004E1909" w:rsidP="000E72C6">
            <w:pPr>
              <w:pStyle w:val="Footer"/>
              <w:jc w:val="center"/>
              <w:rPr>
                <w:i/>
                <w:sz w:val="20"/>
              </w:rPr>
            </w:pPr>
            <w:r w:rsidRPr="004E1909">
              <w:rPr>
                <w:i/>
                <w:sz w:val="20"/>
              </w:rPr>
              <w:t xml:space="preserve">Public Release Document, </w:t>
            </w:r>
            <w:r>
              <w:rPr>
                <w:i/>
                <w:sz w:val="20"/>
              </w:rPr>
              <w:t>February 2024</w:t>
            </w:r>
            <w:r w:rsidRPr="004E1909">
              <w:rPr>
                <w:i/>
                <w:sz w:val="20"/>
              </w:rPr>
              <w:t xml:space="preserve"> DUSC Meeting</w:t>
            </w:r>
          </w:p>
          <w:p w14:paraId="10292A9A" w14:textId="7D864046" w:rsidR="00214013" w:rsidRDefault="00DD188C" w:rsidP="000E72C6">
            <w:pPr>
              <w:pStyle w:val="Footer"/>
              <w:jc w:val="center"/>
              <w:rPr>
                <w:rStyle w:val="PageNumber"/>
              </w:rPr>
            </w:pPr>
            <w:r w:rsidRPr="00DD188C">
              <w:rPr>
                <w:i/>
                <w:sz w:val="20"/>
              </w:rPr>
              <w:t xml:space="preserve">Page </w:t>
            </w:r>
            <w:r w:rsidRPr="00DD188C">
              <w:rPr>
                <w:bCs/>
                <w:i/>
                <w:sz w:val="20"/>
              </w:rPr>
              <w:fldChar w:fldCharType="begin"/>
            </w:r>
            <w:r w:rsidRPr="00DD188C">
              <w:rPr>
                <w:bCs/>
                <w:i/>
                <w:sz w:val="20"/>
              </w:rPr>
              <w:instrText xml:space="preserve"> PAGE </w:instrText>
            </w:r>
            <w:r w:rsidRPr="00DD188C">
              <w:rPr>
                <w:bCs/>
                <w:i/>
                <w:sz w:val="20"/>
              </w:rPr>
              <w:fldChar w:fldCharType="separate"/>
            </w:r>
            <w:r w:rsidR="00FA1BA3">
              <w:rPr>
                <w:bCs/>
                <w:i/>
                <w:noProof/>
                <w:sz w:val="20"/>
              </w:rPr>
              <w:t>4</w:t>
            </w:r>
            <w:r w:rsidRPr="00DD188C">
              <w:rPr>
                <w:bCs/>
                <w:i/>
                <w:sz w:val="20"/>
              </w:rPr>
              <w:fldChar w:fldCharType="end"/>
            </w:r>
            <w:r w:rsidRPr="00DD188C">
              <w:rPr>
                <w:i/>
                <w:sz w:val="20"/>
              </w:rPr>
              <w:t xml:space="preserve"> of </w:t>
            </w:r>
            <w:r w:rsidRPr="00DD188C">
              <w:rPr>
                <w:bCs/>
                <w:i/>
                <w:sz w:val="20"/>
              </w:rPr>
              <w:fldChar w:fldCharType="begin"/>
            </w:r>
            <w:r w:rsidRPr="00DD188C">
              <w:rPr>
                <w:bCs/>
                <w:i/>
                <w:sz w:val="20"/>
              </w:rPr>
              <w:instrText xml:space="preserve"> NUMPAGES  </w:instrText>
            </w:r>
            <w:r w:rsidRPr="00DD188C">
              <w:rPr>
                <w:bCs/>
                <w:i/>
                <w:sz w:val="20"/>
              </w:rPr>
              <w:fldChar w:fldCharType="separate"/>
            </w:r>
            <w:r w:rsidR="00FA1BA3">
              <w:rPr>
                <w:bCs/>
                <w:i/>
                <w:noProof/>
                <w:sz w:val="20"/>
              </w:rPr>
              <w:t>13</w:t>
            </w:r>
            <w:r w:rsidRPr="00DD188C">
              <w:rPr>
                <w:bCs/>
                <w:i/>
                <w:sz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22E1F" w14:textId="77777777" w:rsidR="007A5733" w:rsidRDefault="007A5733" w:rsidP="007A5733">
    <w:pPr>
      <w:pStyle w:val="Footer"/>
      <w:jc w:val="center"/>
      <w:rPr>
        <w:rStyle w:val="PageNumber"/>
      </w:rPr>
    </w:pPr>
    <w:r>
      <w:rPr>
        <w:rStyle w:val="PageNumber"/>
      </w:rPr>
      <w:t>Committee-in-Confidence</w:t>
    </w:r>
  </w:p>
  <w:p w14:paraId="3CE6880B" w14:textId="77777777" w:rsidR="00DD188C" w:rsidRDefault="00DD188C" w:rsidP="007A573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A391D" w14:textId="77777777" w:rsidR="00F4271E" w:rsidRDefault="00F4271E" w:rsidP="00A35800">
      <w:r>
        <w:separator/>
      </w:r>
    </w:p>
  </w:footnote>
  <w:footnote w:type="continuationSeparator" w:id="0">
    <w:p w14:paraId="7DEF94DE" w14:textId="77777777" w:rsidR="00F4271E" w:rsidRDefault="00F4271E" w:rsidP="00A35800">
      <w:r>
        <w:continuationSeparator/>
      </w:r>
    </w:p>
  </w:footnote>
  <w:footnote w:id="1">
    <w:p w14:paraId="62D7C26B" w14:textId="77777777" w:rsidR="00B1144A" w:rsidRDefault="00B1144A" w:rsidP="00B1144A">
      <w:pPr>
        <w:pStyle w:val="FootnoteText"/>
      </w:pPr>
      <w:r>
        <w:rPr>
          <w:rStyle w:val="FootnoteReference"/>
        </w:rPr>
        <w:footnoteRef/>
      </w:r>
      <w:r>
        <w:t xml:space="preserve"> </w:t>
      </w:r>
      <w:r w:rsidRPr="005411B8">
        <w:rPr>
          <w:szCs w:val="18"/>
        </w:rPr>
        <w:t>OPDIVO® (NIVOLUMAB)</w:t>
      </w:r>
      <w:r>
        <w:rPr>
          <w:szCs w:val="18"/>
        </w:rPr>
        <w:t>. Consumer Medicine Information. July</w:t>
      </w:r>
      <w:r w:rsidRPr="005411B8">
        <w:rPr>
          <w:szCs w:val="18"/>
        </w:rPr>
        <w:t xml:space="preserve"> 2019</w:t>
      </w:r>
      <w:r>
        <w:rPr>
          <w:szCs w:val="18"/>
        </w:rPr>
        <w:t xml:space="preserve">. Available from </w:t>
      </w:r>
      <w:hyperlink r:id="rId1" w:history="1">
        <w:r w:rsidRPr="006A3013">
          <w:rPr>
            <w:rStyle w:val="Hyperlink"/>
            <w:szCs w:val="18"/>
          </w:rPr>
          <w:t>https://www.tga.gov.au/consumer-medicines-information-cmi</w:t>
        </w:r>
      </w:hyperlink>
    </w:p>
  </w:footnote>
  <w:footnote w:id="2">
    <w:p w14:paraId="0A4A6794" w14:textId="77777777" w:rsidR="00B1144A" w:rsidRPr="009730AE" w:rsidRDefault="00B1144A" w:rsidP="00B1144A">
      <w:pPr>
        <w:spacing w:after="0"/>
        <w:rPr>
          <w:sz w:val="18"/>
          <w:szCs w:val="18"/>
        </w:rPr>
      </w:pPr>
      <w:r w:rsidRPr="002703EB">
        <w:rPr>
          <w:rStyle w:val="FootnoteReference"/>
          <w:sz w:val="18"/>
          <w:szCs w:val="18"/>
        </w:rPr>
        <w:footnoteRef/>
      </w:r>
      <w:r w:rsidRPr="002703EB">
        <w:rPr>
          <w:sz w:val="18"/>
          <w:szCs w:val="18"/>
        </w:rPr>
        <w:t xml:space="preserve"> Australian</w:t>
      </w:r>
      <w:r w:rsidRPr="0019664D">
        <w:rPr>
          <w:sz w:val="18"/>
          <w:szCs w:val="18"/>
        </w:rPr>
        <w:t xml:space="preserve"> Medicines Handbook</w:t>
      </w:r>
      <w:r>
        <w:rPr>
          <w:sz w:val="18"/>
          <w:szCs w:val="18"/>
        </w:rPr>
        <w:t xml:space="preserve"> Online</w:t>
      </w:r>
      <w:r w:rsidRPr="0019664D">
        <w:rPr>
          <w:sz w:val="18"/>
          <w:szCs w:val="18"/>
        </w:rPr>
        <w:t xml:space="preserve">. </w:t>
      </w:r>
      <w:r w:rsidRPr="00D14207">
        <w:rPr>
          <w:sz w:val="18"/>
          <w:szCs w:val="18"/>
        </w:rPr>
        <w:t>https://amhonline.amh.net.au/chapters/immunomodulators-antineoplastics/non-cytotoxic-antineoplastics/ant</w:t>
      </w:r>
      <w:r>
        <w:rPr>
          <w:sz w:val="18"/>
          <w:szCs w:val="18"/>
        </w:rPr>
        <w:t>ineoplastic-antibodies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1F5D23"/>
    <w:multiLevelType w:val="hybridMultilevel"/>
    <w:tmpl w:val="814CE7F6"/>
    <w:lvl w:ilvl="0" w:tplc="D4647FA0">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8644236"/>
    <w:multiLevelType w:val="hybridMultilevel"/>
    <w:tmpl w:val="829C3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0E90BBE"/>
    <w:multiLevelType w:val="hybridMultilevel"/>
    <w:tmpl w:val="5B82EDD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72880EB7"/>
    <w:multiLevelType w:val="hybridMultilevel"/>
    <w:tmpl w:val="811C8C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75C437E5"/>
    <w:multiLevelType w:val="hybridMultilevel"/>
    <w:tmpl w:val="050C06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9928429">
    <w:abstractNumId w:val="3"/>
  </w:num>
  <w:num w:numId="2" w16cid:durableId="1495141882">
    <w:abstractNumId w:val="2"/>
  </w:num>
  <w:num w:numId="3" w16cid:durableId="1844658109">
    <w:abstractNumId w:val="1"/>
  </w:num>
  <w:num w:numId="4" w16cid:durableId="1004095164">
    <w:abstractNumId w:val="0"/>
  </w:num>
  <w:num w:numId="5" w16cid:durableId="16000217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041"/>
    <w:rsid w:val="00000B96"/>
    <w:rsid w:val="00002A00"/>
    <w:rsid w:val="000033D1"/>
    <w:rsid w:val="00007E85"/>
    <w:rsid w:val="000114EC"/>
    <w:rsid w:val="000119D2"/>
    <w:rsid w:val="00011BC2"/>
    <w:rsid w:val="00013465"/>
    <w:rsid w:val="0001525C"/>
    <w:rsid w:val="00020F63"/>
    <w:rsid w:val="000226B3"/>
    <w:rsid w:val="00024549"/>
    <w:rsid w:val="000257BF"/>
    <w:rsid w:val="00026997"/>
    <w:rsid w:val="00040A53"/>
    <w:rsid w:val="00043A09"/>
    <w:rsid w:val="000544B6"/>
    <w:rsid w:val="0005563F"/>
    <w:rsid w:val="00055BEC"/>
    <w:rsid w:val="000604AF"/>
    <w:rsid w:val="00062931"/>
    <w:rsid w:val="0007170F"/>
    <w:rsid w:val="00080AFA"/>
    <w:rsid w:val="00080B2F"/>
    <w:rsid w:val="000830A5"/>
    <w:rsid w:val="00086C11"/>
    <w:rsid w:val="00090E3B"/>
    <w:rsid w:val="00094DCF"/>
    <w:rsid w:val="000A0E50"/>
    <w:rsid w:val="000A6CFD"/>
    <w:rsid w:val="000B0982"/>
    <w:rsid w:val="000B40CD"/>
    <w:rsid w:val="000B796C"/>
    <w:rsid w:val="000C07F4"/>
    <w:rsid w:val="000C46BB"/>
    <w:rsid w:val="000C4D9D"/>
    <w:rsid w:val="000C6BC1"/>
    <w:rsid w:val="000C7C4B"/>
    <w:rsid w:val="000C7D8B"/>
    <w:rsid w:val="000E3B0E"/>
    <w:rsid w:val="000E485D"/>
    <w:rsid w:val="000E72C6"/>
    <w:rsid w:val="000E78D9"/>
    <w:rsid w:val="000F1893"/>
    <w:rsid w:val="000F2F51"/>
    <w:rsid w:val="000F39EF"/>
    <w:rsid w:val="001037B5"/>
    <w:rsid w:val="00113CF8"/>
    <w:rsid w:val="00113D74"/>
    <w:rsid w:val="00115759"/>
    <w:rsid w:val="0011656B"/>
    <w:rsid w:val="00117C5C"/>
    <w:rsid w:val="001205DA"/>
    <w:rsid w:val="00130FE1"/>
    <w:rsid w:val="00131068"/>
    <w:rsid w:val="001310AE"/>
    <w:rsid w:val="001319CD"/>
    <w:rsid w:val="00137594"/>
    <w:rsid w:val="001420B3"/>
    <w:rsid w:val="00143C16"/>
    <w:rsid w:val="001459D1"/>
    <w:rsid w:val="001460C4"/>
    <w:rsid w:val="001539A6"/>
    <w:rsid w:val="00154EE0"/>
    <w:rsid w:val="0015691C"/>
    <w:rsid w:val="00161380"/>
    <w:rsid w:val="001621F7"/>
    <w:rsid w:val="001624D7"/>
    <w:rsid w:val="00177B86"/>
    <w:rsid w:val="00181EF7"/>
    <w:rsid w:val="00182585"/>
    <w:rsid w:val="00191182"/>
    <w:rsid w:val="001918AE"/>
    <w:rsid w:val="00192D91"/>
    <w:rsid w:val="0019493F"/>
    <w:rsid w:val="0019664D"/>
    <w:rsid w:val="00197C5B"/>
    <w:rsid w:val="001A6103"/>
    <w:rsid w:val="001B1A4B"/>
    <w:rsid w:val="001B3E42"/>
    <w:rsid w:val="001B5D37"/>
    <w:rsid w:val="001B5E01"/>
    <w:rsid w:val="001C2940"/>
    <w:rsid w:val="001C4016"/>
    <w:rsid w:val="001C548D"/>
    <w:rsid w:val="001C6A5D"/>
    <w:rsid w:val="001C7B6F"/>
    <w:rsid w:val="001D0C04"/>
    <w:rsid w:val="001E210D"/>
    <w:rsid w:val="001E31A6"/>
    <w:rsid w:val="001E42C7"/>
    <w:rsid w:val="001E4CAB"/>
    <w:rsid w:val="001E75BE"/>
    <w:rsid w:val="001F0A4E"/>
    <w:rsid w:val="001F2489"/>
    <w:rsid w:val="001F2939"/>
    <w:rsid w:val="001F2F3E"/>
    <w:rsid w:val="001F4906"/>
    <w:rsid w:val="001F7C4A"/>
    <w:rsid w:val="0020578A"/>
    <w:rsid w:val="00207631"/>
    <w:rsid w:val="00212856"/>
    <w:rsid w:val="002135F4"/>
    <w:rsid w:val="00214013"/>
    <w:rsid w:val="00220FC1"/>
    <w:rsid w:val="00221097"/>
    <w:rsid w:val="002213EB"/>
    <w:rsid w:val="00222E9A"/>
    <w:rsid w:val="002244A4"/>
    <w:rsid w:val="002258CF"/>
    <w:rsid w:val="0023179D"/>
    <w:rsid w:val="0023316D"/>
    <w:rsid w:val="0025389D"/>
    <w:rsid w:val="00254E02"/>
    <w:rsid w:val="00257BAD"/>
    <w:rsid w:val="00257DC0"/>
    <w:rsid w:val="0026265F"/>
    <w:rsid w:val="00264A40"/>
    <w:rsid w:val="00266568"/>
    <w:rsid w:val="002767FA"/>
    <w:rsid w:val="00276DEC"/>
    <w:rsid w:val="002774FC"/>
    <w:rsid w:val="002818C2"/>
    <w:rsid w:val="00281B10"/>
    <w:rsid w:val="00283352"/>
    <w:rsid w:val="002869D5"/>
    <w:rsid w:val="00286C3A"/>
    <w:rsid w:val="00287460"/>
    <w:rsid w:val="002874DE"/>
    <w:rsid w:val="0029275B"/>
    <w:rsid w:val="002930F5"/>
    <w:rsid w:val="002A06B7"/>
    <w:rsid w:val="002A638D"/>
    <w:rsid w:val="002B0FEA"/>
    <w:rsid w:val="002B1C9F"/>
    <w:rsid w:val="002C6E0C"/>
    <w:rsid w:val="002C7082"/>
    <w:rsid w:val="002D13F4"/>
    <w:rsid w:val="002D144A"/>
    <w:rsid w:val="002E19A3"/>
    <w:rsid w:val="002E212B"/>
    <w:rsid w:val="002E3337"/>
    <w:rsid w:val="002E4A90"/>
    <w:rsid w:val="002E6D03"/>
    <w:rsid w:val="002F299E"/>
    <w:rsid w:val="002F49A8"/>
    <w:rsid w:val="002F5E66"/>
    <w:rsid w:val="002F61CA"/>
    <w:rsid w:val="002F75A2"/>
    <w:rsid w:val="0030010D"/>
    <w:rsid w:val="003170D8"/>
    <w:rsid w:val="00321185"/>
    <w:rsid w:val="003253C4"/>
    <w:rsid w:val="0033504C"/>
    <w:rsid w:val="00336816"/>
    <w:rsid w:val="003370D0"/>
    <w:rsid w:val="00337355"/>
    <w:rsid w:val="003402E4"/>
    <w:rsid w:val="00340F95"/>
    <w:rsid w:val="00343C22"/>
    <w:rsid w:val="00343C23"/>
    <w:rsid w:val="003531ED"/>
    <w:rsid w:val="003545DB"/>
    <w:rsid w:val="0035654B"/>
    <w:rsid w:val="00360B9A"/>
    <w:rsid w:val="003710A4"/>
    <w:rsid w:val="003725BB"/>
    <w:rsid w:val="0037486A"/>
    <w:rsid w:val="00382277"/>
    <w:rsid w:val="0039017F"/>
    <w:rsid w:val="00394AEE"/>
    <w:rsid w:val="003B5A8E"/>
    <w:rsid w:val="003B6D75"/>
    <w:rsid w:val="003C2D98"/>
    <w:rsid w:val="003D3A96"/>
    <w:rsid w:val="003D3B9C"/>
    <w:rsid w:val="003E2C2B"/>
    <w:rsid w:val="003E3265"/>
    <w:rsid w:val="003F1D18"/>
    <w:rsid w:val="003F2B5B"/>
    <w:rsid w:val="003F67CB"/>
    <w:rsid w:val="00404F03"/>
    <w:rsid w:val="0040779B"/>
    <w:rsid w:val="00412051"/>
    <w:rsid w:val="0041519E"/>
    <w:rsid w:val="00423B94"/>
    <w:rsid w:val="00441FDA"/>
    <w:rsid w:val="00442F79"/>
    <w:rsid w:val="0044705A"/>
    <w:rsid w:val="00447160"/>
    <w:rsid w:val="004532F8"/>
    <w:rsid w:val="0045647E"/>
    <w:rsid w:val="00460B14"/>
    <w:rsid w:val="00463731"/>
    <w:rsid w:val="0046400A"/>
    <w:rsid w:val="00467B25"/>
    <w:rsid w:val="00472854"/>
    <w:rsid w:val="00481108"/>
    <w:rsid w:val="0049042B"/>
    <w:rsid w:val="00491BC4"/>
    <w:rsid w:val="00495473"/>
    <w:rsid w:val="004A458E"/>
    <w:rsid w:val="004B16BD"/>
    <w:rsid w:val="004B23E7"/>
    <w:rsid w:val="004B306F"/>
    <w:rsid w:val="004B44A7"/>
    <w:rsid w:val="004B4F22"/>
    <w:rsid w:val="004B5131"/>
    <w:rsid w:val="004B599D"/>
    <w:rsid w:val="004C11E4"/>
    <w:rsid w:val="004C3186"/>
    <w:rsid w:val="004C5042"/>
    <w:rsid w:val="004C6D54"/>
    <w:rsid w:val="004C74FB"/>
    <w:rsid w:val="004D1798"/>
    <w:rsid w:val="004D4427"/>
    <w:rsid w:val="004D491A"/>
    <w:rsid w:val="004E1909"/>
    <w:rsid w:val="004E4422"/>
    <w:rsid w:val="004F1089"/>
    <w:rsid w:val="004F2C9E"/>
    <w:rsid w:val="004F7246"/>
    <w:rsid w:val="0050368B"/>
    <w:rsid w:val="00503998"/>
    <w:rsid w:val="00503B4C"/>
    <w:rsid w:val="005056B1"/>
    <w:rsid w:val="0050623B"/>
    <w:rsid w:val="00516535"/>
    <w:rsid w:val="0052229F"/>
    <w:rsid w:val="00523181"/>
    <w:rsid w:val="00523AA6"/>
    <w:rsid w:val="00524D13"/>
    <w:rsid w:val="00527E70"/>
    <w:rsid w:val="005339F6"/>
    <w:rsid w:val="0054283F"/>
    <w:rsid w:val="00547CE9"/>
    <w:rsid w:val="00550FC7"/>
    <w:rsid w:val="005519CA"/>
    <w:rsid w:val="00561BA9"/>
    <w:rsid w:val="005627DF"/>
    <w:rsid w:val="005651B2"/>
    <w:rsid w:val="005657E3"/>
    <w:rsid w:val="00576B18"/>
    <w:rsid w:val="00576F56"/>
    <w:rsid w:val="00577853"/>
    <w:rsid w:val="0058595B"/>
    <w:rsid w:val="0058650D"/>
    <w:rsid w:val="00587724"/>
    <w:rsid w:val="00591512"/>
    <w:rsid w:val="005926F3"/>
    <w:rsid w:val="005A0F90"/>
    <w:rsid w:val="005B2D91"/>
    <w:rsid w:val="005B48B4"/>
    <w:rsid w:val="005B65AF"/>
    <w:rsid w:val="005C6661"/>
    <w:rsid w:val="005C6E3B"/>
    <w:rsid w:val="005D474B"/>
    <w:rsid w:val="005D79E7"/>
    <w:rsid w:val="005E085C"/>
    <w:rsid w:val="005E1303"/>
    <w:rsid w:val="005E147D"/>
    <w:rsid w:val="005E22C2"/>
    <w:rsid w:val="005E3AC6"/>
    <w:rsid w:val="005E57BB"/>
    <w:rsid w:val="005E5B28"/>
    <w:rsid w:val="005E6FDE"/>
    <w:rsid w:val="005F0017"/>
    <w:rsid w:val="005F04D3"/>
    <w:rsid w:val="005F22B4"/>
    <w:rsid w:val="005F40AC"/>
    <w:rsid w:val="005F51C6"/>
    <w:rsid w:val="005F7D3C"/>
    <w:rsid w:val="006014F1"/>
    <w:rsid w:val="00607419"/>
    <w:rsid w:val="0061357B"/>
    <w:rsid w:val="00614A7D"/>
    <w:rsid w:val="00617356"/>
    <w:rsid w:val="00626A72"/>
    <w:rsid w:val="00633B5D"/>
    <w:rsid w:val="0063631C"/>
    <w:rsid w:val="0063757B"/>
    <w:rsid w:val="006377CE"/>
    <w:rsid w:val="00644A6C"/>
    <w:rsid w:val="0065042C"/>
    <w:rsid w:val="0065234D"/>
    <w:rsid w:val="006537D9"/>
    <w:rsid w:val="00655B62"/>
    <w:rsid w:val="00660E12"/>
    <w:rsid w:val="006627C5"/>
    <w:rsid w:val="00664A48"/>
    <w:rsid w:val="00665DEF"/>
    <w:rsid w:val="00667A20"/>
    <w:rsid w:val="00670D44"/>
    <w:rsid w:val="00675BB1"/>
    <w:rsid w:val="006775F1"/>
    <w:rsid w:val="006812BE"/>
    <w:rsid w:val="00681B32"/>
    <w:rsid w:val="00683CC1"/>
    <w:rsid w:val="0068420E"/>
    <w:rsid w:val="00685F76"/>
    <w:rsid w:val="0069045C"/>
    <w:rsid w:val="00692AA7"/>
    <w:rsid w:val="00692E6C"/>
    <w:rsid w:val="00697FEC"/>
    <w:rsid w:val="006A175F"/>
    <w:rsid w:val="006A44F5"/>
    <w:rsid w:val="006A7074"/>
    <w:rsid w:val="006A71B9"/>
    <w:rsid w:val="006B4537"/>
    <w:rsid w:val="006B5F85"/>
    <w:rsid w:val="006B6929"/>
    <w:rsid w:val="006B709B"/>
    <w:rsid w:val="006C54AF"/>
    <w:rsid w:val="006D29CC"/>
    <w:rsid w:val="006E0181"/>
    <w:rsid w:val="006F03FB"/>
    <w:rsid w:val="006F4410"/>
    <w:rsid w:val="006F78C4"/>
    <w:rsid w:val="00700C0E"/>
    <w:rsid w:val="00705DAD"/>
    <w:rsid w:val="00710412"/>
    <w:rsid w:val="00713A8A"/>
    <w:rsid w:val="00715D38"/>
    <w:rsid w:val="00715E57"/>
    <w:rsid w:val="007247B9"/>
    <w:rsid w:val="00724D6B"/>
    <w:rsid w:val="007258DA"/>
    <w:rsid w:val="0072648B"/>
    <w:rsid w:val="00727D85"/>
    <w:rsid w:val="00731BA3"/>
    <w:rsid w:val="00732492"/>
    <w:rsid w:val="007345AF"/>
    <w:rsid w:val="007346C7"/>
    <w:rsid w:val="00736041"/>
    <w:rsid w:val="007408C7"/>
    <w:rsid w:val="00744D00"/>
    <w:rsid w:val="007465DA"/>
    <w:rsid w:val="00752C7F"/>
    <w:rsid w:val="00753E91"/>
    <w:rsid w:val="0075543B"/>
    <w:rsid w:val="007565B7"/>
    <w:rsid w:val="00763389"/>
    <w:rsid w:val="00772845"/>
    <w:rsid w:val="0077477A"/>
    <w:rsid w:val="00776598"/>
    <w:rsid w:val="00782015"/>
    <w:rsid w:val="007831B3"/>
    <w:rsid w:val="00786B4D"/>
    <w:rsid w:val="00792948"/>
    <w:rsid w:val="00794E46"/>
    <w:rsid w:val="00794F72"/>
    <w:rsid w:val="00796E84"/>
    <w:rsid w:val="007A0697"/>
    <w:rsid w:val="007A0F5B"/>
    <w:rsid w:val="007A3ADE"/>
    <w:rsid w:val="007A5733"/>
    <w:rsid w:val="007A5774"/>
    <w:rsid w:val="007A6900"/>
    <w:rsid w:val="007A75EA"/>
    <w:rsid w:val="007B0659"/>
    <w:rsid w:val="007B25D8"/>
    <w:rsid w:val="007B69BC"/>
    <w:rsid w:val="007C7C2C"/>
    <w:rsid w:val="007E6434"/>
    <w:rsid w:val="007E7D5D"/>
    <w:rsid w:val="007F2864"/>
    <w:rsid w:val="00800898"/>
    <w:rsid w:val="00801E74"/>
    <w:rsid w:val="008029FB"/>
    <w:rsid w:val="0080485E"/>
    <w:rsid w:val="008142B4"/>
    <w:rsid w:val="00816AA9"/>
    <w:rsid w:val="00832324"/>
    <w:rsid w:val="00832BB5"/>
    <w:rsid w:val="00835337"/>
    <w:rsid w:val="00837C03"/>
    <w:rsid w:val="0084403C"/>
    <w:rsid w:val="00846DCD"/>
    <w:rsid w:val="00851D85"/>
    <w:rsid w:val="00852370"/>
    <w:rsid w:val="00860410"/>
    <w:rsid w:val="00860CCB"/>
    <w:rsid w:val="00862D9F"/>
    <w:rsid w:val="00863E14"/>
    <w:rsid w:val="00866F78"/>
    <w:rsid w:val="00870930"/>
    <w:rsid w:val="00873537"/>
    <w:rsid w:val="008740A3"/>
    <w:rsid w:val="00874F67"/>
    <w:rsid w:val="00877921"/>
    <w:rsid w:val="0089297B"/>
    <w:rsid w:val="008A268F"/>
    <w:rsid w:val="008A50DD"/>
    <w:rsid w:val="008A7F52"/>
    <w:rsid w:val="008B1508"/>
    <w:rsid w:val="008C36CA"/>
    <w:rsid w:val="008C5DC2"/>
    <w:rsid w:val="008D096E"/>
    <w:rsid w:val="008D3DD0"/>
    <w:rsid w:val="008E3F8C"/>
    <w:rsid w:val="00902FD0"/>
    <w:rsid w:val="009053D3"/>
    <w:rsid w:val="0090691F"/>
    <w:rsid w:val="0093111F"/>
    <w:rsid w:val="009352A6"/>
    <w:rsid w:val="00935689"/>
    <w:rsid w:val="00937D03"/>
    <w:rsid w:val="0094117A"/>
    <w:rsid w:val="0095303B"/>
    <w:rsid w:val="009663B6"/>
    <w:rsid w:val="0097161D"/>
    <w:rsid w:val="009732B3"/>
    <w:rsid w:val="00974A47"/>
    <w:rsid w:val="00980286"/>
    <w:rsid w:val="00982736"/>
    <w:rsid w:val="00985042"/>
    <w:rsid w:val="0098621D"/>
    <w:rsid w:val="00986E99"/>
    <w:rsid w:val="00987709"/>
    <w:rsid w:val="00990DCF"/>
    <w:rsid w:val="009910F4"/>
    <w:rsid w:val="009924F1"/>
    <w:rsid w:val="009929A7"/>
    <w:rsid w:val="009A2B47"/>
    <w:rsid w:val="009A4CD6"/>
    <w:rsid w:val="009A4E2B"/>
    <w:rsid w:val="009A537C"/>
    <w:rsid w:val="009C0886"/>
    <w:rsid w:val="009C19EE"/>
    <w:rsid w:val="009C28D0"/>
    <w:rsid w:val="009C35F2"/>
    <w:rsid w:val="009C7782"/>
    <w:rsid w:val="009C7C43"/>
    <w:rsid w:val="009D1ED5"/>
    <w:rsid w:val="009D4C13"/>
    <w:rsid w:val="009E057F"/>
    <w:rsid w:val="009E21A7"/>
    <w:rsid w:val="009E3FD3"/>
    <w:rsid w:val="009E4D67"/>
    <w:rsid w:val="009E5120"/>
    <w:rsid w:val="009F509A"/>
    <w:rsid w:val="00A103ED"/>
    <w:rsid w:val="00A13C60"/>
    <w:rsid w:val="00A14690"/>
    <w:rsid w:val="00A15134"/>
    <w:rsid w:val="00A1647E"/>
    <w:rsid w:val="00A2787E"/>
    <w:rsid w:val="00A341A3"/>
    <w:rsid w:val="00A35800"/>
    <w:rsid w:val="00A4443B"/>
    <w:rsid w:val="00A4471A"/>
    <w:rsid w:val="00A47023"/>
    <w:rsid w:val="00A52918"/>
    <w:rsid w:val="00A547B3"/>
    <w:rsid w:val="00A575C1"/>
    <w:rsid w:val="00A57DC3"/>
    <w:rsid w:val="00A63CC6"/>
    <w:rsid w:val="00A679AA"/>
    <w:rsid w:val="00A70E82"/>
    <w:rsid w:val="00A84B1A"/>
    <w:rsid w:val="00A84CAD"/>
    <w:rsid w:val="00A87FB9"/>
    <w:rsid w:val="00A90E50"/>
    <w:rsid w:val="00A945B7"/>
    <w:rsid w:val="00A95FA5"/>
    <w:rsid w:val="00A96D92"/>
    <w:rsid w:val="00AB199C"/>
    <w:rsid w:val="00AB3733"/>
    <w:rsid w:val="00AB51C4"/>
    <w:rsid w:val="00AB588C"/>
    <w:rsid w:val="00AB7897"/>
    <w:rsid w:val="00AC0327"/>
    <w:rsid w:val="00AC3FE5"/>
    <w:rsid w:val="00AC5054"/>
    <w:rsid w:val="00AC70A1"/>
    <w:rsid w:val="00AC725D"/>
    <w:rsid w:val="00AC7E78"/>
    <w:rsid w:val="00AE2491"/>
    <w:rsid w:val="00AE4BAC"/>
    <w:rsid w:val="00AE693A"/>
    <w:rsid w:val="00AE6EE4"/>
    <w:rsid w:val="00AF3C3E"/>
    <w:rsid w:val="00AF4E5E"/>
    <w:rsid w:val="00AF7DAE"/>
    <w:rsid w:val="00B0298C"/>
    <w:rsid w:val="00B034FC"/>
    <w:rsid w:val="00B05310"/>
    <w:rsid w:val="00B10A0B"/>
    <w:rsid w:val="00B10CA3"/>
    <w:rsid w:val="00B1144A"/>
    <w:rsid w:val="00B14BE6"/>
    <w:rsid w:val="00B15BC7"/>
    <w:rsid w:val="00B223C8"/>
    <w:rsid w:val="00B23706"/>
    <w:rsid w:val="00B23FD9"/>
    <w:rsid w:val="00B25152"/>
    <w:rsid w:val="00B3005B"/>
    <w:rsid w:val="00B30D85"/>
    <w:rsid w:val="00B35A4A"/>
    <w:rsid w:val="00B37E0A"/>
    <w:rsid w:val="00B4122F"/>
    <w:rsid w:val="00B41DD2"/>
    <w:rsid w:val="00B453CF"/>
    <w:rsid w:val="00B57933"/>
    <w:rsid w:val="00B60AD7"/>
    <w:rsid w:val="00B63FD7"/>
    <w:rsid w:val="00B66C13"/>
    <w:rsid w:val="00B76D52"/>
    <w:rsid w:val="00B816D9"/>
    <w:rsid w:val="00B9120F"/>
    <w:rsid w:val="00B9216C"/>
    <w:rsid w:val="00B924A4"/>
    <w:rsid w:val="00B95675"/>
    <w:rsid w:val="00B96D45"/>
    <w:rsid w:val="00BA0324"/>
    <w:rsid w:val="00BA3492"/>
    <w:rsid w:val="00BA7E43"/>
    <w:rsid w:val="00BB0216"/>
    <w:rsid w:val="00BB0D1A"/>
    <w:rsid w:val="00BB15C9"/>
    <w:rsid w:val="00BB1D3B"/>
    <w:rsid w:val="00BB7CDE"/>
    <w:rsid w:val="00BB7E24"/>
    <w:rsid w:val="00BC35ED"/>
    <w:rsid w:val="00BC7471"/>
    <w:rsid w:val="00BD009B"/>
    <w:rsid w:val="00BD42AD"/>
    <w:rsid w:val="00BE1E79"/>
    <w:rsid w:val="00BE205A"/>
    <w:rsid w:val="00BE3802"/>
    <w:rsid w:val="00BF12BE"/>
    <w:rsid w:val="00BF238E"/>
    <w:rsid w:val="00BF2989"/>
    <w:rsid w:val="00BF2F4A"/>
    <w:rsid w:val="00BF544D"/>
    <w:rsid w:val="00C0018D"/>
    <w:rsid w:val="00C0076F"/>
    <w:rsid w:val="00C00B24"/>
    <w:rsid w:val="00C0301C"/>
    <w:rsid w:val="00C050B6"/>
    <w:rsid w:val="00C10F12"/>
    <w:rsid w:val="00C13322"/>
    <w:rsid w:val="00C22058"/>
    <w:rsid w:val="00C2251B"/>
    <w:rsid w:val="00C22E98"/>
    <w:rsid w:val="00C2345E"/>
    <w:rsid w:val="00C245EA"/>
    <w:rsid w:val="00C256F6"/>
    <w:rsid w:val="00C26A98"/>
    <w:rsid w:val="00C26BF9"/>
    <w:rsid w:val="00C3097E"/>
    <w:rsid w:val="00C34948"/>
    <w:rsid w:val="00C35ECC"/>
    <w:rsid w:val="00C361A8"/>
    <w:rsid w:val="00C41246"/>
    <w:rsid w:val="00C41443"/>
    <w:rsid w:val="00C42C2E"/>
    <w:rsid w:val="00C44648"/>
    <w:rsid w:val="00C45E5F"/>
    <w:rsid w:val="00C46291"/>
    <w:rsid w:val="00C5435C"/>
    <w:rsid w:val="00C63412"/>
    <w:rsid w:val="00C63F2A"/>
    <w:rsid w:val="00C64AFF"/>
    <w:rsid w:val="00C714D0"/>
    <w:rsid w:val="00C82DB7"/>
    <w:rsid w:val="00C866CE"/>
    <w:rsid w:val="00C86C2F"/>
    <w:rsid w:val="00C90ABA"/>
    <w:rsid w:val="00C90EF4"/>
    <w:rsid w:val="00C9434D"/>
    <w:rsid w:val="00CA015A"/>
    <w:rsid w:val="00CA48D3"/>
    <w:rsid w:val="00CB1B67"/>
    <w:rsid w:val="00CC1AA3"/>
    <w:rsid w:val="00CC46F8"/>
    <w:rsid w:val="00CD4486"/>
    <w:rsid w:val="00CE2C57"/>
    <w:rsid w:val="00CE67B9"/>
    <w:rsid w:val="00CF1068"/>
    <w:rsid w:val="00CF5CC0"/>
    <w:rsid w:val="00CF5E22"/>
    <w:rsid w:val="00D06A44"/>
    <w:rsid w:val="00D06B47"/>
    <w:rsid w:val="00D12778"/>
    <w:rsid w:val="00D151EB"/>
    <w:rsid w:val="00D17B6D"/>
    <w:rsid w:val="00D21362"/>
    <w:rsid w:val="00D23B39"/>
    <w:rsid w:val="00D244B6"/>
    <w:rsid w:val="00D300E0"/>
    <w:rsid w:val="00D3106A"/>
    <w:rsid w:val="00D3468C"/>
    <w:rsid w:val="00D374CD"/>
    <w:rsid w:val="00D50799"/>
    <w:rsid w:val="00D54B5D"/>
    <w:rsid w:val="00D56A1D"/>
    <w:rsid w:val="00D62D03"/>
    <w:rsid w:val="00D650CE"/>
    <w:rsid w:val="00D71719"/>
    <w:rsid w:val="00D776DA"/>
    <w:rsid w:val="00D82268"/>
    <w:rsid w:val="00D8758B"/>
    <w:rsid w:val="00D91403"/>
    <w:rsid w:val="00D92B9F"/>
    <w:rsid w:val="00D942B3"/>
    <w:rsid w:val="00D94863"/>
    <w:rsid w:val="00D9664D"/>
    <w:rsid w:val="00DA0981"/>
    <w:rsid w:val="00DA0AF1"/>
    <w:rsid w:val="00DA369F"/>
    <w:rsid w:val="00DA7D09"/>
    <w:rsid w:val="00DB6FFD"/>
    <w:rsid w:val="00DC08C3"/>
    <w:rsid w:val="00DC2630"/>
    <w:rsid w:val="00DC49E9"/>
    <w:rsid w:val="00DC55E4"/>
    <w:rsid w:val="00DC7D71"/>
    <w:rsid w:val="00DD188C"/>
    <w:rsid w:val="00DD29A3"/>
    <w:rsid w:val="00DD2E23"/>
    <w:rsid w:val="00DD48EE"/>
    <w:rsid w:val="00DE03D6"/>
    <w:rsid w:val="00DE0B96"/>
    <w:rsid w:val="00DE10B9"/>
    <w:rsid w:val="00DE5581"/>
    <w:rsid w:val="00DE65CF"/>
    <w:rsid w:val="00DE7481"/>
    <w:rsid w:val="00DF0B13"/>
    <w:rsid w:val="00DF25B7"/>
    <w:rsid w:val="00DF2EB8"/>
    <w:rsid w:val="00DF4A94"/>
    <w:rsid w:val="00DF6003"/>
    <w:rsid w:val="00E00095"/>
    <w:rsid w:val="00E0332E"/>
    <w:rsid w:val="00E04D85"/>
    <w:rsid w:val="00E05F55"/>
    <w:rsid w:val="00E066C3"/>
    <w:rsid w:val="00E074FB"/>
    <w:rsid w:val="00E07B81"/>
    <w:rsid w:val="00E10D8C"/>
    <w:rsid w:val="00E1353A"/>
    <w:rsid w:val="00E1564B"/>
    <w:rsid w:val="00E208A0"/>
    <w:rsid w:val="00E2262C"/>
    <w:rsid w:val="00E25B49"/>
    <w:rsid w:val="00E27262"/>
    <w:rsid w:val="00E27C37"/>
    <w:rsid w:val="00E311DE"/>
    <w:rsid w:val="00E33614"/>
    <w:rsid w:val="00E34493"/>
    <w:rsid w:val="00E35523"/>
    <w:rsid w:val="00E371EA"/>
    <w:rsid w:val="00E476E1"/>
    <w:rsid w:val="00E542BD"/>
    <w:rsid w:val="00E617A1"/>
    <w:rsid w:val="00E618AB"/>
    <w:rsid w:val="00E62E2D"/>
    <w:rsid w:val="00E64429"/>
    <w:rsid w:val="00E64E64"/>
    <w:rsid w:val="00E6521E"/>
    <w:rsid w:val="00E65813"/>
    <w:rsid w:val="00E677DD"/>
    <w:rsid w:val="00E71D55"/>
    <w:rsid w:val="00E7594B"/>
    <w:rsid w:val="00E776EE"/>
    <w:rsid w:val="00E8299A"/>
    <w:rsid w:val="00E83D09"/>
    <w:rsid w:val="00E84639"/>
    <w:rsid w:val="00E868BA"/>
    <w:rsid w:val="00E9179F"/>
    <w:rsid w:val="00EA2F68"/>
    <w:rsid w:val="00EA538B"/>
    <w:rsid w:val="00EB10E6"/>
    <w:rsid w:val="00EB389B"/>
    <w:rsid w:val="00EB4688"/>
    <w:rsid w:val="00EB6C07"/>
    <w:rsid w:val="00EC028D"/>
    <w:rsid w:val="00ED0DE8"/>
    <w:rsid w:val="00ED4E3E"/>
    <w:rsid w:val="00ED633B"/>
    <w:rsid w:val="00EE2BBB"/>
    <w:rsid w:val="00EE478C"/>
    <w:rsid w:val="00EE70CA"/>
    <w:rsid w:val="00EF02F5"/>
    <w:rsid w:val="00EF3DD2"/>
    <w:rsid w:val="00EF6AD8"/>
    <w:rsid w:val="00EF7D89"/>
    <w:rsid w:val="00F02C74"/>
    <w:rsid w:val="00F03F2F"/>
    <w:rsid w:val="00F07C8E"/>
    <w:rsid w:val="00F1132C"/>
    <w:rsid w:val="00F15DD5"/>
    <w:rsid w:val="00F15FF6"/>
    <w:rsid w:val="00F17D4B"/>
    <w:rsid w:val="00F224C4"/>
    <w:rsid w:val="00F23139"/>
    <w:rsid w:val="00F3169A"/>
    <w:rsid w:val="00F33FF4"/>
    <w:rsid w:val="00F36D45"/>
    <w:rsid w:val="00F370B4"/>
    <w:rsid w:val="00F41E0B"/>
    <w:rsid w:val="00F4271E"/>
    <w:rsid w:val="00F4391C"/>
    <w:rsid w:val="00F43C35"/>
    <w:rsid w:val="00F5434E"/>
    <w:rsid w:val="00F554E8"/>
    <w:rsid w:val="00F5660E"/>
    <w:rsid w:val="00F66CD5"/>
    <w:rsid w:val="00F67A9A"/>
    <w:rsid w:val="00F70F4E"/>
    <w:rsid w:val="00F73113"/>
    <w:rsid w:val="00F75FC4"/>
    <w:rsid w:val="00F76F69"/>
    <w:rsid w:val="00F85981"/>
    <w:rsid w:val="00F86AED"/>
    <w:rsid w:val="00F87263"/>
    <w:rsid w:val="00F87B54"/>
    <w:rsid w:val="00F93725"/>
    <w:rsid w:val="00F93D94"/>
    <w:rsid w:val="00FA1BA3"/>
    <w:rsid w:val="00FA32AA"/>
    <w:rsid w:val="00FA4890"/>
    <w:rsid w:val="00FA54EE"/>
    <w:rsid w:val="00FB4810"/>
    <w:rsid w:val="00FB6A59"/>
    <w:rsid w:val="00FB77FA"/>
    <w:rsid w:val="00FC3C70"/>
    <w:rsid w:val="00FC4A73"/>
    <w:rsid w:val="00FC559C"/>
    <w:rsid w:val="00FC7F0D"/>
    <w:rsid w:val="00FE3F0C"/>
    <w:rsid w:val="00FE3FD0"/>
    <w:rsid w:val="00FE5071"/>
    <w:rsid w:val="00FE645A"/>
    <w:rsid w:val="00FF45C3"/>
    <w:rsid w:val="00FF4EA0"/>
    <w:rsid w:val="00FF5A3D"/>
    <w:rsid w:val="00FF610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C01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4A4"/>
    <w:pPr>
      <w:spacing w:line="240" w:lineRule="auto"/>
    </w:pPr>
    <w:rPr>
      <w:sz w:val="24"/>
      <w:szCs w:val="24"/>
    </w:rPr>
  </w:style>
  <w:style w:type="paragraph" w:styleId="Heading1">
    <w:name w:val="heading 1"/>
    <w:basedOn w:val="Normal"/>
    <w:next w:val="Normal"/>
    <w:link w:val="Heading1Char"/>
    <w:uiPriority w:val="9"/>
    <w:qFormat/>
    <w:rsid w:val="00CF5E22"/>
    <w:pPr>
      <w:keepNext/>
      <w:keepLines/>
      <w:spacing w:before="480" w:after="240"/>
      <w:outlineLvl w:val="0"/>
    </w:pPr>
    <w:rPr>
      <w:rFonts w:eastAsiaTheme="majorEastAsia" w:cstheme="majorBidi"/>
      <w:b/>
      <w:bCs/>
      <w:sz w:val="32"/>
      <w:szCs w:val="32"/>
    </w:rPr>
  </w:style>
  <w:style w:type="paragraph" w:styleId="Heading2">
    <w:name w:val="heading 2"/>
    <w:basedOn w:val="Heading4"/>
    <w:next w:val="Normal"/>
    <w:link w:val="Heading2Char"/>
    <w:uiPriority w:val="9"/>
    <w:unhideWhenUsed/>
    <w:qFormat/>
    <w:rsid w:val="00CF5E22"/>
    <w:pPr>
      <w:outlineLvl w:val="1"/>
    </w:pPr>
    <w:rPr>
      <w:i w:val="0"/>
      <w:sz w:val="28"/>
      <w:szCs w:val="24"/>
    </w:rPr>
  </w:style>
  <w:style w:type="paragraph" w:styleId="Heading3">
    <w:name w:val="heading 3"/>
    <w:basedOn w:val="Normal"/>
    <w:next w:val="Normal"/>
    <w:link w:val="Heading3Char"/>
    <w:uiPriority w:val="9"/>
    <w:unhideWhenUsed/>
    <w:qFormat/>
    <w:rsid w:val="00CF5E22"/>
    <w:pPr>
      <w:spacing w:before="240"/>
      <w:outlineLvl w:val="2"/>
    </w:pPr>
    <w:rPr>
      <w:b/>
      <w:i/>
      <w:szCs w:val="28"/>
    </w:rPr>
  </w:style>
  <w:style w:type="paragraph" w:styleId="Heading4">
    <w:name w:val="heading 4"/>
    <w:basedOn w:val="Heading3"/>
    <w:next w:val="Normal"/>
    <w:link w:val="Heading4Char"/>
    <w:uiPriority w:val="9"/>
    <w:unhideWhenUsed/>
    <w:qFormat/>
    <w:rsid w:val="000C46BB"/>
    <w:pPr>
      <w:outlineLvl w:val="3"/>
    </w:pPr>
    <w:rPr>
      <w:sz w:val="32"/>
      <w:szCs w:val="32"/>
    </w:rPr>
  </w:style>
  <w:style w:type="paragraph" w:styleId="Heading5">
    <w:name w:val="heading 5"/>
    <w:basedOn w:val="Normal"/>
    <w:next w:val="Normal"/>
    <w:link w:val="Heading5Char"/>
    <w:uiPriority w:val="9"/>
    <w:semiHidden/>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E22"/>
    <w:rPr>
      <w:rFonts w:eastAsiaTheme="majorEastAsia" w:cstheme="majorBidi"/>
      <w:b/>
      <w:bCs/>
      <w:sz w:val="32"/>
      <w:szCs w:val="32"/>
    </w:rPr>
  </w:style>
  <w:style w:type="character" w:customStyle="1" w:styleId="Heading2Char">
    <w:name w:val="Heading 2 Char"/>
    <w:basedOn w:val="DefaultParagraphFont"/>
    <w:link w:val="Heading2"/>
    <w:uiPriority w:val="9"/>
    <w:rsid w:val="00CF5E22"/>
    <w:rPr>
      <w:b/>
      <w:sz w:val="28"/>
      <w:szCs w:val="24"/>
    </w:rPr>
  </w:style>
  <w:style w:type="character" w:customStyle="1" w:styleId="Heading3Char">
    <w:name w:val="Heading 3 Char"/>
    <w:basedOn w:val="DefaultParagraphFont"/>
    <w:link w:val="Heading3"/>
    <w:uiPriority w:val="9"/>
    <w:rsid w:val="00CF5E22"/>
    <w:rPr>
      <w:b/>
      <w:i/>
      <w:sz w:val="24"/>
      <w:szCs w:val="28"/>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unhideWhenUsed/>
    <w:rsid w:val="00E677DD"/>
    <w:rPr>
      <w:sz w:val="20"/>
      <w:szCs w:val="20"/>
    </w:rPr>
  </w:style>
  <w:style w:type="character" w:customStyle="1" w:styleId="CommentTextChar">
    <w:name w:val="Comment Text Char"/>
    <w:basedOn w:val="DefaultParagraphFont"/>
    <w:link w:val="CommentText"/>
    <w:uiPriority w:val="99"/>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0C46BB"/>
    <w:rPr>
      <w:b/>
      <w:sz w:val="32"/>
      <w:szCs w:val="32"/>
    </w:rPr>
  </w:style>
  <w:style w:type="character" w:customStyle="1" w:styleId="Heading5Char">
    <w:name w:val="Heading 5 Char"/>
    <w:basedOn w:val="DefaultParagraphFont"/>
    <w:link w:val="Heading5"/>
    <w:uiPriority w:val="9"/>
    <w:semiHidden/>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uiPriority w:val="59"/>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CF5E22"/>
    <w:pPr>
      <w:spacing w:after="20"/>
    </w:pPr>
    <w:rPr>
      <w:i w:val="0"/>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semiHidden/>
    <w:unhideWhenUsed/>
    <w:rsid w:val="008142B4"/>
    <w:pPr>
      <w:spacing w:after="0"/>
    </w:pPr>
    <w:rPr>
      <w:sz w:val="18"/>
      <w:szCs w:val="20"/>
    </w:rPr>
  </w:style>
  <w:style w:type="character" w:customStyle="1" w:styleId="FootnoteTextChar">
    <w:name w:val="Footnote Text Char"/>
    <w:basedOn w:val="DefaultParagraphFont"/>
    <w:link w:val="FootnoteText"/>
    <w:uiPriority w:val="99"/>
    <w:semiHidden/>
    <w:rsid w:val="008142B4"/>
    <w:rPr>
      <w:sz w:val="18"/>
      <w:szCs w:val="20"/>
    </w:rPr>
  </w:style>
  <w:style w:type="character" w:styleId="FootnoteReference">
    <w:name w:val="footnote reference"/>
    <w:basedOn w:val="DefaultParagraphFont"/>
    <w:uiPriority w:val="99"/>
    <w:semiHidden/>
    <w:unhideWhenUsed/>
    <w:rsid w:val="008142B4"/>
    <w:rPr>
      <w:vertAlign w:val="superscript"/>
    </w:rPr>
  </w:style>
  <w:style w:type="character" w:customStyle="1" w:styleId="TabletitleChar">
    <w:name w:val="Table title Char"/>
    <w:basedOn w:val="Heading4Char"/>
    <w:link w:val="Tabletitle"/>
    <w:rsid w:val="00CF5E22"/>
    <w:rPr>
      <w:b/>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val="0"/>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paragraph" w:styleId="ListParagraph">
    <w:name w:val="List Paragraph"/>
    <w:basedOn w:val="Normal"/>
    <w:uiPriority w:val="34"/>
    <w:qFormat/>
    <w:rsid w:val="003402E4"/>
    <w:pPr>
      <w:ind w:left="720"/>
      <w:contextualSpacing/>
    </w:pPr>
  </w:style>
  <w:style w:type="character" w:styleId="Hyperlink">
    <w:name w:val="Hyperlink"/>
    <w:basedOn w:val="DefaultParagraphFont"/>
    <w:uiPriority w:val="99"/>
    <w:unhideWhenUsed/>
    <w:rsid w:val="00F17D4B"/>
    <w:rPr>
      <w:color w:val="0000FF" w:themeColor="hyperlink"/>
      <w:u w:val="single"/>
    </w:rPr>
  </w:style>
  <w:style w:type="paragraph" w:customStyle="1" w:styleId="Title2">
    <w:name w:val="Title 2"/>
    <w:basedOn w:val="Heading1"/>
    <w:link w:val="Title2Char"/>
    <w:qFormat/>
    <w:rsid w:val="00F73113"/>
    <w:rPr>
      <w:sz w:val="40"/>
    </w:rPr>
  </w:style>
  <w:style w:type="paragraph" w:customStyle="1" w:styleId="Meetingdate">
    <w:name w:val="Meeting date"/>
    <w:basedOn w:val="Heading4"/>
    <w:link w:val="MeetingdateChar"/>
    <w:qFormat/>
    <w:rsid w:val="00F73113"/>
    <w:rPr>
      <w:sz w:val="24"/>
    </w:rPr>
  </w:style>
  <w:style w:type="character" w:customStyle="1" w:styleId="Title2Char">
    <w:name w:val="Title 2 Char"/>
    <w:basedOn w:val="Heading1Char"/>
    <w:link w:val="Title2"/>
    <w:rsid w:val="00F73113"/>
    <w:rPr>
      <w:rFonts w:eastAsiaTheme="majorEastAsia" w:cstheme="majorBidi"/>
      <w:b/>
      <w:bCs/>
      <w:sz w:val="40"/>
      <w:szCs w:val="32"/>
    </w:rPr>
  </w:style>
  <w:style w:type="character" w:customStyle="1" w:styleId="MeetingdateChar">
    <w:name w:val="Meeting date Char"/>
    <w:basedOn w:val="Heading4Char"/>
    <w:link w:val="Meetingdate"/>
    <w:rsid w:val="00F73113"/>
    <w:rPr>
      <w:b/>
      <w:i/>
      <w:sz w:val="24"/>
      <w:szCs w:val="32"/>
    </w:rPr>
  </w:style>
  <w:style w:type="paragraph" w:customStyle="1" w:styleId="Default">
    <w:name w:val="Default"/>
    <w:basedOn w:val="Normal"/>
    <w:rsid w:val="001460C4"/>
    <w:pPr>
      <w:autoSpaceDE w:val="0"/>
      <w:autoSpaceDN w:val="0"/>
      <w:spacing w:after="0"/>
    </w:pPr>
    <w:rPr>
      <w:rFonts w:ascii="Calibri" w:eastAsiaTheme="minorHAnsi" w:hAnsi="Calibri" w:cs="Times New Roman"/>
      <w:color w:val="000000"/>
      <w:lang w:eastAsia="en-US"/>
    </w:rPr>
  </w:style>
  <w:style w:type="paragraph" w:styleId="Revision">
    <w:name w:val="Revision"/>
    <w:hidden/>
    <w:uiPriority w:val="99"/>
    <w:semiHidden/>
    <w:rsid w:val="008A7F52"/>
    <w:pPr>
      <w:spacing w:after="0" w:line="240" w:lineRule="auto"/>
    </w:pPr>
    <w:rPr>
      <w:sz w:val="24"/>
      <w:szCs w:val="24"/>
    </w:rPr>
  </w:style>
  <w:style w:type="character" w:styleId="UnresolvedMention">
    <w:name w:val="Unresolved Mention"/>
    <w:basedOn w:val="DefaultParagraphFont"/>
    <w:uiPriority w:val="99"/>
    <w:semiHidden/>
    <w:unhideWhenUsed/>
    <w:rsid w:val="009732B3"/>
    <w:rPr>
      <w:color w:val="605E5C"/>
      <w:shd w:val="clear" w:color="auto" w:fill="E1DFDD"/>
    </w:rPr>
  </w:style>
  <w:style w:type="character" w:styleId="FollowedHyperlink">
    <w:name w:val="FollowedHyperlink"/>
    <w:basedOn w:val="DefaultParagraphFont"/>
    <w:uiPriority w:val="99"/>
    <w:semiHidden/>
    <w:unhideWhenUsed/>
    <w:rsid w:val="0075543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667520">
      <w:bodyDiv w:val="1"/>
      <w:marLeft w:val="0"/>
      <w:marRight w:val="0"/>
      <w:marTop w:val="0"/>
      <w:marBottom w:val="0"/>
      <w:divBdr>
        <w:top w:val="none" w:sz="0" w:space="0" w:color="auto"/>
        <w:left w:val="none" w:sz="0" w:space="0" w:color="auto"/>
        <w:bottom w:val="none" w:sz="0" w:space="0" w:color="auto"/>
        <w:right w:val="none" w:sz="0" w:space="0" w:color="auto"/>
      </w:divBdr>
    </w:div>
    <w:div w:id="528104939">
      <w:bodyDiv w:val="1"/>
      <w:marLeft w:val="0"/>
      <w:marRight w:val="0"/>
      <w:marTop w:val="0"/>
      <w:marBottom w:val="0"/>
      <w:divBdr>
        <w:top w:val="none" w:sz="0" w:space="0" w:color="auto"/>
        <w:left w:val="none" w:sz="0" w:space="0" w:color="auto"/>
        <w:bottom w:val="none" w:sz="0" w:space="0" w:color="auto"/>
        <w:right w:val="none" w:sz="0" w:space="0" w:color="auto"/>
      </w:divBdr>
    </w:div>
    <w:div w:id="662244565">
      <w:bodyDiv w:val="1"/>
      <w:marLeft w:val="0"/>
      <w:marRight w:val="0"/>
      <w:marTop w:val="0"/>
      <w:marBottom w:val="0"/>
      <w:divBdr>
        <w:top w:val="none" w:sz="0" w:space="0" w:color="auto"/>
        <w:left w:val="none" w:sz="0" w:space="0" w:color="auto"/>
        <w:bottom w:val="none" w:sz="0" w:space="0" w:color="auto"/>
        <w:right w:val="none" w:sz="0" w:space="0" w:color="auto"/>
      </w:divBdr>
    </w:div>
    <w:div w:id="749355573">
      <w:bodyDiv w:val="1"/>
      <w:marLeft w:val="0"/>
      <w:marRight w:val="0"/>
      <w:marTop w:val="0"/>
      <w:marBottom w:val="0"/>
      <w:divBdr>
        <w:top w:val="none" w:sz="0" w:space="0" w:color="auto"/>
        <w:left w:val="none" w:sz="0" w:space="0" w:color="auto"/>
        <w:bottom w:val="none" w:sz="0" w:space="0" w:color="auto"/>
        <w:right w:val="none" w:sz="0" w:space="0" w:color="auto"/>
      </w:divBdr>
    </w:div>
    <w:div w:id="937561234">
      <w:bodyDiv w:val="1"/>
      <w:marLeft w:val="0"/>
      <w:marRight w:val="0"/>
      <w:marTop w:val="0"/>
      <w:marBottom w:val="0"/>
      <w:divBdr>
        <w:top w:val="none" w:sz="0" w:space="0" w:color="auto"/>
        <w:left w:val="none" w:sz="0" w:space="0" w:color="auto"/>
        <w:bottom w:val="none" w:sz="0" w:space="0" w:color="auto"/>
        <w:right w:val="none" w:sz="0" w:space="0" w:color="auto"/>
      </w:divBdr>
    </w:div>
    <w:div w:id="1060129013">
      <w:bodyDiv w:val="1"/>
      <w:marLeft w:val="0"/>
      <w:marRight w:val="0"/>
      <w:marTop w:val="0"/>
      <w:marBottom w:val="0"/>
      <w:divBdr>
        <w:top w:val="none" w:sz="0" w:space="0" w:color="auto"/>
        <w:left w:val="none" w:sz="0" w:space="0" w:color="auto"/>
        <w:bottom w:val="none" w:sz="0" w:space="0" w:color="auto"/>
        <w:right w:val="none" w:sz="0" w:space="0" w:color="auto"/>
      </w:divBdr>
    </w:div>
    <w:div w:id="1111436557">
      <w:bodyDiv w:val="1"/>
      <w:marLeft w:val="0"/>
      <w:marRight w:val="0"/>
      <w:marTop w:val="0"/>
      <w:marBottom w:val="0"/>
      <w:divBdr>
        <w:top w:val="none" w:sz="0" w:space="0" w:color="auto"/>
        <w:left w:val="none" w:sz="0" w:space="0" w:color="auto"/>
        <w:bottom w:val="none" w:sz="0" w:space="0" w:color="auto"/>
        <w:right w:val="none" w:sz="0" w:space="0" w:color="auto"/>
      </w:divBdr>
    </w:div>
    <w:div w:id="1844586168">
      <w:bodyDiv w:val="1"/>
      <w:marLeft w:val="0"/>
      <w:marRight w:val="0"/>
      <w:marTop w:val="0"/>
      <w:marBottom w:val="0"/>
      <w:divBdr>
        <w:top w:val="none" w:sz="0" w:space="0" w:color="auto"/>
        <w:left w:val="none" w:sz="0" w:space="0" w:color="auto"/>
        <w:bottom w:val="none" w:sz="0" w:space="0" w:color="auto"/>
        <w:right w:val="none" w:sz="0" w:space="0" w:color="auto"/>
      </w:divBdr>
    </w:div>
    <w:div w:id="2080050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ga.gov.au/hp/information-medicines-pi.htm" TargetMode="External"/><Relationship Id="rId13" Type="http://schemas.openxmlformats.org/officeDocument/2006/relationships/chart" Target="charts/chart1.xm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yperlink" Target="https://www.pbs.gov.au/info/industry/listing/elements/pbac-meetings/psd/2021-03/nivolumab-and-ipilimumab-nivolumab-injection-concentrate_f" TargetMode="External"/><Relationship Id="rId17" Type="http://schemas.openxmlformats.org/officeDocument/2006/relationships/image" Target="media/image2.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entral.health\DFSGroupData\Sites\CO1\CO\PBD\PEB\EVAL\DUSC\DUSC%20Documents\Predicted%20vs%20actual%20usage\pbs.gov.au"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footer" Target="footer1.xml"/><Relationship Id="rId10" Type="http://schemas.openxmlformats.org/officeDocument/2006/relationships/hyperlink" Target="http://www.pbs.gov.au/pbs/home"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www.tga.gov.au/consumers/information-medicines-cmi.htm" TargetMode="External"/><Relationship Id="rId14" Type="http://schemas.openxmlformats.org/officeDocument/2006/relationships/chart" Target="charts/chart2.xml"/><Relationship Id="rId22" Type="http://schemas.openxmlformats.org/officeDocument/2006/relationships/hyperlink" Target="https://www.tga.gov.au/consumer-medicines-information-cmi"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tga.gov.au/consumer-medicines-information-cmi"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healthgov-my.sharepoint.com/personal/shahid_hasan_health_gov_au/Documents/Documents/mesotheliom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healthgov-my.sharepoint.com/personal/shahid_hasan_health_gov_au/Documents/Documents/mesotheliom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healthgov-my.sharepoint.com/personal/shahid_hasan_health_gov_au/Documents/Documents/mesothelioma.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Combined!$A$11</c:f>
              <c:strCache>
                <c:ptCount val="1"/>
                <c:pt idx="0">
                  <c:v>Prevalent Patients</c:v>
                </c:pt>
              </c:strCache>
            </c:strRef>
          </c:tx>
          <c:spPr>
            <a:ln w="28575" cap="rnd">
              <a:solidFill>
                <a:schemeClr val="accent1"/>
              </a:solidFill>
              <a:round/>
            </a:ln>
            <a:effectLst/>
          </c:spPr>
          <c:marker>
            <c:symbol val="none"/>
          </c:marker>
          <c:cat>
            <c:strRef>
              <c:f>Combined!$E$12:$E$21</c:f>
              <c:strCache>
                <c:ptCount val="10"/>
                <c:pt idx="0">
                  <c:v>2021Q3</c:v>
                </c:pt>
                <c:pt idx="1">
                  <c:v>2021Q4</c:v>
                </c:pt>
                <c:pt idx="2">
                  <c:v>2022Q1</c:v>
                </c:pt>
                <c:pt idx="3">
                  <c:v>2022Q2</c:v>
                </c:pt>
                <c:pt idx="4">
                  <c:v>2022Q3</c:v>
                </c:pt>
                <c:pt idx="5">
                  <c:v>2022Q4</c:v>
                </c:pt>
                <c:pt idx="6">
                  <c:v>2023Q1</c:v>
                </c:pt>
                <c:pt idx="7">
                  <c:v>2023Q2</c:v>
                </c:pt>
                <c:pt idx="8">
                  <c:v>2023Q3</c:v>
                </c:pt>
                <c:pt idx="9">
                  <c:v>2023Q4</c:v>
                </c:pt>
              </c:strCache>
            </c:strRef>
          </c:cat>
          <c:val>
            <c:numRef>
              <c:f>Combined!$A$12:$A$20</c:f>
              <c:numCache>
                <c:formatCode>General</c:formatCode>
                <c:ptCount val="9"/>
                <c:pt idx="0">
                  <c:v>344</c:v>
                </c:pt>
                <c:pt idx="1">
                  <c:v>385</c:v>
                </c:pt>
                <c:pt idx="2">
                  <c:v>388</c:v>
                </c:pt>
                <c:pt idx="3">
                  <c:v>395</c:v>
                </c:pt>
                <c:pt idx="4">
                  <c:v>381</c:v>
                </c:pt>
                <c:pt idx="5">
                  <c:v>386</c:v>
                </c:pt>
                <c:pt idx="6">
                  <c:v>409</c:v>
                </c:pt>
                <c:pt idx="7">
                  <c:v>390</c:v>
                </c:pt>
                <c:pt idx="8">
                  <c:v>404</c:v>
                </c:pt>
              </c:numCache>
            </c:numRef>
          </c:val>
          <c:smooth val="0"/>
          <c:extLst>
            <c:ext xmlns:c16="http://schemas.microsoft.com/office/drawing/2014/chart" uri="{C3380CC4-5D6E-409C-BE32-E72D297353CC}">
              <c16:uniqueId val="{00000000-12E7-4289-8A6B-F68EB13BED62}"/>
            </c:ext>
          </c:extLst>
        </c:ser>
        <c:ser>
          <c:idx val="1"/>
          <c:order val="1"/>
          <c:tx>
            <c:strRef>
              <c:f>Combined!$B$11</c:f>
              <c:strCache>
                <c:ptCount val="1"/>
                <c:pt idx="0">
                  <c:v>Initiating Patients</c:v>
                </c:pt>
              </c:strCache>
            </c:strRef>
          </c:tx>
          <c:spPr>
            <a:ln w="28575" cap="rnd">
              <a:solidFill>
                <a:schemeClr val="accent2"/>
              </a:solidFill>
              <a:round/>
            </a:ln>
            <a:effectLst/>
          </c:spPr>
          <c:marker>
            <c:symbol val="none"/>
          </c:marker>
          <c:val>
            <c:numRef>
              <c:f>Combined!$B$12:$B$20</c:f>
              <c:numCache>
                <c:formatCode>General</c:formatCode>
                <c:ptCount val="9"/>
                <c:pt idx="0">
                  <c:v>344</c:v>
                </c:pt>
                <c:pt idx="1">
                  <c:v>156</c:v>
                </c:pt>
                <c:pt idx="2">
                  <c:v>134</c:v>
                </c:pt>
                <c:pt idx="3">
                  <c:v>114</c:v>
                </c:pt>
                <c:pt idx="4">
                  <c:v>110</c:v>
                </c:pt>
                <c:pt idx="5">
                  <c:v>113</c:v>
                </c:pt>
                <c:pt idx="6">
                  <c:v>119</c:v>
                </c:pt>
                <c:pt idx="7">
                  <c:v>115</c:v>
                </c:pt>
                <c:pt idx="8">
                  <c:v>128</c:v>
                </c:pt>
              </c:numCache>
            </c:numRef>
          </c:val>
          <c:smooth val="0"/>
          <c:extLst>
            <c:ext xmlns:c16="http://schemas.microsoft.com/office/drawing/2014/chart" uri="{C3380CC4-5D6E-409C-BE32-E72D297353CC}">
              <c16:uniqueId val="{00000001-12E7-4289-8A6B-F68EB13BED62}"/>
            </c:ext>
          </c:extLst>
        </c:ser>
        <c:dLbls>
          <c:showLegendKey val="0"/>
          <c:showVal val="0"/>
          <c:showCatName val="0"/>
          <c:showSerName val="0"/>
          <c:showPercent val="0"/>
          <c:showBubbleSize val="0"/>
        </c:dLbls>
        <c:smooth val="0"/>
        <c:axId val="680438264"/>
        <c:axId val="581958872"/>
      </c:lineChart>
      <c:catAx>
        <c:axId val="6804382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1958872"/>
        <c:crosses val="autoZero"/>
        <c:auto val="1"/>
        <c:lblAlgn val="ctr"/>
        <c:lblOffset val="100"/>
        <c:noMultiLvlLbl val="0"/>
      </c:catAx>
      <c:valAx>
        <c:axId val="5819588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Patients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04382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'nivo counts qtr'!$A$1</c:f>
              <c:strCache>
                <c:ptCount val="1"/>
                <c:pt idx="0">
                  <c:v>Nivolumab Prevalent Patients</c:v>
                </c:pt>
              </c:strCache>
            </c:strRef>
          </c:tx>
          <c:spPr>
            <a:ln w="28575" cap="rnd">
              <a:solidFill>
                <a:schemeClr val="accent1"/>
              </a:solidFill>
              <a:round/>
            </a:ln>
            <a:effectLst/>
          </c:spPr>
          <c:marker>
            <c:symbol val="none"/>
          </c:marker>
          <c:cat>
            <c:strRef>
              <c:f>'nivo counts qtr'!$C$2:$C$11</c:f>
              <c:strCache>
                <c:ptCount val="10"/>
                <c:pt idx="0">
                  <c:v>2021Q3</c:v>
                </c:pt>
                <c:pt idx="1">
                  <c:v>2021Q4</c:v>
                </c:pt>
                <c:pt idx="2">
                  <c:v>2022Q1</c:v>
                </c:pt>
                <c:pt idx="3">
                  <c:v>2022Q2</c:v>
                </c:pt>
                <c:pt idx="4">
                  <c:v>2022Q3</c:v>
                </c:pt>
                <c:pt idx="5">
                  <c:v>2022Q4</c:v>
                </c:pt>
                <c:pt idx="6">
                  <c:v>2023Q1</c:v>
                </c:pt>
                <c:pt idx="7">
                  <c:v>2023Q2</c:v>
                </c:pt>
                <c:pt idx="8">
                  <c:v>2023Q3</c:v>
                </c:pt>
                <c:pt idx="9">
                  <c:v>2023Q4</c:v>
                </c:pt>
              </c:strCache>
            </c:strRef>
          </c:cat>
          <c:val>
            <c:numRef>
              <c:f>'nivo counts qtr'!$A$2:$A$10</c:f>
              <c:numCache>
                <c:formatCode>General</c:formatCode>
                <c:ptCount val="9"/>
                <c:pt idx="0">
                  <c:v>331</c:v>
                </c:pt>
                <c:pt idx="1">
                  <c:v>374</c:v>
                </c:pt>
                <c:pt idx="2">
                  <c:v>378</c:v>
                </c:pt>
                <c:pt idx="3">
                  <c:v>387</c:v>
                </c:pt>
                <c:pt idx="4">
                  <c:v>372</c:v>
                </c:pt>
                <c:pt idx="5">
                  <c:v>382</c:v>
                </c:pt>
                <c:pt idx="6">
                  <c:v>404</c:v>
                </c:pt>
                <c:pt idx="7">
                  <c:v>386</c:v>
                </c:pt>
                <c:pt idx="8">
                  <c:v>396</c:v>
                </c:pt>
              </c:numCache>
            </c:numRef>
          </c:val>
          <c:smooth val="0"/>
          <c:extLst>
            <c:ext xmlns:c16="http://schemas.microsoft.com/office/drawing/2014/chart" uri="{C3380CC4-5D6E-409C-BE32-E72D297353CC}">
              <c16:uniqueId val="{00000000-FF01-4B97-A298-473C13BB567A}"/>
            </c:ext>
          </c:extLst>
        </c:ser>
        <c:ser>
          <c:idx val="1"/>
          <c:order val="1"/>
          <c:tx>
            <c:strRef>
              <c:f>'nivo counts qtr'!$D$1</c:f>
              <c:strCache>
                <c:ptCount val="1"/>
                <c:pt idx="0">
                  <c:v>Ipilimumab Prevalent Patients</c:v>
                </c:pt>
              </c:strCache>
            </c:strRef>
          </c:tx>
          <c:spPr>
            <a:ln w="28575" cap="rnd">
              <a:solidFill>
                <a:schemeClr val="accent2"/>
              </a:solidFill>
              <a:round/>
            </a:ln>
            <a:effectLst/>
          </c:spPr>
          <c:marker>
            <c:symbol val="none"/>
          </c:marker>
          <c:val>
            <c:numRef>
              <c:f>'nivo counts qtr'!$D$2:$D$10</c:f>
              <c:numCache>
                <c:formatCode>General</c:formatCode>
                <c:ptCount val="9"/>
                <c:pt idx="0">
                  <c:v>303</c:v>
                </c:pt>
                <c:pt idx="1">
                  <c:v>344</c:v>
                </c:pt>
                <c:pt idx="2">
                  <c:v>343</c:v>
                </c:pt>
                <c:pt idx="3">
                  <c:v>334</c:v>
                </c:pt>
                <c:pt idx="4">
                  <c:v>318</c:v>
                </c:pt>
                <c:pt idx="5">
                  <c:v>315</c:v>
                </c:pt>
                <c:pt idx="6">
                  <c:v>333</c:v>
                </c:pt>
                <c:pt idx="7">
                  <c:v>315</c:v>
                </c:pt>
                <c:pt idx="8">
                  <c:v>327</c:v>
                </c:pt>
              </c:numCache>
            </c:numRef>
          </c:val>
          <c:smooth val="0"/>
          <c:extLst>
            <c:ext xmlns:c16="http://schemas.microsoft.com/office/drawing/2014/chart" uri="{C3380CC4-5D6E-409C-BE32-E72D297353CC}">
              <c16:uniqueId val="{00000001-FF01-4B97-A298-473C13BB567A}"/>
            </c:ext>
          </c:extLst>
        </c:ser>
        <c:dLbls>
          <c:showLegendKey val="0"/>
          <c:showVal val="0"/>
          <c:showCatName val="0"/>
          <c:showSerName val="0"/>
          <c:showPercent val="0"/>
          <c:showBubbleSize val="0"/>
        </c:dLbls>
        <c:smooth val="0"/>
        <c:axId val="543036344"/>
        <c:axId val="543036704"/>
      </c:lineChart>
      <c:catAx>
        <c:axId val="543036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2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3036704"/>
        <c:crosses val="autoZero"/>
        <c:auto val="1"/>
        <c:lblAlgn val="ctr"/>
        <c:lblOffset val="100"/>
        <c:noMultiLvlLbl val="0"/>
      </c:catAx>
      <c:valAx>
        <c:axId val="5430367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Patients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30363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[mesothelioma.xlsx]both inits data!PivotTable1</c:name>
    <c:fmtId val="-1"/>
  </c:pivotSource>
  <c:chart>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'both inits data'!$S$1:$S$2</c:f>
              <c:strCache>
                <c:ptCount val="1"/>
                <c:pt idx="0">
                  <c:v>Female</c:v>
                </c:pt>
              </c:strCache>
            </c:strRef>
          </c:tx>
          <c:spPr>
            <a:solidFill>
              <a:schemeClr val="accent1"/>
            </a:solidFill>
            <a:ln>
              <a:noFill/>
            </a:ln>
            <a:effectLst/>
          </c:spPr>
          <c:invertIfNegative val="0"/>
          <c:cat>
            <c:strRef>
              <c:f>'both inits data'!$R$3:$R$19</c:f>
              <c:strCache>
                <c:ptCount val="16"/>
                <c:pt idx="0">
                  <c:v>15-19 yrs</c:v>
                </c:pt>
                <c:pt idx="1">
                  <c:v>25-29 yrs</c:v>
                </c:pt>
                <c:pt idx="2">
                  <c:v>30-34 yrs</c:v>
                </c:pt>
                <c:pt idx="3">
                  <c:v>35-39 yrs</c:v>
                </c:pt>
                <c:pt idx="4">
                  <c:v>40-44 yrs</c:v>
                </c:pt>
                <c:pt idx="5">
                  <c:v>45-49 yrs</c:v>
                </c:pt>
                <c:pt idx="6">
                  <c:v>50-54 yrs</c:v>
                </c:pt>
                <c:pt idx="7">
                  <c:v>55-59 yrs</c:v>
                </c:pt>
                <c:pt idx="8">
                  <c:v>60-64 yrs</c:v>
                </c:pt>
                <c:pt idx="9">
                  <c:v>65-69 yrs</c:v>
                </c:pt>
                <c:pt idx="10">
                  <c:v>70-74 yrs</c:v>
                </c:pt>
                <c:pt idx="11">
                  <c:v>75-79 yrs</c:v>
                </c:pt>
                <c:pt idx="12">
                  <c:v>80-84 yrs</c:v>
                </c:pt>
                <c:pt idx="13">
                  <c:v>85-89 yrs</c:v>
                </c:pt>
                <c:pt idx="14">
                  <c:v>90-94 yrs</c:v>
                </c:pt>
                <c:pt idx="15">
                  <c:v>95-99 yrs</c:v>
                </c:pt>
              </c:strCache>
            </c:strRef>
          </c:cat>
          <c:val>
            <c:numRef>
              <c:f>'both inits data'!$S$3:$S$19</c:f>
              <c:numCache>
                <c:formatCode>General</c:formatCode>
                <c:ptCount val="16"/>
                <c:pt idx="0">
                  <c:v>1</c:v>
                </c:pt>
                <c:pt idx="2">
                  <c:v>3</c:v>
                </c:pt>
                <c:pt idx="3">
                  <c:v>3</c:v>
                </c:pt>
                <c:pt idx="4">
                  <c:v>2</c:v>
                </c:pt>
                <c:pt idx="5">
                  <c:v>1</c:v>
                </c:pt>
                <c:pt idx="6">
                  <c:v>7</c:v>
                </c:pt>
                <c:pt idx="7">
                  <c:v>15</c:v>
                </c:pt>
                <c:pt idx="8">
                  <c:v>40</c:v>
                </c:pt>
                <c:pt idx="9">
                  <c:v>54</c:v>
                </c:pt>
                <c:pt idx="10">
                  <c:v>72</c:v>
                </c:pt>
                <c:pt idx="11">
                  <c:v>53</c:v>
                </c:pt>
                <c:pt idx="12">
                  <c:v>37</c:v>
                </c:pt>
                <c:pt idx="13">
                  <c:v>17</c:v>
                </c:pt>
                <c:pt idx="14">
                  <c:v>1</c:v>
                </c:pt>
                <c:pt idx="15">
                  <c:v>1</c:v>
                </c:pt>
              </c:numCache>
            </c:numRef>
          </c:val>
          <c:extLst>
            <c:ext xmlns:c16="http://schemas.microsoft.com/office/drawing/2014/chart" uri="{C3380CC4-5D6E-409C-BE32-E72D297353CC}">
              <c16:uniqueId val="{00000000-B391-45D0-A3E6-D673843CF278}"/>
            </c:ext>
          </c:extLst>
        </c:ser>
        <c:ser>
          <c:idx val="1"/>
          <c:order val="1"/>
          <c:tx>
            <c:strRef>
              <c:f>'both inits data'!$T$1:$T$2</c:f>
              <c:strCache>
                <c:ptCount val="1"/>
                <c:pt idx="0">
                  <c:v>Male</c:v>
                </c:pt>
              </c:strCache>
            </c:strRef>
          </c:tx>
          <c:spPr>
            <a:solidFill>
              <a:schemeClr val="accent2"/>
            </a:solidFill>
            <a:ln>
              <a:noFill/>
            </a:ln>
            <a:effectLst/>
          </c:spPr>
          <c:invertIfNegative val="0"/>
          <c:cat>
            <c:strRef>
              <c:f>'both inits data'!$R$3:$R$19</c:f>
              <c:strCache>
                <c:ptCount val="16"/>
                <c:pt idx="0">
                  <c:v>15-19 yrs</c:v>
                </c:pt>
                <c:pt idx="1">
                  <c:v>25-29 yrs</c:v>
                </c:pt>
                <c:pt idx="2">
                  <c:v>30-34 yrs</c:v>
                </c:pt>
                <c:pt idx="3">
                  <c:v>35-39 yrs</c:v>
                </c:pt>
                <c:pt idx="4">
                  <c:v>40-44 yrs</c:v>
                </c:pt>
                <c:pt idx="5">
                  <c:v>45-49 yrs</c:v>
                </c:pt>
                <c:pt idx="6">
                  <c:v>50-54 yrs</c:v>
                </c:pt>
                <c:pt idx="7">
                  <c:v>55-59 yrs</c:v>
                </c:pt>
                <c:pt idx="8">
                  <c:v>60-64 yrs</c:v>
                </c:pt>
                <c:pt idx="9">
                  <c:v>65-69 yrs</c:v>
                </c:pt>
                <c:pt idx="10">
                  <c:v>70-74 yrs</c:v>
                </c:pt>
                <c:pt idx="11">
                  <c:v>75-79 yrs</c:v>
                </c:pt>
                <c:pt idx="12">
                  <c:v>80-84 yrs</c:v>
                </c:pt>
                <c:pt idx="13">
                  <c:v>85-89 yrs</c:v>
                </c:pt>
                <c:pt idx="14">
                  <c:v>90-94 yrs</c:v>
                </c:pt>
                <c:pt idx="15">
                  <c:v>95-99 yrs</c:v>
                </c:pt>
              </c:strCache>
            </c:strRef>
          </c:cat>
          <c:val>
            <c:numRef>
              <c:f>'both inits data'!$T$3:$T$19</c:f>
              <c:numCache>
                <c:formatCode>General</c:formatCode>
                <c:ptCount val="16"/>
                <c:pt idx="0">
                  <c:v>1</c:v>
                </c:pt>
                <c:pt idx="1">
                  <c:v>1</c:v>
                </c:pt>
                <c:pt idx="3">
                  <c:v>2</c:v>
                </c:pt>
                <c:pt idx="4">
                  <c:v>3</c:v>
                </c:pt>
                <c:pt idx="5">
                  <c:v>8</c:v>
                </c:pt>
                <c:pt idx="6">
                  <c:v>12</c:v>
                </c:pt>
                <c:pt idx="7">
                  <c:v>24</c:v>
                </c:pt>
                <c:pt idx="8">
                  <c:v>80</c:v>
                </c:pt>
                <c:pt idx="9">
                  <c:v>114</c:v>
                </c:pt>
                <c:pt idx="10">
                  <c:v>285</c:v>
                </c:pt>
                <c:pt idx="11">
                  <c:v>306</c:v>
                </c:pt>
                <c:pt idx="12">
                  <c:v>203</c:v>
                </c:pt>
                <c:pt idx="13">
                  <c:v>76</c:v>
                </c:pt>
                <c:pt idx="14">
                  <c:v>7</c:v>
                </c:pt>
              </c:numCache>
            </c:numRef>
          </c:val>
          <c:extLst>
            <c:ext xmlns:c16="http://schemas.microsoft.com/office/drawing/2014/chart" uri="{C3380CC4-5D6E-409C-BE32-E72D297353CC}">
              <c16:uniqueId val="{00000001-B391-45D0-A3E6-D673843CF278}"/>
            </c:ext>
          </c:extLst>
        </c:ser>
        <c:dLbls>
          <c:showLegendKey val="0"/>
          <c:showVal val="0"/>
          <c:showCatName val="0"/>
          <c:showSerName val="0"/>
          <c:showPercent val="0"/>
          <c:showBubbleSize val="0"/>
        </c:dLbls>
        <c:gapWidth val="219"/>
        <c:overlap val="-27"/>
        <c:axId val="681603440"/>
        <c:axId val="681602720"/>
      </c:barChart>
      <c:catAx>
        <c:axId val="6816034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2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1602720"/>
        <c:crosses val="autoZero"/>
        <c:auto val="1"/>
        <c:lblAlgn val="ctr"/>
        <c:lblOffset val="100"/>
        <c:noMultiLvlLbl val="0"/>
      </c:catAx>
      <c:valAx>
        <c:axId val="6816027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160344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E5B47-A335-4C95-B55D-022B0F0D3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3471</Words>
  <Characters>19787</Characters>
  <Application>Microsoft Office Word</Application>
  <DocSecurity>0</DocSecurity>
  <Lines>164</Lines>
  <Paragraphs>46</Paragraphs>
  <ScaleCrop>false</ScaleCrop>
  <Company/>
  <LinksUpToDate>false</LinksUpToDate>
  <CharactersWithSpaces>23212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2024-07-03T22:35:00Z</dcterms:created>
  <dcterms:modified xsi:type="dcterms:W3CDTF">2024-07-03T22:38:00Z</dcterms:modified>
</cp:coreProperties>
</file>