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3C130" w14:textId="02C1B9C7" w:rsidR="00832324" w:rsidRDefault="004D265A" w:rsidP="00F73113">
      <w:pPr>
        <w:pStyle w:val="Title"/>
      </w:pPr>
      <w:r>
        <w:t>Analysis of d</w:t>
      </w:r>
      <w:r w:rsidR="00395363">
        <w:t>upilumab</w:t>
      </w:r>
      <w:r>
        <w:t xml:space="preserve"> for severe atopic dermatitis</w:t>
      </w:r>
      <w:r w:rsidR="001C4016">
        <w:t xml:space="preserve"> </w:t>
      </w:r>
    </w:p>
    <w:p w14:paraId="68F00614" w14:textId="799F8740" w:rsidR="00736041" w:rsidRDefault="009053D3" w:rsidP="00F73113">
      <w:pPr>
        <w:pStyle w:val="Title2"/>
      </w:pPr>
      <w:r>
        <w:t>D</w:t>
      </w:r>
      <w:r w:rsidR="00832324" w:rsidRPr="0063631C">
        <w:t xml:space="preserve">rug utilisation sub-committee </w:t>
      </w:r>
      <w:r w:rsidR="00832324">
        <w:t>(DUSC)</w:t>
      </w:r>
    </w:p>
    <w:p w14:paraId="78148839" w14:textId="6B8C5F80" w:rsidR="009053D3" w:rsidRPr="00F73113" w:rsidRDefault="00395363" w:rsidP="00F73113">
      <w:pPr>
        <w:pStyle w:val="Meetingdate"/>
      </w:pPr>
      <w:r>
        <w:t>September</w:t>
      </w:r>
      <w:r w:rsidR="00D151EB" w:rsidRPr="00F73113">
        <w:t xml:space="preserve"> 20</w:t>
      </w:r>
      <w:r>
        <w:t>23</w:t>
      </w:r>
    </w:p>
    <w:p w14:paraId="1494B8AD" w14:textId="77777777" w:rsidR="005C6661" w:rsidRPr="00CF5E22" w:rsidRDefault="005C6661" w:rsidP="00CF5E22">
      <w:pPr>
        <w:pStyle w:val="Heading2"/>
      </w:pPr>
      <w:r w:rsidRPr="00CF5E22">
        <w:t>Abstract</w:t>
      </w:r>
    </w:p>
    <w:p w14:paraId="287D7939" w14:textId="77777777" w:rsidR="005C6661" w:rsidRPr="00CF5E22" w:rsidRDefault="005C6661" w:rsidP="00CF5E22">
      <w:pPr>
        <w:pStyle w:val="Heading3"/>
      </w:pPr>
      <w:r w:rsidRPr="00CF5E22">
        <w:t>Purpose</w:t>
      </w:r>
    </w:p>
    <w:p w14:paraId="70A05845" w14:textId="49C912CF" w:rsidR="005C6661" w:rsidRDefault="004D265A" w:rsidP="004D265A">
      <w:r>
        <w:t xml:space="preserve">To review the utilisation of dupilumab for </w:t>
      </w:r>
      <w:r w:rsidRPr="004D265A">
        <w:t>severe atopic dermatitis</w:t>
      </w:r>
      <w:r>
        <w:t>, as requested by DUSC at its June 2023 meeting.</w:t>
      </w:r>
    </w:p>
    <w:p w14:paraId="03538E7F" w14:textId="322BB850" w:rsidR="002D144A" w:rsidRDefault="002D144A" w:rsidP="00CF5E22">
      <w:pPr>
        <w:pStyle w:val="Heading3"/>
      </w:pPr>
      <w:r>
        <w:t>Date of listing on the P</w:t>
      </w:r>
      <w:r w:rsidR="00A95FA5">
        <w:t xml:space="preserve">harmaceutical </w:t>
      </w:r>
      <w:r>
        <w:t>B</w:t>
      </w:r>
      <w:r w:rsidR="00A95FA5">
        <w:t xml:space="preserve">enefits </w:t>
      </w:r>
      <w:r>
        <w:t>S</w:t>
      </w:r>
      <w:r w:rsidR="00A95FA5">
        <w:t>cheme (PBS)</w:t>
      </w:r>
    </w:p>
    <w:p w14:paraId="378E50B7" w14:textId="55D54CA0" w:rsidR="002D144A" w:rsidRPr="002D144A" w:rsidRDefault="004D265A" w:rsidP="002D144A">
      <w:r>
        <w:t xml:space="preserve">Dupilumab was PBS listed for </w:t>
      </w:r>
      <w:r w:rsidRPr="004D265A">
        <w:t>severe atopic dermatitis</w:t>
      </w:r>
      <w:r>
        <w:t xml:space="preserve"> 1 March 2021.</w:t>
      </w:r>
    </w:p>
    <w:p w14:paraId="526743BB" w14:textId="77777777" w:rsidR="005C6661" w:rsidRDefault="005C6661" w:rsidP="00CF5E22">
      <w:pPr>
        <w:pStyle w:val="Heading3"/>
      </w:pPr>
      <w:r>
        <w:t>Data Source / methodology</w:t>
      </w:r>
    </w:p>
    <w:p w14:paraId="3C74AB36" w14:textId="7F2A28AF" w:rsidR="006804E0" w:rsidRDefault="006804E0" w:rsidP="005C6661">
      <w:pPr>
        <w:pStyle w:val="NoSpacing"/>
      </w:pPr>
      <w:r w:rsidRPr="006804E0">
        <w:t>Data extracted from the PBS database maintained by Department of Health and Aged Care, processed by Services Australia were used for the analyses.</w:t>
      </w:r>
    </w:p>
    <w:p w14:paraId="7599E7C1" w14:textId="77777777" w:rsidR="005C6661" w:rsidRDefault="005C6661" w:rsidP="00CF5E22">
      <w:pPr>
        <w:pStyle w:val="Heading3"/>
      </w:pPr>
      <w:r>
        <w:t>Key Findings</w:t>
      </w:r>
    </w:p>
    <w:p w14:paraId="013B8A7D" w14:textId="241F5D20" w:rsidR="005C6661" w:rsidRDefault="008F7FB1" w:rsidP="00E6460D">
      <w:pPr>
        <w:pStyle w:val="NoSpacing"/>
        <w:numPr>
          <w:ilvl w:val="0"/>
          <w:numId w:val="1"/>
        </w:numPr>
      </w:pPr>
      <w:r>
        <w:t xml:space="preserve">A total of </w:t>
      </w:r>
      <w:r w:rsidR="00EC59B8">
        <w:t>222,77</w:t>
      </w:r>
      <w:r w:rsidR="00BA156B">
        <w:t>8</w:t>
      </w:r>
      <w:r w:rsidR="00EC59B8">
        <w:t xml:space="preserve"> prescriptions of </w:t>
      </w:r>
      <w:r w:rsidR="00EC59B8" w:rsidRPr="00EC59B8">
        <w:t>dupil</w:t>
      </w:r>
      <w:r w:rsidR="004861E9">
        <w:t>u</w:t>
      </w:r>
      <w:r w:rsidR="00EC59B8" w:rsidRPr="00EC59B8">
        <w:t xml:space="preserve">mab for atopic dermatitis </w:t>
      </w:r>
      <w:r w:rsidR="00EC59B8">
        <w:t xml:space="preserve">have been supplied to </w:t>
      </w:r>
      <w:r>
        <w:t>16,99</w:t>
      </w:r>
      <w:r w:rsidR="00BA156B">
        <w:t>5</w:t>
      </w:r>
      <w:r>
        <w:t xml:space="preserve"> patients </w:t>
      </w:r>
      <w:r w:rsidR="00EC59B8">
        <w:t>since listing</w:t>
      </w:r>
      <w:r w:rsidR="003B4406">
        <w:t>.</w:t>
      </w:r>
      <w:r w:rsidR="00EC59B8">
        <w:t xml:space="preserve"> In 2022, </w:t>
      </w:r>
      <w:r w:rsidR="00024440">
        <w:t>104,967 prescriptions were supplied to 12,523 patients.</w:t>
      </w:r>
    </w:p>
    <w:p w14:paraId="640CF44A" w14:textId="12020248" w:rsidR="003B4406" w:rsidRDefault="003D1D6E" w:rsidP="005C6661">
      <w:pPr>
        <w:pStyle w:val="NoSpacing"/>
        <w:numPr>
          <w:ilvl w:val="0"/>
          <w:numId w:val="1"/>
        </w:numPr>
      </w:pPr>
      <w:r>
        <w:t>P</w:t>
      </w:r>
      <w:r w:rsidRPr="003D1D6E">
        <w:t xml:space="preserve">rescriptions supplied </w:t>
      </w:r>
      <w:r w:rsidR="0084062F">
        <w:t xml:space="preserve">for the treatment of </w:t>
      </w:r>
      <w:r>
        <w:t xml:space="preserve">the </w:t>
      </w:r>
      <w:r w:rsidR="0084062F">
        <w:t xml:space="preserve">whole body accounted for 82% of the </w:t>
      </w:r>
      <w:r w:rsidR="00436493" w:rsidRPr="00436493">
        <w:t xml:space="preserve">104,967 </w:t>
      </w:r>
      <w:r w:rsidR="0084062F">
        <w:t>supplied prescriptions in 2022.</w:t>
      </w:r>
    </w:p>
    <w:p w14:paraId="62EE2CC7" w14:textId="028F6AB4" w:rsidR="004676EC" w:rsidRDefault="00FB4103" w:rsidP="005C6661">
      <w:pPr>
        <w:pStyle w:val="NoSpacing"/>
        <w:numPr>
          <w:ilvl w:val="0"/>
          <w:numId w:val="1"/>
        </w:numPr>
      </w:pPr>
      <w:r>
        <w:t xml:space="preserve">The </w:t>
      </w:r>
      <w:r w:rsidR="00C352BB">
        <w:t xml:space="preserve">age group with the highest proportion of initiating patients was the </w:t>
      </w:r>
      <w:proofErr w:type="gramStart"/>
      <w:r w:rsidR="00C352BB">
        <w:t>20 to 24 year old</w:t>
      </w:r>
      <w:proofErr w:type="gramEnd"/>
      <w:r w:rsidR="00C352BB">
        <w:t xml:space="preserve"> </w:t>
      </w:r>
      <w:r w:rsidR="00345F0D">
        <w:t xml:space="preserve">group. </w:t>
      </w:r>
      <w:r w:rsidR="001A1E17">
        <w:t xml:space="preserve">The proportion of males was higher than females in </w:t>
      </w:r>
      <w:r w:rsidR="00345F0D" w:rsidRPr="00345F0D">
        <w:t xml:space="preserve">every age group, except in the </w:t>
      </w:r>
      <w:r w:rsidR="004F7814">
        <w:t>45</w:t>
      </w:r>
      <w:r w:rsidR="00345F0D" w:rsidRPr="00345F0D">
        <w:t xml:space="preserve"> – </w:t>
      </w:r>
      <w:proofErr w:type="gramStart"/>
      <w:r w:rsidR="00345F0D" w:rsidRPr="00345F0D">
        <w:t>54 year</w:t>
      </w:r>
      <w:proofErr w:type="gramEnd"/>
      <w:r w:rsidR="00345F0D" w:rsidRPr="00345F0D">
        <w:t xml:space="preserve"> range.</w:t>
      </w:r>
    </w:p>
    <w:p w14:paraId="36003339" w14:textId="6FB8D1BA" w:rsidR="007972BE" w:rsidRDefault="00A61247" w:rsidP="005C6661">
      <w:pPr>
        <w:pStyle w:val="NoSpacing"/>
        <w:numPr>
          <w:ilvl w:val="0"/>
          <w:numId w:val="1"/>
        </w:numPr>
      </w:pPr>
      <w:r>
        <w:t xml:space="preserve">Dermatology specialist prescribers </w:t>
      </w:r>
      <w:r w:rsidR="001A1E17">
        <w:t>accounted for 79% of the supplied prescriptions</w:t>
      </w:r>
      <w:r w:rsidR="00301F6F">
        <w:t xml:space="preserve">, and </w:t>
      </w:r>
      <w:r w:rsidR="00301F6F" w:rsidRPr="00301F6F">
        <w:t>Immunology and Allergy</w:t>
      </w:r>
      <w:r w:rsidR="00301F6F">
        <w:t xml:space="preserve"> </w:t>
      </w:r>
      <w:r w:rsidR="00301F6F" w:rsidRPr="00301F6F">
        <w:t>specialist prescribers accounted</w:t>
      </w:r>
      <w:r w:rsidR="00301F6F">
        <w:t xml:space="preserve"> </w:t>
      </w:r>
      <w:r w:rsidR="00D83C87">
        <w:t xml:space="preserve">for </w:t>
      </w:r>
      <w:r w:rsidR="00301F6F">
        <w:t>8%</w:t>
      </w:r>
      <w:r w:rsidR="000F5E54">
        <w:t xml:space="preserve"> </w:t>
      </w:r>
      <w:r w:rsidR="000F5E54" w:rsidRPr="000F5E54">
        <w:t>of the supplied prescriptions</w:t>
      </w:r>
      <w:r w:rsidR="000F5E54">
        <w:t>.</w:t>
      </w:r>
    </w:p>
    <w:p w14:paraId="09F85BEC" w14:textId="364FBA11" w:rsidR="00573F3C" w:rsidRPr="008F7FB1" w:rsidRDefault="00573F3C" w:rsidP="005C6661">
      <w:pPr>
        <w:pStyle w:val="NoSpacing"/>
        <w:numPr>
          <w:ilvl w:val="0"/>
          <w:numId w:val="1"/>
        </w:numPr>
      </w:pPr>
      <w:r>
        <w:t>Of the 16,99</w:t>
      </w:r>
      <w:r w:rsidR="0005779E">
        <w:t>5</w:t>
      </w:r>
      <w:r>
        <w:t xml:space="preserve"> patients supplied dupilumab under a PBS item code for atopic dermatitis, 92% </w:t>
      </w:r>
      <w:r w:rsidR="0045523E">
        <w:t>were</w:t>
      </w:r>
      <w:r>
        <w:t xml:space="preserve"> </w:t>
      </w:r>
      <w:r w:rsidR="0045523E">
        <w:t xml:space="preserve">previously </w:t>
      </w:r>
      <w:r>
        <w:t xml:space="preserve">supplied </w:t>
      </w:r>
      <w:r w:rsidR="0045523E">
        <w:t>topical therapy through the PBS.</w:t>
      </w:r>
    </w:p>
    <w:p w14:paraId="38B57ECC" w14:textId="77777777" w:rsidR="00BB0D1A" w:rsidRDefault="00BB0D1A">
      <w:pPr>
        <w:spacing w:line="276" w:lineRule="auto"/>
        <w:rPr>
          <w:rFonts w:eastAsiaTheme="majorEastAsia" w:cstheme="majorBidi"/>
          <w:b/>
          <w:bCs/>
          <w:sz w:val="32"/>
          <w:szCs w:val="26"/>
        </w:rPr>
      </w:pPr>
      <w:r>
        <w:br w:type="page"/>
      </w:r>
    </w:p>
    <w:p w14:paraId="5B262047" w14:textId="525241DC" w:rsidR="00E677DD" w:rsidRPr="00CF5E22" w:rsidRDefault="00E677DD" w:rsidP="00CF5E22">
      <w:pPr>
        <w:pStyle w:val="Heading1"/>
      </w:pPr>
      <w:r w:rsidRPr="00CF5E22">
        <w:lastRenderedPageBreak/>
        <w:t xml:space="preserve">Purpose of </w:t>
      </w:r>
      <w:r w:rsidR="00D151EB" w:rsidRPr="00CF5E22">
        <w:t>analysis</w:t>
      </w:r>
    </w:p>
    <w:p w14:paraId="31F28565" w14:textId="2A5A1D27" w:rsidR="004D265A" w:rsidRDefault="004D265A" w:rsidP="004D265A">
      <w:r>
        <w:t>To review the utilisation of dupilumab for severe atopic dermatitis, as requested by DUSC at its June 2023 meeting.</w:t>
      </w:r>
    </w:p>
    <w:p w14:paraId="0A7F0B57" w14:textId="034D22D5" w:rsidR="006537D9" w:rsidRPr="005E22C2" w:rsidRDefault="00736041" w:rsidP="00CF5E22">
      <w:pPr>
        <w:pStyle w:val="Heading1"/>
      </w:pPr>
      <w:r w:rsidRPr="005E22C2">
        <w:t>Background</w:t>
      </w:r>
    </w:p>
    <w:p w14:paraId="2C748275" w14:textId="77777777" w:rsidR="00EE2BBB" w:rsidRPr="007247B9" w:rsidRDefault="00EE2BBB" w:rsidP="00EE2BBB">
      <w:pPr>
        <w:pStyle w:val="Heading2"/>
      </w:pPr>
      <w:r w:rsidRPr="007247B9">
        <w:t>Clinical situation</w:t>
      </w:r>
    </w:p>
    <w:p w14:paraId="42CA5933" w14:textId="56AC2C90" w:rsidR="00CE04A0" w:rsidRDefault="00CE04A0" w:rsidP="00EE2BBB">
      <w:r w:rsidRPr="00CE04A0">
        <w:t>Atopic dermatitis, also called eczema</w:t>
      </w:r>
      <w:r>
        <w:t xml:space="preserve">, </w:t>
      </w:r>
      <w:r w:rsidRPr="00CE04A0">
        <w:t>is a chronic health condition that affects the skin, causing redness, dryness itching and sometimes infections</w:t>
      </w:r>
      <w:r>
        <w:t xml:space="preserve">. </w:t>
      </w:r>
      <w:r w:rsidRPr="00CE04A0">
        <w:t xml:space="preserve">Atopic </w:t>
      </w:r>
      <w:r>
        <w:t xml:space="preserve">dermatitis </w:t>
      </w:r>
      <w:r w:rsidRPr="00CE04A0">
        <w:t>is most common in infants</w:t>
      </w:r>
      <w:r w:rsidR="006A1195">
        <w:t xml:space="preserve"> and children, and </w:t>
      </w:r>
      <w:r w:rsidRPr="00CE04A0">
        <w:t xml:space="preserve">tends to improve in midlife, </w:t>
      </w:r>
      <w:r w:rsidR="006A1195">
        <w:t>however</w:t>
      </w:r>
      <w:r w:rsidRPr="00CE04A0">
        <w:t xml:space="preserve"> it can occur at any age.</w:t>
      </w:r>
      <w:r w:rsidR="006A1195">
        <w:t xml:space="preserve"> </w:t>
      </w:r>
      <w:r>
        <w:t>F</w:t>
      </w:r>
      <w:r w:rsidRPr="00CE04A0">
        <w:t>ood allergy can trigger or worsen symptoms</w:t>
      </w:r>
      <w:r w:rsidR="0079288C">
        <w:t xml:space="preserve"> of atopic dermatitis</w:t>
      </w:r>
      <w:r w:rsidRPr="00CE04A0">
        <w:t xml:space="preserve"> in some </w:t>
      </w:r>
      <w:proofErr w:type="gramStart"/>
      <w:r w:rsidRPr="00CE04A0">
        <w:t>people,</w:t>
      </w:r>
      <w:proofErr w:type="gramEnd"/>
      <w:r w:rsidRPr="00CE04A0">
        <w:t xml:space="preserve"> </w:t>
      </w:r>
      <w:r>
        <w:t xml:space="preserve">however </w:t>
      </w:r>
      <w:r w:rsidRPr="00CE04A0">
        <w:t xml:space="preserve">food allergy is rarely the cause of </w:t>
      </w:r>
      <w:r>
        <w:t>atopic dermatitis</w:t>
      </w:r>
      <w:r w:rsidRPr="00CE04A0">
        <w:t>.</w:t>
      </w:r>
      <w:r w:rsidR="006A1195">
        <w:rPr>
          <w:rStyle w:val="FootnoteReference"/>
        </w:rPr>
        <w:footnoteReference w:id="1"/>
      </w:r>
    </w:p>
    <w:p w14:paraId="0183A567" w14:textId="413DF87B" w:rsidR="007247B9" w:rsidRDefault="007247B9" w:rsidP="00CF5E22">
      <w:pPr>
        <w:pStyle w:val="Heading2"/>
      </w:pPr>
      <w:r>
        <w:t>Pharmacology</w:t>
      </w:r>
    </w:p>
    <w:p w14:paraId="06821C4B" w14:textId="1685FEA0" w:rsidR="00AE4BAC" w:rsidRPr="007247B9" w:rsidRDefault="00457B28" w:rsidP="00241EA0">
      <w:r w:rsidRPr="00457B28">
        <w:t>Dupilumab is a fully human monoclonal antibody directed against the interleukin (IL)-4 receptor α subunit (IL-4Rα) of IL-4 heterodimeric type I and type II receptors that mediate IL-4/IL-13 signalling through this pathway. Blockade of these receptors broadly suppresses type 2 inflammation associated with atopic/allergic diseases, including atopic dermatitis and asthma.</w:t>
      </w:r>
      <w:r>
        <w:rPr>
          <w:rStyle w:val="FootnoteReference"/>
        </w:rPr>
        <w:footnoteReference w:id="2"/>
      </w:r>
    </w:p>
    <w:p w14:paraId="6AC18C88" w14:textId="7A398934" w:rsidR="001420B3" w:rsidRPr="005E22C2" w:rsidRDefault="00A52918" w:rsidP="00CF5E22">
      <w:pPr>
        <w:pStyle w:val="Heading2"/>
      </w:pPr>
      <w:r w:rsidRPr="00A52918">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14:paraId="2208FB2E" w14:textId="4DB339E5" w:rsidR="00051329" w:rsidRDefault="00051329" w:rsidP="00051329">
      <w:r>
        <w:t>Atopic dermatitis</w:t>
      </w:r>
    </w:p>
    <w:p w14:paraId="1E393897" w14:textId="477DE130" w:rsidR="001420B3" w:rsidRDefault="00051329" w:rsidP="00051329">
      <w:pPr>
        <w:pStyle w:val="ListParagraph"/>
        <w:numPr>
          <w:ilvl w:val="0"/>
          <w:numId w:val="4"/>
        </w:numPr>
      </w:pPr>
      <w:r>
        <w:t xml:space="preserve">Dupilumab is TGA approved for the treatment of moderate to severe atopic dermatitis in patients aged </w:t>
      </w:r>
      <w:r w:rsidR="00457B28">
        <w:t>6 months</w:t>
      </w:r>
      <w:r>
        <w:t xml:space="preserve"> and older who are candidates for chronic systemic therapy.</w:t>
      </w:r>
    </w:p>
    <w:p w14:paraId="5B4783CC" w14:textId="1C73FFAC" w:rsidR="00051329" w:rsidRDefault="00051329" w:rsidP="00051329">
      <w:r>
        <w:t>Asthma</w:t>
      </w:r>
    </w:p>
    <w:p w14:paraId="29242BDF" w14:textId="09CABE21" w:rsidR="00051329" w:rsidRDefault="00051329" w:rsidP="00C6441E">
      <w:pPr>
        <w:pStyle w:val="ListParagraph"/>
        <w:numPr>
          <w:ilvl w:val="0"/>
          <w:numId w:val="5"/>
        </w:numPr>
      </w:pPr>
      <w:r w:rsidRPr="00051329">
        <w:t xml:space="preserve">Dupilumab </w:t>
      </w:r>
      <w:r>
        <w:t>is indicated as add on maintenance treatment in patients aged 6 years and older with moderate to severe asthma with type 2 inflammation that is inadequately controlled despite therapy with other medicinal products for maintenance treatment.</w:t>
      </w:r>
    </w:p>
    <w:p w14:paraId="4DB2689E" w14:textId="0EE4E4B8" w:rsidR="00051329" w:rsidRDefault="00051329" w:rsidP="001036C3">
      <w:pPr>
        <w:keepNext/>
      </w:pPr>
      <w:r>
        <w:lastRenderedPageBreak/>
        <w:t xml:space="preserve">Chronic rhinosinusitis with nasal polyposis </w:t>
      </w:r>
    </w:p>
    <w:p w14:paraId="4DAE1526" w14:textId="77777777" w:rsidR="0007670A" w:rsidRDefault="00051329" w:rsidP="005A0CE8">
      <w:pPr>
        <w:pStyle w:val="ListParagraph"/>
        <w:numPr>
          <w:ilvl w:val="0"/>
          <w:numId w:val="5"/>
        </w:numPr>
      </w:pPr>
      <w:r w:rsidRPr="00051329">
        <w:t xml:space="preserve">Dupilumab </w:t>
      </w:r>
      <w:r>
        <w:t xml:space="preserve">is indicated as an add-on maintenance treatment in adult patients with </w:t>
      </w:r>
      <w:r w:rsidRPr="00CE04A0">
        <w:t>inadequately controlled chronic rhinosinusitis with nasal polyposis.</w:t>
      </w:r>
    </w:p>
    <w:p w14:paraId="62964660" w14:textId="715EF177" w:rsidR="0007670A" w:rsidRDefault="0007670A" w:rsidP="0007670A">
      <w:r>
        <w:t>Prurigo nodularis</w:t>
      </w:r>
    </w:p>
    <w:p w14:paraId="41ECB821" w14:textId="6F9AFA37" w:rsidR="00051329" w:rsidRPr="00CE04A0" w:rsidRDefault="0007670A" w:rsidP="005A0CE8">
      <w:pPr>
        <w:pStyle w:val="ListParagraph"/>
        <w:numPr>
          <w:ilvl w:val="0"/>
          <w:numId w:val="5"/>
        </w:numPr>
      </w:pPr>
      <w:r>
        <w:t>Dupilumab</w:t>
      </w:r>
      <w:r w:rsidRPr="0007670A">
        <w:t xml:space="preserve"> is indicated for the treatment of moderate-to-severe prurigo nodularis in adults who are candidates for systemic therapy.</w:t>
      </w:r>
      <w:r w:rsidR="00CE04A0" w:rsidRPr="00CE04A0">
        <w:rPr>
          <w:rStyle w:val="FootnoteReference"/>
        </w:rPr>
        <w:t xml:space="preserve"> </w:t>
      </w:r>
      <w:bookmarkStart w:id="0" w:name="_Ref141352964"/>
      <w:r w:rsidR="00CE04A0" w:rsidRPr="00CE04A0">
        <w:rPr>
          <w:rStyle w:val="FootnoteReference"/>
        </w:rPr>
        <w:footnoteReference w:id="3"/>
      </w:r>
      <w:bookmarkEnd w:id="0"/>
    </w:p>
    <w:p w14:paraId="15E919C1" w14:textId="5DC2A1EF" w:rsidR="006B709B" w:rsidRDefault="006B709B" w:rsidP="00CF5E22">
      <w:pPr>
        <w:pStyle w:val="Heading2"/>
      </w:pPr>
      <w:r>
        <w:t>Dosage and administration</w:t>
      </w:r>
    </w:p>
    <w:p w14:paraId="08559CD9" w14:textId="58AA764A" w:rsidR="00A35800" w:rsidRDefault="004E348D" w:rsidP="004E348D">
      <w:pPr>
        <w:rPr>
          <w:vertAlign w:val="superscript"/>
        </w:rPr>
      </w:pPr>
      <w:r w:rsidRPr="004E348D">
        <w:t xml:space="preserve">Dupilumab </w:t>
      </w:r>
      <w:r>
        <w:t>can be used with or without topical therapy, including corticosteroids and/or calcineurin inhibitors as appropriate. A</w:t>
      </w:r>
      <w:r w:rsidR="007E7A9B">
        <w:t>dult patients should receive an i</w:t>
      </w:r>
      <w:r w:rsidR="007E7A9B" w:rsidRPr="007E7A9B">
        <w:t xml:space="preserve">nitial dose of </w:t>
      </w:r>
      <w:r>
        <w:t xml:space="preserve">dupilumab of </w:t>
      </w:r>
      <w:r w:rsidR="007E7A9B" w:rsidRPr="007E7A9B">
        <w:t>600</w:t>
      </w:r>
      <w:r>
        <w:t> </w:t>
      </w:r>
      <w:r w:rsidR="007E7A9B" w:rsidRPr="007E7A9B">
        <w:t>mg by subcutaneous injection (two 300 mg injections consecutively in different injection sites), followed by 300 mg given every other week.</w:t>
      </w:r>
      <w:r>
        <w:t xml:space="preserve"> The recommended dosing of p</w:t>
      </w:r>
      <w:r w:rsidRPr="004E348D">
        <w:t xml:space="preserve">aediatric and </w:t>
      </w:r>
      <w:r>
        <w:t>a</w:t>
      </w:r>
      <w:r w:rsidRPr="004E348D">
        <w:t>dolescent patients (6 to 17 years of age)</w:t>
      </w:r>
      <w:r>
        <w:t xml:space="preserve"> for atopic dermatitis depends on the body weight of the patient and is summarised in Table </w:t>
      </w:r>
      <w:r w:rsidR="00420161">
        <w:t>1</w:t>
      </w:r>
      <w:r>
        <w:t>. The pre-filled pen is not intended for use in children below 12 years of age. For children 6 to 11 years of age with atopic dermatitis, the pre-filled syringe is the presentation appropriate for this population.</w:t>
      </w:r>
      <w:r w:rsidR="0079288C" w:rsidRPr="0079288C">
        <w:rPr>
          <w:highlight w:val="cyan"/>
          <w:vertAlign w:val="superscript"/>
        </w:rPr>
        <w:fldChar w:fldCharType="begin"/>
      </w:r>
      <w:r w:rsidR="0079288C" w:rsidRPr="0079288C">
        <w:rPr>
          <w:vertAlign w:val="superscript"/>
        </w:rPr>
        <w:instrText xml:space="preserve"> NOTEREF _Ref141352964 \h </w:instrText>
      </w:r>
      <w:r w:rsidR="0079288C">
        <w:rPr>
          <w:highlight w:val="cyan"/>
          <w:vertAlign w:val="superscript"/>
        </w:rPr>
        <w:instrText xml:space="preserve"> \* MERGEFORMAT </w:instrText>
      </w:r>
      <w:r w:rsidR="0079288C" w:rsidRPr="0079288C">
        <w:rPr>
          <w:highlight w:val="cyan"/>
          <w:vertAlign w:val="superscript"/>
        </w:rPr>
      </w:r>
      <w:r w:rsidR="0079288C" w:rsidRPr="0079288C">
        <w:rPr>
          <w:highlight w:val="cyan"/>
          <w:vertAlign w:val="superscript"/>
        </w:rPr>
        <w:fldChar w:fldCharType="separate"/>
      </w:r>
      <w:r w:rsidR="00510F6C">
        <w:rPr>
          <w:vertAlign w:val="superscript"/>
        </w:rPr>
        <w:t>3</w:t>
      </w:r>
      <w:r w:rsidR="0079288C" w:rsidRPr="0079288C">
        <w:rPr>
          <w:highlight w:val="cyan"/>
          <w:vertAlign w:val="superscript"/>
        </w:rPr>
        <w:fldChar w:fldCharType="end"/>
      </w:r>
    </w:p>
    <w:p w14:paraId="4041BBC1" w14:textId="042141D8" w:rsidR="005070BA" w:rsidRPr="004E348D" w:rsidRDefault="00322BD5" w:rsidP="005070BA">
      <w:r>
        <w:t xml:space="preserve">Dupilumab </w:t>
      </w:r>
      <w:r w:rsidRPr="00322BD5">
        <w:t>is subject to additional monitoring in Australia</w:t>
      </w:r>
      <w:r w:rsidR="00914B47">
        <w:t xml:space="preserve"> under the Black Triangle Scheme.</w:t>
      </w:r>
      <w:r w:rsidR="00914B47" w:rsidRPr="00914B47">
        <w:rPr>
          <w:vertAlign w:val="superscript"/>
        </w:rPr>
        <w:fldChar w:fldCharType="begin"/>
      </w:r>
      <w:r w:rsidR="00914B47" w:rsidRPr="00914B47">
        <w:rPr>
          <w:vertAlign w:val="superscript"/>
        </w:rPr>
        <w:instrText xml:space="preserve"> NOTEREF _Ref141352964 \h </w:instrText>
      </w:r>
      <w:r w:rsidR="00914B47">
        <w:rPr>
          <w:vertAlign w:val="superscript"/>
        </w:rPr>
        <w:instrText xml:space="preserve"> \* MERGEFORMAT </w:instrText>
      </w:r>
      <w:r w:rsidR="00914B47" w:rsidRPr="00914B47">
        <w:rPr>
          <w:vertAlign w:val="superscript"/>
        </w:rPr>
      </w:r>
      <w:r w:rsidR="00914B47" w:rsidRPr="00914B47">
        <w:rPr>
          <w:vertAlign w:val="superscript"/>
        </w:rPr>
        <w:fldChar w:fldCharType="separate"/>
      </w:r>
      <w:r w:rsidR="00510F6C">
        <w:rPr>
          <w:vertAlign w:val="superscript"/>
        </w:rPr>
        <w:t>3</w:t>
      </w:r>
      <w:r w:rsidR="00914B47" w:rsidRPr="00914B47">
        <w:rPr>
          <w:vertAlign w:val="superscript"/>
        </w:rPr>
        <w:fldChar w:fldCharType="end"/>
      </w:r>
    </w:p>
    <w:p w14:paraId="3A54F0B6" w14:textId="0645D125" w:rsidR="007E7A9B" w:rsidRPr="00C46527" w:rsidRDefault="007E7A9B" w:rsidP="007E7A9B">
      <w:pPr>
        <w:pStyle w:val="Tabletitle"/>
      </w:pPr>
      <w:r w:rsidRPr="00C46527">
        <w:t xml:space="preserve">Table </w:t>
      </w:r>
      <w:r w:rsidR="00420161">
        <w:t>1</w:t>
      </w:r>
      <w:r w:rsidRPr="00C46527">
        <w:t>: Dosage of dupilumab for paediatric and adolescent patients</w:t>
      </w:r>
    </w:p>
    <w:tbl>
      <w:tblPr>
        <w:tblStyle w:val="TableGrid"/>
        <w:tblW w:w="0" w:type="auto"/>
        <w:tblLook w:val="04A0" w:firstRow="1" w:lastRow="0" w:firstColumn="1" w:lastColumn="0" w:noHBand="0" w:noVBand="1"/>
      </w:tblPr>
      <w:tblGrid>
        <w:gridCol w:w="2974"/>
        <w:gridCol w:w="2984"/>
        <w:gridCol w:w="2989"/>
      </w:tblGrid>
      <w:tr w:rsidR="007E7A9B" w:rsidRPr="004E348D" w14:paraId="77764389" w14:textId="77777777" w:rsidTr="004E348D">
        <w:tc>
          <w:tcPr>
            <w:tcW w:w="3057" w:type="dxa"/>
            <w:shd w:val="clear" w:color="auto" w:fill="BFBFBF" w:themeFill="background1" w:themeFillShade="BF"/>
          </w:tcPr>
          <w:p w14:paraId="575BCFE4" w14:textId="756D1934" w:rsidR="007E7A9B" w:rsidRPr="004E348D" w:rsidRDefault="007E7A9B" w:rsidP="007E7A9B">
            <w:pPr>
              <w:rPr>
                <w:b/>
                <w:bCs/>
                <w:sz w:val="20"/>
                <w:szCs w:val="20"/>
              </w:rPr>
            </w:pPr>
            <w:r w:rsidRPr="004E348D">
              <w:rPr>
                <w:b/>
                <w:bCs/>
                <w:sz w:val="20"/>
                <w:szCs w:val="20"/>
              </w:rPr>
              <w:t xml:space="preserve">Body Weight of Patient </w:t>
            </w:r>
          </w:p>
        </w:tc>
        <w:tc>
          <w:tcPr>
            <w:tcW w:w="3058" w:type="dxa"/>
            <w:shd w:val="clear" w:color="auto" w:fill="BFBFBF" w:themeFill="background1" w:themeFillShade="BF"/>
          </w:tcPr>
          <w:p w14:paraId="78433770" w14:textId="6DB280E5" w:rsidR="007E7A9B" w:rsidRPr="004E348D" w:rsidRDefault="007E7A9B" w:rsidP="007E7A9B">
            <w:pPr>
              <w:rPr>
                <w:b/>
                <w:bCs/>
                <w:sz w:val="20"/>
                <w:szCs w:val="20"/>
              </w:rPr>
            </w:pPr>
            <w:r w:rsidRPr="004E348D">
              <w:rPr>
                <w:b/>
                <w:bCs/>
                <w:sz w:val="20"/>
                <w:szCs w:val="20"/>
              </w:rPr>
              <w:t xml:space="preserve">Initial Dose </w:t>
            </w:r>
          </w:p>
        </w:tc>
        <w:tc>
          <w:tcPr>
            <w:tcW w:w="3058" w:type="dxa"/>
            <w:shd w:val="clear" w:color="auto" w:fill="BFBFBF" w:themeFill="background1" w:themeFillShade="BF"/>
          </w:tcPr>
          <w:p w14:paraId="45B2CD2E" w14:textId="7407B392" w:rsidR="007E7A9B" w:rsidRPr="004E348D" w:rsidRDefault="007E7A9B" w:rsidP="007E7A9B">
            <w:pPr>
              <w:rPr>
                <w:b/>
                <w:bCs/>
                <w:sz w:val="20"/>
                <w:szCs w:val="20"/>
              </w:rPr>
            </w:pPr>
            <w:r w:rsidRPr="004E348D">
              <w:rPr>
                <w:b/>
                <w:bCs/>
                <w:sz w:val="20"/>
                <w:szCs w:val="20"/>
              </w:rPr>
              <w:t>Subsequent Doses</w:t>
            </w:r>
          </w:p>
        </w:tc>
      </w:tr>
      <w:tr w:rsidR="007E7A9B" w:rsidRPr="004E348D" w14:paraId="2964D2A2" w14:textId="77777777" w:rsidTr="007E7A9B">
        <w:tc>
          <w:tcPr>
            <w:tcW w:w="3057" w:type="dxa"/>
          </w:tcPr>
          <w:p w14:paraId="0F09D935" w14:textId="355D322D" w:rsidR="007E7A9B" w:rsidRPr="004E348D" w:rsidRDefault="007E7A9B" w:rsidP="00F17D4B">
            <w:pPr>
              <w:rPr>
                <w:sz w:val="20"/>
                <w:szCs w:val="20"/>
              </w:rPr>
            </w:pPr>
            <w:r w:rsidRPr="004E348D">
              <w:rPr>
                <w:sz w:val="20"/>
                <w:szCs w:val="20"/>
              </w:rPr>
              <w:t>15 kg - &lt;30 kg</w:t>
            </w:r>
          </w:p>
        </w:tc>
        <w:tc>
          <w:tcPr>
            <w:tcW w:w="3058" w:type="dxa"/>
          </w:tcPr>
          <w:p w14:paraId="07DE723E" w14:textId="4DD13A26" w:rsidR="007E7A9B" w:rsidRPr="004E348D" w:rsidRDefault="007E7A9B" w:rsidP="00F17D4B">
            <w:pPr>
              <w:rPr>
                <w:sz w:val="20"/>
                <w:szCs w:val="20"/>
              </w:rPr>
            </w:pPr>
            <w:r w:rsidRPr="004E348D">
              <w:rPr>
                <w:sz w:val="20"/>
                <w:szCs w:val="20"/>
              </w:rPr>
              <w:t>600 mg (two 300 mg injections)</w:t>
            </w:r>
          </w:p>
        </w:tc>
        <w:tc>
          <w:tcPr>
            <w:tcW w:w="3058" w:type="dxa"/>
          </w:tcPr>
          <w:p w14:paraId="7BD15989" w14:textId="755E77B7" w:rsidR="007E7A9B" w:rsidRPr="004E348D" w:rsidRDefault="007E7A9B" w:rsidP="00F17D4B">
            <w:pPr>
              <w:rPr>
                <w:sz w:val="20"/>
                <w:szCs w:val="20"/>
              </w:rPr>
            </w:pPr>
            <w:r w:rsidRPr="004E348D">
              <w:rPr>
                <w:sz w:val="20"/>
                <w:szCs w:val="20"/>
              </w:rPr>
              <w:t>300 mg every 4 weeks (q4w)</w:t>
            </w:r>
          </w:p>
        </w:tc>
      </w:tr>
      <w:tr w:rsidR="007E7A9B" w:rsidRPr="004E348D" w14:paraId="64CD1C43" w14:textId="77777777" w:rsidTr="007E7A9B">
        <w:tc>
          <w:tcPr>
            <w:tcW w:w="3057" w:type="dxa"/>
          </w:tcPr>
          <w:p w14:paraId="1BF1600E" w14:textId="1811DCAD" w:rsidR="007E7A9B" w:rsidRPr="004E348D" w:rsidRDefault="007E7A9B" w:rsidP="00F17D4B">
            <w:pPr>
              <w:rPr>
                <w:sz w:val="20"/>
                <w:szCs w:val="20"/>
              </w:rPr>
            </w:pPr>
            <w:r w:rsidRPr="004E348D">
              <w:rPr>
                <w:sz w:val="20"/>
                <w:szCs w:val="20"/>
              </w:rPr>
              <w:t>30kg - &lt; 60 kg</w:t>
            </w:r>
          </w:p>
        </w:tc>
        <w:tc>
          <w:tcPr>
            <w:tcW w:w="3058" w:type="dxa"/>
          </w:tcPr>
          <w:p w14:paraId="15FEAC57" w14:textId="308E4017" w:rsidR="007E7A9B" w:rsidRPr="004E348D" w:rsidRDefault="007E7A9B" w:rsidP="00F17D4B">
            <w:pPr>
              <w:rPr>
                <w:sz w:val="20"/>
                <w:szCs w:val="20"/>
              </w:rPr>
            </w:pPr>
            <w:r w:rsidRPr="004E348D">
              <w:rPr>
                <w:sz w:val="20"/>
                <w:szCs w:val="20"/>
              </w:rPr>
              <w:t>400 mg (two 200 mg injections)</w:t>
            </w:r>
          </w:p>
        </w:tc>
        <w:tc>
          <w:tcPr>
            <w:tcW w:w="3058" w:type="dxa"/>
          </w:tcPr>
          <w:p w14:paraId="6626425F" w14:textId="56A1BF0A" w:rsidR="007E7A9B" w:rsidRPr="004E348D" w:rsidRDefault="007E7A9B" w:rsidP="00F17D4B">
            <w:pPr>
              <w:rPr>
                <w:sz w:val="20"/>
                <w:szCs w:val="20"/>
              </w:rPr>
            </w:pPr>
            <w:r w:rsidRPr="004E348D">
              <w:rPr>
                <w:sz w:val="20"/>
                <w:szCs w:val="20"/>
              </w:rPr>
              <w:t>200mg every other week (q2w)</w:t>
            </w:r>
          </w:p>
        </w:tc>
      </w:tr>
      <w:tr w:rsidR="007E7A9B" w:rsidRPr="004E348D" w14:paraId="3378A1D9" w14:textId="77777777" w:rsidTr="007E7A9B">
        <w:tc>
          <w:tcPr>
            <w:tcW w:w="3057" w:type="dxa"/>
          </w:tcPr>
          <w:p w14:paraId="2BC229CE" w14:textId="25D1EE3C" w:rsidR="007E7A9B" w:rsidRPr="004E348D" w:rsidRDefault="007E7A9B" w:rsidP="00F17D4B">
            <w:pPr>
              <w:rPr>
                <w:sz w:val="20"/>
                <w:szCs w:val="20"/>
              </w:rPr>
            </w:pPr>
            <w:r w:rsidRPr="004E348D">
              <w:rPr>
                <w:sz w:val="20"/>
                <w:szCs w:val="20"/>
              </w:rPr>
              <w:t>≥ 60 kg</w:t>
            </w:r>
          </w:p>
        </w:tc>
        <w:tc>
          <w:tcPr>
            <w:tcW w:w="3058" w:type="dxa"/>
          </w:tcPr>
          <w:p w14:paraId="52CA9A27" w14:textId="6D63BD55" w:rsidR="007E7A9B" w:rsidRPr="004E348D" w:rsidRDefault="007E7A9B" w:rsidP="00F17D4B">
            <w:pPr>
              <w:rPr>
                <w:sz w:val="20"/>
                <w:szCs w:val="20"/>
              </w:rPr>
            </w:pPr>
            <w:r w:rsidRPr="004E348D">
              <w:rPr>
                <w:sz w:val="20"/>
                <w:szCs w:val="20"/>
              </w:rPr>
              <w:t>600 mg (two 300 mg injections)</w:t>
            </w:r>
          </w:p>
        </w:tc>
        <w:tc>
          <w:tcPr>
            <w:tcW w:w="3058" w:type="dxa"/>
          </w:tcPr>
          <w:p w14:paraId="4188AD99" w14:textId="5D5899B2" w:rsidR="007E7A9B" w:rsidRPr="004E348D" w:rsidRDefault="007E7A9B" w:rsidP="00F17D4B">
            <w:pPr>
              <w:rPr>
                <w:sz w:val="20"/>
                <w:szCs w:val="20"/>
              </w:rPr>
            </w:pPr>
            <w:r w:rsidRPr="004E348D">
              <w:rPr>
                <w:sz w:val="20"/>
                <w:szCs w:val="20"/>
              </w:rPr>
              <w:t>300mg every other week (q2w)</w:t>
            </w:r>
          </w:p>
        </w:tc>
      </w:tr>
    </w:tbl>
    <w:p w14:paraId="6C8CC597" w14:textId="5FD51454" w:rsidR="007E7A9B" w:rsidRPr="00CA32A5" w:rsidRDefault="00CA32A5" w:rsidP="00F17D4B">
      <w:pPr>
        <w:rPr>
          <w:sz w:val="20"/>
          <w:szCs w:val="20"/>
        </w:rPr>
      </w:pPr>
      <w:r w:rsidRPr="00CA32A5">
        <w:rPr>
          <w:sz w:val="20"/>
          <w:szCs w:val="20"/>
        </w:rPr>
        <w:t>Note: q2W, once every two weeks; q4w, once every four weeks.</w:t>
      </w:r>
    </w:p>
    <w:p w14:paraId="6682A05C" w14:textId="6F851AD4" w:rsidR="00F17D4B" w:rsidRPr="002F61CA" w:rsidRDefault="00F17D4B" w:rsidP="00F17D4B">
      <w:r w:rsidRPr="002F61CA">
        <w:t xml:space="preserve">The current Product Information (PI) and Consumer Medicine Information (CMI) are available from </w:t>
      </w:r>
      <w:hyperlink r:id="rId8" w:history="1">
        <w:r>
          <w:rPr>
            <w:rStyle w:val="Hyperlink"/>
          </w:rPr>
          <w:t>the TGA (Product Information)</w:t>
        </w:r>
      </w:hyperlink>
      <w:r>
        <w:t xml:space="preserve"> and </w:t>
      </w:r>
      <w:hyperlink r:id="rId9" w:history="1">
        <w:r>
          <w:rPr>
            <w:rStyle w:val="Hyperlink"/>
          </w:rPr>
          <w:t>the TGA (Consumer Medicines Information)</w:t>
        </w:r>
      </w:hyperlink>
      <w:r>
        <w:t>.</w:t>
      </w:r>
    </w:p>
    <w:p w14:paraId="46E2BB42" w14:textId="7C43F4A4" w:rsidR="00DF0B13" w:rsidRPr="007247B9" w:rsidDel="00EE2BBB" w:rsidRDefault="00DF0B13" w:rsidP="00CF5E22">
      <w:pPr>
        <w:pStyle w:val="Heading2"/>
      </w:pPr>
      <w:r w:rsidRPr="007247B9" w:rsidDel="00EE2BBB">
        <w:t>PBS listing details</w:t>
      </w:r>
      <w:r w:rsidR="00D151EB" w:rsidDel="00EE2BBB">
        <w:t xml:space="preserve"> (as at </w:t>
      </w:r>
      <w:r w:rsidR="004E348D">
        <w:t>July 2023</w:t>
      </w:r>
      <w:r w:rsidR="00D151EB" w:rsidDel="00EE2BBB">
        <w:t>)</w:t>
      </w:r>
    </w:p>
    <w:p w14:paraId="0336A4BA" w14:textId="5B13DACA" w:rsidR="00DF0B13" w:rsidDel="00EE2BBB" w:rsidRDefault="003D4F69" w:rsidP="00A35800">
      <w:r>
        <w:t xml:space="preserve">Dupilumab was PBS listed for </w:t>
      </w:r>
      <w:r w:rsidRPr="003D4F69">
        <w:t>atopic dermatitis 1</w:t>
      </w:r>
      <w:r>
        <w:t> March 2021</w:t>
      </w:r>
      <w:r w:rsidR="00457B28">
        <w:t xml:space="preserve"> in patients aged 12</w:t>
      </w:r>
      <w:r w:rsidR="00A761A4">
        <w:t xml:space="preserve"> years</w:t>
      </w:r>
      <w:r w:rsidR="00457B28">
        <w:t xml:space="preserve"> and older</w:t>
      </w:r>
      <w:r>
        <w:t xml:space="preserve">, and for asthma 1 April 2021. </w:t>
      </w:r>
      <w:r w:rsidR="00DF0B13" w:rsidRPr="004E348D" w:rsidDel="00EE2BBB">
        <w:t>Details of the PBS listing</w:t>
      </w:r>
      <w:r w:rsidR="004E348D" w:rsidRPr="004E348D">
        <w:t xml:space="preserve"> of dupilumab for atopic dermatitis are summarised in Table b. </w:t>
      </w:r>
      <w:r w:rsidR="00D04E8E">
        <w:t xml:space="preserve">Upadacitinib was </w:t>
      </w:r>
      <w:r w:rsidR="00D04E8E" w:rsidRPr="00D04E8E">
        <w:t>PBS listed for atopic dermatitis 1</w:t>
      </w:r>
      <w:r w:rsidR="00D92B42">
        <w:t> February</w:t>
      </w:r>
      <w:r w:rsidR="00D04E8E" w:rsidRPr="00D04E8E">
        <w:t xml:space="preserve"> 202</w:t>
      </w:r>
      <w:r w:rsidR="00D04E8E">
        <w:t>2</w:t>
      </w:r>
      <w:r w:rsidR="00D92B42">
        <w:t>.</w:t>
      </w:r>
    </w:p>
    <w:p w14:paraId="1D47784A" w14:textId="6D62CEBB" w:rsidR="001420B3" w:rsidRPr="001420B3" w:rsidDel="00EE2BBB" w:rsidRDefault="001420B3" w:rsidP="00D92B42">
      <w:pPr>
        <w:pStyle w:val="Tabletitle"/>
        <w:keepNext/>
      </w:pPr>
      <w:r w:rsidRPr="001420B3" w:rsidDel="00EE2BBB">
        <w:lastRenderedPageBreak/>
        <w:t xml:space="preserve">Table </w:t>
      </w:r>
      <w:r w:rsidR="004D1205">
        <w:t>2</w:t>
      </w:r>
      <w:r w:rsidRPr="001420B3" w:rsidDel="00EE2BBB">
        <w:t xml:space="preserve">: </w:t>
      </w:r>
      <w:r w:rsidR="009663B6" w:rsidDel="00EE2BBB">
        <w:t>PB</w:t>
      </w:r>
      <w:r w:rsidR="00D151EB" w:rsidDel="00EE2BBB">
        <w:t xml:space="preserve">S listing of </w:t>
      </w:r>
      <w:r w:rsidR="004E348D">
        <w:t>dupilumab for atopic dermatitis</w:t>
      </w:r>
    </w:p>
    <w:tbl>
      <w:tblPr>
        <w:tblStyle w:val="TableGrid"/>
        <w:tblW w:w="9064" w:type="dxa"/>
        <w:tblLayout w:type="fixed"/>
        <w:tblLook w:val="04A0" w:firstRow="1" w:lastRow="0" w:firstColumn="1" w:lastColumn="0" w:noHBand="0" w:noVBand="1"/>
      </w:tblPr>
      <w:tblGrid>
        <w:gridCol w:w="969"/>
        <w:gridCol w:w="2400"/>
        <w:gridCol w:w="1701"/>
        <w:gridCol w:w="850"/>
        <w:gridCol w:w="1040"/>
        <w:gridCol w:w="2104"/>
      </w:tblGrid>
      <w:tr w:rsidR="0093111F" w:rsidRPr="00A35800" w:rsidDel="00EE2BBB" w14:paraId="6AA19A37" w14:textId="77B518AD" w:rsidTr="0093111F">
        <w:trPr>
          <w:trHeight w:val="694"/>
          <w:tblHeader/>
        </w:trPr>
        <w:tc>
          <w:tcPr>
            <w:tcW w:w="969" w:type="dxa"/>
            <w:shd w:val="clear" w:color="auto" w:fill="BFBFBF" w:themeFill="background1" w:themeFillShade="BF"/>
          </w:tcPr>
          <w:p w14:paraId="56A3DEA0" w14:textId="1A878237" w:rsidR="0093111F" w:rsidRPr="00A35800" w:rsidDel="00EE2BBB" w:rsidRDefault="0093111F" w:rsidP="00A35800">
            <w:pPr>
              <w:pStyle w:val="Tableheading"/>
              <w:rPr>
                <w:sz w:val="20"/>
                <w:szCs w:val="20"/>
              </w:rPr>
            </w:pPr>
            <w:r w:rsidRPr="00A35800" w:rsidDel="00EE2BBB">
              <w:rPr>
                <w:sz w:val="20"/>
                <w:szCs w:val="20"/>
              </w:rPr>
              <w:t>Item</w:t>
            </w:r>
          </w:p>
        </w:tc>
        <w:tc>
          <w:tcPr>
            <w:tcW w:w="2400" w:type="dxa"/>
            <w:shd w:val="clear" w:color="auto" w:fill="BFBFBF" w:themeFill="background1" w:themeFillShade="BF"/>
          </w:tcPr>
          <w:p w14:paraId="67A07252" w14:textId="6DE43662" w:rsidR="0093111F" w:rsidRPr="00A35800" w:rsidDel="00EE2BBB" w:rsidRDefault="0093111F" w:rsidP="00A35800">
            <w:pPr>
              <w:pStyle w:val="Tableheading"/>
              <w:rPr>
                <w:sz w:val="20"/>
                <w:szCs w:val="20"/>
              </w:rPr>
            </w:pPr>
            <w:r w:rsidRPr="00A35800" w:rsidDel="00EE2BBB">
              <w:rPr>
                <w:sz w:val="20"/>
                <w:szCs w:val="20"/>
              </w:rPr>
              <w:t>Name, form &amp; strength, pack size</w:t>
            </w:r>
          </w:p>
        </w:tc>
        <w:tc>
          <w:tcPr>
            <w:tcW w:w="1701" w:type="dxa"/>
            <w:shd w:val="clear" w:color="auto" w:fill="BFBFBF" w:themeFill="background1" w:themeFillShade="BF"/>
          </w:tcPr>
          <w:p w14:paraId="114E9799" w14:textId="71E76A27" w:rsidR="0093111F" w:rsidRPr="00A35800" w:rsidDel="00EE2BBB" w:rsidRDefault="0093111F" w:rsidP="00A35800">
            <w:pPr>
              <w:pStyle w:val="Tableheading"/>
              <w:rPr>
                <w:sz w:val="20"/>
                <w:szCs w:val="20"/>
              </w:rPr>
            </w:pPr>
            <w:r w:rsidRPr="00A35800" w:rsidDel="00EE2BBB">
              <w:rPr>
                <w:sz w:val="20"/>
                <w:szCs w:val="20"/>
              </w:rPr>
              <w:t>Max</w:t>
            </w:r>
            <w:r w:rsidR="00A13C60" w:rsidRPr="00A35800" w:rsidDel="00EE2BBB">
              <w:rPr>
                <w:sz w:val="20"/>
                <w:szCs w:val="20"/>
              </w:rPr>
              <w:t xml:space="preserve">. </w:t>
            </w:r>
            <w:r w:rsidRPr="00A35800" w:rsidDel="00EE2BBB">
              <w:rPr>
                <w:sz w:val="20"/>
                <w:szCs w:val="20"/>
              </w:rPr>
              <w:t xml:space="preserve">quant. </w:t>
            </w:r>
          </w:p>
        </w:tc>
        <w:tc>
          <w:tcPr>
            <w:tcW w:w="850" w:type="dxa"/>
            <w:shd w:val="clear" w:color="auto" w:fill="BFBFBF" w:themeFill="background1" w:themeFillShade="BF"/>
          </w:tcPr>
          <w:p w14:paraId="0F1A79F7" w14:textId="170F6D44" w:rsidR="0093111F" w:rsidRPr="00A35800" w:rsidDel="00EE2BBB" w:rsidRDefault="0093111F" w:rsidP="00A35800">
            <w:pPr>
              <w:pStyle w:val="Tableheading"/>
              <w:rPr>
                <w:sz w:val="20"/>
                <w:szCs w:val="20"/>
              </w:rPr>
            </w:pPr>
            <w:proofErr w:type="spellStart"/>
            <w:r w:rsidRPr="00A35800" w:rsidDel="00EE2BBB">
              <w:rPr>
                <w:sz w:val="20"/>
                <w:szCs w:val="20"/>
              </w:rPr>
              <w:t>Rpts</w:t>
            </w:r>
            <w:proofErr w:type="spellEnd"/>
            <w:r w:rsidRPr="00A35800" w:rsidDel="00EE2BBB">
              <w:rPr>
                <w:sz w:val="20"/>
                <w:szCs w:val="20"/>
              </w:rPr>
              <w:t xml:space="preserve"> </w:t>
            </w:r>
          </w:p>
        </w:tc>
        <w:tc>
          <w:tcPr>
            <w:tcW w:w="1040" w:type="dxa"/>
            <w:shd w:val="clear" w:color="auto" w:fill="BFBFBF" w:themeFill="background1" w:themeFillShade="BF"/>
          </w:tcPr>
          <w:p w14:paraId="05C5A0BF" w14:textId="2CFF9AC9" w:rsidR="0093111F" w:rsidRPr="00A35800" w:rsidDel="00EE2BBB" w:rsidRDefault="0093111F" w:rsidP="00A35800">
            <w:pPr>
              <w:pStyle w:val="Tableheading"/>
              <w:rPr>
                <w:sz w:val="20"/>
                <w:szCs w:val="20"/>
              </w:rPr>
            </w:pPr>
            <w:r w:rsidRPr="00A35800" w:rsidDel="00EE2BBB">
              <w:rPr>
                <w:sz w:val="20"/>
                <w:szCs w:val="20"/>
              </w:rPr>
              <w:t>DPMQ</w:t>
            </w:r>
          </w:p>
        </w:tc>
        <w:tc>
          <w:tcPr>
            <w:tcW w:w="2104" w:type="dxa"/>
            <w:shd w:val="clear" w:color="auto" w:fill="BFBFBF" w:themeFill="background1" w:themeFillShade="BF"/>
          </w:tcPr>
          <w:p w14:paraId="09B472B7" w14:textId="479D46E2" w:rsidR="0093111F" w:rsidRPr="00A35800" w:rsidDel="00EE2BBB" w:rsidRDefault="0093111F" w:rsidP="00A35800">
            <w:pPr>
              <w:pStyle w:val="Tableheading"/>
              <w:rPr>
                <w:sz w:val="20"/>
                <w:szCs w:val="20"/>
              </w:rPr>
            </w:pPr>
            <w:r w:rsidRPr="00A35800" w:rsidDel="00EE2BBB">
              <w:rPr>
                <w:sz w:val="20"/>
                <w:szCs w:val="20"/>
              </w:rPr>
              <w:t>Brand name and manufacturer</w:t>
            </w:r>
          </w:p>
        </w:tc>
      </w:tr>
      <w:tr w:rsidR="004E348D" w:rsidRPr="00A35800" w:rsidDel="00EE2BBB" w14:paraId="2AF9D84B" w14:textId="0D323411" w:rsidTr="0093111F">
        <w:trPr>
          <w:trHeight w:val="552"/>
          <w:tblHeader/>
        </w:trPr>
        <w:tc>
          <w:tcPr>
            <w:tcW w:w="969" w:type="dxa"/>
            <w:shd w:val="clear" w:color="auto" w:fill="auto"/>
          </w:tcPr>
          <w:p w14:paraId="0A3E3442" w14:textId="5A0A47A7" w:rsidR="004E348D" w:rsidRPr="00A35800" w:rsidDel="00EE2BBB" w:rsidRDefault="004E348D" w:rsidP="00A35800">
            <w:pPr>
              <w:pStyle w:val="Tablewriting"/>
            </w:pPr>
            <w:r w:rsidRPr="004E348D">
              <w:t>12291X</w:t>
            </w:r>
          </w:p>
        </w:tc>
        <w:tc>
          <w:tcPr>
            <w:tcW w:w="2400" w:type="dxa"/>
            <w:shd w:val="clear" w:color="auto" w:fill="auto"/>
          </w:tcPr>
          <w:p w14:paraId="0F676F51" w14:textId="0F654D48" w:rsidR="004E348D" w:rsidRPr="00A35800" w:rsidDel="00EE2BBB" w:rsidRDefault="004E348D" w:rsidP="00A35800">
            <w:pPr>
              <w:pStyle w:val="Tablewriting"/>
            </w:pPr>
            <w:r w:rsidRPr="004E348D">
              <w:t>dupilumab 200 mg/1.14 mL injection, 2 x 1.14 mL syringes</w:t>
            </w:r>
          </w:p>
        </w:tc>
        <w:tc>
          <w:tcPr>
            <w:tcW w:w="1701" w:type="dxa"/>
            <w:shd w:val="clear" w:color="auto" w:fill="auto"/>
          </w:tcPr>
          <w:p w14:paraId="0E2637C4" w14:textId="56ADC769" w:rsidR="004E348D" w:rsidRPr="00A35800" w:rsidDel="00EE2BBB" w:rsidRDefault="004E348D" w:rsidP="00A35800">
            <w:pPr>
              <w:pStyle w:val="Tablewriting"/>
            </w:pPr>
            <w:r>
              <w:t>2</w:t>
            </w:r>
          </w:p>
        </w:tc>
        <w:tc>
          <w:tcPr>
            <w:tcW w:w="850" w:type="dxa"/>
            <w:shd w:val="clear" w:color="auto" w:fill="auto"/>
          </w:tcPr>
          <w:p w14:paraId="6B361CAA" w14:textId="63C7FDFB" w:rsidR="004E348D" w:rsidRPr="00A35800" w:rsidDel="00EE2BBB" w:rsidRDefault="004E348D" w:rsidP="00A35800">
            <w:pPr>
              <w:pStyle w:val="Tablewriting"/>
            </w:pPr>
            <w:r>
              <w:t>5</w:t>
            </w:r>
          </w:p>
        </w:tc>
        <w:tc>
          <w:tcPr>
            <w:tcW w:w="1040" w:type="dxa"/>
            <w:shd w:val="clear" w:color="auto" w:fill="auto"/>
          </w:tcPr>
          <w:p w14:paraId="15F68405" w14:textId="00C617EB" w:rsidR="004E348D" w:rsidRPr="00A35800" w:rsidDel="00EE2BBB" w:rsidRDefault="004E348D" w:rsidP="00A35800">
            <w:pPr>
              <w:pStyle w:val="Tablewriting"/>
            </w:pPr>
            <w:r w:rsidRPr="004E348D">
              <w:t>$1755.19</w:t>
            </w:r>
          </w:p>
        </w:tc>
        <w:tc>
          <w:tcPr>
            <w:tcW w:w="2104" w:type="dxa"/>
            <w:vMerge w:val="restart"/>
            <w:shd w:val="clear" w:color="auto" w:fill="auto"/>
          </w:tcPr>
          <w:p w14:paraId="2D337AC6" w14:textId="3F2F98E9" w:rsidR="004E348D" w:rsidRPr="00A35800" w:rsidDel="00EE2BBB" w:rsidRDefault="004E348D" w:rsidP="00A35800">
            <w:pPr>
              <w:pStyle w:val="Tablewriting"/>
            </w:pPr>
            <w:r w:rsidRPr="004E348D">
              <w:t>Dupixent</w:t>
            </w:r>
            <w:r>
              <w:t xml:space="preserve">, </w:t>
            </w:r>
            <w:proofErr w:type="spellStart"/>
            <w:r w:rsidRPr="004E348D">
              <w:t>sanofi-aventis</w:t>
            </w:r>
            <w:proofErr w:type="spellEnd"/>
            <w:r w:rsidRPr="004E348D">
              <w:t xml:space="preserve"> Australia Pty Ltd</w:t>
            </w:r>
          </w:p>
        </w:tc>
      </w:tr>
      <w:tr w:rsidR="004E348D" w:rsidRPr="00A35800" w:rsidDel="00EE2BBB" w14:paraId="5896B21D" w14:textId="77777777" w:rsidTr="0093111F">
        <w:trPr>
          <w:trHeight w:val="552"/>
          <w:tblHeader/>
        </w:trPr>
        <w:tc>
          <w:tcPr>
            <w:tcW w:w="969" w:type="dxa"/>
            <w:shd w:val="clear" w:color="auto" w:fill="auto"/>
          </w:tcPr>
          <w:p w14:paraId="6B4AB38A" w14:textId="0F390F41" w:rsidR="004E348D" w:rsidRPr="00A35800" w:rsidDel="00EE2BBB" w:rsidRDefault="004E348D" w:rsidP="004E348D">
            <w:pPr>
              <w:pStyle w:val="Tablewriting"/>
            </w:pPr>
            <w:r w:rsidRPr="004E348D">
              <w:t>12292Y</w:t>
            </w:r>
          </w:p>
        </w:tc>
        <w:tc>
          <w:tcPr>
            <w:tcW w:w="2400" w:type="dxa"/>
            <w:shd w:val="clear" w:color="auto" w:fill="auto"/>
          </w:tcPr>
          <w:p w14:paraId="2BD6B470" w14:textId="32140F1D" w:rsidR="004E348D" w:rsidRPr="00A35800" w:rsidDel="00EE2BBB" w:rsidRDefault="004E348D" w:rsidP="004E348D">
            <w:pPr>
              <w:pStyle w:val="Tablewriting"/>
            </w:pPr>
            <w:r w:rsidRPr="004E348D">
              <w:t>dupilumab 300 mg/2 mL injection, 2 x 2 mL syringes</w:t>
            </w:r>
          </w:p>
        </w:tc>
        <w:tc>
          <w:tcPr>
            <w:tcW w:w="1701" w:type="dxa"/>
            <w:shd w:val="clear" w:color="auto" w:fill="auto"/>
          </w:tcPr>
          <w:p w14:paraId="66D4F78A" w14:textId="121E7220" w:rsidR="004E348D" w:rsidRPr="00A35800" w:rsidDel="00EE2BBB" w:rsidRDefault="004E348D" w:rsidP="004E348D">
            <w:pPr>
              <w:pStyle w:val="Tablewriting"/>
            </w:pPr>
            <w:r>
              <w:t>2</w:t>
            </w:r>
          </w:p>
        </w:tc>
        <w:tc>
          <w:tcPr>
            <w:tcW w:w="850" w:type="dxa"/>
            <w:shd w:val="clear" w:color="auto" w:fill="auto"/>
          </w:tcPr>
          <w:p w14:paraId="13295495" w14:textId="350CE162" w:rsidR="004E348D" w:rsidRPr="00A35800" w:rsidDel="00EE2BBB" w:rsidRDefault="004E348D" w:rsidP="004E348D">
            <w:pPr>
              <w:pStyle w:val="Tablewriting"/>
            </w:pPr>
            <w:r>
              <w:t>5</w:t>
            </w:r>
          </w:p>
        </w:tc>
        <w:tc>
          <w:tcPr>
            <w:tcW w:w="1040" w:type="dxa"/>
            <w:shd w:val="clear" w:color="auto" w:fill="auto"/>
          </w:tcPr>
          <w:p w14:paraId="339E9DBD" w14:textId="4A2F4970" w:rsidR="004E348D" w:rsidRPr="00A35800" w:rsidDel="00EE2BBB" w:rsidRDefault="004E348D" w:rsidP="004E348D">
            <w:pPr>
              <w:pStyle w:val="Tablewriting"/>
            </w:pPr>
            <w:r w:rsidRPr="004E348D">
              <w:t>$1755.19</w:t>
            </w:r>
          </w:p>
        </w:tc>
        <w:tc>
          <w:tcPr>
            <w:tcW w:w="2104" w:type="dxa"/>
            <w:vMerge/>
            <w:shd w:val="clear" w:color="auto" w:fill="auto"/>
          </w:tcPr>
          <w:p w14:paraId="67162BAE" w14:textId="77777777" w:rsidR="004E348D" w:rsidRPr="00A35800" w:rsidDel="00EE2BBB" w:rsidRDefault="004E348D" w:rsidP="004E348D">
            <w:pPr>
              <w:pStyle w:val="Tablewriting"/>
            </w:pPr>
          </w:p>
        </w:tc>
      </w:tr>
    </w:tbl>
    <w:p w14:paraId="1183F151" w14:textId="36C4B723" w:rsidR="007247B9" w:rsidRPr="00A35800" w:rsidDel="00EE2BBB" w:rsidRDefault="007408C7" w:rsidP="00BB1D3B">
      <w:pPr>
        <w:pStyle w:val="Notes"/>
      </w:pPr>
      <w:r w:rsidRPr="00A35800" w:rsidDel="00EE2BBB">
        <w:t xml:space="preserve">Source: </w:t>
      </w:r>
      <w:r w:rsidR="001624D7" w:rsidDel="00EE2BBB">
        <w:t xml:space="preserve">the </w:t>
      </w:r>
      <w:hyperlink r:id="rId10" w:history="1">
        <w:r w:rsidR="001624D7" w:rsidRPr="001624D7" w:rsidDel="00EE2BBB">
          <w:rPr>
            <w:rStyle w:val="Hyperlink"/>
          </w:rPr>
          <w:t>PBS website</w:t>
        </w:r>
      </w:hyperlink>
      <w:r w:rsidR="001624D7" w:rsidDel="00EE2BBB">
        <w:t>.</w:t>
      </w:r>
      <w:r w:rsidR="0080485E" w:rsidDel="00EE2BBB">
        <w:t xml:space="preserve"> </w:t>
      </w:r>
      <w:r w:rsidR="004E348D">
        <w:t>A</w:t>
      </w:r>
      <w:r w:rsidR="0080485E" w:rsidDel="00EE2BBB">
        <w:t xml:space="preserve"> </w:t>
      </w:r>
      <w:r w:rsidR="0080485E" w:rsidRPr="0080485E" w:rsidDel="00EE2BBB">
        <w:t xml:space="preserve">Special Pricing Arrangement </w:t>
      </w:r>
      <w:r w:rsidR="004E348D">
        <w:t>applies</w:t>
      </w:r>
      <w:r w:rsidR="0080485E" w:rsidRPr="0080485E" w:rsidDel="00EE2BBB">
        <w:t>.</w:t>
      </w:r>
    </w:p>
    <w:p w14:paraId="1AFA1485" w14:textId="3186A599" w:rsidR="004C3186" w:rsidDel="00EE2BBB" w:rsidRDefault="004C3186" w:rsidP="00CF5E22">
      <w:pPr>
        <w:pStyle w:val="Heading3"/>
      </w:pPr>
      <w:r w:rsidDel="00EE2BBB">
        <w:t>Restriction</w:t>
      </w:r>
    </w:p>
    <w:p w14:paraId="45316BCE" w14:textId="59FA1092" w:rsidR="004E348D" w:rsidRDefault="004E348D" w:rsidP="004E348D">
      <w:r>
        <w:t>Clinical criteria:</w:t>
      </w:r>
    </w:p>
    <w:p w14:paraId="3F13ABD7" w14:textId="77A22A15" w:rsidR="004E348D" w:rsidRDefault="004E348D" w:rsidP="00241EA0">
      <w:pPr>
        <w:pStyle w:val="ListParagraph"/>
        <w:numPr>
          <w:ilvl w:val="0"/>
          <w:numId w:val="5"/>
        </w:numPr>
      </w:pPr>
      <w:r>
        <w:t>Patient must have a Physicians Global Assessment (PGA) (5-point scale) baseline score of at least 4 as evidence of severe disease despite treatment with daily topical therapy (corticosteroid of medium to high potency/calcineurin inhibitor), for at least 28 days,</w:t>
      </w:r>
      <w:r w:rsidR="00241EA0">
        <w:t xml:space="preserve"> </w:t>
      </w:r>
      <w:r>
        <w:t>AND</w:t>
      </w:r>
    </w:p>
    <w:p w14:paraId="7E9CAF9F" w14:textId="1AEEF12B" w:rsidR="004E348D" w:rsidRDefault="004E348D" w:rsidP="00241EA0">
      <w:pPr>
        <w:pStyle w:val="ListParagraph"/>
        <w:numPr>
          <w:ilvl w:val="0"/>
          <w:numId w:val="5"/>
        </w:numPr>
      </w:pPr>
      <w:r>
        <w:t>Patient must have an Eczema Area and Severity Index (EASI) baseline score of at least 20 despite treatment with daily topical therapy (corticosteroid of medium to high potency/calcineurin inhibitor), for at least 28 days,</w:t>
      </w:r>
      <w:r w:rsidR="00241EA0">
        <w:t xml:space="preserve"> </w:t>
      </w:r>
      <w:r>
        <w:t>AND</w:t>
      </w:r>
    </w:p>
    <w:p w14:paraId="17FD3F23" w14:textId="668D2FAF" w:rsidR="004E348D" w:rsidRDefault="004E348D" w:rsidP="00241EA0">
      <w:pPr>
        <w:pStyle w:val="ListParagraph"/>
        <w:numPr>
          <w:ilvl w:val="0"/>
          <w:numId w:val="5"/>
        </w:numPr>
      </w:pPr>
      <w:r>
        <w:t xml:space="preserve">Patient must have an </w:t>
      </w:r>
      <w:proofErr w:type="gramStart"/>
      <w:r>
        <w:t>age appropriate</w:t>
      </w:r>
      <w:proofErr w:type="gramEnd"/>
      <w:r>
        <w:t xml:space="preserve"> Dermatology Life Quality Index (DLQI) baseline score (of any value) measured following treatment with daily topical therapy (corticosteroid of medium to high potency/calcineurin inhibitor), for at least 28 days,</w:t>
      </w:r>
      <w:r w:rsidR="00241EA0">
        <w:t xml:space="preserve"> </w:t>
      </w:r>
      <w:r>
        <w:t>AND</w:t>
      </w:r>
    </w:p>
    <w:p w14:paraId="33744549" w14:textId="6F0ADC78" w:rsidR="004E348D" w:rsidRDefault="004E348D" w:rsidP="00241EA0">
      <w:pPr>
        <w:pStyle w:val="ListParagraph"/>
        <w:numPr>
          <w:ilvl w:val="0"/>
          <w:numId w:val="5"/>
        </w:numPr>
      </w:pPr>
      <w:r>
        <w:t>The condition must have had lesions for at least 6 months from the time of the initial diagnosis of chronic severe atopic dermatitis affecting either of: (</w:t>
      </w:r>
      <w:proofErr w:type="spellStart"/>
      <w:r>
        <w:t>i</w:t>
      </w:r>
      <w:proofErr w:type="spellEnd"/>
      <w:r>
        <w:t>) the whole body, (ii) face/hands,</w:t>
      </w:r>
      <w:r w:rsidR="00241EA0">
        <w:t xml:space="preserve"> </w:t>
      </w:r>
      <w:r>
        <w:t>AND</w:t>
      </w:r>
    </w:p>
    <w:p w14:paraId="45F1EA05" w14:textId="5BA6BCA9" w:rsidR="004E348D" w:rsidRDefault="004E348D" w:rsidP="00241EA0">
      <w:pPr>
        <w:pStyle w:val="ListParagraph"/>
        <w:numPr>
          <w:ilvl w:val="0"/>
          <w:numId w:val="5"/>
        </w:numPr>
      </w:pPr>
      <w:r>
        <w:t>The treatment must be the sole PBS-subsidised biological medicine for this PBS indication,</w:t>
      </w:r>
      <w:r w:rsidR="00241EA0">
        <w:t xml:space="preserve"> </w:t>
      </w:r>
      <w:r>
        <w:t>AND</w:t>
      </w:r>
    </w:p>
    <w:p w14:paraId="0D73F9BC" w14:textId="7BA0917B" w:rsidR="004E348D" w:rsidRDefault="004E348D" w:rsidP="00241EA0">
      <w:pPr>
        <w:pStyle w:val="ListParagraph"/>
        <w:numPr>
          <w:ilvl w:val="0"/>
          <w:numId w:val="5"/>
        </w:numPr>
      </w:pPr>
      <w:r>
        <w:t>Patient must not have experienced an inadequate response to this biological medicine in this PBS indication.</w:t>
      </w:r>
    </w:p>
    <w:p w14:paraId="7FE442E4" w14:textId="150BAAB5" w:rsidR="004E348D" w:rsidRDefault="004E348D" w:rsidP="004E348D">
      <w:r>
        <w:t>Treatment criteria:</w:t>
      </w:r>
    </w:p>
    <w:p w14:paraId="28E07184" w14:textId="0F143396" w:rsidR="004E348D" w:rsidRDefault="004E348D" w:rsidP="004E348D">
      <w:pPr>
        <w:pStyle w:val="ListParagraph"/>
        <w:numPr>
          <w:ilvl w:val="0"/>
          <w:numId w:val="5"/>
        </w:numPr>
      </w:pPr>
      <w:r>
        <w:t>Must be treated by a dermatologist; OR</w:t>
      </w:r>
    </w:p>
    <w:p w14:paraId="06F1F6BB" w14:textId="456FA49A" w:rsidR="004C3186" w:rsidRPr="00241EA0" w:rsidDel="00EE2BBB" w:rsidRDefault="004E348D" w:rsidP="004E348D">
      <w:pPr>
        <w:pStyle w:val="ListParagraph"/>
        <w:numPr>
          <w:ilvl w:val="0"/>
          <w:numId w:val="5"/>
        </w:numPr>
      </w:pPr>
      <w:r w:rsidRPr="00241EA0">
        <w:t>Must be treated by a clinical immunologist.</w:t>
      </w:r>
    </w:p>
    <w:p w14:paraId="22433632" w14:textId="60F70893" w:rsidR="006775F1" w:rsidRPr="006775F1" w:rsidDel="00EE2BBB" w:rsidRDefault="006775F1" w:rsidP="00A35800">
      <w:r w:rsidRPr="006775F1" w:rsidDel="00EE2BBB">
        <w:t xml:space="preserve">For </w:t>
      </w:r>
      <w:r w:rsidR="00835337" w:rsidDel="00EE2BBB">
        <w:t xml:space="preserve">details of the current PBS listing refer to the </w:t>
      </w:r>
      <w:hyperlink r:id="rId11" w:history="1">
        <w:r w:rsidR="00835337" w:rsidRPr="00645D51" w:rsidDel="00EE2BBB">
          <w:rPr>
            <w:rStyle w:val="Hyperlink"/>
          </w:rPr>
          <w:t>PBS website</w:t>
        </w:r>
      </w:hyperlink>
      <w:r w:rsidR="00835337" w:rsidDel="00EE2BBB">
        <w:rPr>
          <w:rStyle w:val="Hyperlink"/>
        </w:rPr>
        <w:t>.</w:t>
      </w:r>
    </w:p>
    <w:p w14:paraId="39EF75ED" w14:textId="73256AB5" w:rsidR="00675BB1" w:rsidRPr="00675BB1" w:rsidDel="00EE2BBB" w:rsidRDefault="00675BB1" w:rsidP="00CF5E22">
      <w:pPr>
        <w:pStyle w:val="Heading3"/>
      </w:pPr>
      <w:r w:rsidRPr="00675BB1" w:rsidDel="00EE2BBB">
        <w:t>Changes to listing</w:t>
      </w:r>
    </w:p>
    <w:p w14:paraId="232720EF" w14:textId="2A9958C4" w:rsidR="009C35F2" w:rsidRDefault="00CC003D" w:rsidP="00A35800">
      <w:r>
        <w:t xml:space="preserve">Dupilumab was PBS listed for </w:t>
      </w:r>
      <w:r w:rsidR="00187D0B">
        <w:t>atopic dermatitis on 1 March 2021 on the General Schedule. On 1 April 2021</w:t>
      </w:r>
      <w:r w:rsidR="00966BCE">
        <w:t xml:space="preserve"> the listing was altered</w:t>
      </w:r>
      <w:r w:rsidR="00E74A95">
        <w:t xml:space="preserve"> </w:t>
      </w:r>
      <w:r w:rsidR="00DC273E" w:rsidRPr="00DC273E">
        <w:t xml:space="preserve">to include a calcineurin inhibitor as daily topical </w:t>
      </w:r>
      <w:r w:rsidR="00DC273E">
        <w:t>therapy in addition to a c</w:t>
      </w:r>
      <w:r w:rsidR="00DC273E" w:rsidRPr="00DC273E">
        <w:t>orticosteroid of medium to high potency</w:t>
      </w:r>
      <w:r w:rsidR="00E00B5B">
        <w:t>. The restriction</w:t>
      </w:r>
      <w:r w:rsidR="00787F47">
        <w:t>s</w:t>
      </w:r>
      <w:r w:rsidR="00E00B5B">
        <w:t xml:space="preserve"> for </w:t>
      </w:r>
      <w:r w:rsidR="00055D02">
        <w:t>t</w:t>
      </w:r>
      <w:r w:rsidR="00E00B5B" w:rsidRPr="00E00B5B">
        <w:t xml:space="preserve">ransitioning </w:t>
      </w:r>
      <w:r w:rsidR="00055D02">
        <w:t xml:space="preserve">patients </w:t>
      </w:r>
      <w:r w:rsidR="00E00B5B" w:rsidRPr="00E00B5B">
        <w:t>from non-PBS to PBS-subsidised supply (Grandfather listing</w:t>
      </w:r>
      <w:r w:rsidR="00787F47">
        <w:t>s</w:t>
      </w:r>
      <w:r w:rsidR="00E00B5B" w:rsidRPr="00E00B5B">
        <w:t xml:space="preserve">) </w:t>
      </w:r>
      <w:r w:rsidR="00787F47">
        <w:t xml:space="preserve">were </w:t>
      </w:r>
      <w:r w:rsidR="00E00B5B" w:rsidRPr="00E00B5B">
        <w:t>deleted</w:t>
      </w:r>
      <w:r w:rsidR="00787F47">
        <w:t xml:space="preserve"> 1 May 2022.</w:t>
      </w:r>
    </w:p>
    <w:p w14:paraId="64C94A85" w14:textId="0279637B" w:rsidR="00BF544D" w:rsidRPr="002F61CA" w:rsidDel="00EE2BBB" w:rsidRDefault="00BF544D" w:rsidP="00BF544D">
      <w:r w:rsidRPr="002F61CA" w:rsidDel="00EE2BBB">
        <w:lastRenderedPageBreak/>
        <w:t xml:space="preserve">Current PBS listing details are available from </w:t>
      </w:r>
      <w:r w:rsidDel="00EE2BBB">
        <w:t xml:space="preserve">the </w:t>
      </w:r>
      <w:hyperlink r:id="rId12" w:history="1">
        <w:r w:rsidRPr="00645D51" w:rsidDel="00EE2BBB">
          <w:rPr>
            <w:rStyle w:val="Hyperlink"/>
          </w:rPr>
          <w:t>PBS website</w:t>
        </w:r>
      </w:hyperlink>
      <w:r w:rsidDel="00EE2BBB">
        <w:t>.</w:t>
      </w:r>
    </w:p>
    <w:p w14:paraId="383E312E" w14:textId="724CF700" w:rsidR="00736041" w:rsidRPr="005E22C2" w:rsidRDefault="00394AEE" w:rsidP="00D1314D">
      <w:pPr>
        <w:pStyle w:val="Heading2"/>
        <w:keepNext/>
      </w:pPr>
      <w:r>
        <w:t>Relevant aspects of</w:t>
      </w:r>
      <w:r w:rsidR="00736041" w:rsidRPr="005E22C2">
        <w:t xml:space="preserve"> consideration</w:t>
      </w:r>
      <w:r>
        <w:t xml:space="preserve"> by the Pharmaceutical Benefits Advisory Committee (PBAC)</w:t>
      </w:r>
    </w:p>
    <w:p w14:paraId="4FB1F60C" w14:textId="1270AB8A" w:rsidR="00707FE2" w:rsidRDefault="00707FE2" w:rsidP="00D1314D">
      <w:pPr>
        <w:pStyle w:val="Tabletitle"/>
        <w:keepNext/>
      </w:pPr>
      <w:r>
        <w:t xml:space="preserve">Table </w:t>
      </w:r>
      <w:r w:rsidR="004D1205">
        <w:t>3</w:t>
      </w:r>
      <w:r>
        <w:t>: Summary of PBAC submissions for dupilumab</w:t>
      </w:r>
    </w:p>
    <w:tbl>
      <w:tblPr>
        <w:tblStyle w:val="TableGrid"/>
        <w:tblW w:w="0" w:type="auto"/>
        <w:tblLook w:val="04A0" w:firstRow="1" w:lastRow="0" w:firstColumn="1" w:lastColumn="0" w:noHBand="0" w:noVBand="1"/>
      </w:tblPr>
      <w:tblGrid>
        <w:gridCol w:w="1641"/>
        <w:gridCol w:w="4133"/>
        <w:gridCol w:w="3173"/>
      </w:tblGrid>
      <w:tr w:rsidR="00BB243C" w:rsidRPr="00BB243C" w14:paraId="4A92A1F8" w14:textId="77777777" w:rsidTr="00BB243C">
        <w:trPr>
          <w:tblHeader/>
        </w:trPr>
        <w:tc>
          <w:tcPr>
            <w:tcW w:w="1668" w:type="dxa"/>
            <w:shd w:val="clear" w:color="auto" w:fill="BFBFBF" w:themeFill="background1" w:themeFillShade="BF"/>
          </w:tcPr>
          <w:p w14:paraId="49FE024F" w14:textId="6B8FEB67" w:rsidR="00BB243C" w:rsidRPr="00BB243C" w:rsidRDefault="00BB243C" w:rsidP="00707FE2">
            <w:pPr>
              <w:rPr>
                <w:b/>
                <w:bCs/>
                <w:sz w:val="20"/>
                <w:szCs w:val="20"/>
              </w:rPr>
            </w:pPr>
            <w:bookmarkStart w:id="1" w:name="_Hlk139625814"/>
            <w:r w:rsidRPr="00BB243C">
              <w:rPr>
                <w:b/>
                <w:bCs/>
                <w:sz w:val="20"/>
                <w:szCs w:val="20"/>
              </w:rPr>
              <w:t>PBAC meeting</w:t>
            </w:r>
          </w:p>
        </w:tc>
        <w:tc>
          <w:tcPr>
            <w:tcW w:w="4252" w:type="dxa"/>
            <w:shd w:val="clear" w:color="auto" w:fill="BFBFBF" w:themeFill="background1" w:themeFillShade="BF"/>
          </w:tcPr>
          <w:p w14:paraId="30AB7BD9" w14:textId="7F5E2EAF" w:rsidR="00BB243C" w:rsidRPr="00BB243C" w:rsidRDefault="00BB243C" w:rsidP="00707FE2">
            <w:pPr>
              <w:rPr>
                <w:b/>
                <w:bCs/>
                <w:sz w:val="20"/>
                <w:szCs w:val="20"/>
              </w:rPr>
            </w:pPr>
            <w:r w:rsidRPr="00BB243C">
              <w:rPr>
                <w:b/>
                <w:bCs/>
                <w:sz w:val="20"/>
                <w:szCs w:val="20"/>
              </w:rPr>
              <w:t>Submission purpose</w:t>
            </w:r>
          </w:p>
        </w:tc>
        <w:tc>
          <w:tcPr>
            <w:tcW w:w="3253" w:type="dxa"/>
            <w:shd w:val="clear" w:color="auto" w:fill="BFBFBF" w:themeFill="background1" w:themeFillShade="BF"/>
          </w:tcPr>
          <w:p w14:paraId="3DBB03EE" w14:textId="288DD4F6" w:rsidR="00BB243C" w:rsidRPr="00BB243C" w:rsidRDefault="00BB243C" w:rsidP="00707FE2">
            <w:pPr>
              <w:rPr>
                <w:b/>
                <w:bCs/>
                <w:sz w:val="20"/>
                <w:szCs w:val="20"/>
              </w:rPr>
            </w:pPr>
            <w:r w:rsidRPr="00BB243C">
              <w:rPr>
                <w:b/>
                <w:bCs/>
                <w:sz w:val="20"/>
                <w:szCs w:val="20"/>
              </w:rPr>
              <w:t>Outcome</w:t>
            </w:r>
          </w:p>
        </w:tc>
      </w:tr>
      <w:tr w:rsidR="00BB243C" w:rsidRPr="00BB243C" w14:paraId="1491B325" w14:textId="77777777" w:rsidTr="00BB243C">
        <w:tc>
          <w:tcPr>
            <w:tcW w:w="1668" w:type="dxa"/>
          </w:tcPr>
          <w:p w14:paraId="765C7F22" w14:textId="0FFFFF26" w:rsidR="00BB243C" w:rsidRPr="00BB243C" w:rsidRDefault="00BB243C" w:rsidP="00707FE2">
            <w:pPr>
              <w:rPr>
                <w:sz w:val="20"/>
                <w:szCs w:val="20"/>
              </w:rPr>
            </w:pPr>
            <w:r w:rsidRPr="00BB243C">
              <w:rPr>
                <w:sz w:val="20"/>
                <w:szCs w:val="20"/>
              </w:rPr>
              <w:t>July 2018</w:t>
            </w:r>
          </w:p>
        </w:tc>
        <w:tc>
          <w:tcPr>
            <w:tcW w:w="4252" w:type="dxa"/>
          </w:tcPr>
          <w:p w14:paraId="55862599" w14:textId="52BF1176" w:rsidR="00BB243C" w:rsidRPr="00BB243C" w:rsidRDefault="00BB243C" w:rsidP="00707FE2">
            <w:pPr>
              <w:rPr>
                <w:sz w:val="20"/>
                <w:szCs w:val="20"/>
              </w:rPr>
            </w:pPr>
            <w:r w:rsidRPr="00BB243C">
              <w:rPr>
                <w:sz w:val="20"/>
                <w:szCs w:val="20"/>
              </w:rPr>
              <w:t>Authority Required listing for dupilumab for treatment of atopic dermatitis.</w:t>
            </w:r>
            <w:r w:rsidR="00701091">
              <w:rPr>
                <w:sz w:val="20"/>
                <w:szCs w:val="20"/>
              </w:rPr>
              <w:t xml:space="preserve"> </w:t>
            </w:r>
          </w:p>
        </w:tc>
        <w:tc>
          <w:tcPr>
            <w:tcW w:w="3253" w:type="dxa"/>
          </w:tcPr>
          <w:p w14:paraId="165D4E4E" w14:textId="5CAB4BAC" w:rsidR="00BB243C" w:rsidRPr="00BB243C" w:rsidRDefault="00BB243C" w:rsidP="00707FE2">
            <w:pPr>
              <w:rPr>
                <w:sz w:val="20"/>
                <w:szCs w:val="20"/>
              </w:rPr>
            </w:pPr>
            <w:r w:rsidRPr="00BB243C">
              <w:rPr>
                <w:sz w:val="20"/>
                <w:szCs w:val="20"/>
              </w:rPr>
              <w:t>Not recommended</w:t>
            </w:r>
          </w:p>
        </w:tc>
      </w:tr>
      <w:tr w:rsidR="00BB243C" w:rsidRPr="00BB243C" w14:paraId="6124D1BE" w14:textId="77777777" w:rsidTr="00BB243C">
        <w:tc>
          <w:tcPr>
            <w:tcW w:w="1668" w:type="dxa"/>
          </w:tcPr>
          <w:p w14:paraId="34925DBF" w14:textId="73255A32" w:rsidR="00BB243C" w:rsidRPr="00BB243C" w:rsidRDefault="00BB243C" w:rsidP="00707FE2">
            <w:pPr>
              <w:rPr>
                <w:sz w:val="20"/>
                <w:szCs w:val="20"/>
              </w:rPr>
            </w:pPr>
            <w:r w:rsidRPr="00BB243C">
              <w:rPr>
                <w:sz w:val="20"/>
                <w:szCs w:val="20"/>
              </w:rPr>
              <w:t>July 2019</w:t>
            </w:r>
          </w:p>
        </w:tc>
        <w:tc>
          <w:tcPr>
            <w:tcW w:w="4252" w:type="dxa"/>
          </w:tcPr>
          <w:p w14:paraId="6E2330EA" w14:textId="18A5ABE3" w:rsidR="00BB243C" w:rsidRPr="00BB243C" w:rsidRDefault="00BB243C" w:rsidP="00BB243C">
            <w:pPr>
              <w:rPr>
                <w:sz w:val="20"/>
                <w:szCs w:val="20"/>
              </w:rPr>
            </w:pPr>
            <w:r w:rsidRPr="00BB243C">
              <w:rPr>
                <w:sz w:val="20"/>
                <w:szCs w:val="20"/>
              </w:rPr>
              <w:t>Authority Required listing for dupilumab for the treatment of atopic dermatitis (AD) in adult patients with moderate-to-severe disease who are inadequately controlled on topical therapies.</w:t>
            </w:r>
          </w:p>
        </w:tc>
        <w:tc>
          <w:tcPr>
            <w:tcW w:w="3253" w:type="dxa"/>
          </w:tcPr>
          <w:p w14:paraId="57187A9E" w14:textId="0CF5A025" w:rsidR="00BB243C" w:rsidRPr="00BB243C" w:rsidRDefault="00BB243C" w:rsidP="00707FE2">
            <w:pPr>
              <w:rPr>
                <w:sz w:val="20"/>
                <w:szCs w:val="20"/>
              </w:rPr>
            </w:pPr>
            <w:r w:rsidRPr="00BB243C">
              <w:rPr>
                <w:sz w:val="20"/>
                <w:szCs w:val="20"/>
              </w:rPr>
              <w:t>Not recommended</w:t>
            </w:r>
          </w:p>
        </w:tc>
      </w:tr>
      <w:tr w:rsidR="00BB243C" w:rsidRPr="00BB243C" w14:paraId="2A1D139A" w14:textId="77777777" w:rsidTr="00BB243C">
        <w:tc>
          <w:tcPr>
            <w:tcW w:w="1668" w:type="dxa"/>
          </w:tcPr>
          <w:p w14:paraId="5C8F57C3" w14:textId="33CD0FD6" w:rsidR="00BB243C" w:rsidRPr="00BB243C" w:rsidRDefault="00BB243C" w:rsidP="00707FE2">
            <w:pPr>
              <w:rPr>
                <w:sz w:val="20"/>
                <w:szCs w:val="20"/>
              </w:rPr>
            </w:pPr>
            <w:r w:rsidRPr="00BB243C">
              <w:rPr>
                <w:sz w:val="20"/>
                <w:szCs w:val="20"/>
              </w:rPr>
              <w:t>March 2020</w:t>
            </w:r>
          </w:p>
        </w:tc>
        <w:tc>
          <w:tcPr>
            <w:tcW w:w="4252" w:type="dxa"/>
          </w:tcPr>
          <w:p w14:paraId="0226C9B5" w14:textId="44871338" w:rsidR="00BB243C" w:rsidRPr="00BB243C" w:rsidRDefault="00BB243C" w:rsidP="00BB243C">
            <w:pPr>
              <w:rPr>
                <w:sz w:val="20"/>
                <w:szCs w:val="20"/>
              </w:rPr>
            </w:pPr>
            <w:r w:rsidRPr="00BB243C">
              <w:rPr>
                <w:sz w:val="20"/>
                <w:szCs w:val="20"/>
              </w:rPr>
              <w:t>Authority Required listing for dupilumab for the treatment of atopic dermatitis (AD) in adult patients with severe disease who are inadequately controlled on topical therapies</w:t>
            </w:r>
          </w:p>
        </w:tc>
        <w:tc>
          <w:tcPr>
            <w:tcW w:w="3253" w:type="dxa"/>
          </w:tcPr>
          <w:p w14:paraId="2514CD84" w14:textId="374220D6" w:rsidR="00BB243C" w:rsidRPr="00BB243C" w:rsidRDefault="00BB243C" w:rsidP="00707FE2">
            <w:pPr>
              <w:rPr>
                <w:sz w:val="20"/>
                <w:szCs w:val="20"/>
              </w:rPr>
            </w:pPr>
            <w:r w:rsidRPr="00BB243C">
              <w:rPr>
                <w:sz w:val="20"/>
                <w:szCs w:val="20"/>
              </w:rPr>
              <w:t>Recommended</w:t>
            </w:r>
          </w:p>
        </w:tc>
      </w:tr>
      <w:tr w:rsidR="00BB243C" w:rsidRPr="00BB243C" w14:paraId="76F24641" w14:textId="77777777" w:rsidTr="00BB243C">
        <w:tc>
          <w:tcPr>
            <w:tcW w:w="1668" w:type="dxa"/>
          </w:tcPr>
          <w:p w14:paraId="3885D2D6" w14:textId="507C7885" w:rsidR="00BB243C" w:rsidRPr="00BB243C" w:rsidRDefault="00BB243C" w:rsidP="00707FE2">
            <w:pPr>
              <w:rPr>
                <w:sz w:val="20"/>
                <w:szCs w:val="20"/>
              </w:rPr>
            </w:pPr>
            <w:r w:rsidRPr="00BB243C">
              <w:rPr>
                <w:sz w:val="20"/>
                <w:szCs w:val="20"/>
              </w:rPr>
              <w:t>November 2020</w:t>
            </w:r>
          </w:p>
        </w:tc>
        <w:tc>
          <w:tcPr>
            <w:tcW w:w="4252" w:type="dxa"/>
          </w:tcPr>
          <w:p w14:paraId="00F6380F" w14:textId="0B2A2C4F" w:rsidR="00BB243C" w:rsidRPr="00BB243C" w:rsidRDefault="009247E4" w:rsidP="00BB243C">
            <w:pPr>
              <w:rPr>
                <w:sz w:val="20"/>
                <w:szCs w:val="20"/>
              </w:rPr>
            </w:pPr>
            <w:r w:rsidRPr="00BB243C">
              <w:rPr>
                <w:sz w:val="20"/>
                <w:szCs w:val="20"/>
              </w:rPr>
              <w:t>Following the PBAC’s recommendation</w:t>
            </w:r>
            <w:r>
              <w:rPr>
                <w:sz w:val="20"/>
                <w:szCs w:val="20"/>
              </w:rPr>
              <w:t xml:space="preserve"> at its March 2020 meeting, </w:t>
            </w:r>
            <w:r w:rsidR="00C96889">
              <w:rPr>
                <w:sz w:val="20"/>
                <w:szCs w:val="20"/>
              </w:rPr>
              <w:t>a</w:t>
            </w:r>
            <w:r w:rsidR="00F307D4">
              <w:rPr>
                <w:sz w:val="20"/>
                <w:szCs w:val="20"/>
              </w:rPr>
              <w:t xml:space="preserve"> revised pricing proposal was submitted to the PBAC for atopic dermatitis for consideration</w:t>
            </w:r>
            <w:r w:rsidR="00845537">
              <w:rPr>
                <w:sz w:val="20"/>
                <w:szCs w:val="20"/>
              </w:rPr>
              <w:t>. It included</w:t>
            </w:r>
            <w:r w:rsidR="00DC035B">
              <w:rPr>
                <w:sz w:val="20"/>
                <w:szCs w:val="20"/>
              </w:rPr>
              <w:t xml:space="preserve"> a revised dispensed price</w:t>
            </w:r>
            <w:r>
              <w:rPr>
                <w:sz w:val="20"/>
                <w:szCs w:val="20"/>
              </w:rPr>
              <w:t xml:space="preserve"> and an updated budget impact model. </w:t>
            </w:r>
            <w:r w:rsidR="00BB243C" w:rsidRPr="00BB243C">
              <w:rPr>
                <w:sz w:val="20"/>
                <w:szCs w:val="20"/>
              </w:rPr>
              <w:t xml:space="preserve"> </w:t>
            </w:r>
          </w:p>
        </w:tc>
        <w:tc>
          <w:tcPr>
            <w:tcW w:w="3253" w:type="dxa"/>
          </w:tcPr>
          <w:p w14:paraId="177AACF6" w14:textId="77777777" w:rsidR="00BB243C" w:rsidRPr="00BB243C" w:rsidRDefault="00BB243C" w:rsidP="00707FE2">
            <w:pPr>
              <w:rPr>
                <w:sz w:val="20"/>
                <w:szCs w:val="20"/>
              </w:rPr>
            </w:pPr>
            <w:r w:rsidRPr="00BB243C">
              <w:rPr>
                <w:sz w:val="20"/>
                <w:szCs w:val="20"/>
              </w:rPr>
              <w:t>Advised</w:t>
            </w:r>
          </w:p>
          <w:p w14:paraId="00D1428A" w14:textId="10C4FC17" w:rsidR="00BB243C" w:rsidRPr="00BB243C" w:rsidRDefault="00BB243C" w:rsidP="00BB243C">
            <w:pPr>
              <w:rPr>
                <w:sz w:val="20"/>
                <w:szCs w:val="20"/>
              </w:rPr>
            </w:pPr>
            <w:r w:rsidRPr="00BB243C">
              <w:rPr>
                <w:sz w:val="20"/>
                <w:szCs w:val="20"/>
              </w:rPr>
              <w:t>The PBAC considered that the sponsor’s amended inputs to the economic model were acceptable overall in addressing the uncertainties previously outlined regarding phototherapy costs and maintenance of response. However, the PBAC maintained that a price reduction would be required to achieve the base case ICERs considered in March 2020: $45,000 to &lt;$55,000/QALY for the</w:t>
            </w:r>
            <w:r w:rsidR="00BD6538">
              <w:rPr>
                <w:sz w:val="20"/>
                <w:szCs w:val="20"/>
              </w:rPr>
              <w:t xml:space="preserve"> cyclosporine A</w:t>
            </w:r>
            <w:r w:rsidRPr="00BB243C">
              <w:rPr>
                <w:sz w:val="20"/>
                <w:szCs w:val="20"/>
              </w:rPr>
              <w:t xml:space="preserve"> </w:t>
            </w:r>
            <w:r w:rsidR="00BD6538">
              <w:rPr>
                <w:sz w:val="20"/>
                <w:szCs w:val="20"/>
              </w:rPr>
              <w:t>(</w:t>
            </w:r>
            <w:proofErr w:type="spellStart"/>
            <w:r w:rsidRPr="00BB243C">
              <w:rPr>
                <w:sz w:val="20"/>
                <w:szCs w:val="20"/>
              </w:rPr>
              <w:t>CsA</w:t>
            </w:r>
            <w:proofErr w:type="spellEnd"/>
            <w:r w:rsidR="00BD6538">
              <w:rPr>
                <w:sz w:val="20"/>
                <w:szCs w:val="20"/>
              </w:rPr>
              <w:t>)</w:t>
            </w:r>
            <w:r w:rsidRPr="00BB243C">
              <w:rPr>
                <w:sz w:val="20"/>
                <w:szCs w:val="20"/>
              </w:rPr>
              <w:t xml:space="preserve">-naïve population and $25,000 to &lt;$35,000/QALY for the </w:t>
            </w:r>
            <w:proofErr w:type="spellStart"/>
            <w:r w:rsidRPr="00BB243C">
              <w:rPr>
                <w:sz w:val="20"/>
                <w:szCs w:val="20"/>
              </w:rPr>
              <w:t>CsA</w:t>
            </w:r>
            <w:proofErr w:type="spellEnd"/>
            <w:r w:rsidRPr="00BB243C">
              <w:rPr>
                <w:sz w:val="20"/>
                <w:szCs w:val="20"/>
              </w:rPr>
              <w:t>-experienced population.</w:t>
            </w:r>
          </w:p>
        </w:tc>
      </w:tr>
      <w:bookmarkEnd w:id="1"/>
      <w:tr w:rsidR="00BB243C" w:rsidRPr="00BB243C" w14:paraId="72716887" w14:textId="77777777" w:rsidTr="00BB243C">
        <w:tc>
          <w:tcPr>
            <w:tcW w:w="1668" w:type="dxa"/>
          </w:tcPr>
          <w:p w14:paraId="477E11B3" w14:textId="6EE84CBB" w:rsidR="00BB243C" w:rsidRPr="00BB243C" w:rsidRDefault="00BB243C" w:rsidP="00707FE2">
            <w:pPr>
              <w:rPr>
                <w:sz w:val="20"/>
                <w:szCs w:val="20"/>
              </w:rPr>
            </w:pPr>
            <w:r w:rsidRPr="00BB243C">
              <w:rPr>
                <w:sz w:val="20"/>
                <w:szCs w:val="20"/>
              </w:rPr>
              <w:t>November 2020</w:t>
            </w:r>
          </w:p>
        </w:tc>
        <w:tc>
          <w:tcPr>
            <w:tcW w:w="4252" w:type="dxa"/>
          </w:tcPr>
          <w:p w14:paraId="4A79E8B4" w14:textId="022A9CDB" w:rsidR="00BB243C" w:rsidRPr="00BB243C" w:rsidRDefault="00BB243C" w:rsidP="00BB243C">
            <w:pPr>
              <w:rPr>
                <w:sz w:val="20"/>
                <w:szCs w:val="20"/>
              </w:rPr>
            </w:pPr>
            <w:r w:rsidRPr="00BB243C">
              <w:rPr>
                <w:sz w:val="20"/>
                <w:szCs w:val="20"/>
              </w:rPr>
              <w:t>Section 100, Authority Required listing for dupilumab for the treatment of uncontrolled, severe type 2 asthma, both with and without oral corticosteroid (OCS) dependence. Listing was requested on the basis of a cost-minimisation analysis versus three comparators: benralizumab, mepolizumab and omalizumab.</w:t>
            </w:r>
          </w:p>
        </w:tc>
        <w:tc>
          <w:tcPr>
            <w:tcW w:w="3253" w:type="dxa"/>
          </w:tcPr>
          <w:p w14:paraId="41E111B7" w14:textId="65089C0D" w:rsidR="00BB243C" w:rsidRPr="00BB243C" w:rsidRDefault="00BB243C" w:rsidP="00BB243C">
            <w:pPr>
              <w:rPr>
                <w:sz w:val="20"/>
                <w:szCs w:val="20"/>
              </w:rPr>
            </w:pPr>
            <w:r w:rsidRPr="00BB243C">
              <w:rPr>
                <w:sz w:val="20"/>
                <w:szCs w:val="20"/>
              </w:rPr>
              <w:t xml:space="preserve">Recommended </w:t>
            </w:r>
          </w:p>
        </w:tc>
      </w:tr>
      <w:tr w:rsidR="00BB243C" w:rsidRPr="00BB243C" w14:paraId="68E5C4B1" w14:textId="77777777" w:rsidTr="00BB243C">
        <w:tc>
          <w:tcPr>
            <w:tcW w:w="1668" w:type="dxa"/>
          </w:tcPr>
          <w:p w14:paraId="62B5426C" w14:textId="4DCD09AF" w:rsidR="00BB243C" w:rsidRPr="00BB243C" w:rsidRDefault="00BB243C" w:rsidP="00707FE2">
            <w:pPr>
              <w:rPr>
                <w:sz w:val="20"/>
                <w:szCs w:val="20"/>
              </w:rPr>
            </w:pPr>
            <w:r w:rsidRPr="00BB243C">
              <w:rPr>
                <w:sz w:val="20"/>
                <w:szCs w:val="20"/>
              </w:rPr>
              <w:t>March 2022</w:t>
            </w:r>
          </w:p>
        </w:tc>
        <w:tc>
          <w:tcPr>
            <w:tcW w:w="4252" w:type="dxa"/>
          </w:tcPr>
          <w:p w14:paraId="5EC21B20" w14:textId="1AA9B3A8" w:rsidR="00BB243C" w:rsidRPr="00BB243C" w:rsidRDefault="00BB243C" w:rsidP="00BB243C">
            <w:pPr>
              <w:rPr>
                <w:sz w:val="20"/>
                <w:szCs w:val="20"/>
              </w:rPr>
            </w:pPr>
            <w:r w:rsidRPr="00BB243C">
              <w:rPr>
                <w:sz w:val="20"/>
                <w:szCs w:val="20"/>
              </w:rPr>
              <w:t>Authority Required listing for dupilumab for the</w:t>
            </w:r>
            <w:r>
              <w:rPr>
                <w:sz w:val="20"/>
                <w:szCs w:val="20"/>
              </w:rPr>
              <w:t xml:space="preserve"> </w:t>
            </w:r>
            <w:r w:rsidRPr="00BB243C">
              <w:rPr>
                <w:sz w:val="20"/>
                <w:szCs w:val="20"/>
              </w:rPr>
              <w:t>treatment of children aged 6 to 11 years with severe atopic dermatitis (AD) who have</w:t>
            </w:r>
            <w:r>
              <w:rPr>
                <w:sz w:val="20"/>
                <w:szCs w:val="20"/>
              </w:rPr>
              <w:t xml:space="preserve"> </w:t>
            </w:r>
            <w:r w:rsidRPr="00BB243C">
              <w:rPr>
                <w:sz w:val="20"/>
                <w:szCs w:val="20"/>
              </w:rPr>
              <w:t>had an inadequate response to topical therapies.</w:t>
            </w:r>
          </w:p>
        </w:tc>
        <w:tc>
          <w:tcPr>
            <w:tcW w:w="3253" w:type="dxa"/>
          </w:tcPr>
          <w:p w14:paraId="5797780F" w14:textId="1107C88B" w:rsidR="00BB243C" w:rsidRPr="00BB243C" w:rsidRDefault="00BB243C" w:rsidP="00707FE2">
            <w:pPr>
              <w:rPr>
                <w:sz w:val="20"/>
                <w:szCs w:val="20"/>
              </w:rPr>
            </w:pPr>
            <w:r w:rsidRPr="00BB243C">
              <w:rPr>
                <w:sz w:val="20"/>
                <w:szCs w:val="20"/>
              </w:rPr>
              <w:t>Recommended</w:t>
            </w:r>
          </w:p>
        </w:tc>
      </w:tr>
      <w:tr w:rsidR="00BB243C" w:rsidRPr="00BB243C" w14:paraId="6BD776A6" w14:textId="77777777" w:rsidTr="00BB243C">
        <w:tc>
          <w:tcPr>
            <w:tcW w:w="1668" w:type="dxa"/>
          </w:tcPr>
          <w:p w14:paraId="15D69F45" w14:textId="32117CA5" w:rsidR="00BB243C" w:rsidRPr="00BB243C" w:rsidRDefault="00BB243C" w:rsidP="00707FE2">
            <w:pPr>
              <w:rPr>
                <w:sz w:val="20"/>
                <w:szCs w:val="20"/>
              </w:rPr>
            </w:pPr>
            <w:r w:rsidRPr="00BB243C">
              <w:rPr>
                <w:sz w:val="20"/>
                <w:szCs w:val="20"/>
              </w:rPr>
              <w:t>July 2022</w:t>
            </w:r>
          </w:p>
        </w:tc>
        <w:tc>
          <w:tcPr>
            <w:tcW w:w="4252" w:type="dxa"/>
          </w:tcPr>
          <w:p w14:paraId="65A8E884" w14:textId="6C51FCFC" w:rsidR="00BB243C" w:rsidRPr="00BB243C" w:rsidRDefault="00BB243C" w:rsidP="00BB243C">
            <w:pPr>
              <w:rPr>
                <w:sz w:val="20"/>
                <w:szCs w:val="20"/>
              </w:rPr>
            </w:pPr>
            <w:r w:rsidRPr="00BB243C">
              <w:rPr>
                <w:sz w:val="20"/>
                <w:szCs w:val="20"/>
              </w:rPr>
              <w:t>Requested an increase in the financial caps for the current risk share arrangement (RSA) to reflect the higher than estimated use of dupilumab for severe chronic atopic dermatitis (AD) since listing on 1 March 2021</w:t>
            </w:r>
          </w:p>
        </w:tc>
        <w:tc>
          <w:tcPr>
            <w:tcW w:w="3253" w:type="dxa"/>
          </w:tcPr>
          <w:p w14:paraId="1BECF09D" w14:textId="46DB70B1" w:rsidR="00BB243C" w:rsidRPr="00BB243C" w:rsidRDefault="00BB243C" w:rsidP="00707FE2">
            <w:pPr>
              <w:rPr>
                <w:sz w:val="20"/>
                <w:szCs w:val="20"/>
              </w:rPr>
            </w:pPr>
            <w:r w:rsidRPr="00BB243C">
              <w:rPr>
                <w:sz w:val="20"/>
                <w:szCs w:val="20"/>
              </w:rPr>
              <w:t>Not recommended</w:t>
            </w:r>
          </w:p>
        </w:tc>
      </w:tr>
      <w:tr w:rsidR="00BB243C" w:rsidRPr="00BB243C" w14:paraId="19AD214B" w14:textId="77777777" w:rsidTr="00BB243C">
        <w:tc>
          <w:tcPr>
            <w:tcW w:w="1668" w:type="dxa"/>
          </w:tcPr>
          <w:p w14:paraId="03C3F516" w14:textId="47A69B77" w:rsidR="00BB243C" w:rsidRPr="00BB243C" w:rsidRDefault="00BB243C" w:rsidP="00707FE2">
            <w:pPr>
              <w:rPr>
                <w:sz w:val="20"/>
                <w:szCs w:val="20"/>
              </w:rPr>
            </w:pPr>
            <w:r w:rsidRPr="00BB243C">
              <w:rPr>
                <w:sz w:val="20"/>
                <w:szCs w:val="20"/>
              </w:rPr>
              <w:lastRenderedPageBreak/>
              <w:t>November 2022</w:t>
            </w:r>
          </w:p>
        </w:tc>
        <w:tc>
          <w:tcPr>
            <w:tcW w:w="4252" w:type="dxa"/>
          </w:tcPr>
          <w:p w14:paraId="0F9E1227" w14:textId="000D9693" w:rsidR="00BB243C" w:rsidRPr="00BB243C" w:rsidRDefault="00BB243C" w:rsidP="00BB243C">
            <w:pPr>
              <w:rPr>
                <w:sz w:val="20"/>
                <w:szCs w:val="20"/>
              </w:rPr>
            </w:pPr>
            <w:r w:rsidRPr="00BB243C">
              <w:rPr>
                <w:sz w:val="20"/>
                <w:szCs w:val="20"/>
              </w:rPr>
              <w:t>To list two new forms of dupilumab: 200 mg in 1.14 mL and 300 mg in 2 mL single dose autoinjector under the same circumstances as the currently listed dupilumab 200 mg in 1.14 mL and 300 mg in 2 mL single dose pre-filled syringe</w:t>
            </w:r>
          </w:p>
        </w:tc>
        <w:tc>
          <w:tcPr>
            <w:tcW w:w="3253" w:type="dxa"/>
          </w:tcPr>
          <w:p w14:paraId="3E2B2EBF" w14:textId="5A8086FB" w:rsidR="00BB243C" w:rsidRPr="00BB243C" w:rsidRDefault="00BB243C" w:rsidP="00707FE2">
            <w:pPr>
              <w:rPr>
                <w:sz w:val="20"/>
                <w:szCs w:val="20"/>
              </w:rPr>
            </w:pPr>
            <w:r w:rsidRPr="00BB243C">
              <w:rPr>
                <w:sz w:val="20"/>
                <w:szCs w:val="20"/>
              </w:rPr>
              <w:t>Recommended</w:t>
            </w:r>
          </w:p>
        </w:tc>
      </w:tr>
      <w:tr w:rsidR="00043D4E" w:rsidRPr="00BB243C" w14:paraId="7E18152E" w14:textId="77777777" w:rsidTr="00BB243C">
        <w:tc>
          <w:tcPr>
            <w:tcW w:w="1668" w:type="dxa"/>
          </w:tcPr>
          <w:p w14:paraId="15D3B0EB" w14:textId="1400AA41" w:rsidR="00043D4E" w:rsidRPr="00BB243C" w:rsidRDefault="00043D4E" w:rsidP="00707FE2">
            <w:pPr>
              <w:rPr>
                <w:sz w:val="20"/>
                <w:szCs w:val="20"/>
              </w:rPr>
            </w:pPr>
            <w:r>
              <w:rPr>
                <w:sz w:val="20"/>
                <w:szCs w:val="20"/>
              </w:rPr>
              <w:t>July 2023</w:t>
            </w:r>
          </w:p>
        </w:tc>
        <w:tc>
          <w:tcPr>
            <w:tcW w:w="4252" w:type="dxa"/>
          </w:tcPr>
          <w:p w14:paraId="1E318F8A" w14:textId="1B4E6EC0" w:rsidR="00AC2BC8" w:rsidRPr="00AC2BC8" w:rsidRDefault="00AC2BC8" w:rsidP="00AC2BC8">
            <w:pPr>
              <w:rPr>
                <w:sz w:val="20"/>
                <w:szCs w:val="20"/>
              </w:rPr>
            </w:pPr>
            <w:r w:rsidRPr="00AC2BC8">
              <w:rPr>
                <w:sz w:val="20"/>
                <w:szCs w:val="20"/>
              </w:rPr>
              <w:t xml:space="preserve">To request the PBAC consider the previously estimated utilisation for </w:t>
            </w:r>
            <w:proofErr w:type="gramStart"/>
            <w:r w:rsidRPr="00AC2BC8">
              <w:rPr>
                <w:sz w:val="20"/>
                <w:szCs w:val="20"/>
              </w:rPr>
              <w:t>chronic</w:t>
            </w:r>
            <w:proofErr w:type="gramEnd"/>
          </w:p>
          <w:p w14:paraId="7536D4C6" w14:textId="6E5C6F21" w:rsidR="00043D4E" w:rsidRPr="00BB243C" w:rsidRDefault="00AC2BC8" w:rsidP="00AC2BC8">
            <w:pPr>
              <w:rPr>
                <w:sz w:val="20"/>
                <w:szCs w:val="20"/>
              </w:rPr>
            </w:pPr>
            <w:r w:rsidRPr="00AC2BC8">
              <w:rPr>
                <w:sz w:val="20"/>
                <w:szCs w:val="20"/>
              </w:rPr>
              <w:t>severe atopic dermatitis.</w:t>
            </w:r>
          </w:p>
        </w:tc>
        <w:tc>
          <w:tcPr>
            <w:tcW w:w="3253" w:type="dxa"/>
          </w:tcPr>
          <w:p w14:paraId="0D2A938A" w14:textId="77777777" w:rsidR="00043D4E" w:rsidRDefault="00F0155E" w:rsidP="00707FE2">
            <w:pPr>
              <w:rPr>
                <w:sz w:val="20"/>
                <w:szCs w:val="20"/>
              </w:rPr>
            </w:pPr>
            <w:r>
              <w:rPr>
                <w:sz w:val="20"/>
                <w:szCs w:val="20"/>
              </w:rPr>
              <w:t xml:space="preserve">Advice </w:t>
            </w:r>
            <w:proofErr w:type="gramStart"/>
            <w:r>
              <w:rPr>
                <w:sz w:val="20"/>
                <w:szCs w:val="20"/>
              </w:rPr>
              <w:t>provided</w:t>
            </w:r>
            <w:proofErr w:type="gramEnd"/>
          </w:p>
          <w:p w14:paraId="538DB2FA" w14:textId="362211C0" w:rsidR="00E446E7" w:rsidRPr="00BB243C" w:rsidRDefault="00E446E7" w:rsidP="00E446E7">
            <w:pPr>
              <w:rPr>
                <w:sz w:val="20"/>
                <w:szCs w:val="20"/>
              </w:rPr>
            </w:pPr>
          </w:p>
        </w:tc>
      </w:tr>
    </w:tbl>
    <w:p w14:paraId="1A2F580A" w14:textId="77777777" w:rsidR="00707FE2" w:rsidRDefault="00707FE2" w:rsidP="00707FE2"/>
    <w:p w14:paraId="5C017B21" w14:textId="22C84F0C" w:rsidR="002328E1" w:rsidRPr="00EC3661" w:rsidRDefault="00525193" w:rsidP="00707FE2">
      <w:pPr>
        <w:rPr>
          <w:b/>
          <w:bCs/>
          <w:u w:val="single"/>
        </w:rPr>
      </w:pPr>
      <w:r w:rsidRPr="00EC3661">
        <w:rPr>
          <w:b/>
          <w:bCs/>
          <w:u w:val="single"/>
        </w:rPr>
        <w:t>July 2018 submission</w:t>
      </w:r>
    </w:p>
    <w:p w14:paraId="3557A009" w14:textId="42C20FD1" w:rsidR="008C7A88" w:rsidRDefault="00032ABF" w:rsidP="00707FE2">
      <w:r>
        <w:t>The first sub</w:t>
      </w:r>
      <w:r w:rsidR="00ED7E10">
        <w:t xml:space="preserve">mission for dupilumab </w:t>
      </w:r>
      <w:r w:rsidR="0067227B">
        <w:t xml:space="preserve">for atopic dermatitis was not </w:t>
      </w:r>
      <w:r w:rsidR="00A9250F">
        <w:t>recommend</w:t>
      </w:r>
      <w:r w:rsidR="0067227B">
        <w:t>ed</w:t>
      </w:r>
      <w:r w:rsidR="00700BBF">
        <w:t xml:space="preserve"> by the PBAC</w:t>
      </w:r>
      <w:r w:rsidR="00A9250F">
        <w:t xml:space="preserve"> due to uncertainty regarding the appropriate place in therapy</w:t>
      </w:r>
      <w:r w:rsidR="00700BBF">
        <w:t xml:space="preserve"> </w:t>
      </w:r>
      <w:r w:rsidR="00A9250F">
        <w:t>and uncertain cost effectiveness. The PBAC did not consider that the data presented</w:t>
      </w:r>
      <w:r w:rsidR="00700BBF">
        <w:t xml:space="preserve"> </w:t>
      </w:r>
      <w:r w:rsidR="00A9250F">
        <w:t>in the submission supported restricting the use of dupilumab to only severe disease.</w:t>
      </w:r>
      <w:r w:rsidR="00700BBF">
        <w:t xml:space="preserve"> </w:t>
      </w:r>
    </w:p>
    <w:p w14:paraId="66EBABA4" w14:textId="73E1C822" w:rsidR="00CC3294" w:rsidRDefault="008C7A88" w:rsidP="00707FE2">
      <w:r>
        <w:t xml:space="preserve">DUSC reviewed the submission and </w:t>
      </w:r>
      <w:r w:rsidR="002D0AEB">
        <w:t xml:space="preserve">considered there </w:t>
      </w:r>
      <w:r>
        <w:t>was</w:t>
      </w:r>
      <w:r w:rsidR="002D0AEB">
        <w:t xml:space="preserve"> likely to be usage beyond the expectations because the</w:t>
      </w:r>
      <w:r w:rsidR="00700BBF">
        <w:t xml:space="preserve"> </w:t>
      </w:r>
      <w:r w:rsidR="002D0AEB">
        <w:t xml:space="preserve">uptake of dupilumab by </w:t>
      </w:r>
      <w:r w:rsidR="00297369">
        <w:t>atopic dermatitis</w:t>
      </w:r>
      <w:r w:rsidR="002D0AEB">
        <w:t xml:space="preserve"> patients </w:t>
      </w:r>
      <w:r w:rsidR="000C643D">
        <w:t>was</w:t>
      </w:r>
      <w:r w:rsidR="002D0AEB">
        <w:t xml:space="preserve"> based on the uptake of the first biologics</w:t>
      </w:r>
      <w:r w:rsidR="00700BBF">
        <w:t xml:space="preserve"> </w:t>
      </w:r>
      <w:r w:rsidR="002D0AEB">
        <w:t>listed for psoriasis but the biologics market ha</w:t>
      </w:r>
      <w:r w:rsidR="000C643D">
        <w:t>d</w:t>
      </w:r>
      <w:r w:rsidR="002D0AEB">
        <w:t xml:space="preserve"> evolved substantially since this</w:t>
      </w:r>
      <w:r w:rsidR="00700BBF">
        <w:t xml:space="preserve"> </w:t>
      </w:r>
      <w:r w:rsidR="002D0AEB">
        <w:t>time. Comparison with the submission’s own market research on the percentage</w:t>
      </w:r>
      <w:r w:rsidR="00700BBF">
        <w:t xml:space="preserve"> </w:t>
      </w:r>
      <w:r w:rsidR="002D0AEB">
        <w:t xml:space="preserve">of </w:t>
      </w:r>
      <w:r w:rsidR="00297369" w:rsidRPr="00297369">
        <w:t xml:space="preserve">atopic dermatitis </w:t>
      </w:r>
      <w:r w:rsidR="002D0AEB">
        <w:t>patients that fulfil the restriction criteria suggested that the submission’s</w:t>
      </w:r>
      <w:r w:rsidR="00700BBF">
        <w:t xml:space="preserve"> </w:t>
      </w:r>
      <w:r w:rsidR="002D0AEB">
        <w:t>approach may result in a substantial underestimate of dupilumab utilisation. The</w:t>
      </w:r>
      <w:r w:rsidR="00700BBF">
        <w:t xml:space="preserve"> </w:t>
      </w:r>
      <w:r w:rsidR="002D0AEB">
        <w:t xml:space="preserve">pre-PBAC response noted that several </w:t>
      </w:r>
      <w:r w:rsidR="00845A93">
        <w:t xml:space="preserve">biologic </w:t>
      </w:r>
      <w:r w:rsidR="00021984">
        <w:t>medicines</w:t>
      </w:r>
      <w:r w:rsidR="002D0AEB">
        <w:t xml:space="preserve"> became available for psoriasis</w:t>
      </w:r>
      <w:r w:rsidR="00700BBF">
        <w:t xml:space="preserve"> </w:t>
      </w:r>
      <w:r w:rsidR="002D0AEB">
        <w:t xml:space="preserve">in the first years of listing, whereas dupilumab </w:t>
      </w:r>
      <w:r w:rsidR="00021984">
        <w:t>wa</w:t>
      </w:r>
      <w:r w:rsidR="002D0AEB">
        <w:t xml:space="preserve">s the only </w:t>
      </w:r>
      <w:r w:rsidR="00021984" w:rsidRPr="00021984">
        <w:t>biologic medicine</w:t>
      </w:r>
      <w:r w:rsidR="00021984">
        <w:t xml:space="preserve"> </w:t>
      </w:r>
      <w:r w:rsidR="002D0AEB">
        <w:t>available for</w:t>
      </w:r>
      <w:r w:rsidR="00700BBF">
        <w:t xml:space="preserve"> </w:t>
      </w:r>
      <w:r w:rsidR="00297369" w:rsidRPr="00297369">
        <w:t>atopic dermatitis</w:t>
      </w:r>
      <w:r w:rsidR="002D0AEB">
        <w:t xml:space="preserve">. The sponsor argued that the evolution of the biologics market </w:t>
      </w:r>
      <w:r w:rsidR="004A2D9D">
        <w:t>wa</w:t>
      </w:r>
      <w:r w:rsidR="002D0AEB">
        <w:t>s likely to be</w:t>
      </w:r>
      <w:r w:rsidR="00700BBF">
        <w:t xml:space="preserve"> </w:t>
      </w:r>
      <w:r w:rsidR="002D0AEB">
        <w:t xml:space="preserve">largely offset by the difference in </w:t>
      </w:r>
      <w:r w:rsidR="004A2D9D" w:rsidRPr="004A2D9D">
        <w:t>biologic medicine</w:t>
      </w:r>
      <w:r w:rsidR="004A2D9D">
        <w:t xml:space="preserve"> </w:t>
      </w:r>
      <w:r w:rsidR="002D0AEB">
        <w:t>availability across the different</w:t>
      </w:r>
      <w:r w:rsidR="00700BBF">
        <w:t xml:space="preserve"> </w:t>
      </w:r>
      <w:r w:rsidR="002D0AEB">
        <w:t>indications.</w:t>
      </w:r>
      <w:r w:rsidR="00700BBF">
        <w:t xml:space="preserve"> </w:t>
      </w:r>
    </w:p>
    <w:p w14:paraId="72626E62" w14:textId="77777777" w:rsidR="0016417F" w:rsidRDefault="008C7A88" w:rsidP="00707FE2">
      <w:r>
        <w:t xml:space="preserve">DUSC </w:t>
      </w:r>
      <w:r w:rsidR="002D0AEB">
        <w:t xml:space="preserve">considered there </w:t>
      </w:r>
      <w:r w:rsidR="00CC3294">
        <w:t>wa</w:t>
      </w:r>
      <w:r w:rsidR="002D0AEB">
        <w:t>s likely to be use beyond the proposed restriction for</w:t>
      </w:r>
      <w:r w:rsidR="00700BBF">
        <w:t xml:space="preserve"> </w:t>
      </w:r>
      <w:r w:rsidR="002D0AEB">
        <w:t xml:space="preserve">patients with moderate </w:t>
      </w:r>
      <w:r w:rsidR="005940BF">
        <w:t>atopic dermatitis</w:t>
      </w:r>
      <w:r w:rsidR="002D0AEB">
        <w:t xml:space="preserve"> and for continued use in patients with severe </w:t>
      </w:r>
      <w:r w:rsidR="005940BF" w:rsidRPr="005940BF">
        <w:t xml:space="preserve">atopic dermatitis </w:t>
      </w:r>
      <w:r w:rsidR="002D0AEB">
        <w:t>but</w:t>
      </w:r>
      <w:r w:rsidR="00700BBF">
        <w:t xml:space="preserve"> </w:t>
      </w:r>
      <w:r w:rsidR="002D0AEB">
        <w:t>who do not fulfil the response criteria. DUSC considered that the base case</w:t>
      </w:r>
      <w:r w:rsidR="00700BBF">
        <w:t xml:space="preserve"> </w:t>
      </w:r>
      <w:r w:rsidR="002D0AEB">
        <w:t>estimates for dupilumab should be consistent with the proposed PBS criteria,</w:t>
      </w:r>
      <w:r w:rsidR="00700BBF">
        <w:t xml:space="preserve"> </w:t>
      </w:r>
      <w:r w:rsidR="002D0AEB">
        <w:t>response rates from the clinical trials and modelled economic evaluation, with</w:t>
      </w:r>
      <w:r w:rsidR="00700BBF">
        <w:t xml:space="preserve"> </w:t>
      </w:r>
      <w:r w:rsidR="002D0AEB">
        <w:t>potential for use outside of the restriction managed through a risk sharing</w:t>
      </w:r>
      <w:r w:rsidR="00700BBF">
        <w:t xml:space="preserve"> </w:t>
      </w:r>
      <w:r w:rsidR="002D0AEB">
        <w:t>arrangement. The pre-PBAC response argued that the utilisation in the psoriasis</w:t>
      </w:r>
      <w:r w:rsidR="00700BBF">
        <w:t xml:space="preserve"> </w:t>
      </w:r>
      <w:r w:rsidR="002D0AEB">
        <w:t>market reflects real world use and would therefore capture leakage outside the</w:t>
      </w:r>
      <w:r w:rsidR="00700BBF">
        <w:t xml:space="preserve"> </w:t>
      </w:r>
      <w:r w:rsidR="002D0AEB">
        <w:t>approved indication</w:t>
      </w:r>
      <w:r w:rsidR="0016417F">
        <w:t>.</w:t>
      </w:r>
      <w:r w:rsidR="00700BBF">
        <w:t xml:space="preserve"> </w:t>
      </w:r>
    </w:p>
    <w:p w14:paraId="180CAF29" w14:textId="28CFF0A2" w:rsidR="002328E1" w:rsidRDefault="002328E1" w:rsidP="00707FE2">
      <w:r w:rsidRPr="002328E1">
        <w:t xml:space="preserve">For further details refer to the </w:t>
      </w:r>
      <w:hyperlink r:id="rId13" w:history="1">
        <w:r w:rsidRPr="00FB008D">
          <w:rPr>
            <w:rStyle w:val="Hyperlink"/>
          </w:rPr>
          <w:t>Public Summary Document</w:t>
        </w:r>
      </w:hyperlink>
      <w:r w:rsidRPr="002328E1">
        <w:t xml:space="preserve"> from the </w:t>
      </w:r>
      <w:r>
        <w:t>July 2018</w:t>
      </w:r>
      <w:r w:rsidRPr="002328E1">
        <w:t xml:space="preserve"> PBAC meeting.</w:t>
      </w:r>
    </w:p>
    <w:p w14:paraId="0DFAE3E0" w14:textId="506616E8" w:rsidR="002328E1" w:rsidRPr="00EC3661" w:rsidRDefault="00FB008D" w:rsidP="00707FE2">
      <w:pPr>
        <w:rPr>
          <w:b/>
          <w:bCs/>
          <w:u w:val="single"/>
        </w:rPr>
      </w:pPr>
      <w:r w:rsidRPr="00EC3661">
        <w:rPr>
          <w:b/>
          <w:bCs/>
          <w:u w:val="single"/>
        </w:rPr>
        <w:t>July 2019 submission</w:t>
      </w:r>
    </w:p>
    <w:p w14:paraId="0E1DBED6" w14:textId="71C19518" w:rsidR="00FB008D" w:rsidRDefault="00FB008D" w:rsidP="00087627">
      <w:r w:rsidRPr="00FB008D">
        <w:t xml:space="preserve">The </w:t>
      </w:r>
      <w:r w:rsidR="00EC3661">
        <w:t>second</w:t>
      </w:r>
      <w:r w:rsidRPr="00FB008D">
        <w:t xml:space="preserve"> submission for dupilumab for atopic dermatitis </w:t>
      </w:r>
      <w:r w:rsidR="00087627">
        <w:t>requested a Section 85 Authority Required listing for dupilumab for the treatment of atopic dermatitis in adult patients with moderate-to-severe</w:t>
      </w:r>
      <w:r w:rsidR="002C0079">
        <w:t xml:space="preserve"> </w:t>
      </w:r>
      <w:r w:rsidR="00087627">
        <w:t>disease who are inadequately controlled on topical therapies.</w:t>
      </w:r>
      <w:r w:rsidR="00087627" w:rsidRPr="00FB008D">
        <w:t xml:space="preserve"> </w:t>
      </w:r>
      <w:r w:rsidR="002C0079">
        <w:t xml:space="preserve">It </w:t>
      </w:r>
      <w:r w:rsidRPr="00FB008D">
        <w:t>was not recommended by the PBAC</w:t>
      </w:r>
      <w:r w:rsidR="00832392">
        <w:t xml:space="preserve">. </w:t>
      </w:r>
    </w:p>
    <w:p w14:paraId="2F7020AC" w14:textId="66D86562" w:rsidR="002328E1" w:rsidRDefault="00832392" w:rsidP="00832392">
      <w:r>
        <w:lastRenderedPageBreak/>
        <w:t>The PBAC acknowledged the effectiveness of dupilumab in a therapeutic area of high clinical need, however considered that dupilumab was not cost-effective at the price proposed in the resubmission. The PBAC also considered that the criteria for defining the patient population for initial and continuing treatment did not appropriately consider the extent of disease in terms of the body surface area affected. The PBAC considered that the estimated financial implications were very high and uncertain, and that a risk sharing arrangement would be necessary to manage the uncertainty in patient estimates, likely treatment duration and the potential for use outside the proposed restriction</w:t>
      </w:r>
      <w:r w:rsidR="002A5C4E">
        <w:t>.</w:t>
      </w:r>
    </w:p>
    <w:p w14:paraId="10DA2230" w14:textId="77777777" w:rsidR="002B1796" w:rsidRDefault="00C94988" w:rsidP="00C94988">
      <w:r>
        <w:t>This submission was considered by DUSC. The DUSC considered the financial cost</w:t>
      </w:r>
      <w:r w:rsidR="002B1796">
        <w:t xml:space="preserve"> </w:t>
      </w:r>
      <w:r>
        <w:t>presented in the resubmission to be underestimated.</w:t>
      </w:r>
      <w:r w:rsidR="002B1796">
        <w:t xml:space="preserve"> </w:t>
      </w:r>
    </w:p>
    <w:p w14:paraId="09166EE4" w14:textId="1FFF69F2" w:rsidR="002B1796" w:rsidRDefault="00C94988" w:rsidP="009B02A1">
      <w:r>
        <w:t>Compared to the previous submission, the resubmission made the following changes</w:t>
      </w:r>
      <w:r w:rsidR="002B1796">
        <w:t xml:space="preserve"> </w:t>
      </w:r>
      <w:r>
        <w:t>to the financial estimates:</w:t>
      </w:r>
      <w:r w:rsidR="002B1796">
        <w:t xml:space="preserve"> </w:t>
      </w:r>
    </w:p>
    <w:p w14:paraId="34BA3C70" w14:textId="44D5A61D" w:rsidR="002B1796" w:rsidRDefault="00C94988" w:rsidP="002B1796">
      <w:pPr>
        <w:pStyle w:val="ListParagraph"/>
        <w:numPr>
          <w:ilvl w:val="0"/>
          <w:numId w:val="8"/>
        </w:numPr>
      </w:pPr>
      <w:r>
        <w:t>Financial estimates for a broader population (moderate-to-severe AD</w:t>
      </w:r>
      <w:r w:rsidR="002B1796">
        <w:t xml:space="preserve"> </w:t>
      </w:r>
      <w:r>
        <w:t>inadequately controlled on topical therapies) were presented. As such, the</w:t>
      </w:r>
      <w:r w:rsidR="002B1796">
        <w:t xml:space="preserve"> </w:t>
      </w:r>
      <w:r>
        <w:t>financial estimations increased substantially from the previous submission.</w:t>
      </w:r>
      <w:r w:rsidR="002B1796">
        <w:t xml:space="preserve"> </w:t>
      </w:r>
    </w:p>
    <w:p w14:paraId="03AF8022" w14:textId="5E97675B" w:rsidR="002B1796" w:rsidRDefault="00C94988" w:rsidP="002B1796">
      <w:pPr>
        <w:pStyle w:val="ListParagraph"/>
        <w:numPr>
          <w:ilvl w:val="0"/>
          <w:numId w:val="8"/>
        </w:numPr>
      </w:pPr>
      <w:r>
        <w:t>An epidemiological approach was taken whereby data on the size of the eligible</w:t>
      </w:r>
      <w:r w:rsidR="002B1796">
        <w:t xml:space="preserve"> </w:t>
      </w:r>
      <w:r>
        <w:t>population was derived largely from commissioned local market research data,</w:t>
      </w:r>
      <w:r w:rsidR="002B1796">
        <w:t xml:space="preserve"> </w:t>
      </w:r>
      <w:r>
        <w:t>and uptake and treatment discontinuation rates were derived from international</w:t>
      </w:r>
      <w:r w:rsidR="002B1796">
        <w:t xml:space="preserve"> </w:t>
      </w:r>
      <w:r>
        <w:t xml:space="preserve">market data. The previous submission utilised the psoriasis PBS </w:t>
      </w:r>
      <w:r w:rsidR="00437013">
        <w:t>biologic medicine</w:t>
      </w:r>
      <w:r>
        <w:t xml:space="preserve"> market</w:t>
      </w:r>
      <w:r w:rsidR="002B1796">
        <w:t xml:space="preserve"> </w:t>
      </w:r>
      <w:r>
        <w:t>as a proxy to calculate the size of the eligible population and uptake rates. The</w:t>
      </w:r>
      <w:r w:rsidR="002B1796">
        <w:t xml:space="preserve"> </w:t>
      </w:r>
      <w:r>
        <w:t>PBAC considered that the reliance on the psoriasis market as a proxy for</w:t>
      </w:r>
      <w:r w:rsidR="002B1796">
        <w:t xml:space="preserve"> </w:t>
      </w:r>
      <w:r>
        <w:t>dupilumab uptake was not well supported and was likely to have underestimated</w:t>
      </w:r>
      <w:r w:rsidR="002B1796">
        <w:t xml:space="preserve"> </w:t>
      </w:r>
      <w:r>
        <w:t>the patient numbers (Dupilumab PSD, July 2018, paragraph 6.52).</w:t>
      </w:r>
      <w:r w:rsidR="002B1796">
        <w:t xml:space="preserve"> </w:t>
      </w:r>
    </w:p>
    <w:p w14:paraId="6B25CD9B" w14:textId="7164E8E8" w:rsidR="002A5C4E" w:rsidRDefault="00C94988" w:rsidP="00C94988">
      <w:r>
        <w:t>Health budget cost-savings were incorporated into the financial estimates</w:t>
      </w:r>
      <w:r w:rsidR="002B1796">
        <w:t xml:space="preserve"> </w:t>
      </w:r>
      <w:r>
        <w:t>through annual health state costs applied in the economic model. The same</w:t>
      </w:r>
      <w:r w:rsidR="002B1796">
        <w:t xml:space="preserve"> </w:t>
      </w:r>
      <w:r>
        <w:t>method was used in the previous submission, however, because the annual non</w:t>
      </w:r>
      <w:r w:rsidR="00437013">
        <w:t>-</w:t>
      </w:r>
      <w:r>
        <w:t>responder health state costs increased substantially in the resubmission</w:t>
      </w:r>
      <w:r w:rsidR="002B1796">
        <w:t xml:space="preserve"> </w:t>
      </w:r>
      <w:r>
        <w:t>compared to the previous submission, the impacts on the estimated cost-savings</w:t>
      </w:r>
      <w:r w:rsidR="002B1796">
        <w:t xml:space="preserve"> </w:t>
      </w:r>
      <w:r>
        <w:t>to the health budget substantially increased.</w:t>
      </w:r>
      <w:r w:rsidR="002B1796">
        <w:t xml:space="preserve"> </w:t>
      </w:r>
      <w:r>
        <w:t>The resubmission estimated that at year 6, the estimated number of</w:t>
      </w:r>
      <w:r w:rsidR="002B1796">
        <w:t xml:space="preserve"> </w:t>
      </w:r>
      <w:r>
        <w:t>continuing patients was less than 10,000 and the net cost to the PBS would be more</w:t>
      </w:r>
      <w:r w:rsidR="002B1796">
        <w:t xml:space="preserve"> </w:t>
      </w:r>
      <w:r>
        <w:t>than $100 million based on the effective price and more than $100 million based on</w:t>
      </w:r>
      <w:r w:rsidR="002B1796">
        <w:t xml:space="preserve"> </w:t>
      </w:r>
      <w:r>
        <w:t>the published price.</w:t>
      </w:r>
    </w:p>
    <w:p w14:paraId="5FD78EAD" w14:textId="31CD9003" w:rsidR="002328E1" w:rsidRDefault="002328E1" w:rsidP="00707FE2">
      <w:r w:rsidRPr="002328E1">
        <w:t xml:space="preserve">For further details refer to the </w:t>
      </w:r>
      <w:hyperlink r:id="rId14" w:history="1">
        <w:r w:rsidRPr="00832392">
          <w:rPr>
            <w:rStyle w:val="Hyperlink"/>
          </w:rPr>
          <w:t>Public Summary Document</w:t>
        </w:r>
      </w:hyperlink>
      <w:r w:rsidRPr="002328E1">
        <w:t xml:space="preserve"> from the </w:t>
      </w:r>
      <w:r w:rsidR="005047ED">
        <w:t>July 2019</w:t>
      </w:r>
      <w:r w:rsidRPr="002328E1">
        <w:t xml:space="preserve"> PBAC meeting.</w:t>
      </w:r>
    </w:p>
    <w:p w14:paraId="122B214A" w14:textId="3D97C1D0" w:rsidR="002328E1" w:rsidRPr="00374B5F" w:rsidRDefault="00167DA6" w:rsidP="00707FE2">
      <w:pPr>
        <w:rPr>
          <w:b/>
          <w:bCs/>
          <w:u w:val="single"/>
        </w:rPr>
      </w:pPr>
      <w:r w:rsidRPr="00374B5F">
        <w:rPr>
          <w:b/>
          <w:bCs/>
          <w:u w:val="single"/>
        </w:rPr>
        <w:t>March 2020 submi</w:t>
      </w:r>
      <w:r w:rsidR="00374B5F">
        <w:rPr>
          <w:b/>
          <w:bCs/>
          <w:u w:val="single"/>
        </w:rPr>
        <w:t>s</w:t>
      </w:r>
      <w:r w:rsidRPr="00374B5F">
        <w:rPr>
          <w:b/>
          <w:bCs/>
          <w:u w:val="single"/>
        </w:rPr>
        <w:t>sion</w:t>
      </w:r>
    </w:p>
    <w:p w14:paraId="5D5EF7A9" w14:textId="405BFF7F" w:rsidR="00707FE2" w:rsidRDefault="00A1120C" w:rsidP="00A1120C">
      <w:r>
        <w:t>The PBAC recommended the listing of dupilumab for the treatment of patients aged 12 years and older with severe atopic dermatitis (AD) who are inadequately controlled on topical therapies.</w:t>
      </w:r>
    </w:p>
    <w:p w14:paraId="1CF54050" w14:textId="085235AD" w:rsidR="003F70A3" w:rsidRDefault="003F70A3" w:rsidP="00095484">
      <w:r>
        <w:t>The resubmission requested a separate listing for patients with severe atopic dermatitis of the face or hands</w:t>
      </w:r>
      <w:r w:rsidR="00095484">
        <w:t xml:space="preserve">, which was not included in previous submissions. The evaluation noted that the estimates may be underestimated as the resubmission did not account for patients </w:t>
      </w:r>
      <w:r w:rsidR="00095484">
        <w:lastRenderedPageBreak/>
        <w:t>with severe face or hand AD and some of the inputs relating to patient eligibility may be underestimated.</w:t>
      </w:r>
    </w:p>
    <w:p w14:paraId="345B0AF2" w14:textId="23203767" w:rsidR="00707FE2" w:rsidRDefault="00707FE2" w:rsidP="00707FE2">
      <w:r>
        <w:t xml:space="preserve">The financial estimates presented in the resubmission </w:t>
      </w:r>
      <w:r w:rsidR="009744A7">
        <w:t>were</w:t>
      </w:r>
      <w:r>
        <w:t xml:space="preserve"> substantially decreased compared to those presented in the July 2019 resubmission. This </w:t>
      </w:r>
      <w:r w:rsidR="00FD25C6">
        <w:t>wa</w:t>
      </w:r>
      <w:r>
        <w:t xml:space="preserve">s primarily due to the narrower (severe AD) population proposed in the current resubmission. Compared to the July 2018 submission (also requesting use in a severe AD group, but defined differently), the financial estimates in </w:t>
      </w:r>
      <w:r w:rsidR="00EC70D7">
        <w:t>this</w:t>
      </w:r>
      <w:r>
        <w:t xml:space="preserve"> resubmission </w:t>
      </w:r>
      <w:r w:rsidR="00EC70D7">
        <w:t>were</w:t>
      </w:r>
      <w:r>
        <w:t xml:space="preserve"> substantially higher. This </w:t>
      </w:r>
      <w:r w:rsidR="00EC70D7">
        <w:t>wa</w:t>
      </w:r>
      <w:r>
        <w:t xml:space="preserve">s primarily due to increases in input values such as prevalence of AD, proportion with severe disease and uptake rates. The uptake of dupilumab in the July 2018 submission was based on the observed uptake of </w:t>
      </w:r>
      <w:r w:rsidR="00EC70D7">
        <w:t>biologic medicines</w:t>
      </w:r>
      <w:r>
        <w:t xml:space="preserve"> when first listed on the PBS for psoriasis. DUSC considered that uptake of dupilumab was likely to be higher as: the biologics market had evolved compared to the uptake rates based on earlier listings; and the submission’s estimate based on market research of the percentage of patients that would fulfil the restriction criteria was higher than the projected uptake of dupilumab. Compared to the July 2018 submission, the PBAC noted that the July 2019 and March 2020 submissions used a different, epidemiological approach to estimate the proportion of AD patients accessing dupilumab. </w:t>
      </w:r>
    </w:p>
    <w:p w14:paraId="34251392" w14:textId="3401331B" w:rsidR="00707FE2" w:rsidRDefault="00707FE2" w:rsidP="00A35800">
      <w:r w:rsidRPr="00707FE2">
        <w:t xml:space="preserve">For further details refer to the </w:t>
      </w:r>
      <w:hyperlink r:id="rId15" w:history="1">
        <w:r w:rsidRPr="00707FE2">
          <w:rPr>
            <w:rStyle w:val="Hyperlink"/>
          </w:rPr>
          <w:t>Public Summary Document</w:t>
        </w:r>
      </w:hyperlink>
      <w:r>
        <w:t xml:space="preserve"> </w:t>
      </w:r>
      <w:r w:rsidRPr="00707FE2">
        <w:t xml:space="preserve">from the </w:t>
      </w:r>
      <w:r>
        <w:t xml:space="preserve">March 2020 </w:t>
      </w:r>
      <w:r w:rsidRPr="00707FE2">
        <w:t>PBAC meeting.</w:t>
      </w:r>
    </w:p>
    <w:p w14:paraId="189FA80A" w14:textId="76A7DE6D" w:rsidR="00707FE2" w:rsidRPr="009744A7" w:rsidRDefault="009744A7" w:rsidP="00A35800">
      <w:pPr>
        <w:rPr>
          <w:b/>
          <w:bCs/>
          <w:u w:val="single"/>
        </w:rPr>
      </w:pPr>
      <w:r w:rsidRPr="009744A7">
        <w:rPr>
          <w:b/>
          <w:bCs/>
          <w:u w:val="single"/>
        </w:rPr>
        <w:t>November 2020 submission</w:t>
      </w:r>
    </w:p>
    <w:p w14:paraId="1AE5F9AA" w14:textId="44C9513B" w:rsidR="00707FE2" w:rsidRDefault="00707FE2" w:rsidP="00707FE2">
      <w:r>
        <w:t>Dupilumab for the treatment of patients aged 12 years and older with severe atopic dermatitis (AD) who are inadequately controlled on topical therapies was recommended at the March 2020 PBAC meeting.</w:t>
      </w:r>
    </w:p>
    <w:p w14:paraId="5D0B1CBE" w14:textId="54B45197" w:rsidR="00707FE2" w:rsidRDefault="00707FE2" w:rsidP="00707FE2">
      <w:r>
        <w:t>Following the recommendation, the sponsor submitted pricing proposals to the Department, which were not accepted, as they were not consistent with the PBAC advice. Primarily, after the sponsor’s adjustment to the economic model, the resulting ICER was higher than the range considered by the PBAC.</w:t>
      </w:r>
    </w:p>
    <w:p w14:paraId="179BAB1A" w14:textId="2A253776" w:rsidR="008810D0" w:rsidRDefault="007374EB" w:rsidP="007374EB">
      <w:r>
        <w:t>The PBAC provided further advice in regard to its March 2020 recommendation for the listing of dupilumab for the treatment of patients aged 12 years and older with severe atopic dermatitis who are inadequately controlled on topical therapies, and the sponsor’s subsequent listing proposal which included modifications to the economic model and the financial estimates model.</w:t>
      </w:r>
    </w:p>
    <w:p w14:paraId="74B24E36" w14:textId="1BB5C97D" w:rsidR="008810D0" w:rsidRDefault="008810D0" w:rsidP="008810D0">
      <w:r>
        <w:t>The PBAC noted the sponsor’s revised approach to the uptake rates applied over time to the prevalent pool of eligible patients. While the PBAC noted that this was different to the method PBAC advised in March 2020, the PBAC acknowledged the proposal’s claims that the proposed uptake rates were a better estimate of the pattern of uptake. Importantly, the PBAC considered that the uptake rates of patients from the prevalent pool proposed by the sponsor decreased over time and therefore were reasonable</w:t>
      </w:r>
      <w:r w:rsidR="001E1325">
        <w:t>.</w:t>
      </w:r>
    </w:p>
    <w:p w14:paraId="51950542" w14:textId="776F5D55" w:rsidR="00707FE2" w:rsidRDefault="00707FE2" w:rsidP="00A35800">
      <w:r w:rsidRPr="00707FE2">
        <w:t xml:space="preserve">For further details refer to the </w:t>
      </w:r>
      <w:hyperlink r:id="rId16" w:history="1">
        <w:r w:rsidRPr="00707FE2">
          <w:rPr>
            <w:rStyle w:val="Hyperlink"/>
          </w:rPr>
          <w:t>Public Summary Document</w:t>
        </w:r>
      </w:hyperlink>
      <w:r>
        <w:t xml:space="preserve"> </w:t>
      </w:r>
      <w:r w:rsidRPr="00707FE2">
        <w:t xml:space="preserve">from the </w:t>
      </w:r>
      <w:r>
        <w:t xml:space="preserve">November 2020 </w:t>
      </w:r>
      <w:r w:rsidRPr="00707FE2">
        <w:t>PBAC meeting.</w:t>
      </w:r>
    </w:p>
    <w:p w14:paraId="21883D2D" w14:textId="1318F618" w:rsidR="00455A55" w:rsidRPr="0020460A" w:rsidRDefault="005D1B93" w:rsidP="00A35800">
      <w:pPr>
        <w:rPr>
          <w:b/>
          <w:u w:val="single"/>
        </w:rPr>
      </w:pPr>
      <w:r w:rsidRPr="0020460A">
        <w:rPr>
          <w:b/>
          <w:u w:val="single"/>
        </w:rPr>
        <w:lastRenderedPageBreak/>
        <w:t>March 2022 submission</w:t>
      </w:r>
    </w:p>
    <w:p w14:paraId="52F7A0E5" w14:textId="55EFBB68" w:rsidR="005D1B93" w:rsidRDefault="003056F9" w:rsidP="003056F9">
      <w:r>
        <w:t>The PBAC recommended the listing of dupilumab for patients aged less than 12 years with severe atopic dermatitis. The PBAC noted the substantial clinical need for effective treatments for these patients and was satisfied that dupilumab provide</w:t>
      </w:r>
      <w:r w:rsidR="00467816">
        <w:t>d</w:t>
      </w:r>
      <w:r>
        <w:t>, for some patients, a significant improvement in efficacy over standard care. The PBAC considered that the clinical evidence suggests the magnitude of benefit in patients aged 6-11 years is similar to that in the adult/adolescent population and the cost</w:t>
      </w:r>
      <w:r w:rsidR="00AC2BB5">
        <w:t>-</w:t>
      </w:r>
      <w:r>
        <w:t>effectiveness was acceptable at the same price per month as for the adult/adolescent population.</w:t>
      </w:r>
    </w:p>
    <w:p w14:paraId="41BE0E69" w14:textId="67BF6AB6" w:rsidR="00455A55" w:rsidRDefault="00586E38" w:rsidP="00A35800">
      <w:r>
        <w:t>As at 1 August 2023 this recommendation had not been implemented.</w:t>
      </w:r>
    </w:p>
    <w:p w14:paraId="10116FF4" w14:textId="2E4D82A9" w:rsidR="00455A55" w:rsidRDefault="00586E38" w:rsidP="00A35800">
      <w:r w:rsidRPr="00586E38">
        <w:t xml:space="preserve">For further details refer to the </w:t>
      </w:r>
      <w:hyperlink r:id="rId17" w:history="1">
        <w:r w:rsidRPr="00586E38">
          <w:rPr>
            <w:rStyle w:val="Hyperlink"/>
          </w:rPr>
          <w:t>Public Summary Document</w:t>
        </w:r>
      </w:hyperlink>
      <w:r w:rsidRPr="00586E38">
        <w:t xml:space="preserve"> from the </w:t>
      </w:r>
      <w:r>
        <w:t>March 2022</w:t>
      </w:r>
      <w:r w:rsidRPr="00586E38">
        <w:t xml:space="preserve"> PBAC meeting.</w:t>
      </w:r>
    </w:p>
    <w:p w14:paraId="49308EFC" w14:textId="7D09DB67" w:rsidR="00046CAA" w:rsidRPr="00224552" w:rsidRDefault="00046CAA" w:rsidP="00A35800">
      <w:pPr>
        <w:rPr>
          <w:b/>
          <w:bCs/>
          <w:u w:val="single"/>
        </w:rPr>
      </w:pPr>
      <w:r w:rsidRPr="00224552">
        <w:rPr>
          <w:b/>
          <w:bCs/>
          <w:u w:val="single"/>
        </w:rPr>
        <w:t>July 2022 submission</w:t>
      </w:r>
    </w:p>
    <w:p w14:paraId="0478F5DC" w14:textId="141842C4" w:rsidR="00046CAA" w:rsidRDefault="00F557F0" w:rsidP="00E30082">
      <w:r>
        <w:t>The submission requested an increase in the financial caps for the current risk share arrangement (RSA) to reflect the higher than estimated use of dupilumab for severe chronic atopic dermatitis (AD) since listing on 1 March 2021.</w:t>
      </w:r>
    </w:p>
    <w:p w14:paraId="04B6614A" w14:textId="3D413F27" w:rsidR="00197EA9" w:rsidRDefault="00197EA9" w:rsidP="00197EA9">
      <w:r>
        <w:t>The sponsor requested the PBAC to reconsider previously estimated utilisation of dupilumab in patients aged 12 years or older, with severe AD. The sponsor presented revised financial estimates to inform revised RSA caps with changes to assumptions regarding:</w:t>
      </w:r>
    </w:p>
    <w:p w14:paraId="33B238C6" w14:textId="7C99DFCF" w:rsidR="00197EA9" w:rsidRDefault="00197EA9" w:rsidP="00197EA9">
      <w:pPr>
        <w:pStyle w:val="ListParagraph"/>
        <w:numPr>
          <w:ilvl w:val="0"/>
          <w:numId w:val="4"/>
        </w:numPr>
      </w:pPr>
      <w:r>
        <w:t>the proportion of patients uncontrolled on topical corticosteroids (TCS) (from 68% to 100%)</w:t>
      </w:r>
    </w:p>
    <w:p w14:paraId="1A755CBB" w14:textId="39E66398" w:rsidR="00F557F0" w:rsidRDefault="00197EA9" w:rsidP="00197EA9">
      <w:pPr>
        <w:pStyle w:val="ListParagraph"/>
        <w:numPr>
          <w:ilvl w:val="0"/>
          <w:numId w:val="4"/>
        </w:numPr>
      </w:pPr>
      <w:r>
        <w:t>the proportion of patients engaged with a specialist (from 55-70% to 100%)</w:t>
      </w:r>
    </w:p>
    <w:p w14:paraId="46D2491A" w14:textId="25C8C49D" w:rsidR="00792D00" w:rsidRDefault="00792D00" w:rsidP="00792D00">
      <w:r>
        <w:t xml:space="preserve">The PBAC previously considered there is potential for substantial use beyond the requested restriction to those with less severe </w:t>
      </w:r>
      <w:r w:rsidR="00852DAF" w:rsidRPr="00852DAF">
        <w:t>atopic dermatitis</w:t>
      </w:r>
      <w:r>
        <w:t xml:space="preserve">, those with comorbid conditions such as asthma, and those with reduced QoL due to overly complex topical regimens. As noted by the submission, given the intent of the RSA it </w:t>
      </w:r>
      <w:r w:rsidR="00C2377B">
        <w:t>wa</w:t>
      </w:r>
      <w:r>
        <w:t xml:space="preserve">s necessary to determine whether the higher than predicted utilisation </w:t>
      </w:r>
      <w:r w:rsidR="00467816">
        <w:t>wa</w:t>
      </w:r>
      <w:r>
        <w:t>s the result of an underestimation of the size and/or uptake within the eligible population or due to use beyond the requested restriction.</w:t>
      </w:r>
    </w:p>
    <w:p w14:paraId="582AE0D9" w14:textId="25FF1852" w:rsidR="00CB20D5" w:rsidRDefault="00800F62" w:rsidP="00800F62">
      <w:r>
        <w:t xml:space="preserve">The utilisation estimates did not account for patients with severe face and/or hand </w:t>
      </w:r>
      <w:r w:rsidR="00852DAF" w:rsidRPr="00852DAF">
        <w:t xml:space="preserve">atopic dermatitis </w:t>
      </w:r>
      <w:r>
        <w:t xml:space="preserve">who would not otherwise meet the criteria for severe </w:t>
      </w:r>
      <w:r w:rsidR="00852DAF" w:rsidRPr="00852DAF">
        <w:t>atopic dermatitis</w:t>
      </w:r>
      <w:r>
        <w:t>. Both the pre-PBAC response</w:t>
      </w:r>
      <w:r w:rsidR="00BC1CFB">
        <w:t xml:space="preserve"> </w:t>
      </w:r>
      <w:r>
        <w:t xml:space="preserve">and communication from the sponsor for </w:t>
      </w:r>
      <w:proofErr w:type="spellStart"/>
      <w:r>
        <w:t>upadacitinib</w:t>
      </w:r>
      <w:proofErr w:type="spellEnd"/>
      <w:r>
        <w:t xml:space="preserve"> argued that exclusion of</w:t>
      </w:r>
      <w:r w:rsidR="00BC1CFB">
        <w:t xml:space="preserve"> </w:t>
      </w:r>
      <w:r>
        <w:t xml:space="preserve">patients qualifying for treatment with advanced </w:t>
      </w:r>
      <w:r w:rsidR="00852DAF" w:rsidRPr="00852DAF">
        <w:t xml:space="preserve">atopic dermatitis </w:t>
      </w:r>
      <w:r>
        <w:t xml:space="preserve">therapies due to severe </w:t>
      </w:r>
      <w:r w:rsidR="00852DAF" w:rsidRPr="00852DAF">
        <w:t xml:space="preserve">atopic dermatitis </w:t>
      </w:r>
      <w:r>
        <w:t>of the</w:t>
      </w:r>
      <w:r w:rsidR="00BC1CFB">
        <w:t xml:space="preserve"> </w:t>
      </w:r>
      <w:r>
        <w:t xml:space="preserve">hands and face </w:t>
      </w:r>
      <w:r w:rsidR="00BC1CFB">
        <w:t>wa</w:t>
      </w:r>
      <w:r>
        <w:t xml:space="preserve">s likely to be a significant contributor to the </w:t>
      </w:r>
      <w:proofErr w:type="gramStart"/>
      <w:r>
        <w:t>higher than expected</w:t>
      </w:r>
      <w:proofErr w:type="gramEnd"/>
      <w:r w:rsidR="00BC1CFB">
        <w:t xml:space="preserve"> </w:t>
      </w:r>
      <w:r>
        <w:t xml:space="preserve">observed utilisation of these treatments. The sponsor for </w:t>
      </w:r>
      <w:proofErr w:type="spellStart"/>
      <w:r>
        <w:t>upadacitinib</w:t>
      </w:r>
      <w:proofErr w:type="spellEnd"/>
      <w:r>
        <w:t xml:space="preserve"> estimated that</w:t>
      </w:r>
      <w:r w:rsidR="00BC1CFB">
        <w:t xml:space="preserve"> </w:t>
      </w:r>
      <w:r>
        <w:t xml:space="preserve">up to one third of total services in </w:t>
      </w:r>
      <w:r w:rsidR="00852DAF">
        <w:t>atopic dermatitis</w:t>
      </w:r>
      <w:r>
        <w:t xml:space="preserve"> would be for patients with severe </w:t>
      </w:r>
      <w:r w:rsidR="00852DAF" w:rsidRPr="00852DAF">
        <w:t xml:space="preserve">atopic dermatitis </w:t>
      </w:r>
      <w:r>
        <w:t>of the face</w:t>
      </w:r>
      <w:r w:rsidR="00BC1CFB">
        <w:t xml:space="preserve"> </w:t>
      </w:r>
      <w:r>
        <w:t>and hands who would not otherwise qualify for treatment.</w:t>
      </w:r>
    </w:p>
    <w:p w14:paraId="33F412D4" w14:textId="564F0F7B" w:rsidR="00197EA9" w:rsidRDefault="006A4985" w:rsidP="00A35800">
      <w:pPr>
        <w:rPr>
          <w:highlight w:val="cyan"/>
        </w:rPr>
      </w:pPr>
      <w:r>
        <w:lastRenderedPageBreak/>
        <w:t>The PBAC did not advise that its previous recommendation regarding the risk sharing arrangement (RSA) subsidisation caps for dupilumab for the treatment of severe atopic dermatitis in adult and adolescent patients be amended.</w:t>
      </w:r>
    </w:p>
    <w:p w14:paraId="65824ABB" w14:textId="22FDE77B" w:rsidR="00197EA9" w:rsidRDefault="00224552" w:rsidP="00A35800">
      <w:r w:rsidRPr="00224552">
        <w:t xml:space="preserve">For further details refer to the </w:t>
      </w:r>
      <w:hyperlink r:id="rId18" w:history="1">
        <w:r w:rsidRPr="00224552">
          <w:rPr>
            <w:rStyle w:val="Hyperlink"/>
          </w:rPr>
          <w:t>Public Summary Document</w:t>
        </w:r>
      </w:hyperlink>
      <w:r w:rsidRPr="00224552">
        <w:t xml:space="preserve"> from the </w:t>
      </w:r>
      <w:r w:rsidR="006A4985">
        <w:t>July</w:t>
      </w:r>
      <w:r w:rsidR="006A4985" w:rsidRPr="00224552">
        <w:t xml:space="preserve"> </w:t>
      </w:r>
      <w:r w:rsidRPr="00224552">
        <w:t>2022 PBAC meeting.</w:t>
      </w:r>
    </w:p>
    <w:p w14:paraId="4EEE834D" w14:textId="50252C66" w:rsidR="00E350AA" w:rsidRPr="000D17D0" w:rsidRDefault="000D17D0" w:rsidP="00A35800">
      <w:pPr>
        <w:rPr>
          <w:b/>
          <w:bCs/>
          <w:u w:val="single"/>
        </w:rPr>
      </w:pPr>
      <w:r w:rsidRPr="000D17D0">
        <w:rPr>
          <w:b/>
          <w:bCs/>
          <w:u w:val="single"/>
        </w:rPr>
        <w:t>July 2023 submission</w:t>
      </w:r>
    </w:p>
    <w:p w14:paraId="6B793455" w14:textId="790BD69F" w:rsidR="00E350AA" w:rsidRDefault="00CC24F5" w:rsidP="00CC24F5">
      <w:r>
        <w:t xml:space="preserve">The PBAC advised that it would be reasonable for the current risk sharing arrangement (RSA) financial caps for dupilumab (and </w:t>
      </w:r>
      <w:proofErr w:type="spellStart"/>
      <w:r>
        <w:t>upadacitinib</w:t>
      </w:r>
      <w:proofErr w:type="spellEnd"/>
      <w:r>
        <w:t xml:space="preserve">), for the treatment of severe atopic dermatitis in patients aged 12 years and older, to be increased for the remaining years of the arrangement, to account for patients with severe </w:t>
      </w:r>
      <w:r w:rsidRPr="00CC24F5">
        <w:t xml:space="preserve">atopic dermatitis </w:t>
      </w:r>
      <w:r>
        <w:t>of the hands and/or face. In providing this advice, the PBAC noted that such use was not accounted for in the original RSA caps, however, given the apparent quality of life impacts of disease affecting the hands and/or face appear similar to that for the whole body, considered that use in these patients is likely to be cost-effective. The PBAC considered the submission’s other proposed changes to the financial estimates (increasing the proportion of patients inadequately controlled on topical corticosteroids and increasing the uptake rates) to be overestimated and highly uncertain. The PBAC considered that the submission did not provide sufficient justification in relation to changing these assumptions and therefore did not support these amendments.</w:t>
      </w:r>
      <w:r w:rsidR="00A20077">
        <w:rPr>
          <w:rStyle w:val="FootnoteReference"/>
        </w:rPr>
        <w:footnoteReference w:id="4"/>
      </w:r>
    </w:p>
    <w:p w14:paraId="72C2CA24" w14:textId="7B0DB38A" w:rsidR="000F2F51" w:rsidRDefault="00ED633B" w:rsidP="00CF5E22">
      <w:pPr>
        <w:pStyle w:val="Heading2"/>
      </w:pPr>
      <w:r>
        <w:t>A</w:t>
      </w:r>
      <w:r w:rsidR="000F2F51">
        <w:t xml:space="preserve">pproach </w:t>
      </w:r>
      <w:r>
        <w:t xml:space="preserve">taken to </w:t>
      </w:r>
      <w:r w:rsidR="000F2F51">
        <w:t>estimat</w:t>
      </w:r>
      <w:r>
        <w:t>e</w:t>
      </w:r>
      <w:r w:rsidR="000F2F51">
        <w:t xml:space="preserve"> </w:t>
      </w:r>
      <w:proofErr w:type="gramStart"/>
      <w:r w:rsidR="000F2F51">
        <w:t>utilisation</w:t>
      </w:r>
      <w:proofErr w:type="gramEnd"/>
    </w:p>
    <w:p w14:paraId="19FD5E9F" w14:textId="4C8639A1" w:rsidR="004424DC" w:rsidRDefault="00DD6A89" w:rsidP="00A35800">
      <w:r w:rsidRPr="00AF5617">
        <w:t xml:space="preserve">The November 2020 resubmission used an epidemiological approach to estimate the </w:t>
      </w:r>
      <w:r w:rsidR="0086463F">
        <w:t xml:space="preserve">number of treated patients. </w:t>
      </w:r>
      <w:r w:rsidR="00E7129A">
        <w:t>The model used a prevalence</w:t>
      </w:r>
      <w:r w:rsidR="00C8569B">
        <w:t>-based</w:t>
      </w:r>
      <w:r w:rsidR="00E7129A">
        <w:t xml:space="preserve"> approach and</w:t>
      </w:r>
      <w:r w:rsidR="00144B8A">
        <w:t xml:space="preserve"> a</w:t>
      </w:r>
      <w:r w:rsidR="00E7129A">
        <w:t>pplied the following assumption</w:t>
      </w:r>
      <w:r w:rsidR="00C8569B">
        <w:t>s</w:t>
      </w:r>
      <w:r w:rsidR="00E7129A">
        <w:t>:</w:t>
      </w:r>
    </w:p>
    <w:p w14:paraId="0C38967E" w14:textId="7BCD6372" w:rsidR="00E7129A" w:rsidRDefault="00E7129A" w:rsidP="00E7129A">
      <w:pPr>
        <w:pStyle w:val="ListParagraph"/>
        <w:numPr>
          <w:ilvl w:val="0"/>
          <w:numId w:val="7"/>
        </w:numPr>
      </w:pPr>
      <w:r>
        <w:t>Prevalence rate of 9%</w:t>
      </w:r>
    </w:p>
    <w:p w14:paraId="0689444E" w14:textId="3B570622" w:rsidR="00D77C3E" w:rsidRDefault="00D77C3E" w:rsidP="00E7129A">
      <w:pPr>
        <w:pStyle w:val="ListParagraph"/>
        <w:numPr>
          <w:ilvl w:val="0"/>
          <w:numId w:val="7"/>
        </w:numPr>
      </w:pPr>
      <w:r>
        <w:t>Patients with severe disease of 5%</w:t>
      </w:r>
    </w:p>
    <w:p w14:paraId="620E5BBA" w14:textId="4B327294" w:rsidR="00D77C3E" w:rsidRDefault="00D77C3E" w:rsidP="00D77C3E">
      <w:pPr>
        <w:pStyle w:val="ListParagraph"/>
        <w:numPr>
          <w:ilvl w:val="0"/>
          <w:numId w:val="7"/>
        </w:numPr>
      </w:pPr>
      <w:r>
        <w:t>Patients engaged with a specialist</w:t>
      </w:r>
      <w:r w:rsidR="00F33278">
        <w:t xml:space="preserve"> of 55% in year 1 and increasing to 70% in year </w:t>
      </w:r>
      <w:proofErr w:type="gramStart"/>
      <w:r w:rsidR="00F33278">
        <w:t>6</w:t>
      </w:r>
      <w:proofErr w:type="gramEnd"/>
    </w:p>
    <w:p w14:paraId="5BE1CBDB" w14:textId="5F7AD662" w:rsidR="00D77C3E" w:rsidRPr="004C2D84" w:rsidRDefault="00D77C3E" w:rsidP="00D77C3E">
      <w:pPr>
        <w:pStyle w:val="ListParagraph"/>
        <w:numPr>
          <w:ilvl w:val="0"/>
          <w:numId w:val="7"/>
        </w:numPr>
      </w:pPr>
      <w:r w:rsidRPr="004C2D84">
        <w:t>Engaged patients who are uncontrolled on topical therapies</w:t>
      </w:r>
      <w:r w:rsidR="004E4D62" w:rsidRPr="004C2D84">
        <w:t xml:space="preserve"> of 100%</w:t>
      </w:r>
    </w:p>
    <w:p w14:paraId="6CE4B6D9" w14:textId="13761439" w:rsidR="00D77C3E" w:rsidRDefault="00D77C3E" w:rsidP="00D77C3E">
      <w:pPr>
        <w:pStyle w:val="ListParagraph"/>
        <w:numPr>
          <w:ilvl w:val="0"/>
          <w:numId w:val="7"/>
        </w:numPr>
      </w:pPr>
      <w:r>
        <w:t>Proportion of engaged patients meeting EASI requirement (EASI≥20)</w:t>
      </w:r>
      <w:r w:rsidR="004E4D62">
        <w:t xml:space="preserve"> </w:t>
      </w:r>
      <w:r w:rsidR="001B72AD">
        <w:t>of 95%</w:t>
      </w:r>
    </w:p>
    <w:p w14:paraId="0A195227" w14:textId="55F4D082" w:rsidR="00E7129A" w:rsidRDefault="00C60B63" w:rsidP="00A35800">
      <w:r>
        <w:t xml:space="preserve">The March 2020 submission </w:t>
      </w:r>
      <w:r w:rsidR="00B076DA">
        <w:t xml:space="preserve">had estimated </w:t>
      </w:r>
      <w:r w:rsidR="001F5228">
        <w:t xml:space="preserve">the proportion of </w:t>
      </w:r>
      <w:r w:rsidR="001F5228" w:rsidRPr="001F5228">
        <w:t xml:space="preserve">severe </w:t>
      </w:r>
      <w:r w:rsidR="009438A0">
        <w:t>atopic dermatitis</w:t>
      </w:r>
      <w:r w:rsidR="001F5228" w:rsidRPr="001F5228">
        <w:t xml:space="preserve"> patients engaged with a specialist</w:t>
      </w:r>
      <w:r w:rsidR="009438A0">
        <w:t xml:space="preserve"> (55% to </w:t>
      </w:r>
      <w:r w:rsidR="007B7926">
        <w:t xml:space="preserve">70%) </w:t>
      </w:r>
      <w:r w:rsidR="009438A0">
        <w:t>and the p</w:t>
      </w:r>
      <w:r w:rsidR="009438A0" w:rsidRPr="009438A0">
        <w:t>roportion of uncontrolled patients</w:t>
      </w:r>
      <w:r w:rsidR="00884EB9">
        <w:t xml:space="preserve"> </w:t>
      </w:r>
      <w:r w:rsidR="007B7926" w:rsidRPr="009438A0">
        <w:t xml:space="preserve">engaged </w:t>
      </w:r>
      <w:r w:rsidR="007B7926" w:rsidRPr="007B7926">
        <w:t>with a specialist</w:t>
      </w:r>
      <w:r w:rsidR="00B66C57">
        <w:t xml:space="preserve"> (68%)</w:t>
      </w:r>
      <w:r w:rsidR="00FA4B1A">
        <w:t>.</w:t>
      </w:r>
      <w:r w:rsidR="00107E85">
        <w:t xml:space="preserve"> </w:t>
      </w:r>
      <w:r w:rsidR="00C226C3">
        <w:t>The PBAC noted that the proposed estimates changed the assumption regarding patients being adequately controlled on topical corticosteroids (from 68% to 100%) although the PBAC did not specify that this parameter be changed in the outcome of its March 2020 consideration.</w:t>
      </w:r>
      <w:r w:rsidR="00EA7D2D" w:rsidRPr="00EA7D2D">
        <w:t xml:space="preserve"> </w:t>
      </w:r>
      <w:r w:rsidR="00EA7D2D">
        <w:t>Table 4 shows the uptake rates that were applied to eligible patients.</w:t>
      </w:r>
    </w:p>
    <w:p w14:paraId="4F77AFD7" w14:textId="2FA0F848" w:rsidR="000022DE" w:rsidRDefault="000022DE" w:rsidP="008E61F9">
      <w:pPr>
        <w:pStyle w:val="Tabletitle"/>
        <w:keepNext/>
      </w:pPr>
      <w:r>
        <w:lastRenderedPageBreak/>
        <w:t xml:space="preserve">Table </w:t>
      </w:r>
      <w:r w:rsidR="00EA7D2D">
        <w:t>4</w:t>
      </w:r>
      <w:r>
        <w:t xml:space="preserve">: Uptake applied to eligible </w:t>
      </w:r>
      <w:proofErr w:type="gramStart"/>
      <w:r>
        <w:t>patients</w:t>
      </w:r>
      <w:proofErr w:type="gramEnd"/>
    </w:p>
    <w:tbl>
      <w:tblPr>
        <w:tblW w:w="9016" w:type="dxa"/>
        <w:tblInd w:w="113" w:type="dxa"/>
        <w:tblLook w:val="04A0" w:firstRow="1" w:lastRow="0" w:firstColumn="1" w:lastColumn="0" w:noHBand="0" w:noVBand="1"/>
      </w:tblPr>
      <w:tblGrid>
        <w:gridCol w:w="3292"/>
        <w:gridCol w:w="954"/>
        <w:gridCol w:w="954"/>
        <w:gridCol w:w="954"/>
        <w:gridCol w:w="954"/>
        <w:gridCol w:w="954"/>
        <w:gridCol w:w="954"/>
      </w:tblGrid>
      <w:tr w:rsidR="00DF75BB" w:rsidRPr="00D61B79" w14:paraId="75AB88AC" w14:textId="77777777" w:rsidTr="00D61B79">
        <w:trPr>
          <w:trHeight w:val="300"/>
        </w:trPr>
        <w:tc>
          <w:tcPr>
            <w:tcW w:w="329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68B939F5" w14:textId="77777777" w:rsidR="00DF75BB" w:rsidRPr="00D61B79" w:rsidRDefault="00DF75BB" w:rsidP="008E61F9">
            <w:pPr>
              <w:keepNext/>
              <w:spacing w:after="0"/>
              <w:rPr>
                <w:rFonts w:ascii="Calibri" w:eastAsia="Times New Roman" w:hAnsi="Calibri" w:cs="Calibri"/>
                <w:b/>
                <w:bCs/>
                <w:color w:val="000000"/>
                <w:sz w:val="20"/>
                <w:szCs w:val="20"/>
              </w:rPr>
            </w:pPr>
            <w:r w:rsidRPr="00D61B79">
              <w:rPr>
                <w:rFonts w:ascii="Calibri" w:eastAsia="Times New Roman" w:hAnsi="Calibri" w:cs="Calibri"/>
                <w:b/>
                <w:bCs/>
                <w:color w:val="000000"/>
                <w:sz w:val="20"/>
                <w:szCs w:val="20"/>
              </w:rPr>
              <w:t>Estimated uptake in patients aged 18 to 100</w:t>
            </w:r>
          </w:p>
        </w:tc>
        <w:tc>
          <w:tcPr>
            <w:tcW w:w="95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4F15C53" w14:textId="5C670482" w:rsidR="00DF75BB" w:rsidRPr="00D61B79" w:rsidRDefault="00F7697B" w:rsidP="008E61F9">
            <w:pPr>
              <w:keepNext/>
              <w:spacing w:after="0"/>
              <w:jc w:val="center"/>
              <w:rPr>
                <w:rFonts w:ascii="Calibri" w:eastAsia="Times New Roman" w:hAnsi="Calibri" w:cs="Calibri"/>
                <w:b/>
                <w:bCs/>
                <w:color w:val="000000"/>
                <w:sz w:val="20"/>
                <w:szCs w:val="20"/>
              </w:rPr>
            </w:pPr>
            <w:r w:rsidRPr="00D61B79">
              <w:rPr>
                <w:rFonts w:ascii="Calibri" w:eastAsia="Times New Roman" w:hAnsi="Calibri" w:cs="Calibri"/>
                <w:b/>
                <w:bCs/>
                <w:color w:val="000000"/>
                <w:sz w:val="20"/>
                <w:szCs w:val="20"/>
              </w:rPr>
              <w:t>Year 1</w:t>
            </w:r>
          </w:p>
        </w:tc>
        <w:tc>
          <w:tcPr>
            <w:tcW w:w="95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A6F9A57" w14:textId="2045E772" w:rsidR="00DF75BB" w:rsidRPr="00D61B79" w:rsidRDefault="00F7697B" w:rsidP="008E61F9">
            <w:pPr>
              <w:keepNext/>
              <w:spacing w:after="0"/>
              <w:jc w:val="center"/>
              <w:rPr>
                <w:rFonts w:ascii="Calibri" w:eastAsia="Times New Roman" w:hAnsi="Calibri" w:cs="Calibri"/>
                <w:b/>
                <w:bCs/>
                <w:color w:val="000000"/>
                <w:sz w:val="20"/>
                <w:szCs w:val="20"/>
              </w:rPr>
            </w:pPr>
            <w:r w:rsidRPr="00D61B79">
              <w:rPr>
                <w:rFonts w:ascii="Calibri" w:eastAsia="Times New Roman" w:hAnsi="Calibri" w:cs="Calibri"/>
                <w:b/>
                <w:bCs/>
                <w:color w:val="000000"/>
                <w:sz w:val="20"/>
                <w:szCs w:val="20"/>
              </w:rPr>
              <w:t>Year 2</w:t>
            </w:r>
          </w:p>
        </w:tc>
        <w:tc>
          <w:tcPr>
            <w:tcW w:w="95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680F2AC" w14:textId="1326F678" w:rsidR="00DF75BB" w:rsidRPr="00D61B79" w:rsidRDefault="00F7697B" w:rsidP="008E61F9">
            <w:pPr>
              <w:keepNext/>
              <w:spacing w:after="0"/>
              <w:jc w:val="center"/>
              <w:rPr>
                <w:rFonts w:ascii="Calibri" w:eastAsia="Times New Roman" w:hAnsi="Calibri" w:cs="Calibri"/>
                <w:b/>
                <w:bCs/>
                <w:color w:val="000000"/>
                <w:sz w:val="20"/>
                <w:szCs w:val="20"/>
              </w:rPr>
            </w:pPr>
            <w:r w:rsidRPr="00D61B79">
              <w:rPr>
                <w:rFonts w:ascii="Calibri" w:eastAsia="Times New Roman" w:hAnsi="Calibri" w:cs="Calibri"/>
                <w:b/>
                <w:bCs/>
                <w:color w:val="000000"/>
                <w:sz w:val="20"/>
                <w:szCs w:val="20"/>
              </w:rPr>
              <w:t>Year 3</w:t>
            </w:r>
          </w:p>
        </w:tc>
        <w:tc>
          <w:tcPr>
            <w:tcW w:w="95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BEA55A7" w14:textId="5B47C566" w:rsidR="00DF75BB" w:rsidRPr="00D61B79" w:rsidRDefault="00F7697B" w:rsidP="008E61F9">
            <w:pPr>
              <w:keepNext/>
              <w:spacing w:after="0"/>
              <w:jc w:val="center"/>
              <w:rPr>
                <w:rFonts w:ascii="Calibri" w:eastAsia="Times New Roman" w:hAnsi="Calibri" w:cs="Calibri"/>
                <w:b/>
                <w:bCs/>
                <w:color w:val="000000"/>
                <w:sz w:val="20"/>
                <w:szCs w:val="20"/>
              </w:rPr>
            </w:pPr>
            <w:r w:rsidRPr="00D61B79">
              <w:rPr>
                <w:rFonts w:ascii="Calibri" w:eastAsia="Times New Roman" w:hAnsi="Calibri" w:cs="Calibri"/>
                <w:b/>
                <w:bCs/>
                <w:color w:val="000000"/>
                <w:sz w:val="20"/>
                <w:szCs w:val="20"/>
              </w:rPr>
              <w:t>Year 4</w:t>
            </w:r>
          </w:p>
        </w:tc>
        <w:tc>
          <w:tcPr>
            <w:tcW w:w="95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7E49EBE" w14:textId="64624203" w:rsidR="00DF75BB" w:rsidRPr="00D61B79" w:rsidRDefault="00F7697B" w:rsidP="008E61F9">
            <w:pPr>
              <w:keepNext/>
              <w:spacing w:after="0"/>
              <w:jc w:val="center"/>
              <w:rPr>
                <w:rFonts w:ascii="Calibri" w:eastAsia="Times New Roman" w:hAnsi="Calibri" w:cs="Calibri"/>
                <w:b/>
                <w:bCs/>
                <w:color w:val="000000"/>
                <w:sz w:val="20"/>
                <w:szCs w:val="20"/>
              </w:rPr>
            </w:pPr>
            <w:r w:rsidRPr="00D61B79">
              <w:rPr>
                <w:rFonts w:ascii="Calibri" w:eastAsia="Times New Roman" w:hAnsi="Calibri" w:cs="Calibri"/>
                <w:b/>
                <w:bCs/>
                <w:color w:val="000000"/>
                <w:sz w:val="20"/>
                <w:szCs w:val="20"/>
              </w:rPr>
              <w:t>Year 5</w:t>
            </w:r>
          </w:p>
        </w:tc>
        <w:tc>
          <w:tcPr>
            <w:tcW w:w="95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8AAA5E7" w14:textId="5E2A1A8F" w:rsidR="00DF75BB" w:rsidRPr="00D61B79" w:rsidRDefault="00F7697B" w:rsidP="008E61F9">
            <w:pPr>
              <w:keepNext/>
              <w:spacing w:after="0"/>
              <w:jc w:val="center"/>
              <w:rPr>
                <w:rFonts w:ascii="Calibri" w:eastAsia="Times New Roman" w:hAnsi="Calibri" w:cs="Calibri"/>
                <w:b/>
                <w:bCs/>
                <w:color w:val="000000"/>
                <w:sz w:val="20"/>
                <w:szCs w:val="20"/>
              </w:rPr>
            </w:pPr>
            <w:r w:rsidRPr="00D61B79">
              <w:rPr>
                <w:rFonts w:ascii="Calibri" w:eastAsia="Times New Roman" w:hAnsi="Calibri" w:cs="Calibri"/>
                <w:b/>
                <w:bCs/>
                <w:color w:val="000000"/>
                <w:sz w:val="20"/>
                <w:szCs w:val="20"/>
              </w:rPr>
              <w:t>Year 6</w:t>
            </w:r>
          </w:p>
        </w:tc>
      </w:tr>
      <w:tr w:rsidR="00DF75BB" w:rsidRPr="00DF75BB" w14:paraId="06900C84" w14:textId="77777777" w:rsidTr="00DF75BB">
        <w:trPr>
          <w:trHeight w:val="300"/>
        </w:trPr>
        <w:tc>
          <w:tcPr>
            <w:tcW w:w="3292" w:type="dxa"/>
            <w:tcBorders>
              <w:top w:val="nil"/>
              <w:left w:val="single" w:sz="4" w:space="0" w:color="auto"/>
              <w:bottom w:val="single" w:sz="4" w:space="0" w:color="auto"/>
              <w:right w:val="single" w:sz="4" w:space="0" w:color="auto"/>
            </w:tcBorders>
            <w:shd w:val="clear" w:color="auto" w:fill="auto"/>
            <w:noWrap/>
            <w:vAlign w:val="bottom"/>
            <w:hideMark/>
          </w:tcPr>
          <w:p w14:paraId="50A7350E" w14:textId="77777777" w:rsidR="00DF75BB" w:rsidRPr="00DF75BB" w:rsidRDefault="00DF75BB" w:rsidP="00DF75BB">
            <w:pPr>
              <w:spacing w:after="0"/>
              <w:rPr>
                <w:rFonts w:ascii="Calibri" w:eastAsia="Times New Roman" w:hAnsi="Calibri" w:cs="Calibri"/>
                <w:color w:val="000000"/>
                <w:sz w:val="20"/>
                <w:szCs w:val="20"/>
              </w:rPr>
            </w:pPr>
            <w:r w:rsidRPr="00DF75BB">
              <w:rPr>
                <w:rFonts w:ascii="Calibri" w:eastAsia="Times New Roman" w:hAnsi="Calibri" w:cs="Calibri"/>
                <w:color w:val="000000"/>
                <w:sz w:val="20"/>
                <w:szCs w:val="20"/>
              </w:rPr>
              <w:t>Initiating treatment</w:t>
            </w:r>
          </w:p>
        </w:tc>
        <w:tc>
          <w:tcPr>
            <w:tcW w:w="954" w:type="dxa"/>
            <w:tcBorders>
              <w:top w:val="nil"/>
              <w:left w:val="nil"/>
              <w:bottom w:val="single" w:sz="4" w:space="0" w:color="auto"/>
              <w:right w:val="single" w:sz="4" w:space="0" w:color="auto"/>
            </w:tcBorders>
            <w:shd w:val="clear" w:color="auto" w:fill="auto"/>
            <w:noWrap/>
            <w:vAlign w:val="bottom"/>
            <w:hideMark/>
          </w:tcPr>
          <w:p w14:paraId="39AB3C9E" w14:textId="5AFC4A46" w:rsidR="00DF75BB" w:rsidRPr="004D1056" w:rsidRDefault="004D1056" w:rsidP="00DF75BB">
            <w:pPr>
              <w:spacing w:after="0"/>
              <w:jc w:val="right"/>
              <w:rPr>
                <w:rFonts w:ascii="Calibri" w:eastAsia="Times New Roman" w:hAnsi="Calibri" w:cs="Calibri"/>
                <w:color w:val="000000"/>
                <w:sz w:val="20"/>
                <w:szCs w:val="20"/>
                <w:highlight w:val="black"/>
              </w:rPr>
            </w:pPr>
            <w:proofErr w:type="spellStart"/>
            <w:r w:rsidRPr="004D1056">
              <w:rPr>
                <w:rFonts w:ascii="Calibri" w:eastAsia="Times New Roman" w:hAnsi="Calibri" w:cs="Calibri"/>
                <w:color w:val="000000"/>
                <w:sz w:val="20"/>
                <w:szCs w:val="20"/>
                <w:highlight w:val="black"/>
              </w:rPr>
              <w:t>xxxx</w:t>
            </w:r>
            <w:proofErr w:type="spellEnd"/>
          </w:p>
        </w:tc>
        <w:tc>
          <w:tcPr>
            <w:tcW w:w="954" w:type="dxa"/>
            <w:tcBorders>
              <w:top w:val="nil"/>
              <w:left w:val="nil"/>
              <w:bottom w:val="single" w:sz="4" w:space="0" w:color="auto"/>
              <w:right w:val="single" w:sz="4" w:space="0" w:color="auto"/>
            </w:tcBorders>
            <w:shd w:val="clear" w:color="auto" w:fill="auto"/>
            <w:noWrap/>
            <w:vAlign w:val="bottom"/>
            <w:hideMark/>
          </w:tcPr>
          <w:p w14:paraId="79414DC4" w14:textId="574E6566" w:rsidR="00DF75BB" w:rsidRPr="004D1056" w:rsidRDefault="004D1056" w:rsidP="00DF75BB">
            <w:pPr>
              <w:spacing w:after="0"/>
              <w:jc w:val="right"/>
              <w:rPr>
                <w:rFonts w:ascii="Calibri" w:eastAsia="Times New Roman" w:hAnsi="Calibri" w:cs="Calibri"/>
                <w:color w:val="000000"/>
                <w:sz w:val="20"/>
                <w:szCs w:val="20"/>
                <w:highlight w:val="black"/>
              </w:rPr>
            </w:pPr>
            <w:proofErr w:type="spellStart"/>
            <w:r w:rsidRPr="004D1056">
              <w:rPr>
                <w:rFonts w:ascii="Calibri" w:eastAsia="Times New Roman" w:hAnsi="Calibri" w:cs="Calibri"/>
                <w:color w:val="000000"/>
                <w:sz w:val="20"/>
                <w:szCs w:val="20"/>
                <w:highlight w:val="black"/>
              </w:rPr>
              <w:t>Xxxx</w:t>
            </w:r>
            <w:proofErr w:type="spellEnd"/>
          </w:p>
        </w:tc>
        <w:tc>
          <w:tcPr>
            <w:tcW w:w="954" w:type="dxa"/>
            <w:tcBorders>
              <w:top w:val="nil"/>
              <w:left w:val="nil"/>
              <w:bottom w:val="single" w:sz="4" w:space="0" w:color="auto"/>
              <w:right w:val="single" w:sz="4" w:space="0" w:color="auto"/>
            </w:tcBorders>
            <w:shd w:val="clear" w:color="auto" w:fill="auto"/>
            <w:noWrap/>
            <w:vAlign w:val="bottom"/>
            <w:hideMark/>
          </w:tcPr>
          <w:p w14:paraId="59514646" w14:textId="535E4FFC" w:rsidR="00DF75BB" w:rsidRPr="004D1056" w:rsidRDefault="004D1056" w:rsidP="00DF75BB">
            <w:pPr>
              <w:spacing w:after="0"/>
              <w:jc w:val="right"/>
              <w:rPr>
                <w:rFonts w:ascii="Calibri" w:eastAsia="Times New Roman" w:hAnsi="Calibri" w:cs="Calibri"/>
                <w:color w:val="000000"/>
                <w:sz w:val="20"/>
                <w:szCs w:val="20"/>
                <w:highlight w:val="black"/>
              </w:rPr>
            </w:pPr>
            <w:proofErr w:type="spellStart"/>
            <w:r w:rsidRPr="004D1056">
              <w:rPr>
                <w:rFonts w:ascii="Calibri" w:eastAsia="Times New Roman" w:hAnsi="Calibri" w:cs="Calibri"/>
                <w:color w:val="000000"/>
                <w:sz w:val="20"/>
                <w:szCs w:val="20"/>
                <w:highlight w:val="black"/>
              </w:rPr>
              <w:t>Xxxx</w:t>
            </w:r>
            <w:proofErr w:type="spellEnd"/>
          </w:p>
        </w:tc>
        <w:tc>
          <w:tcPr>
            <w:tcW w:w="954" w:type="dxa"/>
            <w:tcBorders>
              <w:top w:val="nil"/>
              <w:left w:val="nil"/>
              <w:bottom w:val="single" w:sz="4" w:space="0" w:color="auto"/>
              <w:right w:val="single" w:sz="4" w:space="0" w:color="auto"/>
            </w:tcBorders>
            <w:shd w:val="clear" w:color="auto" w:fill="auto"/>
            <w:noWrap/>
            <w:vAlign w:val="bottom"/>
            <w:hideMark/>
          </w:tcPr>
          <w:p w14:paraId="1E01BED4" w14:textId="5DCEC87F" w:rsidR="00DF75BB" w:rsidRPr="004D1056" w:rsidRDefault="004D1056" w:rsidP="00DF75BB">
            <w:pPr>
              <w:spacing w:after="0"/>
              <w:jc w:val="right"/>
              <w:rPr>
                <w:rFonts w:ascii="Calibri" w:eastAsia="Times New Roman" w:hAnsi="Calibri" w:cs="Calibri"/>
                <w:color w:val="000000"/>
                <w:sz w:val="20"/>
                <w:szCs w:val="20"/>
                <w:highlight w:val="black"/>
              </w:rPr>
            </w:pPr>
            <w:proofErr w:type="spellStart"/>
            <w:r w:rsidRPr="004D1056">
              <w:rPr>
                <w:rFonts w:ascii="Calibri" w:eastAsia="Times New Roman" w:hAnsi="Calibri" w:cs="Calibri"/>
                <w:color w:val="000000"/>
                <w:sz w:val="20"/>
                <w:szCs w:val="20"/>
                <w:highlight w:val="black"/>
              </w:rPr>
              <w:t>Xxxx</w:t>
            </w:r>
            <w:proofErr w:type="spellEnd"/>
          </w:p>
        </w:tc>
        <w:tc>
          <w:tcPr>
            <w:tcW w:w="954" w:type="dxa"/>
            <w:tcBorders>
              <w:top w:val="nil"/>
              <w:left w:val="nil"/>
              <w:bottom w:val="single" w:sz="4" w:space="0" w:color="auto"/>
              <w:right w:val="single" w:sz="4" w:space="0" w:color="auto"/>
            </w:tcBorders>
            <w:shd w:val="clear" w:color="auto" w:fill="auto"/>
            <w:noWrap/>
            <w:vAlign w:val="bottom"/>
            <w:hideMark/>
          </w:tcPr>
          <w:p w14:paraId="440284DC" w14:textId="40E57403" w:rsidR="00DF75BB" w:rsidRPr="004D1056" w:rsidRDefault="004D1056" w:rsidP="00DF75BB">
            <w:pPr>
              <w:spacing w:after="0"/>
              <w:jc w:val="right"/>
              <w:rPr>
                <w:rFonts w:ascii="Calibri" w:eastAsia="Times New Roman" w:hAnsi="Calibri" w:cs="Calibri"/>
                <w:color w:val="000000"/>
                <w:sz w:val="20"/>
                <w:szCs w:val="20"/>
                <w:highlight w:val="black"/>
              </w:rPr>
            </w:pPr>
            <w:proofErr w:type="spellStart"/>
            <w:r w:rsidRPr="004D1056">
              <w:rPr>
                <w:rFonts w:ascii="Calibri" w:eastAsia="Times New Roman" w:hAnsi="Calibri" w:cs="Calibri"/>
                <w:color w:val="000000"/>
                <w:sz w:val="20"/>
                <w:szCs w:val="20"/>
                <w:highlight w:val="black"/>
              </w:rPr>
              <w:t>Xxxx</w:t>
            </w:r>
            <w:proofErr w:type="spellEnd"/>
          </w:p>
        </w:tc>
        <w:tc>
          <w:tcPr>
            <w:tcW w:w="954" w:type="dxa"/>
            <w:tcBorders>
              <w:top w:val="nil"/>
              <w:left w:val="nil"/>
              <w:bottom w:val="single" w:sz="4" w:space="0" w:color="auto"/>
              <w:right w:val="single" w:sz="4" w:space="0" w:color="auto"/>
            </w:tcBorders>
            <w:shd w:val="clear" w:color="auto" w:fill="auto"/>
            <w:noWrap/>
            <w:vAlign w:val="bottom"/>
            <w:hideMark/>
          </w:tcPr>
          <w:p w14:paraId="2FAFCE74" w14:textId="68482351" w:rsidR="00DF75BB" w:rsidRPr="004D1056" w:rsidRDefault="004D1056" w:rsidP="00DF75BB">
            <w:pPr>
              <w:spacing w:after="0"/>
              <w:jc w:val="right"/>
              <w:rPr>
                <w:rFonts w:ascii="Calibri" w:eastAsia="Times New Roman" w:hAnsi="Calibri" w:cs="Calibri"/>
                <w:color w:val="000000"/>
                <w:sz w:val="20"/>
                <w:szCs w:val="20"/>
                <w:highlight w:val="black"/>
              </w:rPr>
            </w:pPr>
            <w:proofErr w:type="spellStart"/>
            <w:r w:rsidRPr="004D1056">
              <w:rPr>
                <w:rFonts w:ascii="Calibri" w:eastAsia="Times New Roman" w:hAnsi="Calibri" w:cs="Calibri"/>
                <w:color w:val="000000"/>
                <w:sz w:val="20"/>
                <w:szCs w:val="20"/>
                <w:highlight w:val="black"/>
              </w:rPr>
              <w:t>Xxxx</w:t>
            </w:r>
            <w:proofErr w:type="spellEnd"/>
          </w:p>
        </w:tc>
      </w:tr>
      <w:tr w:rsidR="00DF75BB" w:rsidRPr="00DF75BB" w14:paraId="5097540A" w14:textId="77777777" w:rsidTr="00DF75BB">
        <w:trPr>
          <w:trHeight w:val="300"/>
        </w:trPr>
        <w:tc>
          <w:tcPr>
            <w:tcW w:w="3292" w:type="dxa"/>
            <w:tcBorders>
              <w:top w:val="nil"/>
              <w:left w:val="single" w:sz="4" w:space="0" w:color="auto"/>
              <w:bottom w:val="single" w:sz="4" w:space="0" w:color="auto"/>
              <w:right w:val="single" w:sz="4" w:space="0" w:color="auto"/>
            </w:tcBorders>
            <w:shd w:val="clear" w:color="auto" w:fill="auto"/>
            <w:noWrap/>
            <w:vAlign w:val="bottom"/>
            <w:hideMark/>
          </w:tcPr>
          <w:p w14:paraId="5F3CC54B" w14:textId="77777777" w:rsidR="00DF75BB" w:rsidRPr="00DF75BB" w:rsidRDefault="00DF75BB" w:rsidP="00DF75BB">
            <w:pPr>
              <w:spacing w:after="0"/>
              <w:rPr>
                <w:rFonts w:ascii="Calibri" w:eastAsia="Times New Roman" w:hAnsi="Calibri" w:cs="Calibri"/>
                <w:color w:val="000000"/>
                <w:sz w:val="20"/>
                <w:szCs w:val="20"/>
              </w:rPr>
            </w:pPr>
            <w:r w:rsidRPr="00DF75BB">
              <w:rPr>
                <w:rFonts w:ascii="Calibri" w:eastAsia="Times New Roman" w:hAnsi="Calibri" w:cs="Calibri"/>
                <w:color w:val="000000"/>
                <w:sz w:val="20"/>
                <w:szCs w:val="20"/>
              </w:rPr>
              <w:t>Continuing treatment</w:t>
            </w:r>
          </w:p>
        </w:tc>
        <w:tc>
          <w:tcPr>
            <w:tcW w:w="954" w:type="dxa"/>
            <w:tcBorders>
              <w:top w:val="nil"/>
              <w:left w:val="nil"/>
              <w:bottom w:val="single" w:sz="4" w:space="0" w:color="auto"/>
              <w:right w:val="single" w:sz="4" w:space="0" w:color="auto"/>
            </w:tcBorders>
            <w:shd w:val="clear" w:color="auto" w:fill="auto"/>
            <w:noWrap/>
            <w:vAlign w:val="bottom"/>
            <w:hideMark/>
          </w:tcPr>
          <w:p w14:paraId="3969C7EE" w14:textId="77777777" w:rsidR="00DF75BB" w:rsidRPr="00DF75BB" w:rsidRDefault="00DF75BB" w:rsidP="00DF75BB">
            <w:pPr>
              <w:spacing w:after="0"/>
              <w:rPr>
                <w:rFonts w:ascii="Calibri" w:eastAsia="Times New Roman" w:hAnsi="Calibri" w:cs="Calibri"/>
                <w:color w:val="000000"/>
                <w:sz w:val="20"/>
                <w:szCs w:val="20"/>
              </w:rPr>
            </w:pPr>
            <w:r w:rsidRPr="00DF75BB">
              <w:rPr>
                <w:rFonts w:ascii="Calibri" w:eastAsia="Times New Roman" w:hAnsi="Calibri" w:cs="Calibri"/>
                <w:color w:val="000000"/>
                <w:sz w:val="20"/>
                <w:szCs w:val="20"/>
              </w:rPr>
              <w:t> </w:t>
            </w:r>
          </w:p>
        </w:tc>
        <w:tc>
          <w:tcPr>
            <w:tcW w:w="954" w:type="dxa"/>
            <w:tcBorders>
              <w:top w:val="nil"/>
              <w:left w:val="nil"/>
              <w:bottom w:val="single" w:sz="4" w:space="0" w:color="auto"/>
              <w:right w:val="single" w:sz="4" w:space="0" w:color="auto"/>
            </w:tcBorders>
            <w:shd w:val="clear" w:color="auto" w:fill="auto"/>
            <w:noWrap/>
            <w:vAlign w:val="bottom"/>
            <w:hideMark/>
          </w:tcPr>
          <w:p w14:paraId="2A27CEB4" w14:textId="143D97A8" w:rsidR="00DF75BB" w:rsidRPr="00B0791D" w:rsidRDefault="004D1056" w:rsidP="00DF75BB">
            <w:pPr>
              <w:spacing w:after="0"/>
              <w:jc w:val="right"/>
              <w:rPr>
                <w:rFonts w:ascii="Calibri" w:eastAsia="Times New Roman" w:hAnsi="Calibri" w:cs="Calibri"/>
                <w:color w:val="000000"/>
                <w:sz w:val="20"/>
                <w:szCs w:val="20"/>
                <w:highlight w:val="black"/>
              </w:rPr>
            </w:pPr>
            <w:proofErr w:type="spellStart"/>
            <w:r w:rsidRPr="00B0791D">
              <w:rPr>
                <w:rFonts w:ascii="Calibri" w:eastAsia="Times New Roman" w:hAnsi="Calibri" w:cs="Calibri"/>
                <w:color w:val="000000"/>
                <w:sz w:val="20"/>
                <w:szCs w:val="20"/>
                <w:highlight w:val="black"/>
              </w:rPr>
              <w:t>Xxxx</w:t>
            </w:r>
            <w:proofErr w:type="spellEnd"/>
          </w:p>
        </w:tc>
        <w:tc>
          <w:tcPr>
            <w:tcW w:w="954" w:type="dxa"/>
            <w:tcBorders>
              <w:top w:val="nil"/>
              <w:left w:val="nil"/>
              <w:bottom w:val="single" w:sz="4" w:space="0" w:color="auto"/>
              <w:right w:val="single" w:sz="4" w:space="0" w:color="auto"/>
            </w:tcBorders>
            <w:shd w:val="clear" w:color="auto" w:fill="auto"/>
            <w:noWrap/>
            <w:vAlign w:val="bottom"/>
            <w:hideMark/>
          </w:tcPr>
          <w:p w14:paraId="54318FAE" w14:textId="0FB6356B" w:rsidR="00DF75BB" w:rsidRPr="00B0791D" w:rsidRDefault="004D1056" w:rsidP="00DF75BB">
            <w:pPr>
              <w:spacing w:after="0"/>
              <w:jc w:val="right"/>
              <w:rPr>
                <w:rFonts w:ascii="Calibri" w:eastAsia="Times New Roman" w:hAnsi="Calibri" w:cs="Calibri"/>
                <w:color w:val="000000"/>
                <w:sz w:val="20"/>
                <w:szCs w:val="20"/>
                <w:highlight w:val="black"/>
              </w:rPr>
            </w:pPr>
            <w:proofErr w:type="spellStart"/>
            <w:r w:rsidRPr="00B0791D">
              <w:rPr>
                <w:rFonts w:ascii="Calibri" w:eastAsia="Times New Roman" w:hAnsi="Calibri" w:cs="Calibri"/>
                <w:color w:val="000000"/>
                <w:sz w:val="20"/>
                <w:szCs w:val="20"/>
                <w:highlight w:val="black"/>
              </w:rPr>
              <w:t>Xxxx</w:t>
            </w:r>
            <w:proofErr w:type="spellEnd"/>
          </w:p>
        </w:tc>
        <w:tc>
          <w:tcPr>
            <w:tcW w:w="954" w:type="dxa"/>
            <w:tcBorders>
              <w:top w:val="nil"/>
              <w:left w:val="nil"/>
              <w:bottom w:val="single" w:sz="4" w:space="0" w:color="auto"/>
              <w:right w:val="single" w:sz="4" w:space="0" w:color="auto"/>
            </w:tcBorders>
            <w:shd w:val="clear" w:color="auto" w:fill="auto"/>
            <w:noWrap/>
            <w:vAlign w:val="bottom"/>
            <w:hideMark/>
          </w:tcPr>
          <w:p w14:paraId="0C61DA36" w14:textId="1FFDAF0D" w:rsidR="00DF75BB" w:rsidRPr="00B0791D" w:rsidRDefault="004D1056" w:rsidP="00DF75BB">
            <w:pPr>
              <w:spacing w:after="0"/>
              <w:jc w:val="right"/>
              <w:rPr>
                <w:rFonts w:ascii="Calibri" w:eastAsia="Times New Roman" w:hAnsi="Calibri" w:cs="Calibri"/>
                <w:color w:val="000000"/>
                <w:sz w:val="20"/>
                <w:szCs w:val="20"/>
                <w:highlight w:val="black"/>
              </w:rPr>
            </w:pPr>
            <w:proofErr w:type="spellStart"/>
            <w:r w:rsidRPr="00B0791D">
              <w:rPr>
                <w:rFonts w:ascii="Calibri" w:eastAsia="Times New Roman" w:hAnsi="Calibri" w:cs="Calibri"/>
                <w:color w:val="000000"/>
                <w:sz w:val="20"/>
                <w:szCs w:val="20"/>
                <w:highlight w:val="black"/>
              </w:rPr>
              <w:t>Xxxx</w:t>
            </w:r>
            <w:proofErr w:type="spellEnd"/>
          </w:p>
        </w:tc>
        <w:tc>
          <w:tcPr>
            <w:tcW w:w="954" w:type="dxa"/>
            <w:tcBorders>
              <w:top w:val="nil"/>
              <w:left w:val="nil"/>
              <w:bottom w:val="single" w:sz="4" w:space="0" w:color="auto"/>
              <w:right w:val="single" w:sz="4" w:space="0" w:color="auto"/>
            </w:tcBorders>
            <w:shd w:val="clear" w:color="auto" w:fill="auto"/>
            <w:noWrap/>
            <w:vAlign w:val="bottom"/>
            <w:hideMark/>
          </w:tcPr>
          <w:p w14:paraId="20FCEE7C" w14:textId="33E9AC5F" w:rsidR="00DF75BB" w:rsidRPr="00B0791D" w:rsidRDefault="004D1056" w:rsidP="00DF75BB">
            <w:pPr>
              <w:spacing w:after="0"/>
              <w:jc w:val="right"/>
              <w:rPr>
                <w:rFonts w:ascii="Calibri" w:eastAsia="Times New Roman" w:hAnsi="Calibri" w:cs="Calibri"/>
                <w:color w:val="000000"/>
                <w:sz w:val="20"/>
                <w:szCs w:val="20"/>
                <w:highlight w:val="black"/>
              </w:rPr>
            </w:pPr>
            <w:proofErr w:type="spellStart"/>
            <w:r w:rsidRPr="00B0791D">
              <w:rPr>
                <w:rFonts w:ascii="Calibri" w:eastAsia="Times New Roman" w:hAnsi="Calibri" w:cs="Calibri"/>
                <w:color w:val="000000"/>
                <w:sz w:val="20"/>
                <w:szCs w:val="20"/>
                <w:highlight w:val="black"/>
              </w:rPr>
              <w:t>Xxxx</w:t>
            </w:r>
            <w:proofErr w:type="spellEnd"/>
          </w:p>
        </w:tc>
        <w:tc>
          <w:tcPr>
            <w:tcW w:w="954" w:type="dxa"/>
            <w:tcBorders>
              <w:top w:val="nil"/>
              <w:left w:val="nil"/>
              <w:bottom w:val="single" w:sz="4" w:space="0" w:color="auto"/>
              <w:right w:val="single" w:sz="4" w:space="0" w:color="auto"/>
            </w:tcBorders>
            <w:shd w:val="clear" w:color="auto" w:fill="auto"/>
            <w:noWrap/>
            <w:vAlign w:val="bottom"/>
            <w:hideMark/>
          </w:tcPr>
          <w:p w14:paraId="2255CC9C" w14:textId="74A12CD3" w:rsidR="00DF75BB" w:rsidRPr="00B0791D" w:rsidRDefault="004D1056" w:rsidP="00DF75BB">
            <w:pPr>
              <w:spacing w:after="0"/>
              <w:jc w:val="right"/>
              <w:rPr>
                <w:rFonts w:ascii="Calibri" w:eastAsia="Times New Roman" w:hAnsi="Calibri" w:cs="Calibri"/>
                <w:color w:val="000000"/>
                <w:sz w:val="20"/>
                <w:szCs w:val="20"/>
                <w:highlight w:val="black"/>
              </w:rPr>
            </w:pPr>
            <w:proofErr w:type="spellStart"/>
            <w:r w:rsidRPr="00B0791D">
              <w:rPr>
                <w:rFonts w:ascii="Calibri" w:eastAsia="Times New Roman" w:hAnsi="Calibri" w:cs="Calibri"/>
                <w:color w:val="000000"/>
                <w:sz w:val="20"/>
                <w:szCs w:val="20"/>
                <w:highlight w:val="black"/>
              </w:rPr>
              <w:t>xxxx</w:t>
            </w:r>
            <w:proofErr w:type="spellEnd"/>
          </w:p>
        </w:tc>
      </w:tr>
      <w:tr w:rsidR="00541A01" w:rsidRPr="00DF75BB" w14:paraId="1AC8158F" w14:textId="77777777" w:rsidTr="00FF0473">
        <w:trPr>
          <w:trHeight w:val="300"/>
        </w:trPr>
        <w:tc>
          <w:tcPr>
            <w:tcW w:w="9016" w:type="dxa"/>
            <w:gridSpan w:val="7"/>
            <w:tcBorders>
              <w:top w:val="nil"/>
              <w:left w:val="single" w:sz="4" w:space="0" w:color="auto"/>
              <w:bottom w:val="single" w:sz="4" w:space="0" w:color="auto"/>
              <w:right w:val="single" w:sz="4" w:space="0" w:color="auto"/>
            </w:tcBorders>
            <w:shd w:val="clear" w:color="auto" w:fill="auto"/>
            <w:noWrap/>
            <w:vAlign w:val="bottom"/>
            <w:hideMark/>
          </w:tcPr>
          <w:p w14:paraId="398768B1" w14:textId="0D8F54E7" w:rsidR="00541A01" w:rsidRPr="00DF75BB" w:rsidRDefault="00541A01" w:rsidP="00DF75BB">
            <w:pPr>
              <w:spacing w:after="0"/>
              <w:rPr>
                <w:rFonts w:ascii="Calibri" w:eastAsia="Times New Roman" w:hAnsi="Calibri" w:cs="Calibri"/>
                <w:color w:val="000000"/>
                <w:sz w:val="20"/>
                <w:szCs w:val="20"/>
              </w:rPr>
            </w:pPr>
          </w:p>
        </w:tc>
      </w:tr>
      <w:tr w:rsidR="00DF75BB" w:rsidRPr="00DF75BB" w14:paraId="5E52A513" w14:textId="77777777" w:rsidTr="00DF75BB">
        <w:trPr>
          <w:trHeight w:val="300"/>
        </w:trPr>
        <w:tc>
          <w:tcPr>
            <w:tcW w:w="3292" w:type="dxa"/>
            <w:tcBorders>
              <w:top w:val="nil"/>
              <w:left w:val="single" w:sz="4" w:space="0" w:color="auto"/>
              <w:bottom w:val="single" w:sz="4" w:space="0" w:color="auto"/>
              <w:right w:val="single" w:sz="4" w:space="0" w:color="auto"/>
            </w:tcBorders>
            <w:shd w:val="clear" w:color="auto" w:fill="auto"/>
            <w:noWrap/>
            <w:vAlign w:val="bottom"/>
            <w:hideMark/>
          </w:tcPr>
          <w:p w14:paraId="08EFDED4" w14:textId="77777777" w:rsidR="00DF75BB" w:rsidRPr="00DF75BB" w:rsidRDefault="00DF75BB" w:rsidP="00DF75BB">
            <w:pPr>
              <w:spacing w:after="0"/>
              <w:rPr>
                <w:rFonts w:ascii="Calibri" w:eastAsia="Times New Roman" w:hAnsi="Calibri" w:cs="Calibri"/>
                <w:color w:val="000000"/>
                <w:sz w:val="20"/>
                <w:szCs w:val="20"/>
              </w:rPr>
            </w:pPr>
            <w:r w:rsidRPr="00DF75BB">
              <w:rPr>
                <w:rFonts w:ascii="Calibri" w:eastAsia="Times New Roman" w:hAnsi="Calibri" w:cs="Calibri"/>
                <w:color w:val="000000"/>
                <w:sz w:val="20"/>
                <w:szCs w:val="20"/>
              </w:rPr>
              <w:t>Estimated uptake in patients aged 12-17</w:t>
            </w:r>
          </w:p>
        </w:tc>
        <w:tc>
          <w:tcPr>
            <w:tcW w:w="954" w:type="dxa"/>
            <w:tcBorders>
              <w:top w:val="nil"/>
              <w:left w:val="nil"/>
              <w:bottom w:val="single" w:sz="4" w:space="0" w:color="auto"/>
              <w:right w:val="single" w:sz="4" w:space="0" w:color="auto"/>
            </w:tcBorders>
            <w:shd w:val="clear" w:color="auto" w:fill="auto"/>
            <w:noWrap/>
            <w:vAlign w:val="bottom"/>
            <w:hideMark/>
          </w:tcPr>
          <w:p w14:paraId="75441041" w14:textId="77777777" w:rsidR="00DF75BB" w:rsidRPr="00DF75BB" w:rsidRDefault="00DF75BB" w:rsidP="00DF75BB">
            <w:pPr>
              <w:spacing w:after="0"/>
              <w:rPr>
                <w:rFonts w:ascii="Calibri" w:eastAsia="Times New Roman" w:hAnsi="Calibri" w:cs="Calibri"/>
                <w:color w:val="000000"/>
                <w:sz w:val="20"/>
                <w:szCs w:val="20"/>
              </w:rPr>
            </w:pPr>
            <w:r w:rsidRPr="00DF75BB">
              <w:rPr>
                <w:rFonts w:ascii="Calibri" w:eastAsia="Times New Roman" w:hAnsi="Calibri" w:cs="Calibri"/>
                <w:color w:val="000000"/>
                <w:sz w:val="20"/>
                <w:szCs w:val="20"/>
              </w:rPr>
              <w:t> </w:t>
            </w:r>
          </w:p>
        </w:tc>
        <w:tc>
          <w:tcPr>
            <w:tcW w:w="954" w:type="dxa"/>
            <w:tcBorders>
              <w:top w:val="nil"/>
              <w:left w:val="nil"/>
              <w:bottom w:val="single" w:sz="4" w:space="0" w:color="auto"/>
              <w:right w:val="single" w:sz="4" w:space="0" w:color="auto"/>
            </w:tcBorders>
            <w:shd w:val="clear" w:color="auto" w:fill="auto"/>
            <w:noWrap/>
            <w:vAlign w:val="bottom"/>
            <w:hideMark/>
          </w:tcPr>
          <w:p w14:paraId="4F307204" w14:textId="77777777" w:rsidR="00DF75BB" w:rsidRPr="00DF75BB" w:rsidRDefault="00DF75BB" w:rsidP="00DF75BB">
            <w:pPr>
              <w:spacing w:after="0"/>
              <w:rPr>
                <w:rFonts w:ascii="Calibri" w:eastAsia="Times New Roman" w:hAnsi="Calibri" w:cs="Calibri"/>
                <w:color w:val="000000"/>
                <w:sz w:val="20"/>
                <w:szCs w:val="20"/>
              </w:rPr>
            </w:pPr>
            <w:r w:rsidRPr="00DF75BB">
              <w:rPr>
                <w:rFonts w:ascii="Calibri" w:eastAsia="Times New Roman" w:hAnsi="Calibri" w:cs="Calibri"/>
                <w:color w:val="000000"/>
                <w:sz w:val="20"/>
                <w:szCs w:val="20"/>
              </w:rPr>
              <w:t> </w:t>
            </w:r>
          </w:p>
        </w:tc>
        <w:tc>
          <w:tcPr>
            <w:tcW w:w="954" w:type="dxa"/>
            <w:tcBorders>
              <w:top w:val="nil"/>
              <w:left w:val="nil"/>
              <w:bottom w:val="single" w:sz="4" w:space="0" w:color="auto"/>
              <w:right w:val="single" w:sz="4" w:space="0" w:color="auto"/>
            </w:tcBorders>
            <w:shd w:val="clear" w:color="auto" w:fill="auto"/>
            <w:noWrap/>
            <w:vAlign w:val="bottom"/>
            <w:hideMark/>
          </w:tcPr>
          <w:p w14:paraId="1092EC95" w14:textId="77777777" w:rsidR="00DF75BB" w:rsidRPr="00DF75BB" w:rsidRDefault="00DF75BB" w:rsidP="00DF75BB">
            <w:pPr>
              <w:spacing w:after="0"/>
              <w:rPr>
                <w:rFonts w:ascii="Calibri" w:eastAsia="Times New Roman" w:hAnsi="Calibri" w:cs="Calibri"/>
                <w:color w:val="000000"/>
                <w:sz w:val="20"/>
                <w:szCs w:val="20"/>
              </w:rPr>
            </w:pPr>
            <w:r w:rsidRPr="00DF75BB">
              <w:rPr>
                <w:rFonts w:ascii="Calibri" w:eastAsia="Times New Roman" w:hAnsi="Calibri" w:cs="Calibri"/>
                <w:color w:val="000000"/>
                <w:sz w:val="20"/>
                <w:szCs w:val="20"/>
              </w:rPr>
              <w:t> </w:t>
            </w:r>
          </w:p>
        </w:tc>
        <w:tc>
          <w:tcPr>
            <w:tcW w:w="954" w:type="dxa"/>
            <w:tcBorders>
              <w:top w:val="nil"/>
              <w:left w:val="nil"/>
              <w:bottom w:val="single" w:sz="4" w:space="0" w:color="auto"/>
              <w:right w:val="single" w:sz="4" w:space="0" w:color="auto"/>
            </w:tcBorders>
            <w:shd w:val="clear" w:color="auto" w:fill="auto"/>
            <w:noWrap/>
            <w:vAlign w:val="bottom"/>
            <w:hideMark/>
          </w:tcPr>
          <w:p w14:paraId="6F8ABD88" w14:textId="77777777" w:rsidR="00DF75BB" w:rsidRPr="00DF75BB" w:rsidRDefault="00DF75BB" w:rsidP="00DF75BB">
            <w:pPr>
              <w:spacing w:after="0"/>
              <w:rPr>
                <w:rFonts w:ascii="Calibri" w:eastAsia="Times New Roman" w:hAnsi="Calibri" w:cs="Calibri"/>
                <w:color w:val="000000"/>
                <w:sz w:val="20"/>
                <w:szCs w:val="20"/>
              </w:rPr>
            </w:pPr>
            <w:r w:rsidRPr="00DF75BB">
              <w:rPr>
                <w:rFonts w:ascii="Calibri" w:eastAsia="Times New Roman" w:hAnsi="Calibri" w:cs="Calibri"/>
                <w:color w:val="000000"/>
                <w:sz w:val="20"/>
                <w:szCs w:val="20"/>
              </w:rPr>
              <w:t> </w:t>
            </w:r>
          </w:p>
        </w:tc>
        <w:tc>
          <w:tcPr>
            <w:tcW w:w="954" w:type="dxa"/>
            <w:tcBorders>
              <w:top w:val="nil"/>
              <w:left w:val="nil"/>
              <w:bottom w:val="single" w:sz="4" w:space="0" w:color="auto"/>
              <w:right w:val="single" w:sz="4" w:space="0" w:color="auto"/>
            </w:tcBorders>
            <w:shd w:val="clear" w:color="auto" w:fill="auto"/>
            <w:noWrap/>
            <w:vAlign w:val="bottom"/>
            <w:hideMark/>
          </w:tcPr>
          <w:p w14:paraId="38960D75" w14:textId="77777777" w:rsidR="00DF75BB" w:rsidRPr="00DF75BB" w:rsidRDefault="00DF75BB" w:rsidP="00DF75BB">
            <w:pPr>
              <w:spacing w:after="0"/>
              <w:rPr>
                <w:rFonts w:ascii="Calibri" w:eastAsia="Times New Roman" w:hAnsi="Calibri" w:cs="Calibri"/>
                <w:color w:val="000000"/>
                <w:sz w:val="20"/>
                <w:szCs w:val="20"/>
              </w:rPr>
            </w:pPr>
            <w:r w:rsidRPr="00DF75BB">
              <w:rPr>
                <w:rFonts w:ascii="Calibri" w:eastAsia="Times New Roman" w:hAnsi="Calibri" w:cs="Calibri"/>
                <w:color w:val="000000"/>
                <w:sz w:val="20"/>
                <w:szCs w:val="20"/>
              </w:rPr>
              <w:t> </w:t>
            </w:r>
          </w:p>
        </w:tc>
        <w:tc>
          <w:tcPr>
            <w:tcW w:w="954" w:type="dxa"/>
            <w:tcBorders>
              <w:top w:val="nil"/>
              <w:left w:val="nil"/>
              <w:bottom w:val="single" w:sz="4" w:space="0" w:color="auto"/>
              <w:right w:val="single" w:sz="4" w:space="0" w:color="auto"/>
            </w:tcBorders>
            <w:shd w:val="clear" w:color="auto" w:fill="auto"/>
            <w:noWrap/>
            <w:vAlign w:val="bottom"/>
            <w:hideMark/>
          </w:tcPr>
          <w:p w14:paraId="6F8F0F80" w14:textId="77777777" w:rsidR="00DF75BB" w:rsidRPr="00DF75BB" w:rsidRDefault="00DF75BB" w:rsidP="00DF75BB">
            <w:pPr>
              <w:spacing w:after="0"/>
              <w:rPr>
                <w:rFonts w:ascii="Calibri" w:eastAsia="Times New Roman" w:hAnsi="Calibri" w:cs="Calibri"/>
                <w:color w:val="000000"/>
                <w:sz w:val="20"/>
                <w:szCs w:val="20"/>
              </w:rPr>
            </w:pPr>
            <w:r w:rsidRPr="00DF75BB">
              <w:rPr>
                <w:rFonts w:ascii="Calibri" w:eastAsia="Times New Roman" w:hAnsi="Calibri" w:cs="Calibri"/>
                <w:color w:val="000000"/>
                <w:sz w:val="20"/>
                <w:szCs w:val="20"/>
              </w:rPr>
              <w:t> </w:t>
            </w:r>
          </w:p>
        </w:tc>
      </w:tr>
      <w:tr w:rsidR="004D1056" w:rsidRPr="00DF75BB" w14:paraId="4AFB92E6" w14:textId="77777777" w:rsidTr="00DF75BB">
        <w:trPr>
          <w:trHeight w:val="300"/>
        </w:trPr>
        <w:tc>
          <w:tcPr>
            <w:tcW w:w="3292" w:type="dxa"/>
            <w:tcBorders>
              <w:top w:val="nil"/>
              <w:left w:val="single" w:sz="4" w:space="0" w:color="auto"/>
              <w:bottom w:val="single" w:sz="4" w:space="0" w:color="auto"/>
              <w:right w:val="single" w:sz="4" w:space="0" w:color="auto"/>
            </w:tcBorders>
            <w:shd w:val="clear" w:color="auto" w:fill="auto"/>
            <w:noWrap/>
            <w:vAlign w:val="bottom"/>
            <w:hideMark/>
          </w:tcPr>
          <w:p w14:paraId="2393A23F" w14:textId="77777777" w:rsidR="004D1056" w:rsidRPr="00DF75BB" w:rsidRDefault="004D1056" w:rsidP="004D1056">
            <w:pPr>
              <w:spacing w:after="0"/>
              <w:rPr>
                <w:rFonts w:ascii="Calibri" w:eastAsia="Times New Roman" w:hAnsi="Calibri" w:cs="Calibri"/>
                <w:color w:val="000000"/>
                <w:sz w:val="20"/>
                <w:szCs w:val="20"/>
              </w:rPr>
            </w:pPr>
            <w:r w:rsidRPr="00DF75BB">
              <w:rPr>
                <w:rFonts w:ascii="Calibri" w:eastAsia="Times New Roman" w:hAnsi="Calibri" w:cs="Calibri"/>
                <w:color w:val="000000"/>
                <w:sz w:val="20"/>
                <w:szCs w:val="20"/>
              </w:rPr>
              <w:t>Initiating treatment</w:t>
            </w:r>
          </w:p>
        </w:tc>
        <w:tc>
          <w:tcPr>
            <w:tcW w:w="954" w:type="dxa"/>
            <w:tcBorders>
              <w:top w:val="nil"/>
              <w:left w:val="nil"/>
              <w:bottom w:val="single" w:sz="4" w:space="0" w:color="auto"/>
              <w:right w:val="single" w:sz="4" w:space="0" w:color="auto"/>
            </w:tcBorders>
            <w:shd w:val="clear" w:color="auto" w:fill="auto"/>
            <w:noWrap/>
            <w:vAlign w:val="bottom"/>
            <w:hideMark/>
          </w:tcPr>
          <w:p w14:paraId="71C40447" w14:textId="24C0550E" w:rsidR="004D1056" w:rsidRPr="00DF75BB"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54" w:type="dxa"/>
            <w:tcBorders>
              <w:top w:val="nil"/>
              <w:left w:val="nil"/>
              <w:bottom w:val="single" w:sz="4" w:space="0" w:color="auto"/>
              <w:right w:val="single" w:sz="4" w:space="0" w:color="auto"/>
            </w:tcBorders>
            <w:shd w:val="clear" w:color="auto" w:fill="auto"/>
            <w:noWrap/>
            <w:vAlign w:val="bottom"/>
            <w:hideMark/>
          </w:tcPr>
          <w:p w14:paraId="07E51D3E" w14:textId="6AA76FC7" w:rsidR="004D1056" w:rsidRPr="00DF75BB"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54" w:type="dxa"/>
            <w:tcBorders>
              <w:top w:val="nil"/>
              <w:left w:val="nil"/>
              <w:bottom w:val="single" w:sz="4" w:space="0" w:color="auto"/>
              <w:right w:val="single" w:sz="4" w:space="0" w:color="auto"/>
            </w:tcBorders>
            <w:shd w:val="clear" w:color="auto" w:fill="auto"/>
            <w:noWrap/>
            <w:vAlign w:val="bottom"/>
            <w:hideMark/>
          </w:tcPr>
          <w:p w14:paraId="7B9F9A54" w14:textId="7EFE84E2" w:rsidR="004D1056" w:rsidRPr="00DF75BB"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54" w:type="dxa"/>
            <w:tcBorders>
              <w:top w:val="nil"/>
              <w:left w:val="nil"/>
              <w:bottom w:val="single" w:sz="4" w:space="0" w:color="auto"/>
              <w:right w:val="single" w:sz="4" w:space="0" w:color="auto"/>
            </w:tcBorders>
            <w:shd w:val="clear" w:color="auto" w:fill="auto"/>
            <w:noWrap/>
            <w:vAlign w:val="bottom"/>
            <w:hideMark/>
          </w:tcPr>
          <w:p w14:paraId="34F07B4F" w14:textId="08E41185" w:rsidR="004D1056" w:rsidRPr="00DF75BB"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54" w:type="dxa"/>
            <w:tcBorders>
              <w:top w:val="nil"/>
              <w:left w:val="nil"/>
              <w:bottom w:val="single" w:sz="4" w:space="0" w:color="auto"/>
              <w:right w:val="single" w:sz="4" w:space="0" w:color="auto"/>
            </w:tcBorders>
            <w:shd w:val="clear" w:color="auto" w:fill="auto"/>
            <w:noWrap/>
            <w:vAlign w:val="bottom"/>
            <w:hideMark/>
          </w:tcPr>
          <w:p w14:paraId="08B743AB" w14:textId="56B5887F" w:rsidR="004D1056" w:rsidRPr="00DF75BB"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54" w:type="dxa"/>
            <w:tcBorders>
              <w:top w:val="nil"/>
              <w:left w:val="nil"/>
              <w:bottom w:val="single" w:sz="4" w:space="0" w:color="auto"/>
              <w:right w:val="single" w:sz="4" w:space="0" w:color="auto"/>
            </w:tcBorders>
            <w:shd w:val="clear" w:color="auto" w:fill="auto"/>
            <w:noWrap/>
            <w:vAlign w:val="bottom"/>
            <w:hideMark/>
          </w:tcPr>
          <w:p w14:paraId="79ABB2E9" w14:textId="45F9CC84" w:rsidR="004D1056" w:rsidRPr="00DF75BB"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r>
      <w:tr w:rsidR="004D1056" w:rsidRPr="00DF75BB" w14:paraId="33EBCF27" w14:textId="77777777" w:rsidTr="00DF75BB">
        <w:trPr>
          <w:trHeight w:val="300"/>
        </w:trPr>
        <w:tc>
          <w:tcPr>
            <w:tcW w:w="3292" w:type="dxa"/>
            <w:tcBorders>
              <w:top w:val="nil"/>
              <w:left w:val="single" w:sz="4" w:space="0" w:color="auto"/>
              <w:bottom w:val="single" w:sz="4" w:space="0" w:color="auto"/>
              <w:right w:val="single" w:sz="4" w:space="0" w:color="auto"/>
            </w:tcBorders>
            <w:shd w:val="clear" w:color="auto" w:fill="auto"/>
            <w:noWrap/>
            <w:vAlign w:val="bottom"/>
            <w:hideMark/>
          </w:tcPr>
          <w:p w14:paraId="303F5DF1" w14:textId="77777777" w:rsidR="004D1056" w:rsidRPr="00DF75BB" w:rsidRDefault="004D1056" w:rsidP="004D1056">
            <w:pPr>
              <w:spacing w:after="0"/>
              <w:rPr>
                <w:rFonts w:ascii="Calibri" w:eastAsia="Times New Roman" w:hAnsi="Calibri" w:cs="Calibri"/>
                <w:color w:val="000000"/>
                <w:sz w:val="20"/>
                <w:szCs w:val="20"/>
              </w:rPr>
            </w:pPr>
            <w:r w:rsidRPr="00DF75BB">
              <w:rPr>
                <w:rFonts w:ascii="Calibri" w:eastAsia="Times New Roman" w:hAnsi="Calibri" w:cs="Calibri"/>
                <w:color w:val="000000"/>
                <w:sz w:val="20"/>
                <w:szCs w:val="20"/>
              </w:rPr>
              <w:t>Continuing treatment</w:t>
            </w:r>
          </w:p>
        </w:tc>
        <w:tc>
          <w:tcPr>
            <w:tcW w:w="954" w:type="dxa"/>
            <w:tcBorders>
              <w:top w:val="nil"/>
              <w:left w:val="nil"/>
              <w:bottom w:val="single" w:sz="4" w:space="0" w:color="auto"/>
              <w:right w:val="single" w:sz="4" w:space="0" w:color="auto"/>
            </w:tcBorders>
            <w:shd w:val="clear" w:color="auto" w:fill="auto"/>
            <w:noWrap/>
            <w:vAlign w:val="bottom"/>
            <w:hideMark/>
          </w:tcPr>
          <w:p w14:paraId="0A03BEF8" w14:textId="3E8C3F73" w:rsidR="004D1056" w:rsidRPr="00DF75BB"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54" w:type="dxa"/>
            <w:tcBorders>
              <w:top w:val="nil"/>
              <w:left w:val="nil"/>
              <w:bottom w:val="single" w:sz="4" w:space="0" w:color="auto"/>
              <w:right w:val="single" w:sz="4" w:space="0" w:color="auto"/>
            </w:tcBorders>
            <w:shd w:val="clear" w:color="auto" w:fill="auto"/>
            <w:noWrap/>
            <w:vAlign w:val="bottom"/>
            <w:hideMark/>
          </w:tcPr>
          <w:p w14:paraId="4CC1F075" w14:textId="12861CF3" w:rsidR="004D1056" w:rsidRPr="00DF75BB"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54" w:type="dxa"/>
            <w:tcBorders>
              <w:top w:val="nil"/>
              <w:left w:val="nil"/>
              <w:bottom w:val="single" w:sz="4" w:space="0" w:color="auto"/>
              <w:right w:val="single" w:sz="4" w:space="0" w:color="auto"/>
            </w:tcBorders>
            <w:shd w:val="clear" w:color="auto" w:fill="auto"/>
            <w:noWrap/>
            <w:vAlign w:val="bottom"/>
            <w:hideMark/>
          </w:tcPr>
          <w:p w14:paraId="47329377" w14:textId="38E27BCD" w:rsidR="004D1056" w:rsidRPr="00DF75BB"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54" w:type="dxa"/>
            <w:tcBorders>
              <w:top w:val="nil"/>
              <w:left w:val="nil"/>
              <w:bottom w:val="single" w:sz="4" w:space="0" w:color="auto"/>
              <w:right w:val="single" w:sz="4" w:space="0" w:color="auto"/>
            </w:tcBorders>
            <w:shd w:val="clear" w:color="auto" w:fill="auto"/>
            <w:noWrap/>
            <w:vAlign w:val="bottom"/>
            <w:hideMark/>
          </w:tcPr>
          <w:p w14:paraId="7A5029B3" w14:textId="164E5F52" w:rsidR="004D1056" w:rsidRPr="00DF75BB"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54" w:type="dxa"/>
            <w:tcBorders>
              <w:top w:val="nil"/>
              <w:left w:val="nil"/>
              <w:bottom w:val="single" w:sz="4" w:space="0" w:color="auto"/>
              <w:right w:val="single" w:sz="4" w:space="0" w:color="auto"/>
            </w:tcBorders>
            <w:shd w:val="clear" w:color="auto" w:fill="auto"/>
            <w:noWrap/>
            <w:vAlign w:val="bottom"/>
            <w:hideMark/>
          </w:tcPr>
          <w:p w14:paraId="705CA053" w14:textId="6D4715A0" w:rsidR="004D1056" w:rsidRPr="00DF75BB"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54" w:type="dxa"/>
            <w:tcBorders>
              <w:top w:val="nil"/>
              <w:left w:val="nil"/>
              <w:bottom w:val="single" w:sz="4" w:space="0" w:color="auto"/>
              <w:right w:val="single" w:sz="4" w:space="0" w:color="auto"/>
            </w:tcBorders>
            <w:shd w:val="clear" w:color="auto" w:fill="auto"/>
            <w:noWrap/>
            <w:vAlign w:val="bottom"/>
            <w:hideMark/>
          </w:tcPr>
          <w:p w14:paraId="2C7F8A5D" w14:textId="65EC4329" w:rsidR="004D1056" w:rsidRPr="00DF75BB"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r>
    </w:tbl>
    <w:p w14:paraId="4F625820" w14:textId="77777777" w:rsidR="00D82CE4" w:rsidRDefault="00D82CE4" w:rsidP="00A35800"/>
    <w:p w14:paraId="7E0C56D4" w14:textId="04AED038" w:rsidR="00E7129A" w:rsidRDefault="00A637B7" w:rsidP="00A35800">
      <w:r>
        <w:t>The submission also included a grandfathered population</w:t>
      </w:r>
      <w:r w:rsidR="00FC452B">
        <w:t xml:space="preserve">. It assumed that prior to listing </w:t>
      </w:r>
      <w:r w:rsidR="005F528F">
        <w:t xml:space="preserve">there would be </w:t>
      </w:r>
      <w:r w:rsidR="00A00BEA" w:rsidRPr="00A00BEA">
        <w:rPr>
          <w:highlight w:val="black"/>
        </w:rPr>
        <w:t>xxx</w:t>
      </w:r>
      <w:r w:rsidR="00FC452B">
        <w:t xml:space="preserve"> </w:t>
      </w:r>
      <w:r w:rsidR="003F0D11">
        <w:t xml:space="preserve">patients eligible for </w:t>
      </w:r>
      <w:r w:rsidR="00872858">
        <w:t xml:space="preserve">dupilumab and that </w:t>
      </w:r>
      <w:proofErr w:type="spellStart"/>
      <w:r w:rsidR="00A00BEA" w:rsidRPr="00A00BEA">
        <w:rPr>
          <w:highlight w:val="black"/>
        </w:rPr>
        <w:t>xxxx</w:t>
      </w:r>
      <w:proofErr w:type="spellEnd"/>
      <w:r w:rsidR="00872858">
        <w:t xml:space="preserve"> of these </w:t>
      </w:r>
      <w:r w:rsidR="00C227DE">
        <w:t>(</w:t>
      </w:r>
      <w:r w:rsidR="00A00BEA" w:rsidRPr="00A00BEA">
        <w:rPr>
          <w:highlight w:val="black"/>
        </w:rPr>
        <w:t>xxx</w:t>
      </w:r>
      <w:r w:rsidR="00C227DE">
        <w:t xml:space="preserve">) </w:t>
      </w:r>
      <w:r w:rsidR="00872858">
        <w:t xml:space="preserve">would </w:t>
      </w:r>
      <w:r w:rsidR="00C227DE">
        <w:t>be supplied PBS treatment in the first year of listing</w:t>
      </w:r>
      <w:r w:rsidR="005B39E9">
        <w:t xml:space="preserve">, with an additional </w:t>
      </w:r>
      <w:proofErr w:type="spellStart"/>
      <w:r w:rsidR="00A00BEA" w:rsidRPr="00A00BEA">
        <w:rPr>
          <w:highlight w:val="black"/>
        </w:rPr>
        <w:t>xxxx</w:t>
      </w:r>
      <w:proofErr w:type="spellEnd"/>
      <w:r w:rsidR="005B39E9">
        <w:t xml:space="preserve"> ceasing treatment in each subsequent year.</w:t>
      </w:r>
      <w:r w:rsidR="00C227DE">
        <w:t xml:space="preserve"> </w:t>
      </w:r>
    </w:p>
    <w:p w14:paraId="758B5C5D" w14:textId="2BEFEFA2" w:rsidR="0052578A" w:rsidRDefault="00C814FA" w:rsidP="00541A01">
      <w:pPr>
        <w:pStyle w:val="Tabletitle"/>
      </w:pPr>
      <w:r>
        <w:t xml:space="preserve">Table </w:t>
      </w:r>
      <w:r w:rsidR="00EA7D2D">
        <w:t>5</w:t>
      </w:r>
      <w:r>
        <w:t xml:space="preserve">: </w:t>
      </w:r>
      <w:r w:rsidR="00541A01">
        <w:t>Estimates of all submissions</w:t>
      </w:r>
    </w:p>
    <w:tbl>
      <w:tblPr>
        <w:tblW w:w="8760" w:type="dxa"/>
        <w:tblInd w:w="113" w:type="dxa"/>
        <w:tblLook w:val="04A0" w:firstRow="1" w:lastRow="0" w:firstColumn="1" w:lastColumn="0" w:noHBand="0" w:noVBand="1"/>
      </w:tblPr>
      <w:tblGrid>
        <w:gridCol w:w="1340"/>
        <w:gridCol w:w="1660"/>
        <w:gridCol w:w="960"/>
        <w:gridCol w:w="960"/>
        <w:gridCol w:w="960"/>
        <w:gridCol w:w="960"/>
        <w:gridCol w:w="960"/>
        <w:gridCol w:w="960"/>
      </w:tblGrid>
      <w:tr w:rsidR="00C814FA" w:rsidRPr="00C814FA" w14:paraId="5D3556C2" w14:textId="77777777" w:rsidTr="00541A01">
        <w:trPr>
          <w:trHeight w:val="300"/>
        </w:trPr>
        <w:tc>
          <w:tcPr>
            <w:tcW w:w="13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2A8FD163" w14:textId="77777777" w:rsidR="00C814FA" w:rsidRPr="00C814FA" w:rsidRDefault="00C814FA" w:rsidP="00C814FA">
            <w:pPr>
              <w:spacing w:after="0"/>
              <w:rPr>
                <w:rFonts w:ascii="Calibri" w:eastAsia="Times New Roman" w:hAnsi="Calibri" w:cs="Calibri"/>
                <w:b/>
                <w:bCs/>
                <w:color w:val="000000"/>
                <w:sz w:val="20"/>
                <w:szCs w:val="20"/>
              </w:rPr>
            </w:pPr>
            <w:r w:rsidRPr="00C814FA">
              <w:rPr>
                <w:rFonts w:ascii="Calibri" w:eastAsia="Times New Roman" w:hAnsi="Calibri" w:cs="Calibri"/>
                <w:b/>
                <w:bCs/>
                <w:color w:val="000000"/>
                <w:sz w:val="20"/>
                <w:szCs w:val="20"/>
              </w:rPr>
              <w:t> </w:t>
            </w:r>
          </w:p>
        </w:tc>
        <w:tc>
          <w:tcPr>
            <w:tcW w:w="166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6A607E28" w14:textId="77777777" w:rsidR="00C814FA" w:rsidRPr="00C814FA" w:rsidRDefault="00C814FA" w:rsidP="00C814FA">
            <w:pPr>
              <w:spacing w:after="0"/>
              <w:rPr>
                <w:rFonts w:ascii="Calibri" w:eastAsia="Times New Roman" w:hAnsi="Calibri" w:cs="Calibri"/>
                <w:b/>
                <w:bCs/>
                <w:color w:val="000000"/>
                <w:sz w:val="20"/>
                <w:szCs w:val="20"/>
              </w:rPr>
            </w:pPr>
            <w:r w:rsidRPr="00C814FA">
              <w:rPr>
                <w:rFonts w:ascii="Calibri" w:eastAsia="Times New Roman" w:hAnsi="Calibri" w:cs="Calibri"/>
                <w:b/>
                <w:bCs/>
                <w:color w:val="000000"/>
                <w:sz w:val="20"/>
                <w:szCs w:val="20"/>
              </w:rPr>
              <w:t> </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2D4B168" w14:textId="77777777" w:rsidR="00C814FA" w:rsidRPr="00C814FA" w:rsidRDefault="00C814FA" w:rsidP="00C814FA">
            <w:pPr>
              <w:spacing w:after="0"/>
              <w:rPr>
                <w:rFonts w:ascii="Calibri" w:eastAsia="Times New Roman" w:hAnsi="Calibri" w:cs="Calibri"/>
                <w:b/>
                <w:bCs/>
                <w:color w:val="000000"/>
                <w:sz w:val="20"/>
                <w:szCs w:val="20"/>
              </w:rPr>
            </w:pPr>
            <w:r w:rsidRPr="00C814FA">
              <w:rPr>
                <w:rFonts w:ascii="Calibri" w:eastAsia="Times New Roman" w:hAnsi="Calibri" w:cs="Calibri"/>
                <w:b/>
                <w:bCs/>
                <w:color w:val="000000"/>
                <w:sz w:val="20"/>
                <w:szCs w:val="20"/>
              </w:rPr>
              <w:t>Year 1</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4A69357" w14:textId="77777777" w:rsidR="00C814FA" w:rsidRPr="00C814FA" w:rsidRDefault="00C814FA" w:rsidP="00C814FA">
            <w:pPr>
              <w:spacing w:after="0"/>
              <w:rPr>
                <w:rFonts w:ascii="Calibri" w:eastAsia="Times New Roman" w:hAnsi="Calibri" w:cs="Calibri"/>
                <w:b/>
                <w:bCs/>
                <w:color w:val="000000"/>
                <w:sz w:val="20"/>
                <w:szCs w:val="20"/>
              </w:rPr>
            </w:pPr>
            <w:r w:rsidRPr="00C814FA">
              <w:rPr>
                <w:rFonts w:ascii="Calibri" w:eastAsia="Times New Roman" w:hAnsi="Calibri" w:cs="Calibri"/>
                <w:b/>
                <w:bCs/>
                <w:color w:val="000000"/>
                <w:sz w:val="20"/>
                <w:szCs w:val="20"/>
              </w:rPr>
              <w:t>Year 2</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56F18B2" w14:textId="77777777" w:rsidR="00C814FA" w:rsidRPr="00C814FA" w:rsidRDefault="00C814FA" w:rsidP="00C814FA">
            <w:pPr>
              <w:spacing w:after="0"/>
              <w:rPr>
                <w:rFonts w:ascii="Calibri" w:eastAsia="Times New Roman" w:hAnsi="Calibri" w:cs="Calibri"/>
                <w:b/>
                <w:bCs/>
                <w:color w:val="000000"/>
                <w:sz w:val="20"/>
                <w:szCs w:val="20"/>
              </w:rPr>
            </w:pPr>
            <w:r w:rsidRPr="00C814FA">
              <w:rPr>
                <w:rFonts w:ascii="Calibri" w:eastAsia="Times New Roman" w:hAnsi="Calibri" w:cs="Calibri"/>
                <w:b/>
                <w:bCs/>
                <w:color w:val="000000"/>
                <w:sz w:val="20"/>
                <w:szCs w:val="20"/>
              </w:rPr>
              <w:t>Year 3</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2131EF6" w14:textId="77777777" w:rsidR="00C814FA" w:rsidRPr="00C814FA" w:rsidRDefault="00C814FA" w:rsidP="00C814FA">
            <w:pPr>
              <w:spacing w:after="0"/>
              <w:rPr>
                <w:rFonts w:ascii="Calibri" w:eastAsia="Times New Roman" w:hAnsi="Calibri" w:cs="Calibri"/>
                <w:b/>
                <w:bCs/>
                <w:color w:val="000000"/>
                <w:sz w:val="20"/>
                <w:szCs w:val="20"/>
              </w:rPr>
            </w:pPr>
            <w:r w:rsidRPr="00C814FA">
              <w:rPr>
                <w:rFonts w:ascii="Calibri" w:eastAsia="Times New Roman" w:hAnsi="Calibri" w:cs="Calibri"/>
                <w:b/>
                <w:bCs/>
                <w:color w:val="000000"/>
                <w:sz w:val="20"/>
                <w:szCs w:val="20"/>
              </w:rPr>
              <w:t>Year 4</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29782FC" w14:textId="77777777" w:rsidR="00C814FA" w:rsidRPr="00C814FA" w:rsidRDefault="00C814FA" w:rsidP="00C814FA">
            <w:pPr>
              <w:spacing w:after="0"/>
              <w:rPr>
                <w:rFonts w:ascii="Calibri" w:eastAsia="Times New Roman" w:hAnsi="Calibri" w:cs="Calibri"/>
                <w:b/>
                <w:bCs/>
                <w:color w:val="000000"/>
                <w:sz w:val="20"/>
                <w:szCs w:val="20"/>
              </w:rPr>
            </w:pPr>
            <w:r w:rsidRPr="00C814FA">
              <w:rPr>
                <w:rFonts w:ascii="Calibri" w:eastAsia="Times New Roman" w:hAnsi="Calibri" w:cs="Calibri"/>
                <w:b/>
                <w:bCs/>
                <w:color w:val="000000"/>
                <w:sz w:val="20"/>
                <w:szCs w:val="20"/>
              </w:rPr>
              <w:t>Year 5</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988B932" w14:textId="77777777" w:rsidR="00C814FA" w:rsidRPr="00C814FA" w:rsidRDefault="00C814FA" w:rsidP="00C814FA">
            <w:pPr>
              <w:spacing w:after="0"/>
              <w:rPr>
                <w:rFonts w:ascii="Calibri" w:eastAsia="Times New Roman" w:hAnsi="Calibri" w:cs="Calibri"/>
                <w:b/>
                <w:bCs/>
                <w:color w:val="000000"/>
                <w:sz w:val="20"/>
                <w:szCs w:val="20"/>
              </w:rPr>
            </w:pPr>
            <w:r w:rsidRPr="00C814FA">
              <w:rPr>
                <w:rFonts w:ascii="Calibri" w:eastAsia="Times New Roman" w:hAnsi="Calibri" w:cs="Calibri"/>
                <w:b/>
                <w:bCs/>
                <w:color w:val="000000"/>
                <w:sz w:val="20"/>
                <w:szCs w:val="20"/>
              </w:rPr>
              <w:t>Year 6</w:t>
            </w:r>
          </w:p>
        </w:tc>
      </w:tr>
      <w:tr w:rsidR="004D1056" w:rsidRPr="00C814FA" w14:paraId="7B0C4120" w14:textId="77777777" w:rsidTr="00C814F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624E25A9" w14:textId="77777777" w:rsidR="004D1056" w:rsidRPr="00C814FA" w:rsidRDefault="004D1056" w:rsidP="004D1056">
            <w:pPr>
              <w:spacing w:after="0"/>
              <w:rPr>
                <w:rFonts w:ascii="Calibri" w:eastAsia="Times New Roman" w:hAnsi="Calibri" w:cs="Calibri"/>
                <w:color w:val="000000"/>
                <w:sz w:val="20"/>
                <w:szCs w:val="20"/>
              </w:rPr>
            </w:pPr>
            <w:r w:rsidRPr="00C814FA">
              <w:rPr>
                <w:rFonts w:ascii="Calibri" w:eastAsia="Times New Roman" w:hAnsi="Calibri" w:cs="Calibri"/>
                <w:color w:val="000000"/>
                <w:sz w:val="20"/>
                <w:szCs w:val="20"/>
              </w:rPr>
              <w:t>July 2018</w:t>
            </w:r>
          </w:p>
        </w:tc>
        <w:tc>
          <w:tcPr>
            <w:tcW w:w="1660" w:type="dxa"/>
            <w:tcBorders>
              <w:top w:val="nil"/>
              <w:left w:val="nil"/>
              <w:bottom w:val="single" w:sz="4" w:space="0" w:color="auto"/>
              <w:right w:val="single" w:sz="4" w:space="0" w:color="auto"/>
            </w:tcBorders>
            <w:shd w:val="clear" w:color="auto" w:fill="auto"/>
            <w:noWrap/>
            <w:vAlign w:val="bottom"/>
            <w:hideMark/>
          </w:tcPr>
          <w:p w14:paraId="6B07A31A" w14:textId="77777777" w:rsidR="004D1056" w:rsidRPr="00C814FA" w:rsidRDefault="004D1056" w:rsidP="004D1056">
            <w:pPr>
              <w:spacing w:after="0"/>
              <w:rPr>
                <w:rFonts w:ascii="Calibri" w:eastAsia="Times New Roman" w:hAnsi="Calibri" w:cs="Calibri"/>
                <w:color w:val="000000"/>
                <w:sz w:val="20"/>
                <w:szCs w:val="20"/>
              </w:rPr>
            </w:pPr>
            <w:r w:rsidRPr="00C814FA">
              <w:rPr>
                <w:rFonts w:ascii="Calibri" w:eastAsia="Times New Roman" w:hAnsi="Calibri" w:cs="Calibri"/>
                <w:color w:val="000000"/>
                <w:sz w:val="20"/>
                <w:szCs w:val="20"/>
              </w:rPr>
              <w:t>Eligible patients</w:t>
            </w:r>
          </w:p>
        </w:tc>
        <w:tc>
          <w:tcPr>
            <w:tcW w:w="960" w:type="dxa"/>
            <w:tcBorders>
              <w:top w:val="nil"/>
              <w:left w:val="nil"/>
              <w:bottom w:val="single" w:sz="4" w:space="0" w:color="auto"/>
              <w:right w:val="single" w:sz="4" w:space="0" w:color="auto"/>
            </w:tcBorders>
            <w:shd w:val="clear" w:color="auto" w:fill="auto"/>
            <w:noWrap/>
            <w:vAlign w:val="bottom"/>
            <w:hideMark/>
          </w:tcPr>
          <w:p w14:paraId="1F090D11" w14:textId="56F675FD"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3946F8F4" w14:textId="0BC892ED"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72C96FD2" w14:textId="67576796"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34D3BA8F" w14:textId="3E92722E"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39A8CFC0" w14:textId="2EACE39E"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1C36BD63" w14:textId="07BA92DB"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r>
      <w:tr w:rsidR="004D1056" w:rsidRPr="00C814FA" w14:paraId="3408F4E1" w14:textId="77777777" w:rsidTr="00C814F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202B5161" w14:textId="77777777" w:rsidR="004D1056" w:rsidRPr="00C814FA" w:rsidRDefault="004D1056" w:rsidP="004D1056">
            <w:pPr>
              <w:spacing w:after="0"/>
              <w:rPr>
                <w:rFonts w:ascii="Calibri" w:eastAsia="Times New Roman" w:hAnsi="Calibri" w:cs="Calibri"/>
                <w:color w:val="000000"/>
                <w:sz w:val="20"/>
                <w:szCs w:val="20"/>
              </w:rPr>
            </w:pPr>
            <w:r w:rsidRPr="00C814FA">
              <w:rPr>
                <w:rFonts w:ascii="Calibri" w:eastAsia="Times New Roman" w:hAnsi="Calibri" w:cs="Calibri"/>
                <w:color w:val="000000"/>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14:paraId="38DDA751" w14:textId="77777777" w:rsidR="004D1056" w:rsidRPr="00C814FA" w:rsidRDefault="004D1056" w:rsidP="004D1056">
            <w:pPr>
              <w:spacing w:after="0"/>
              <w:rPr>
                <w:rFonts w:ascii="Calibri" w:eastAsia="Times New Roman" w:hAnsi="Calibri" w:cs="Calibri"/>
                <w:color w:val="000000"/>
                <w:sz w:val="20"/>
                <w:szCs w:val="20"/>
              </w:rPr>
            </w:pPr>
            <w:r w:rsidRPr="00C814FA">
              <w:rPr>
                <w:rFonts w:ascii="Calibri" w:eastAsia="Times New Roman" w:hAnsi="Calibri" w:cs="Calibri"/>
                <w:color w:val="000000"/>
                <w:sz w:val="20"/>
                <w:szCs w:val="20"/>
              </w:rPr>
              <w:t>Treated patients</w:t>
            </w:r>
          </w:p>
        </w:tc>
        <w:tc>
          <w:tcPr>
            <w:tcW w:w="960" w:type="dxa"/>
            <w:tcBorders>
              <w:top w:val="nil"/>
              <w:left w:val="nil"/>
              <w:bottom w:val="single" w:sz="4" w:space="0" w:color="auto"/>
              <w:right w:val="single" w:sz="4" w:space="0" w:color="auto"/>
            </w:tcBorders>
            <w:shd w:val="clear" w:color="auto" w:fill="auto"/>
            <w:noWrap/>
            <w:vAlign w:val="bottom"/>
            <w:hideMark/>
          </w:tcPr>
          <w:p w14:paraId="2A68A74B" w14:textId="7A3D16B2"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0BE6AC0F" w14:textId="592B9A34"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2B637DB0" w14:textId="1FCE08FE"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22D9924B" w14:textId="11D13B15"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0FCE1A6B" w14:textId="440A4F0D"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70D8462C" w14:textId="1AD98D20"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r>
      <w:tr w:rsidR="004D1056" w:rsidRPr="00C814FA" w14:paraId="2EF0383E" w14:textId="77777777" w:rsidTr="00C814F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56A72EFC" w14:textId="77777777" w:rsidR="004D1056" w:rsidRPr="00C814FA" w:rsidRDefault="004D1056" w:rsidP="004D1056">
            <w:pPr>
              <w:spacing w:after="0"/>
              <w:rPr>
                <w:rFonts w:ascii="Calibri" w:eastAsia="Times New Roman" w:hAnsi="Calibri" w:cs="Calibri"/>
                <w:color w:val="000000"/>
                <w:sz w:val="20"/>
                <w:szCs w:val="20"/>
              </w:rPr>
            </w:pPr>
            <w:r w:rsidRPr="00C814FA">
              <w:rPr>
                <w:rFonts w:ascii="Calibri" w:eastAsia="Times New Roman" w:hAnsi="Calibri" w:cs="Calibri"/>
                <w:color w:val="000000"/>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14:paraId="66C24BD1" w14:textId="77777777" w:rsidR="004D1056" w:rsidRPr="00C814FA" w:rsidRDefault="004D1056" w:rsidP="004D1056">
            <w:pPr>
              <w:spacing w:after="0"/>
              <w:rPr>
                <w:rFonts w:ascii="Calibri" w:eastAsia="Times New Roman" w:hAnsi="Calibri" w:cs="Calibri"/>
                <w:color w:val="000000"/>
                <w:sz w:val="20"/>
                <w:szCs w:val="20"/>
              </w:rPr>
            </w:pPr>
            <w:r w:rsidRPr="00C814FA">
              <w:rPr>
                <w:rFonts w:ascii="Calibri" w:eastAsia="Times New Roman" w:hAnsi="Calibri" w:cs="Calibri"/>
                <w:color w:val="000000"/>
                <w:sz w:val="20"/>
                <w:szCs w:val="20"/>
              </w:rPr>
              <w:t>Prescriptions</w:t>
            </w:r>
          </w:p>
        </w:tc>
        <w:tc>
          <w:tcPr>
            <w:tcW w:w="960" w:type="dxa"/>
            <w:tcBorders>
              <w:top w:val="nil"/>
              <w:left w:val="nil"/>
              <w:bottom w:val="single" w:sz="4" w:space="0" w:color="auto"/>
              <w:right w:val="single" w:sz="4" w:space="0" w:color="auto"/>
            </w:tcBorders>
            <w:shd w:val="clear" w:color="auto" w:fill="auto"/>
            <w:noWrap/>
            <w:vAlign w:val="bottom"/>
            <w:hideMark/>
          </w:tcPr>
          <w:p w14:paraId="46E37BB3" w14:textId="70A132EC"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200D55A6" w14:textId="65927062"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3A9B900E" w14:textId="7BBEC070"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7CF23F40" w14:textId="1BA8B66D"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7471761B" w14:textId="53BE35F6"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3FCCCD63" w14:textId="178FE65E"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r>
      <w:tr w:rsidR="004D1056" w:rsidRPr="00C814FA" w14:paraId="341B8517" w14:textId="77777777" w:rsidTr="00C814F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50AA5DDE" w14:textId="77777777" w:rsidR="004D1056" w:rsidRPr="00C814FA" w:rsidRDefault="004D1056" w:rsidP="004D1056">
            <w:pPr>
              <w:spacing w:after="0"/>
              <w:rPr>
                <w:rFonts w:ascii="Calibri" w:eastAsia="Times New Roman" w:hAnsi="Calibri" w:cs="Calibri"/>
                <w:color w:val="000000"/>
                <w:sz w:val="20"/>
                <w:szCs w:val="20"/>
              </w:rPr>
            </w:pPr>
            <w:r w:rsidRPr="00C814FA">
              <w:rPr>
                <w:rFonts w:ascii="Calibri" w:eastAsia="Times New Roman" w:hAnsi="Calibri" w:cs="Calibri"/>
                <w:color w:val="000000"/>
                <w:sz w:val="20"/>
                <w:szCs w:val="20"/>
              </w:rPr>
              <w:t>July 2019</w:t>
            </w:r>
          </w:p>
        </w:tc>
        <w:tc>
          <w:tcPr>
            <w:tcW w:w="1660" w:type="dxa"/>
            <w:tcBorders>
              <w:top w:val="nil"/>
              <w:left w:val="nil"/>
              <w:bottom w:val="single" w:sz="4" w:space="0" w:color="auto"/>
              <w:right w:val="single" w:sz="4" w:space="0" w:color="auto"/>
            </w:tcBorders>
            <w:shd w:val="clear" w:color="auto" w:fill="auto"/>
            <w:noWrap/>
            <w:vAlign w:val="bottom"/>
            <w:hideMark/>
          </w:tcPr>
          <w:p w14:paraId="32DFE218" w14:textId="77777777" w:rsidR="004D1056" w:rsidRPr="00C814FA" w:rsidRDefault="004D1056" w:rsidP="004D1056">
            <w:pPr>
              <w:spacing w:after="0"/>
              <w:rPr>
                <w:rFonts w:ascii="Calibri" w:eastAsia="Times New Roman" w:hAnsi="Calibri" w:cs="Calibri"/>
                <w:color w:val="000000"/>
                <w:sz w:val="20"/>
                <w:szCs w:val="20"/>
              </w:rPr>
            </w:pPr>
            <w:r w:rsidRPr="00C814FA">
              <w:rPr>
                <w:rFonts w:ascii="Calibri" w:eastAsia="Times New Roman" w:hAnsi="Calibri" w:cs="Calibri"/>
                <w:color w:val="000000"/>
                <w:sz w:val="20"/>
                <w:szCs w:val="20"/>
              </w:rPr>
              <w:t>Eligible patients</w:t>
            </w:r>
          </w:p>
        </w:tc>
        <w:tc>
          <w:tcPr>
            <w:tcW w:w="960" w:type="dxa"/>
            <w:tcBorders>
              <w:top w:val="nil"/>
              <w:left w:val="nil"/>
              <w:bottom w:val="single" w:sz="4" w:space="0" w:color="auto"/>
              <w:right w:val="single" w:sz="4" w:space="0" w:color="auto"/>
            </w:tcBorders>
            <w:shd w:val="clear" w:color="auto" w:fill="auto"/>
            <w:noWrap/>
            <w:vAlign w:val="bottom"/>
            <w:hideMark/>
          </w:tcPr>
          <w:p w14:paraId="51F18165" w14:textId="43F84CE0"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38FDCEE4" w14:textId="411A3832"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7BF6DA70" w14:textId="37214B87"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4827042E" w14:textId="3109FE25"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1BD83E8B" w14:textId="0FC69376"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51E40834" w14:textId="2159AF91"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r>
      <w:tr w:rsidR="004D1056" w:rsidRPr="00C814FA" w14:paraId="6CD69B7D" w14:textId="77777777" w:rsidTr="00C814F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1ECD80CD" w14:textId="77777777" w:rsidR="004D1056" w:rsidRPr="00C814FA" w:rsidRDefault="004D1056" w:rsidP="004D1056">
            <w:pPr>
              <w:spacing w:after="0"/>
              <w:rPr>
                <w:rFonts w:ascii="Calibri" w:eastAsia="Times New Roman" w:hAnsi="Calibri" w:cs="Calibri"/>
                <w:color w:val="000000"/>
                <w:sz w:val="20"/>
                <w:szCs w:val="20"/>
              </w:rPr>
            </w:pPr>
            <w:r w:rsidRPr="00C814FA">
              <w:rPr>
                <w:rFonts w:ascii="Calibri" w:eastAsia="Times New Roman" w:hAnsi="Calibri" w:cs="Calibri"/>
                <w:color w:val="000000"/>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14:paraId="4CD2E9DA" w14:textId="77777777" w:rsidR="004D1056" w:rsidRPr="00C814FA" w:rsidRDefault="004D1056" w:rsidP="004D1056">
            <w:pPr>
              <w:spacing w:after="0"/>
              <w:rPr>
                <w:rFonts w:ascii="Calibri" w:eastAsia="Times New Roman" w:hAnsi="Calibri" w:cs="Calibri"/>
                <w:color w:val="000000"/>
                <w:sz w:val="20"/>
                <w:szCs w:val="20"/>
              </w:rPr>
            </w:pPr>
            <w:r w:rsidRPr="00C814FA">
              <w:rPr>
                <w:rFonts w:ascii="Calibri" w:eastAsia="Times New Roman" w:hAnsi="Calibri" w:cs="Calibri"/>
                <w:color w:val="000000"/>
                <w:sz w:val="20"/>
                <w:szCs w:val="20"/>
              </w:rPr>
              <w:t>Treated patients</w:t>
            </w:r>
          </w:p>
        </w:tc>
        <w:tc>
          <w:tcPr>
            <w:tcW w:w="960" w:type="dxa"/>
            <w:tcBorders>
              <w:top w:val="nil"/>
              <w:left w:val="nil"/>
              <w:bottom w:val="single" w:sz="4" w:space="0" w:color="auto"/>
              <w:right w:val="single" w:sz="4" w:space="0" w:color="auto"/>
            </w:tcBorders>
            <w:shd w:val="clear" w:color="auto" w:fill="auto"/>
            <w:noWrap/>
            <w:vAlign w:val="bottom"/>
            <w:hideMark/>
          </w:tcPr>
          <w:p w14:paraId="52621E92" w14:textId="0BD34C55"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193BA0BB" w14:textId="35C9F2EE"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1F91E9AC" w14:textId="0F783DEF"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3BBE26C1" w14:textId="1DDDC7D8"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08E18798" w14:textId="552ACA2D"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4F1B7EA7" w14:textId="089ED108"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r>
      <w:tr w:rsidR="004D1056" w:rsidRPr="00C814FA" w14:paraId="6D6DA629" w14:textId="77777777" w:rsidTr="00C814F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00180DEA" w14:textId="77777777" w:rsidR="004D1056" w:rsidRPr="00C814FA" w:rsidRDefault="004D1056" w:rsidP="004D1056">
            <w:pPr>
              <w:spacing w:after="0"/>
              <w:rPr>
                <w:rFonts w:ascii="Calibri" w:eastAsia="Times New Roman" w:hAnsi="Calibri" w:cs="Calibri"/>
                <w:color w:val="000000"/>
                <w:sz w:val="20"/>
                <w:szCs w:val="20"/>
              </w:rPr>
            </w:pPr>
            <w:r w:rsidRPr="00C814FA">
              <w:rPr>
                <w:rFonts w:ascii="Calibri" w:eastAsia="Times New Roman" w:hAnsi="Calibri" w:cs="Calibri"/>
                <w:color w:val="000000"/>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14:paraId="35DA7518" w14:textId="77777777" w:rsidR="004D1056" w:rsidRPr="00C814FA" w:rsidRDefault="004D1056" w:rsidP="004D1056">
            <w:pPr>
              <w:spacing w:after="0"/>
              <w:rPr>
                <w:rFonts w:ascii="Calibri" w:eastAsia="Times New Roman" w:hAnsi="Calibri" w:cs="Calibri"/>
                <w:color w:val="000000"/>
                <w:sz w:val="20"/>
                <w:szCs w:val="20"/>
              </w:rPr>
            </w:pPr>
            <w:r w:rsidRPr="00C814FA">
              <w:rPr>
                <w:rFonts w:ascii="Calibri" w:eastAsia="Times New Roman" w:hAnsi="Calibri" w:cs="Calibri"/>
                <w:color w:val="000000"/>
                <w:sz w:val="20"/>
                <w:szCs w:val="20"/>
              </w:rPr>
              <w:t>Prescriptions</w:t>
            </w:r>
          </w:p>
        </w:tc>
        <w:tc>
          <w:tcPr>
            <w:tcW w:w="960" w:type="dxa"/>
            <w:tcBorders>
              <w:top w:val="nil"/>
              <w:left w:val="nil"/>
              <w:bottom w:val="single" w:sz="4" w:space="0" w:color="auto"/>
              <w:right w:val="single" w:sz="4" w:space="0" w:color="auto"/>
            </w:tcBorders>
            <w:shd w:val="clear" w:color="auto" w:fill="auto"/>
            <w:noWrap/>
            <w:vAlign w:val="bottom"/>
            <w:hideMark/>
          </w:tcPr>
          <w:p w14:paraId="18CADE35" w14:textId="7365071B"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39BB591E" w14:textId="61A3BE7D"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356A0C6" w14:textId="757DCCAB"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0D62B3B5" w14:textId="0534857F"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1E94F030" w14:textId="40D54BFC"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52CF1536" w14:textId="5680BE2B"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r>
      <w:tr w:rsidR="004D1056" w:rsidRPr="00C814FA" w14:paraId="7D3A0DC2" w14:textId="77777777" w:rsidTr="00C814F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228C622A" w14:textId="77777777" w:rsidR="004D1056" w:rsidRPr="00C814FA" w:rsidRDefault="004D1056" w:rsidP="004D1056">
            <w:pPr>
              <w:spacing w:after="0"/>
              <w:rPr>
                <w:rFonts w:ascii="Calibri" w:eastAsia="Times New Roman" w:hAnsi="Calibri" w:cs="Calibri"/>
                <w:color w:val="000000"/>
                <w:sz w:val="20"/>
                <w:szCs w:val="20"/>
              </w:rPr>
            </w:pPr>
            <w:r w:rsidRPr="00C814FA">
              <w:rPr>
                <w:rFonts w:ascii="Calibri" w:eastAsia="Times New Roman" w:hAnsi="Calibri" w:cs="Calibri"/>
                <w:color w:val="000000"/>
                <w:sz w:val="20"/>
                <w:szCs w:val="20"/>
              </w:rPr>
              <w:t>March 2020</w:t>
            </w:r>
          </w:p>
        </w:tc>
        <w:tc>
          <w:tcPr>
            <w:tcW w:w="1660" w:type="dxa"/>
            <w:tcBorders>
              <w:top w:val="nil"/>
              <w:left w:val="nil"/>
              <w:bottom w:val="single" w:sz="4" w:space="0" w:color="auto"/>
              <w:right w:val="single" w:sz="4" w:space="0" w:color="auto"/>
            </w:tcBorders>
            <w:shd w:val="clear" w:color="auto" w:fill="auto"/>
            <w:noWrap/>
            <w:vAlign w:val="bottom"/>
            <w:hideMark/>
          </w:tcPr>
          <w:p w14:paraId="7E9EB50E" w14:textId="77777777" w:rsidR="004D1056" w:rsidRPr="00C814FA" w:rsidRDefault="004D1056" w:rsidP="004D1056">
            <w:pPr>
              <w:spacing w:after="0"/>
              <w:rPr>
                <w:rFonts w:ascii="Calibri" w:eastAsia="Times New Roman" w:hAnsi="Calibri" w:cs="Calibri"/>
                <w:color w:val="000000"/>
                <w:sz w:val="20"/>
                <w:szCs w:val="20"/>
              </w:rPr>
            </w:pPr>
            <w:r w:rsidRPr="00C814FA">
              <w:rPr>
                <w:rFonts w:ascii="Calibri" w:eastAsia="Times New Roman" w:hAnsi="Calibri" w:cs="Calibri"/>
                <w:color w:val="000000"/>
                <w:sz w:val="20"/>
                <w:szCs w:val="20"/>
              </w:rPr>
              <w:t>Eligible patients</w:t>
            </w:r>
          </w:p>
        </w:tc>
        <w:tc>
          <w:tcPr>
            <w:tcW w:w="960" w:type="dxa"/>
            <w:tcBorders>
              <w:top w:val="nil"/>
              <w:left w:val="nil"/>
              <w:bottom w:val="single" w:sz="4" w:space="0" w:color="auto"/>
              <w:right w:val="single" w:sz="4" w:space="0" w:color="auto"/>
            </w:tcBorders>
            <w:shd w:val="clear" w:color="auto" w:fill="auto"/>
            <w:noWrap/>
            <w:vAlign w:val="bottom"/>
            <w:hideMark/>
          </w:tcPr>
          <w:p w14:paraId="2994C516" w14:textId="0883E332"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4B599F27" w14:textId="5E2A1320"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483B83EB" w14:textId="3CBEEFC3"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2E40A5AA" w14:textId="31FC4FEF"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012035B1" w14:textId="2BC21154"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4BB86CFD" w14:textId="078064CA"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r>
      <w:tr w:rsidR="004D1056" w:rsidRPr="00C814FA" w14:paraId="27BD433E" w14:textId="77777777" w:rsidTr="00C814F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372ECDB4" w14:textId="77777777" w:rsidR="004D1056" w:rsidRPr="00C814FA" w:rsidRDefault="004D1056" w:rsidP="004D1056">
            <w:pPr>
              <w:spacing w:after="0"/>
              <w:rPr>
                <w:rFonts w:ascii="Calibri" w:eastAsia="Times New Roman" w:hAnsi="Calibri" w:cs="Calibri"/>
                <w:color w:val="000000"/>
                <w:sz w:val="20"/>
                <w:szCs w:val="20"/>
              </w:rPr>
            </w:pPr>
            <w:r w:rsidRPr="00C814FA">
              <w:rPr>
                <w:rFonts w:ascii="Calibri" w:eastAsia="Times New Roman" w:hAnsi="Calibri" w:cs="Calibri"/>
                <w:color w:val="000000"/>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14:paraId="1996408B" w14:textId="77777777" w:rsidR="004D1056" w:rsidRPr="00C814FA" w:rsidRDefault="004D1056" w:rsidP="004D1056">
            <w:pPr>
              <w:spacing w:after="0"/>
              <w:rPr>
                <w:rFonts w:ascii="Calibri" w:eastAsia="Times New Roman" w:hAnsi="Calibri" w:cs="Calibri"/>
                <w:color w:val="000000"/>
                <w:sz w:val="20"/>
                <w:szCs w:val="20"/>
              </w:rPr>
            </w:pPr>
            <w:r w:rsidRPr="00C814FA">
              <w:rPr>
                <w:rFonts w:ascii="Calibri" w:eastAsia="Times New Roman" w:hAnsi="Calibri" w:cs="Calibri"/>
                <w:color w:val="000000"/>
                <w:sz w:val="20"/>
                <w:szCs w:val="20"/>
              </w:rPr>
              <w:t>Treated patients</w:t>
            </w:r>
          </w:p>
        </w:tc>
        <w:tc>
          <w:tcPr>
            <w:tcW w:w="960" w:type="dxa"/>
            <w:tcBorders>
              <w:top w:val="nil"/>
              <w:left w:val="nil"/>
              <w:bottom w:val="single" w:sz="4" w:space="0" w:color="auto"/>
              <w:right w:val="single" w:sz="4" w:space="0" w:color="auto"/>
            </w:tcBorders>
            <w:shd w:val="clear" w:color="auto" w:fill="auto"/>
            <w:noWrap/>
            <w:vAlign w:val="bottom"/>
            <w:hideMark/>
          </w:tcPr>
          <w:p w14:paraId="3436D948" w14:textId="26B4C925"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373A6F41" w14:textId="7B668881"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57CAF11F" w14:textId="4D1937B5"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1F910A4E" w14:textId="177C1797"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1A451639" w14:textId="6F2B9AE1"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77251E9" w14:textId="4980BCE3"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r>
      <w:tr w:rsidR="004D1056" w:rsidRPr="00C814FA" w14:paraId="76B16AE4" w14:textId="77777777" w:rsidTr="00C814F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22C97512" w14:textId="77777777" w:rsidR="004D1056" w:rsidRPr="00C814FA" w:rsidRDefault="004D1056" w:rsidP="004D1056">
            <w:pPr>
              <w:spacing w:after="0"/>
              <w:rPr>
                <w:rFonts w:ascii="Calibri" w:eastAsia="Times New Roman" w:hAnsi="Calibri" w:cs="Calibri"/>
                <w:color w:val="000000"/>
                <w:sz w:val="20"/>
                <w:szCs w:val="20"/>
              </w:rPr>
            </w:pPr>
            <w:r w:rsidRPr="00C814FA">
              <w:rPr>
                <w:rFonts w:ascii="Calibri" w:eastAsia="Times New Roman" w:hAnsi="Calibri" w:cs="Calibri"/>
                <w:color w:val="000000"/>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14:paraId="259CFB53" w14:textId="77777777" w:rsidR="004D1056" w:rsidRPr="00C814FA" w:rsidRDefault="004D1056" w:rsidP="004D1056">
            <w:pPr>
              <w:spacing w:after="0"/>
              <w:rPr>
                <w:rFonts w:ascii="Calibri" w:eastAsia="Times New Roman" w:hAnsi="Calibri" w:cs="Calibri"/>
                <w:color w:val="000000"/>
                <w:sz w:val="20"/>
                <w:szCs w:val="20"/>
              </w:rPr>
            </w:pPr>
            <w:r w:rsidRPr="00C814FA">
              <w:rPr>
                <w:rFonts w:ascii="Calibri" w:eastAsia="Times New Roman" w:hAnsi="Calibri" w:cs="Calibri"/>
                <w:color w:val="000000"/>
                <w:sz w:val="20"/>
                <w:szCs w:val="20"/>
              </w:rPr>
              <w:t>Prescriptions</w:t>
            </w:r>
          </w:p>
        </w:tc>
        <w:tc>
          <w:tcPr>
            <w:tcW w:w="960" w:type="dxa"/>
            <w:tcBorders>
              <w:top w:val="nil"/>
              <w:left w:val="nil"/>
              <w:bottom w:val="single" w:sz="4" w:space="0" w:color="auto"/>
              <w:right w:val="single" w:sz="4" w:space="0" w:color="auto"/>
            </w:tcBorders>
            <w:shd w:val="clear" w:color="auto" w:fill="auto"/>
            <w:noWrap/>
            <w:vAlign w:val="bottom"/>
            <w:hideMark/>
          </w:tcPr>
          <w:p w14:paraId="12625315" w14:textId="7606B797"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119FB62" w14:textId="686FD267"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3CCDC5A1" w14:textId="67926866"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3D2381F6" w14:textId="25933DCF"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163D975B" w14:textId="3221574F"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53E4417E" w14:textId="7F1D84C0"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r>
      <w:tr w:rsidR="004D1056" w:rsidRPr="00C814FA" w14:paraId="6C710F2E" w14:textId="77777777" w:rsidTr="00550235">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0F5EB128" w14:textId="77777777" w:rsidR="004D1056" w:rsidRPr="00C814FA" w:rsidRDefault="004D1056" w:rsidP="004D1056">
            <w:pPr>
              <w:spacing w:after="0"/>
              <w:rPr>
                <w:rFonts w:ascii="Calibri" w:eastAsia="Times New Roman" w:hAnsi="Calibri" w:cs="Calibri"/>
                <w:color w:val="000000"/>
                <w:sz w:val="20"/>
                <w:szCs w:val="20"/>
              </w:rPr>
            </w:pPr>
            <w:r w:rsidRPr="00C814FA">
              <w:rPr>
                <w:rFonts w:ascii="Calibri" w:eastAsia="Times New Roman" w:hAnsi="Calibri" w:cs="Calibri"/>
                <w:color w:val="000000"/>
                <w:sz w:val="20"/>
                <w:szCs w:val="20"/>
              </w:rPr>
              <w:t>November 2020</w:t>
            </w:r>
          </w:p>
        </w:tc>
        <w:tc>
          <w:tcPr>
            <w:tcW w:w="1660" w:type="dxa"/>
            <w:tcBorders>
              <w:top w:val="nil"/>
              <w:left w:val="nil"/>
              <w:bottom w:val="single" w:sz="4" w:space="0" w:color="auto"/>
              <w:right w:val="single" w:sz="4" w:space="0" w:color="auto"/>
            </w:tcBorders>
            <w:shd w:val="clear" w:color="auto" w:fill="auto"/>
            <w:noWrap/>
            <w:vAlign w:val="bottom"/>
            <w:hideMark/>
          </w:tcPr>
          <w:p w14:paraId="3EBEF69E" w14:textId="77777777" w:rsidR="004D1056" w:rsidRPr="00C814FA" w:rsidRDefault="004D1056" w:rsidP="004D1056">
            <w:pPr>
              <w:spacing w:after="0"/>
              <w:rPr>
                <w:rFonts w:ascii="Calibri" w:eastAsia="Times New Roman" w:hAnsi="Calibri" w:cs="Calibri"/>
                <w:color w:val="000000"/>
                <w:sz w:val="20"/>
                <w:szCs w:val="20"/>
              </w:rPr>
            </w:pPr>
            <w:r w:rsidRPr="00C814FA">
              <w:rPr>
                <w:rFonts w:ascii="Calibri" w:eastAsia="Times New Roman" w:hAnsi="Calibri" w:cs="Calibri"/>
                <w:color w:val="000000"/>
                <w:sz w:val="20"/>
                <w:szCs w:val="20"/>
              </w:rPr>
              <w:t>Eligible patients</w:t>
            </w:r>
          </w:p>
        </w:tc>
        <w:tc>
          <w:tcPr>
            <w:tcW w:w="960" w:type="dxa"/>
            <w:tcBorders>
              <w:top w:val="nil"/>
              <w:left w:val="nil"/>
              <w:bottom w:val="single" w:sz="4" w:space="0" w:color="auto"/>
              <w:right w:val="single" w:sz="4" w:space="0" w:color="auto"/>
            </w:tcBorders>
            <w:shd w:val="clear" w:color="auto" w:fill="auto"/>
            <w:noWrap/>
            <w:vAlign w:val="bottom"/>
            <w:hideMark/>
          </w:tcPr>
          <w:p w14:paraId="3F07CFE2" w14:textId="40D51C0B"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29BEEBB1" w14:textId="37809FF5"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1C64AFEF" w14:textId="01A0BAA3"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5DBE1400" w14:textId="30442959"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0123C55" w14:textId="221D61A6"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36A17E24" w14:textId="695C0042"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r>
      <w:tr w:rsidR="004D1056" w:rsidRPr="00C814FA" w14:paraId="71425D79" w14:textId="77777777" w:rsidTr="00C814F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48604B53" w14:textId="77777777" w:rsidR="004D1056" w:rsidRPr="00C814FA" w:rsidRDefault="004D1056" w:rsidP="004D1056">
            <w:pPr>
              <w:spacing w:after="0"/>
              <w:rPr>
                <w:rFonts w:ascii="Calibri" w:eastAsia="Times New Roman" w:hAnsi="Calibri" w:cs="Calibri"/>
                <w:color w:val="000000"/>
                <w:sz w:val="20"/>
                <w:szCs w:val="20"/>
              </w:rPr>
            </w:pPr>
            <w:r w:rsidRPr="00C814FA">
              <w:rPr>
                <w:rFonts w:ascii="Calibri" w:eastAsia="Times New Roman" w:hAnsi="Calibri" w:cs="Calibri"/>
                <w:color w:val="000000"/>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14:paraId="3136937C" w14:textId="77777777" w:rsidR="004D1056" w:rsidRPr="00C814FA" w:rsidRDefault="004D1056" w:rsidP="004D1056">
            <w:pPr>
              <w:spacing w:after="0"/>
              <w:rPr>
                <w:rFonts w:ascii="Calibri" w:eastAsia="Times New Roman" w:hAnsi="Calibri" w:cs="Calibri"/>
                <w:color w:val="000000"/>
                <w:sz w:val="20"/>
                <w:szCs w:val="20"/>
              </w:rPr>
            </w:pPr>
            <w:r w:rsidRPr="00C814FA">
              <w:rPr>
                <w:rFonts w:ascii="Calibri" w:eastAsia="Times New Roman" w:hAnsi="Calibri" w:cs="Calibri"/>
                <w:color w:val="000000"/>
                <w:sz w:val="20"/>
                <w:szCs w:val="20"/>
              </w:rPr>
              <w:t>Treated patients</w:t>
            </w:r>
          </w:p>
        </w:tc>
        <w:tc>
          <w:tcPr>
            <w:tcW w:w="960" w:type="dxa"/>
            <w:tcBorders>
              <w:top w:val="nil"/>
              <w:left w:val="nil"/>
              <w:bottom w:val="single" w:sz="4" w:space="0" w:color="auto"/>
              <w:right w:val="single" w:sz="4" w:space="0" w:color="auto"/>
            </w:tcBorders>
            <w:shd w:val="clear" w:color="auto" w:fill="auto"/>
            <w:noWrap/>
            <w:vAlign w:val="bottom"/>
            <w:hideMark/>
          </w:tcPr>
          <w:p w14:paraId="15C4B7D8" w14:textId="7C113A8C"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36CD8AFF" w14:textId="65A67727"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065A34F4" w14:textId="36705049"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4DAE1FB9" w14:textId="546FA7CA"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2C03E70E" w14:textId="36AA37B6"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2CC3DEAD" w14:textId="0BDE6358"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r>
      <w:tr w:rsidR="004D1056" w:rsidRPr="00C814FA" w14:paraId="276A6F1B" w14:textId="77777777" w:rsidTr="00C814F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1A08E7DD" w14:textId="77777777" w:rsidR="004D1056" w:rsidRPr="00C814FA" w:rsidRDefault="004D1056" w:rsidP="004D1056">
            <w:pPr>
              <w:spacing w:after="0"/>
              <w:rPr>
                <w:rFonts w:ascii="Calibri" w:eastAsia="Times New Roman" w:hAnsi="Calibri" w:cs="Calibri"/>
                <w:color w:val="000000"/>
                <w:sz w:val="20"/>
                <w:szCs w:val="20"/>
              </w:rPr>
            </w:pPr>
            <w:r w:rsidRPr="00C814FA">
              <w:rPr>
                <w:rFonts w:ascii="Calibri" w:eastAsia="Times New Roman" w:hAnsi="Calibri" w:cs="Calibri"/>
                <w:color w:val="000000"/>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14:paraId="62B3DB54" w14:textId="77777777" w:rsidR="004D1056" w:rsidRPr="00C814FA" w:rsidRDefault="004D1056" w:rsidP="004D1056">
            <w:pPr>
              <w:spacing w:after="0"/>
              <w:rPr>
                <w:rFonts w:ascii="Calibri" w:eastAsia="Times New Roman" w:hAnsi="Calibri" w:cs="Calibri"/>
                <w:color w:val="000000"/>
                <w:sz w:val="20"/>
                <w:szCs w:val="20"/>
              </w:rPr>
            </w:pPr>
            <w:r w:rsidRPr="00C814FA">
              <w:rPr>
                <w:rFonts w:ascii="Calibri" w:eastAsia="Times New Roman" w:hAnsi="Calibri" w:cs="Calibri"/>
                <w:color w:val="000000"/>
                <w:sz w:val="20"/>
                <w:szCs w:val="20"/>
              </w:rPr>
              <w:t>Prescriptions</w:t>
            </w:r>
          </w:p>
        </w:tc>
        <w:tc>
          <w:tcPr>
            <w:tcW w:w="960" w:type="dxa"/>
            <w:tcBorders>
              <w:top w:val="nil"/>
              <w:left w:val="nil"/>
              <w:bottom w:val="single" w:sz="4" w:space="0" w:color="auto"/>
              <w:right w:val="single" w:sz="4" w:space="0" w:color="auto"/>
            </w:tcBorders>
            <w:shd w:val="clear" w:color="auto" w:fill="auto"/>
            <w:noWrap/>
            <w:vAlign w:val="bottom"/>
            <w:hideMark/>
          </w:tcPr>
          <w:p w14:paraId="28F221C0" w14:textId="29FB2CCD"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C057C5E" w14:textId="2A0E32F6"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29811624" w14:textId="2A3E0CDC"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583B1D72" w14:textId="33E1751A"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EE58B5B" w14:textId="649CDCD5"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7720264E" w14:textId="11D7FB42"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r>
      <w:tr w:rsidR="004D1056" w:rsidRPr="00C814FA" w14:paraId="772F49CA" w14:textId="77777777" w:rsidTr="00C814F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39352085" w14:textId="77777777" w:rsidR="004D1056" w:rsidRPr="00C814FA" w:rsidRDefault="004D1056" w:rsidP="004D1056">
            <w:pPr>
              <w:spacing w:after="0"/>
              <w:rPr>
                <w:rFonts w:ascii="Calibri" w:eastAsia="Times New Roman" w:hAnsi="Calibri" w:cs="Calibri"/>
                <w:color w:val="000000"/>
                <w:sz w:val="20"/>
                <w:szCs w:val="20"/>
              </w:rPr>
            </w:pPr>
            <w:r w:rsidRPr="00C814FA">
              <w:rPr>
                <w:rFonts w:ascii="Calibri" w:eastAsia="Times New Roman" w:hAnsi="Calibri" w:cs="Calibri"/>
                <w:color w:val="000000"/>
                <w:sz w:val="20"/>
                <w:szCs w:val="20"/>
              </w:rPr>
              <w:t>Final</w:t>
            </w:r>
          </w:p>
        </w:tc>
        <w:tc>
          <w:tcPr>
            <w:tcW w:w="1660" w:type="dxa"/>
            <w:tcBorders>
              <w:top w:val="nil"/>
              <w:left w:val="nil"/>
              <w:bottom w:val="single" w:sz="4" w:space="0" w:color="auto"/>
              <w:right w:val="single" w:sz="4" w:space="0" w:color="auto"/>
            </w:tcBorders>
            <w:shd w:val="clear" w:color="auto" w:fill="auto"/>
            <w:noWrap/>
            <w:vAlign w:val="bottom"/>
            <w:hideMark/>
          </w:tcPr>
          <w:p w14:paraId="462D739F" w14:textId="77777777" w:rsidR="004D1056" w:rsidRPr="00C814FA" w:rsidRDefault="004D1056" w:rsidP="004D1056">
            <w:pPr>
              <w:spacing w:after="0"/>
              <w:rPr>
                <w:rFonts w:ascii="Calibri" w:eastAsia="Times New Roman" w:hAnsi="Calibri" w:cs="Calibri"/>
                <w:color w:val="000000"/>
                <w:sz w:val="20"/>
                <w:szCs w:val="20"/>
              </w:rPr>
            </w:pPr>
            <w:r w:rsidRPr="00C814FA">
              <w:rPr>
                <w:rFonts w:ascii="Calibri" w:eastAsia="Times New Roman" w:hAnsi="Calibri" w:cs="Calibri"/>
                <w:color w:val="000000"/>
                <w:sz w:val="20"/>
                <w:szCs w:val="20"/>
              </w:rPr>
              <w:t>Eligible patients</w:t>
            </w:r>
          </w:p>
        </w:tc>
        <w:tc>
          <w:tcPr>
            <w:tcW w:w="960" w:type="dxa"/>
            <w:tcBorders>
              <w:top w:val="nil"/>
              <w:left w:val="nil"/>
              <w:bottom w:val="single" w:sz="4" w:space="0" w:color="auto"/>
              <w:right w:val="single" w:sz="4" w:space="0" w:color="auto"/>
            </w:tcBorders>
            <w:shd w:val="clear" w:color="auto" w:fill="auto"/>
            <w:noWrap/>
            <w:vAlign w:val="bottom"/>
            <w:hideMark/>
          </w:tcPr>
          <w:p w14:paraId="58B9646A" w14:textId="0BC4FD9B"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5B4E258D" w14:textId="3B5574A4"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0037367" w14:textId="3E380C33"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7F6F26CF" w14:textId="2A496364"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630BEB8" w14:textId="544DC06E"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77118BDB" w14:textId="29AFCEF4"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r>
      <w:tr w:rsidR="004D1056" w:rsidRPr="00C814FA" w14:paraId="6B170AF5" w14:textId="77777777" w:rsidTr="00C814F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6C2EC6B0" w14:textId="77777777" w:rsidR="004D1056" w:rsidRPr="00C814FA" w:rsidRDefault="004D1056" w:rsidP="004D1056">
            <w:pPr>
              <w:spacing w:after="0"/>
              <w:rPr>
                <w:rFonts w:ascii="Calibri" w:eastAsia="Times New Roman" w:hAnsi="Calibri" w:cs="Calibri"/>
                <w:color w:val="000000"/>
                <w:sz w:val="20"/>
                <w:szCs w:val="20"/>
              </w:rPr>
            </w:pPr>
            <w:r w:rsidRPr="00C814FA">
              <w:rPr>
                <w:rFonts w:ascii="Calibri" w:eastAsia="Times New Roman" w:hAnsi="Calibri" w:cs="Calibri"/>
                <w:color w:val="000000"/>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14:paraId="598934F6" w14:textId="77777777" w:rsidR="004D1056" w:rsidRPr="00C814FA" w:rsidRDefault="004D1056" w:rsidP="004D1056">
            <w:pPr>
              <w:spacing w:after="0"/>
              <w:rPr>
                <w:rFonts w:ascii="Calibri" w:eastAsia="Times New Roman" w:hAnsi="Calibri" w:cs="Calibri"/>
                <w:color w:val="000000"/>
                <w:sz w:val="20"/>
                <w:szCs w:val="20"/>
              </w:rPr>
            </w:pPr>
            <w:r w:rsidRPr="00C814FA">
              <w:rPr>
                <w:rFonts w:ascii="Calibri" w:eastAsia="Times New Roman" w:hAnsi="Calibri" w:cs="Calibri"/>
                <w:color w:val="000000"/>
                <w:sz w:val="20"/>
                <w:szCs w:val="20"/>
              </w:rPr>
              <w:t>Treated patients</w:t>
            </w:r>
          </w:p>
        </w:tc>
        <w:tc>
          <w:tcPr>
            <w:tcW w:w="960" w:type="dxa"/>
            <w:tcBorders>
              <w:top w:val="nil"/>
              <w:left w:val="nil"/>
              <w:bottom w:val="single" w:sz="4" w:space="0" w:color="auto"/>
              <w:right w:val="single" w:sz="4" w:space="0" w:color="auto"/>
            </w:tcBorders>
            <w:shd w:val="clear" w:color="auto" w:fill="auto"/>
            <w:noWrap/>
            <w:vAlign w:val="bottom"/>
            <w:hideMark/>
          </w:tcPr>
          <w:p w14:paraId="7FC1B846" w14:textId="07751CD0"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45C75FBF" w14:textId="2F89A965"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0CB10838" w14:textId="26917B76"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7E94FA0C" w14:textId="6F41D169"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344996EC" w14:textId="17C32039"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062F9941" w14:textId="30381E39"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r>
      <w:tr w:rsidR="004D1056" w:rsidRPr="00C814FA" w14:paraId="782A4DE2" w14:textId="77777777" w:rsidTr="00C814F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6E0C499E" w14:textId="77777777" w:rsidR="004D1056" w:rsidRPr="00C814FA" w:rsidRDefault="004D1056" w:rsidP="004D1056">
            <w:pPr>
              <w:spacing w:after="0"/>
              <w:rPr>
                <w:rFonts w:ascii="Calibri" w:eastAsia="Times New Roman" w:hAnsi="Calibri" w:cs="Calibri"/>
                <w:color w:val="000000"/>
                <w:sz w:val="20"/>
                <w:szCs w:val="20"/>
              </w:rPr>
            </w:pPr>
            <w:r w:rsidRPr="00C814FA">
              <w:rPr>
                <w:rFonts w:ascii="Calibri" w:eastAsia="Times New Roman" w:hAnsi="Calibri" w:cs="Calibri"/>
                <w:color w:val="000000"/>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14:paraId="687132E6" w14:textId="77777777" w:rsidR="004D1056" w:rsidRPr="00C814FA" w:rsidRDefault="004D1056" w:rsidP="004D1056">
            <w:pPr>
              <w:spacing w:after="0"/>
              <w:rPr>
                <w:rFonts w:ascii="Calibri" w:eastAsia="Times New Roman" w:hAnsi="Calibri" w:cs="Calibri"/>
                <w:color w:val="000000"/>
                <w:sz w:val="20"/>
                <w:szCs w:val="20"/>
              </w:rPr>
            </w:pPr>
            <w:r w:rsidRPr="00C814FA">
              <w:rPr>
                <w:rFonts w:ascii="Calibri" w:eastAsia="Times New Roman" w:hAnsi="Calibri" w:cs="Calibri"/>
                <w:color w:val="000000"/>
                <w:sz w:val="20"/>
                <w:szCs w:val="20"/>
              </w:rPr>
              <w:t>Prescriptions</w:t>
            </w:r>
          </w:p>
        </w:tc>
        <w:tc>
          <w:tcPr>
            <w:tcW w:w="960" w:type="dxa"/>
            <w:tcBorders>
              <w:top w:val="nil"/>
              <w:left w:val="nil"/>
              <w:bottom w:val="single" w:sz="4" w:space="0" w:color="auto"/>
              <w:right w:val="single" w:sz="4" w:space="0" w:color="auto"/>
            </w:tcBorders>
            <w:shd w:val="clear" w:color="auto" w:fill="auto"/>
            <w:noWrap/>
            <w:vAlign w:val="bottom"/>
            <w:hideMark/>
          </w:tcPr>
          <w:p w14:paraId="59BA8F2C" w14:textId="4685419D"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5138138" w14:textId="1EAF301D"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3851334F" w14:textId="3A86E846"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1E2A421B" w14:textId="0FC0FF75"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5636C892" w14:textId="0C7C0337"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0EB95CD0" w14:textId="2596C7DE" w:rsidR="004D1056" w:rsidRPr="00C814FA" w:rsidRDefault="004D1056" w:rsidP="004D1056">
            <w:pPr>
              <w:spacing w:after="0"/>
              <w:jc w:val="right"/>
              <w:rPr>
                <w:rFonts w:ascii="Calibri" w:eastAsia="Times New Roman" w:hAnsi="Calibri" w:cs="Calibri"/>
                <w:color w:val="000000"/>
                <w:sz w:val="20"/>
                <w:szCs w:val="20"/>
              </w:rPr>
            </w:pPr>
            <w:proofErr w:type="spellStart"/>
            <w:r w:rsidRPr="004D1056">
              <w:rPr>
                <w:rFonts w:ascii="Calibri" w:eastAsia="Times New Roman" w:hAnsi="Calibri" w:cs="Calibri"/>
                <w:color w:val="000000"/>
                <w:sz w:val="20"/>
                <w:szCs w:val="20"/>
                <w:highlight w:val="black"/>
              </w:rPr>
              <w:t>Xxxx</w:t>
            </w:r>
            <w:proofErr w:type="spellEnd"/>
          </w:p>
        </w:tc>
      </w:tr>
    </w:tbl>
    <w:p w14:paraId="3215A0F9" w14:textId="77777777" w:rsidR="001150A0" w:rsidRDefault="001150A0" w:rsidP="001150A0"/>
    <w:p w14:paraId="20C1268A" w14:textId="77777777" w:rsidR="008E61F9" w:rsidRDefault="008E61F9">
      <w:pPr>
        <w:spacing w:line="276" w:lineRule="auto"/>
        <w:rPr>
          <w:rFonts w:eastAsiaTheme="majorEastAsia" w:cstheme="majorBidi"/>
          <w:b/>
          <w:bCs/>
          <w:sz w:val="32"/>
          <w:szCs w:val="32"/>
        </w:rPr>
      </w:pPr>
      <w:r>
        <w:br w:type="page"/>
      </w:r>
    </w:p>
    <w:p w14:paraId="0312FFEC" w14:textId="4BEB6652" w:rsidR="00E677DD" w:rsidRPr="005E22C2" w:rsidRDefault="00E677DD" w:rsidP="00CF5E22">
      <w:pPr>
        <w:pStyle w:val="Heading1"/>
      </w:pPr>
      <w:r w:rsidRPr="006E41D4">
        <w:lastRenderedPageBreak/>
        <w:t>Method</w:t>
      </w:r>
      <w:r w:rsidR="001B5D37" w:rsidRPr="006E41D4">
        <w:t>s</w:t>
      </w:r>
    </w:p>
    <w:p w14:paraId="6D8C9BF9" w14:textId="06AE69CF" w:rsidR="006804E0" w:rsidRDefault="006804E0" w:rsidP="00052A75">
      <w:r w:rsidRPr="006804E0">
        <w:t>Data extracted from the PBS claims database maintained by the Department of Health and Aged Care and processed by Services Australia were used for the analyses. Prescription data</w:t>
      </w:r>
      <w:r w:rsidR="004D265A">
        <w:t xml:space="preserve"> for dupilumab</w:t>
      </w:r>
      <w:r w:rsidRPr="006804E0">
        <w:t xml:space="preserve"> were extracted from </w:t>
      </w:r>
      <w:r w:rsidR="004D265A">
        <w:t xml:space="preserve">1 March 2021 </w:t>
      </w:r>
      <w:r w:rsidRPr="006804E0">
        <w:t>up to and including</w:t>
      </w:r>
      <w:r w:rsidR="004D265A">
        <w:t xml:space="preserve"> 30 June 2023</w:t>
      </w:r>
      <w:r w:rsidRPr="006804E0">
        <w:t xml:space="preserve">. </w:t>
      </w:r>
      <w:r w:rsidR="004D265A" w:rsidRPr="004D265A">
        <w:t xml:space="preserve">Prescription data for </w:t>
      </w:r>
      <w:r w:rsidR="004D265A">
        <w:t>other PBS medicines</w:t>
      </w:r>
      <w:r w:rsidR="004D265A" w:rsidRPr="004D265A">
        <w:t xml:space="preserve"> were extracted from </w:t>
      </w:r>
      <w:r w:rsidR="004D265A">
        <w:t>1 January 2017</w:t>
      </w:r>
      <w:r w:rsidR="004D265A" w:rsidRPr="004D265A">
        <w:t xml:space="preserve"> up to and including</w:t>
      </w:r>
      <w:r w:rsidR="004D265A">
        <w:t xml:space="preserve"> </w:t>
      </w:r>
      <w:r w:rsidR="004D265A" w:rsidRPr="004D265A">
        <w:t>30 June 2023.</w:t>
      </w:r>
      <w:r w:rsidR="004D265A">
        <w:t xml:space="preserve"> </w:t>
      </w:r>
      <w:r w:rsidR="00052A75">
        <w:t xml:space="preserve">These prescription data were used to analyse utilisation, the age and gender of patients, </w:t>
      </w:r>
      <w:r w:rsidR="00B91E7F">
        <w:t xml:space="preserve">geographic location, </w:t>
      </w:r>
      <w:r w:rsidR="00052A75">
        <w:t xml:space="preserve">time to resupply and prescriber type. </w:t>
      </w:r>
      <w:r w:rsidR="004D265A">
        <w:t xml:space="preserve">These data were extracted </w:t>
      </w:r>
      <w:r w:rsidR="001B33CA">
        <w:t xml:space="preserve">on </w:t>
      </w:r>
      <w:r w:rsidR="007E2D87">
        <w:t>17</w:t>
      </w:r>
      <w:r w:rsidR="00052A75">
        <w:t> </w:t>
      </w:r>
      <w:r w:rsidR="00740FD6">
        <w:t>August</w:t>
      </w:r>
      <w:r w:rsidR="004D265A" w:rsidRPr="004D265A">
        <w:t xml:space="preserve"> 2023</w:t>
      </w:r>
      <w:r w:rsidR="004D265A">
        <w:t>.</w:t>
      </w:r>
    </w:p>
    <w:p w14:paraId="088979D4" w14:textId="256FA279" w:rsidR="0026335D" w:rsidRDefault="005805C0" w:rsidP="0026335D">
      <w:r>
        <w:t xml:space="preserve">Authorities data were extracted from the Authorities database, and matched to the prescription data to </w:t>
      </w:r>
      <w:r w:rsidR="00357FB6">
        <w:t xml:space="preserve">determine whether a prescription was supplied for </w:t>
      </w:r>
      <w:r w:rsidR="0026335D">
        <w:t xml:space="preserve">atopic dermatitis or </w:t>
      </w:r>
      <w:r w:rsidR="00357FB6">
        <w:t>asth</w:t>
      </w:r>
      <w:r w:rsidR="0026335D">
        <w:t>ma</w:t>
      </w:r>
      <w:r w:rsidR="00687D8C">
        <w:t xml:space="preserve">. These matched data were used to </w:t>
      </w:r>
      <w:r w:rsidR="00E423AD">
        <w:t>analyse the c</w:t>
      </w:r>
      <w:r w:rsidR="00E423AD" w:rsidRPr="00E423AD">
        <w:t>onsistency of utilisation by indication</w:t>
      </w:r>
      <w:r w:rsidR="0026335D">
        <w:t xml:space="preserve">, and to </w:t>
      </w:r>
      <w:r w:rsidR="00357FB6">
        <w:t>analyse the data quality of PBS item codes</w:t>
      </w:r>
      <w:r>
        <w:t xml:space="preserve"> the prescription was intended to treat. </w:t>
      </w:r>
    </w:p>
    <w:p w14:paraId="1C4C7112" w14:textId="77777777" w:rsidR="00052A75" w:rsidRDefault="00052A75" w:rsidP="00052A75">
      <w:r>
        <w:t xml:space="preserve">Prescriptions for omalizumab, benralizumab and mepolizumab were extracted to compare dupilumab for asthma use to the market of biologics for asthma. Prescriptions for topical corticosteroids </w:t>
      </w:r>
      <w:r w:rsidRPr="00B37AD5">
        <w:t xml:space="preserve">(creams, ointments and lotions) and </w:t>
      </w:r>
      <w:proofErr w:type="spellStart"/>
      <w:r w:rsidRPr="00B37AD5">
        <w:t>pimecrolimus</w:t>
      </w:r>
      <w:proofErr w:type="spellEnd"/>
      <w:r w:rsidRPr="00B37AD5">
        <w:t xml:space="preserve"> cream</w:t>
      </w:r>
      <w:r>
        <w:t xml:space="preserve"> were extracted to investigate the prior supply of these medicines to patients who were supplied dupilumab for atopic dermatitis.</w:t>
      </w:r>
    </w:p>
    <w:p w14:paraId="612FC711" w14:textId="3252705E" w:rsidR="006C693B" w:rsidRDefault="006C693B" w:rsidP="006C693B">
      <w:r>
        <w:t>Treatment duration was analysed using the Kaplan-Meier method. A patient was censored if they were supplied a prescription within three times the median time to resupply prior to 30 June 2023 (i.e. 3×28 days).</w:t>
      </w:r>
      <w:r w:rsidR="00C304D1">
        <w:t xml:space="preserve"> T</w:t>
      </w:r>
      <w:r w:rsidR="00C304D1" w:rsidRPr="00C304D1">
        <w:t>hree times the median time to resupply</w:t>
      </w:r>
      <w:r w:rsidR="00D13FC8">
        <w:t xml:space="preserve"> was used to test for breaks between supplies of dupilumab.</w:t>
      </w:r>
    </w:p>
    <w:p w14:paraId="37A08032" w14:textId="04AD2BDB" w:rsidR="003D7A9E" w:rsidRDefault="006804E0" w:rsidP="00A35800">
      <w:pPr>
        <w:rPr>
          <w:rFonts w:eastAsia="Calibri" w:cs="Times New Roman"/>
        </w:rPr>
      </w:pPr>
      <w:r w:rsidRPr="006804E0">
        <w:t>As this analysis uses date of supply prescription data, there may be small differences compared with publicly available Services Australia Medicare date of processing data.</w:t>
      </w:r>
      <w:r w:rsidR="00576B18">
        <w:rPr>
          <w:rStyle w:val="FootnoteReference"/>
        </w:rPr>
        <w:footnoteReference w:id="5"/>
      </w:r>
      <w:r w:rsidR="00576B18">
        <w:t xml:space="preserve"> </w:t>
      </w:r>
    </w:p>
    <w:p w14:paraId="202565A3" w14:textId="3321E1EF" w:rsidR="003D7A9E" w:rsidRPr="000226B3" w:rsidRDefault="004D265A" w:rsidP="00A35800">
      <w:pPr>
        <w:rPr>
          <w:rFonts w:eastAsia="Calibri" w:cs="Times New Roman"/>
        </w:rPr>
      </w:pPr>
      <w:r>
        <w:rPr>
          <w:rFonts w:eastAsia="Calibri" w:cs="Times New Roman"/>
        </w:rPr>
        <w:t xml:space="preserve">Analyses were completed using SAS. </w:t>
      </w:r>
    </w:p>
    <w:p w14:paraId="4F91A98A" w14:textId="00180E30" w:rsidR="00C714D0" w:rsidRPr="005E22C2" w:rsidRDefault="00C714D0" w:rsidP="00CF5E22">
      <w:pPr>
        <w:pStyle w:val="Heading1"/>
      </w:pPr>
      <w:r w:rsidRPr="005E22C2">
        <w:t>Results</w:t>
      </w:r>
    </w:p>
    <w:p w14:paraId="2221FF19" w14:textId="336CE8B2" w:rsidR="00736041" w:rsidRPr="005E22C2" w:rsidRDefault="001B5D37" w:rsidP="00CF5E22">
      <w:pPr>
        <w:pStyle w:val="Heading2"/>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217F05AD" w14:textId="1AE7F95E" w:rsidR="003D4F69" w:rsidRDefault="003D4F69" w:rsidP="00CF5E22">
      <w:pPr>
        <w:pStyle w:val="Heading3"/>
      </w:pPr>
      <w:r>
        <w:t>Data quality</w:t>
      </w:r>
    </w:p>
    <w:p w14:paraId="4B432B3F" w14:textId="0408DA96" w:rsidR="00B05F73" w:rsidRDefault="00465265" w:rsidP="00B05F73">
      <w:r>
        <w:t xml:space="preserve">Table </w:t>
      </w:r>
      <w:r w:rsidR="008761B9">
        <w:t>6 and Figure 1</w:t>
      </w:r>
      <w:r w:rsidR="003D4F69">
        <w:t xml:space="preserve"> show prescriptions for dupilumab by the restriction determined </w:t>
      </w:r>
      <w:r w:rsidR="00AF0E29">
        <w:t>from the PBS</w:t>
      </w:r>
      <w:r w:rsidR="003D4F69">
        <w:t xml:space="preserve"> item code, and the restriction determined </w:t>
      </w:r>
      <w:r w:rsidR="00AF0E29">
        <w:t>from the</w:t>
      </w:r>
      <w:r w:rsidR="003D4F69">
        <w:t xml:space="preserve"> authority code. As dupilumab was listed for asthma one month after it was listed for atopic dermatitis, all prescriptions </w:t>
      </w:r>
      <w:r w:rsidR="004D265A">
        <w:t xml:space="preserve">of dupilumab </w:t>
      </w:r>
      <w:r w:rsidR="003D4F69">
        <w:t>to the end of June 2023 are included.</w:t>
      </w:r>
      <w:r w:rsidR="00B05F73" w:rsidRPr="00B05F73">
        <w:t xml:space="preserve"> </w:t>
      </w:r>
    </w:p>
    <w:p w14:paraId="2AF44BEE" w14:textId="62B66669" w:rsidR="00B05F73" w:rsidRDefault="00B05F73" w:rsidP="00475F07">
      <w:pPr>
        <w:pStyle w:val="Tabletitle"/>
        <w:keepNext/>
      </w:pPr>
      <w:r>
        <w:lastRenderedPageBreak/>
        <w:t>Table</w:t>
      </w:r>
      <w:r w:rsidRPr="00B05F73">
        <w:t xml:space="preserve"> </w:t>
      </w:r>
      <w:r w:rsidR="00EA7D2D">
        <w:t>6</w:t>
      </w:r>
      <w:r w:rsidRPr="00B05F73">
        <w:t>: Use of dupilumab by item code restriction and authority code restriction</w:t>
      </w:r>
    </w:p>
    <w:tbl>
      <w:tblPr>
        <w:tblW w:w="8954" w:type="dxa"/>
        <w:tblInd w:w="113" w:type="dxa"/>
        <w:tblLayout w:type="fixed"/>
        <w:tblLook w:val="04A0" w:firstRow="1" w:lastRow="0" w:firstColumn="1" w:lastColumn="0" w:noHBand="0" w:noVBand="1"/>
      </w:tblPr>
      <w:tblGrid>
        <w:gridCol w:w="1068"/>
        <w:gridCol w:w="3067"/>
        <w:gridCol w:w="1606"/>
        <w:gridCol w:w="1606"/>
        <w:gridCol w:w="1607"/>
      </w:tblGrid>
      <w:tr w:rsidR="00B05F73" w:rsidRPr="005C6152" w14:paraId="2BE42913" w14:textId="77777777" w:rsidTr="002B54F2">
        <w:trPr>
          <w:trHeight w:val="525"/>
        </w:trPr>
        <w:tc>
          <w:tcPr>
            <w:tcW w:w="1068"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7911A39A" w14:textId="77777777" w:rsidR="00B05F73" w:rsidRPr="005C6152" w:rsidRDefault="00B05F73" w:rsidP="00012A07">
            <w:pPr>
              <w:keepNext/>
              <w:spacing w:after="0"/>
              <w:rPr>
                <w:rFonts w:ascii="Calibri" w:eastAsia="Times New Roman" w:hAnsi="Calibri" w:cs="Calibri"/>
                <w:b/>
                <w:bCs/>
                <w:color w:val="000000"/>
                <w:sz w:val="20"/>
                <w:szCs w:val="20"/>
              </w:rPr>
            </w:pPr>
            <w:r w:rsidRPr="005C6152">
              <w:rPr>
                <w:rFonts w:ascii="Calibri" w:eastAsia="Times New Roman" w:hAnsi="Calibri" w:cs="Calibri"/>
                <w:b/>
                <w:bCs/>
                <w:color w:val="000000"/>
                <w:sz w:val="20"/>
                <w:szCs w:val="20"/>
              </w:rPr>
              <w:t>Item code indication</w:t>
            </w:r>
          </w:p>
        </w:tc>
        <w:tc>
          <w:tcPr>
            <w:tcW w:w="3067" w:type="dxa"/>
            <w:tcBorders>
              <w:top w:val="single" w:sz="4" w:space="0" w:color="auto"/>
              <w:left w:val="nil"/>
              <w:bottom w:val="single" w:sz="4" w:space="0" w:color="auto"/>
              <w:right w:val="single" w:sz="4" w:space="0" w:color="auto"/>
            </w:tcBorders>
            <w:shd w:val="clear" w:color="000000" w:fill="BFBFBF"/>
            <w:vAlign w:val="bottom"/>
            <w:hideMark/>
          </w:tcPr>
          <w:p w14:paraId="34BE495A" w14:textId="77777777" w:rsidR="00B05F73" w:rsidRPr="005C6152" w:rsidRDefault="00B05F73" w:rsidP="00012A07">
            <w:pPr>
              <w:keepNext/>
              <w:spacing w:after="0"/>
              <w:rPr>
                <w:rFonts w:ascii="Calibri" w:eastAsia="Times New Roman" w:hAnsi="Calibri" w:cs="Calibri"/>
                <w:b/>
                <w:bCs/>
                <w:color w:val="000000"/>
                <w:sz w:val="20"/>
                <w:szCs w:val="20"/>
              </w:rPr>
            </w:pPr>
            <w:r w:rsidRPr="005C6152">
              <w:rPr>
                <w:rFonts w:ascii="Calibri" w:eastAsia="Times New Roman" w:hAnsi="Calibri" w:cs="Calibri"/>
                <w:b/>
                <w:bCs/>
                <w:color w:val="000000"/>
                <w:sz w:val="20"/>
                <w:szCs w:val="20"/>
              </w:rPr>
              <w:t>Authority code indication</w:t>
            </w:r>
          </w:p>
        </w:tc>
        <w:tc>
          <w:tcPr>
            <w:tcW w:w="1606" w:type="dxa"/>
            <w:tcBorders>
              <w:top w:val="single" w:sz="4" w:space="0" w:color="auto"/>
              <w:left w:val="nil"/>
              <w:bottom w:val="single" w:sz="4" w:space="0" w:color="auto"/>
              <w:right w:val="single" w:sz="4" w:space="0" w:color="auto"/>
            </w:tcBorders>
            <w:shd w:val="clear" w:color="000000" w:fill="BFBFBF"/>
            <w:vAlign w:val="bottom"/>
            <w:hideMark/>
          </w:tcPr>
          <w:p w14:paraId="0310C5A9" w14:textId="77777777" w:rsidR="00B05F73" w:rsidRPr="005C6152" w:rsidRDefault="00B05F73" w:rsidP="00012A07">
            <w:pPr>
              <w:keepNext/>
              <w:spacing w:after="0"/>
              <w:rPr>
                <w:rFonts w:ascii="Calibri" w:eastAsia="Times New Roman" w:hAnsi="Calibri" w:cs="Calibri"/>
                <w:b/>
                <w:bCs/>
                <w:color w:val="000000"/>
                <w:sz w:val="20"/>
                <w:szCs w:val="20"/>
              </w:rPr>
            </w:pPr>
            <w:r w:rsidRPr="005C6152">
              <w:rPr>
                <w:rFonts w:ascii="Calibri" w:eastAsia="Times New Roman" w:hAnsi="Calibri" w:cs="Calibri"/>
                <w:b/>
                <w:bCs/>
                <w:color w:val="000000"/>
                <w:sz w:val="20"/>
                <w:szCs w:val="20"/>
              </w:rPr>
              <w:t>Prescriptions</w:t>
            </w:r>
          </w:p>
        </w:tc>
        <w:tc>
          <w:tcPr>
            <w:tcW w:w="1606" w:type="dxa"/>
            <w:tcBorders>
              <w:top w:val="single" w:sz="4" w:space="0" w:color="auto"/>
              <w:left w:val="nil"/>
              <w:bottom w:val="single" w:sz="4" w:space="0" w:color="auto"/>
              <w:right w:val="single" w:sz="4" w:space="0" w:color="auto"/>
            </w:tcBorders>
            <w:shd w:val="clear" w:color="000000" w:fill="BFBFBF"/>
            <w:vAlign w:val="bottom"/>
            <w:hideMark/>
          </w:tcPr>
          <w:p w14:paraId="357B8E35" w14:textId="77777777" w:rsidR="00B05F73" w:rsidRPr="005C6152" w:rsidRDefault="00B05F73" w:rsidP="00012A07">
            <w:pPr>
              <w:keepNext/>
              <w:spacing w:after="0"/>
              <w:rPr>
                <w:rFonts w:ascii="Calibri" w:eastAsia="Times New Roman" w:hAnsi="Calibri" w:cs="Calibri"/>
                <w:b/>
                <w:bCs/>
                <w:color w:val="000000"/>
                <w:sz w:val="20"/>
                <w:szCs w:val="20"/>
              </w:rPr>
            </w:pPr>
            <w:r w:rsidRPr="005C6152">
              <w:rPr>
                <w:rFonts w:ascii="Calibri" w:eastAsia="Times New Roman" w:hAnsi="Calibri" w:cs="Calibri"/>
                <w:b/>
                <w:bCs/>
                <w:color w:val="000000"/>
                <w:sz w:val="20"/>
                <w:szCs w:val="20"/>
              </w:rPr>
              <w:t>Percent of sub</w:t>
            </w:r>
            <w:r>
              <w:rPr>
                <w:rFonts w:ascii="Calibri" w:eastAsia="Times New Roman" w:hAnsi="Calibri" w:cs="Calibri"/>
                <w:b/>
                <w:bCs/>
                <w:color w:val="000000"/>
                <w:sz w:val="20"/>
                <w:szCs w:val="20"/>
              </w:rPr>
              <w:t>total</w:t>
            </w:r>
          </w:p>
        </w:tc>
        <w:tc>
          <w:tcPr>
            <w:tcW w:w="1607" w:type="dxa"/>
            <w:tcBorders>
              <w:top w:val="single" w:sz="4" w:space="0" w:color="auto"/>
              <w:left w:val="nil"/>
              <w:bottom w:val="single" w:sz="4" w:space="0" w:color="auto"/>
              <w:right w:val="single" w:sz="4" w:space="0" w:color="auto"/>
            </w:tcBorders>
            <w:shd w:val="clear" w:color="000000" w:fill="BFBFBF"/>
            <w:vAlign w:val="bottom"/>
            <w:hideMark/>
          </w:tcPr>
          <w:p w14:paraId="600B485E" w14:textId="77777777" w:rsidR="00B05F73" w:rsidRPr="005C6152" w:rsidRDefault="00B05F73" w:rsidP="00012A07">
            <w:pPr>
              <w:keepNext/>
              <w:spacing w:after="0"/>
              <w:rPr>
                <w:rFonts w:ascii="Calibri" w:eastAsia="Times New Roman" w:hAnsi="Calibri" w:cs="Calibri"/>
                <w:b/>
                <w:bCs/>
                <w:color w:val="000000"/>
                <w:sz w:val="20"/>
                <w:szCs w:val="20"/>
              </w:rPr>
            </w:pPr>
            <w:r w:rsidRPr="005C6152">
              <w:rPr>
                <w:rFonts w:ascii="Calibri" w:eastAsia="Times New Roman" w:hAnsi="Calibri" w:cs="Calibri"/>
                <w:b/>
                <w:bCs/>
                <w:color w:val="000000"/>
                <w:sz w:val="20"/>
                <w:szCs w:val="20"/>
              </w:rPr>
              <w:t>Percent of total</w:t>
            </w:r>
          </w:p>
        </w:tc>
      </w:tr>
      <w:tr w:rsidR="00AA0687" w:rsidRPr="005C6152" w14:paraId="7CCF635E" w14:textId="77777777" w:rsidTr="002B54F2">
        <w:trPr>
          <w:trHeight w:val="300"/>
        </w:trPr>
        <w:tc>
          <w:tcPr>
            <w:tcW w:w="1068" w:type="dxa"/>
            <w:tcBorders>
              <w:top w:val="nil"/>
              <w:left w:val="single" w:sz="4" w:space="0" w:color="auto"/>
              <w:bottom w:val="single" w:sz="4" w:space="0" w:color="auto"/>
              <w:right w:val="single" w:sz="4" w:space="0" w:color="auto"/>
            </w:tcBorders>
            <w:shd w:val="clear" w:color="auto" w:fill="auto"/>
            <w:vAlign w:val="bottom"/>
            <w:hideMark/>
          </w:tcPr>
          <w:p w14:paraId="6B087918" w14:textId="1033CEB4" w:rsidR="00AA0687" w:rsidRPr="005C6152" w:rsidRDefault="00AA0687" w:rsidP="00AA0687">
            <w:pPr>
              <w:keepNext/>
              <w:spacing w:after="0"/>
              <w:rPr>
                <w:rFonts w:ascii="Calibri" w:eastAsia="Times New Roman" w:hAnsi="Calibri" w:cs="Calibri"/>
                <w:color w:val="000000"/>
                <w:sz w:val="20"/>
                <w:szCs w:val="20"/>
              </w:rPr>
            </w:pPr>
            <w:r>
              <w:rPr>
                <w:rFonts w:ascii="Calibri" w:hAnsi="Calibri" w:cs="Calibri"/>
                <w:color w:val="000000"/>
                <w:sz w:val="20"/>
                <w:szCs w:val="20"/>
              </w:rPr>
              <w:t>Asthma</w:t>
            </w:r>
          </w:p>
        </w:tc>
        <w:tc>
          <w:tcPr>
            <w:tcW w:w="3067" w:type="dxa"/>
            <w:tcBorders>
              <w:top w:val="nil"/>
              <w:left w:val="nil"/>
              <w:bottom w:val="single" w:sz="4" w:space="0" w:color="auto"/>
              <w:right w:val="single" w:sz="4" w:space="0" w:color="auto"/>
            </w:tcBorders>
            <w:shd w:val="clear" w:color="auto" w:fill="auto"/>
            <w:vAlign w:val="bottom"/>
            <w:hideMark/>
          </w:tcPr>
          <w:p w14:paraId="3F1A7A97" w14:textId="05FF0F08" w:rsidR="00AA0687" w:rsidRPr="005C6152" w:rsidRDefault="00AA0687" w:rsidP="00AA0687">
            <w:pPr>
              <w:keepNext/>
              <w:spacing w:after="0"/>
              <w:rPr>
                <w:rFonts w:ascii="Calibri" w:eastAsia="Times New Roman" w:hAnsi="Calibri" w:cs="Calibri"/>
                <w:color w:val="000000"/>
                <w:sz w:val="20"/>
                <w:szCs w:val="20"/>
              </w:rPr>
            </w:pPr>
            <w:r>
              <w:rPr>
                <w:rFonts w:ascii="Calibri" w:hAnsi="Calibri" w:cs="Calibri"/>
                <w:color w:val="000000"/>
                <w:sz w:val="20"/>
                <w:szCs w:val="20"/>
              </w:rPr>
              <w:t>Asthma</w:t>
            </w:r>
          </w:p>
        </w:tc>
        <w:tc>
          <w:tcPr>
            <w:tcW w:w="1606" w:type="dxa"/>
            <w:tcBorders>
              <w:top w:val="nil"/>
              <w:left w:val="nil"/>
              <w:bottom w:val="single" w:sz="4" w:space="0" w:color="auto"/>
              <w:right w:val="single" w:sz="4" w:space="0" w:color="auto"/>
            </w:tcBorders>
            <w:shd w:val="clear" w:color="auto" w:fill="auto"/>
            <w:vAlign w:val="bottom"/>
            <w:hideMark/>
          </w:tcPr>
          <w:p w14:paraId="75DDC9D8" w14:textId="65128BC9" w:rsidR="00AA0687" w:rsidRPr="005C6152" w:rsidRDefault="00AA0687" w:rsidP="00AA0687">
            <w:pPr>
              <w:keepNext/>
              <w:spacing w:after="0"/>
              <w:jc w:val="right"/>
              <w:rPr>
                <w:rFonts w:ascii="Calibri" w:eastAsia="Times New Roman" w:hAnsi="Calibri" w:cs="Calibri"/>
                <w:color w:val="000000"/>
                <w:sz w:val="20"/>
                <w:szCs w:val="20"/>
              </w:rPr>
            </w:pPr>
            <w:r>
              <w:rPr>
                <w:rFonts w:ascii="Calibri" w:hAnsi="Calibri" w:cs="Calibri"/>
                <w:color w:val="000000"/>
                <w:sz w:val="20"/>
                <w:szCs w:val="20"/>
              </w:rPr>
              <w:t>27</w:t>
            </w:r>
            <w:r w:rsidR="00142263">
              <w:rPr>
                <w:rFonts w:ascii="Calibri" w:hAnsi="Calibri" w:cs="Calibri"/>
                <w:color w:val="000000"/>
                <w:sz w:val="20"/>
                <w:szCs w:val="20"/>
              </w:rPr>
              <w:t>,</w:t>
            </w:r>
            <w:r>
              <w:rPr>
                <w:rFonts w:ascii="Calibri" w:hAnsi="Calibri" w:cs="Calibri"/>
                <w:color w:val="000000"/>
                <w:sz w:val="20"/>
                <w:szCs w:val="20"/>
              </w:rPr>
              <w:t>850</w:t>
            </w:r>
          </w:p>
        </w:tc>
        <w:tc>
          <w:tcPr>
            <w:tcW w:w="1606" w:type="dxa"/>
            <w:tcBorders>
              <w:top w:val="nil"/>
              <w:left w:val="nil"/>
              <w:bottom w:val="single" w:sz="4" w:space="0" w:color="auto"/>
              <w:right w:val="single" w:sz="4" w:space="0" w:color="auto"/>
            </w:tcBorders>
            <w:shd w:val="clear" w:color="auto" w:fill="auto"/>
            <w:vAlign w:val="bottom"/>
            <w:hideMark/>
          </w:tcPr>
          <w:p w14:paraId="58955F40" w14:textId="3A9B346A" w:rsidR="00AA0687" w:rsidRPr="005C6152" w:rsidRDefault="00AA0687" w:rsidP="00AA0687">
            <w:pPr>
              <w:keepNext/>
              <w:spacing w:after="0"/>
              <w:jc w:val="right"/>
              <w:rPr>
                <w:rFonts w:ascii="Calibri" w:eastAsia="Times New Roman" w:hAnsi="Calibri" w:cs="Calibri"/>
                <w:color w:val="000000"/>
                <w:sz w:val="20"/>
                <w:szCs w:val="20"/>
              </w:rPr>
            </w:pPr>
            <w:r>
              <w:rPr>
                <w:rFonts w:ascii="Calibri" w:hAnsi="Calibri" w:cs="Calibri"/>
                <w:color w:val="000000"/>
                <w:sz w:val="20"/>
                <w:szCs w:val="20"/>
              </w:rPr>
              <w:t>80%</w:t>
            </w:r>
          </w:p>
        </w:tc>
        <w:tc>
          <w:tcPr>
            <w:tcW w:w="1607" w:type="dxa"/>
            <w:tcBorders>
              <w:top w:val="nil"/>
              <w:left w:val="nil"/>
              <w:bottom w:val="single" w:sz="4" w:space="0" w:color="auto"/>
              <w:right w:val="single" w:sz="4" w:space="0" w:color="auto"/>
            </w:tcBorders>
            <w:shd w:val="clear" w:color="auto" w:fill="auto"/>
            <w:vAlign w:val="bottom"/>
            <w:hideMark/>
          </w:tcPr>
          <w:p w14:paraId="7573F6C9" w14:textId="4D283EDE" w:rsidR="00AA0687" w:rsidRPr="005C6152" w:rsidRDefault="00AA0687" w:rsidP="00AA0687">
            <w:pPr>
              <w:keepNext/>
              <w:spacing w:after="0"/>
              <w:jc w:val="right"/>
              <w:rPr>
                <w:rFonts w:ascii="Calibri" w:eastAsia="Times New Roman" w:hAnsi="Calibri" w:cs="Calibri"/>
                <w:color w:val="000000"/>
                <w:sz w:val="20"/>
                <w:szCs w:val="20"/>
              </w:rPr>
            </w:pPr>
            <w:r>
              <w:rPr>
                <w:rFonts w:ascii="Calibri" w:hAnsi="Calibri" w:cs="Calibri"/>
                <w:color w:val="000000"/>
                <w:sz w:val="20"/>
                <w:szCs w:val="20"/>
              </w:rPr>
              <w:t>11%</w:t>
            </w:r>
          </w:p>
        </w:tc>
      </w:tr>
      <w:tr w:rsidR="00AA0687" w:rsidRPr="005C6152" w14:paraId="0174CE7E" w14:textId="77777777" w:rsidTr="002B54F2">
        <w:trPr>
          <w:trHeight w:val="300"/>
        </w:trPr>
        <w:tc>
          <w:tcPr>
            <w:tcW w:w="1068" w:type="dxa"/>
            <w:tcBorders>
              <w:top w:val="nil"/>
              <w:left w:val="single" w:sz="4" w:space="0" w:color="auto"/>
              <w:bottom w:val="single" w:sz="4" w:space="0" w:color="auto"/>
              <w:right w:val="single" w:sz="4" w:space="0" w:color="auto"/>
            </w:tcBorders>
            <w:shd w:val="clear" w:color="auto" w:fill="auto"/>
            <w:vAlign w:val="bottom"/>
            <w:hideMark/>
          </w:tcPr>
          <w:p w14:paraId="3B241226" w14:textId="098B07D5" w:rsidR="00AA0687" w:rsidRPr="005C6152" w:rsidRDefault="00AA0687" w:rsidP="00AA0687">
            <w:pPr>
              <w:keepNext/>
              <w:spacing w:after="0"/>
              <w:rPr>
                <w:rFonts w:ascii="Calibri" w:eastAsia="Times New Roman" w:hAnsi="Calibri" w:cs="Calibri"/>
                <w:color w:val="000000"/>
                <w:sz w:val="20"/>
                <w:szCs w:val="20"/>
              </w:rPr>
            </w:pPr>
            <w:r>
              <w:rPr>
                <w:rFonts w:ascii="Calibri" w:hAnsi="Calibri" w:cs="Calibri"/>
                <w:color w:val="000000"/>
                <w:sz w:val="20"/>
                <w:szCs w:val="20"/>
              </w:rPr>
              <w:t>Asthma</w:t>
            </w:r>
          </w:p>
        </w:tc>
        <w:tc>
          <w:tcPr>
            <w:tcW w:w="3067" w:type="dxa"/>
            <w:tcBorders>
              <w:top w:val="nil"/>
              <w:left w:val="nil"/>
              <w:bottom w:val="single" w:sz="4" w:space="0" w:color="auto"/>
              <w:right w:val="single" w:sz="4" w:space="0" w:color="auto"/>
            </w:tcBorders>
            <w:shd w:val="clear" w:color="auto" w:fill="auto"/>
            <w:vAlign w:val="bottom"/>
            <w:hideMark/>
          </w:tcPr>
          <w:p w14:paraId="71D8FF2A" w14:textId="757B049B" w:rsidR="00AA0687" w:rsidRPr="005C6152" w:rsidRDefault="00AA0687" w:rsidP="00AA0687">
            <w:pPr>
              <w:keepNext/>
              <w:spacing w:after="0"/>
              <w:rPr>
                <w:rFonts w:ascii="Calibri" w:eastAsia="Times New Roman" w:hAnsi="Calibri" w:cs="Calibri"/>
                <w:color w:val="000000"/>
                <w:sz w:val="20"/>
                <w:szCs w:val="20"/>
              </w:rPr>
            </w:pPr>
            <w:r>
              <w:rPr>
                <w:rFonts w:ascii="Calibri" w:hAnsi="Calibri" w:cs="Calibri"/>
                <w:color w:val="000000"/>
                <w:sz w:val="20"/>
                <w:szCs w:val="20"/>
              </w:rPr>
              <w:t>Dermatitis</w:t>
            </w:r>
          </w:p>
        </w:tc>
        <w:tc>
          <w:tcPr>
            <w:tcW w:w="1606" w:type="dxa"/>
            <w:tcBorders>
              <w:top w:val="nil"/>
              <w:left w:val="nil"/>
              <w:bottom w:val="single" w:sz="4" w:space="0" w:color="auto"/>
              <w:right w:val="single" w:sz="4" w:space="0" w:color="auto"/>
            </w:tcBorders>
            <w:shd w:val="clear" w:color="auto" w:fill="auto"/>
            <w:vAlign w:val="bottom"/>
            <w:hideMark/>
          </w:tcPr>
          <w:p w14:paraId="2CC1D36A" w14:textId="56F0C4EA" w:rsidR="00AA0687" w:rsidRPr="005C6152" w:rsidRDefault="00AA0687" w:rsidP="00AA0687">
            <w:pPr>
              <w:keepNext/>
              <w:spacing w:after="0"/>
              <w:jc w:val="right"/>
              <w:rPr>
                <w:rFonts w:ascii="Calibri" w:eastAsia="Times New Roman" w:hAnsi="Calibri" w:cs="Calibri"/>
                <w:color w:val="000000"/>
                <w:sz w:val="20"/>
                <w:szCs w:val="20"/>
              </w:rPr>
            </w:pPr>
            <w:r>
              <w:rPr>
                <w:rFonts w:ascii="Calibri" w:hAnsi="Calibri" w:cs="Calibri"/>
                <w:color w:val="000000"/>
                <w:sz w:val="20"/>
                <w:szCs w:val="20"/>
              </w:rPr>
              <w:t>6</w:t>
            </w:r>
            <w:r w:rsidR="00142263">
              <w:rPr>
                <w:rFonts w:ascii="Calibri" w:hAnsi="Calibri" w:cs="Calibri"/>
                <w:color w:val="000000"/>
                <w:sz w:val="20"/>
                <w:szCs w:val="20"/>
              </w:rPr>
              <w:t>,</w:t>
            </w:r>
            <w:r>
              <w:rPr>
                <w:rFonts w:ascii="Calibri" w:hAnsi="Calibri" w:cs="Calibri"/>
                <w:color w:val="000000"/>
                <w:sz w:val="20"/>
                <w:szCs w:val="20"/>
              </w:rPr>
              <w:t>162</w:t>
            </w:r>
          </w:p>
        </w:tc>
        <w:tc>
          <w:tcPr>
            <w:tcW w:w="1606" w:type="dxa"/>
            <w:tcBorders>
              <w:top w:val="nil"/>
              <w:left w:val="nil"/>
              <w:bottom w:val="single" w:sz="4" w:space="0" w:color="auto"/>
              <w:right w:val="single" w:sz="4" w:space="0" w:color="auto"/>
            </w:tcBorders>
            <w:shd w:val="clear" w:color="auto" w:fill="auto"/>
            <w:vAlign w:val="bottom"/>
            <w:hideMark/>
          </w:tcPr>
          <w:p w14:paraId="22D84561" w14:textId="559BF945" w:rsidR="00AA0687" w:rsidRPr="005C6152" w:rsidRDefault="00AA0687" w:rsidP="00AA0687">
            <w:pPr>
              <w:keepNext/>
              <w:spacing w:after="0"/>
              <w:jc w:val="right"/>
              <w:rPr>
                <w:rFonts w:ascii="Calibri" w:eastAsia="Times New Roman" w:hAnsi="Calibri" w:cs="Calibri"/>
                <w:color w:val="000000"/>
                <w:sz w:val="20"/>
                <w:szCs w:val="20"/>
              </w:rPr>
            </w:pPr>
            <w:r>
              <w:rPr>
                <w:rFonts w:ascii="Calibri" w:hAnsi="Calibri" w:cs="Calibri"/>
                <w:color w:val="000000"/>
                <w:sz w:val="20"/>
                <w:szCs w:val="20"/>
              </w:rPr>
              <w:t>18%</w:t>
            </w:r>
          </w:p>
        </w:tc>
        <w:tc>
          <w:tcPr>
            <w:tcW w:w="1607" w:type="dxa"/>
            <w:tcBorders>
              <w:top w:val="nil"/>
              <w:left w:val="nil"/>
              <w:bottom w:val="single" w:sz="4" w:space="0" w:color="auto"/>
              <w:right w:val="single" w:sz="4" w:space="0" w:color="auto"/>
            </w:tcBorders>
            <w:shd w:val="clear" w:color="auto" w:fill="auto"/>
            <w:vAlign w:val="bottom"/>
            <w:hideMark/>
          </w:tcPr>
          <w:p w14:paraId="5DEA52BC" w14:textId="6EB366B6" w:rsidR="00AA0687" w:rsidRPr="005C6152" w:rsidRDefault="00AA0687" w:rsidP="00AA0687">
            <w:pPr>
              <w:keepNext/>
              <w:spacing w:after="0"/>
              <w:jc w:val="right"/>
              <w:rPr>
                <w:rFonts w:ascii="Calibri" w:eastAsia="Times New Roman" w:hAnsi="Calibri" w:cs="Calibri"/>
                <w:color w:val="000000"/>
                <w:sz w:val="20"/>
                <w:szCs w:val="20"/>
              </w:rPr>
            </w:pPr>
            <w:r>
              <w:rPr>
                <w:rFonts w:ascii="Calibri" w:hAnsi="Calibri" w:cs="Calibri"/>
                <w:color w:val="000000"/>
                <w:sz w:val="20"/>
                <w:szCs w:val="20"/>
              </w:rPr>
              <w:t>2%</w:t>
            </w:r>
          </w:p>
        </w:tc>
      </w:tr>
      <w:tr w:rsidR="00AA0687" w:rsidRPr="005C6152" w14:paraId="2AF2D7B2" w14:textId="77777777" w:rsidTr="002B54F2">
        <w:trPr>
          <w:trHeight w:val="300"/>
        </w:trPr>
        <w:tc>
          <w:tcPr>
            <w:tcW w:w="1068" w:type="dxa"/>
            <w:tcBorders>
              <w:top w:val="nil"/>
              <w:left w:val="single" w:sz="4" w:space="0" w:color="auto"/>
              <w:bottom w:val="single" w:sz="4" w:space="0" w:color="auto"/>
              <w:right w:val="single" w:sz="4" w:space="0" w:color="auto"/>
            </w:tcBorders>
            <w:shd w:val="clear" w:color="auto" w:fill="auto"/>
            <w:vAlign w:val="bottom"/>
            <w:hideMark/>
          </w:tcPr>
          <w:p w14:paraId="7922633B" w14:textId="1FF93A48" w:rsidR="00AA0687" w:rsidRPr="005C6152" w:rsidRDefault="00AA0687" w:rsidP="00AA0687">
            <w:pPr>
              <w:keepNext/>
              <w:spacing w:after="0"/>
              <w:rPr>
                <w:rFonts w:ascii="Calibri" w:eastAsia="Times New Roman" w:hAnsi="Calibri" w:cs="Calibri"/>
                <w:color w:val="000000"/>
                <w:sz w:val="20"/>
                <w:szCs w:val="20"/>
              </w:rPr>
            </w:pPr>
            <w:r>
              <w:rPr>
                <w:rFonts w:ascii="Calibri" w:hAnsi="Calibri" w:cs="Calibri"/>
                <w:color w:val="000000"/>
                <w:sz w:val="20"/>
                <w:szCs w:val="20"/>
              </w:rPr>
              <w:t>Asthma</w:t>
            </w:r>
          </w:p>
        </w:tc>
        <w:tc>
          <w:tcPr>
            <w:tcW w:w="3067" w:type="dxa"/>
            <w:tcBorders>
              <w:top w:val="nil"/>
              <w:left w:val="nil"/>
              <w:bottom w:val="single" w:sz="4" w:space="0" w:color="auto"/>
              <w:right w:val="single" w:sz="4" w:space="0" w:color="auto"/>
            </w:tcBorders>
            <w:shd w:val="clear" w:color="auto" w:fill="auto"/>
            <w:vAlign w:val="bottom"/>
            <w:hideMark/>
          </w:tcPr>
          <w:p w14:paraId="3745B5C3" w14:textId="6B182EDE" w:rsidR="00AA0687" w:rsidRPr="005C6152" w:rsidRDefault="00AA0687" w:rsidP="00AA0687">
            <w:pPr>
              <w:keepNext/>
              <w:spacing w:after="0"/>
              <w:rPr>
                <w:rFonts w:ascii="Calibri" w:eastAsia="Times New Roman" w:hAnsi="Calibri" w:cs="Calibri"/>
                <w:color w:val="000000"/>
                <w:sz w:val="20"/>
                <w:szCs w:val="20"/>
              </w:rPr>
            </w:pPr>
            <w:r>
              <w:rPr>
                <w:rFonts w:ascii="Calibri" w:hAnsi="Calibri" w:cs="Calibri"/>
                <w:color w:val="000000"/>
                <w:sz w:val="20"/>
                <w:szCs w:val="20"/>
              </w:rPr>
              <w:t>Unknown</w:t>
            </w:r>
          </w:p>
        </w:tc>
        <w:tc>
          <w:tcPr>
            <w:tcW w:w="1606" w:type="dxa"/>
            <w:tcBorders>
              <w:top w:val="nil"/>
              <w:left w:val="nil"/>
              <w:bottom w:val="single" w:sz="4" w:space="0" w:color="auto"/>
              <w:right w:val="single" w:sz="4" w:space="0" w:color="auto"/>
            </w:tcBorders>
            <w:shd w:val="clear" w:color="auto" w:fill="auto"/>
            <w:vAlign w:val="bottom"/>
            <w:hideMark/>
          </w:tcPr>
          <w:p w14:paraId="085ACB71" w14:textId="05351719" w:rsidR="00AA0687" w:rsidRPr="005C6152" w:rsidRDefault="00AA0687" w:rsidP="00AA0687">
            <w:pPr>
              <w:keepNext/>
              <w:spacing w:after="0"/>
              <w:jc w:val="right"/>
              <w:rPr>
                <w:rFonts w:ascii="Calibri" w:eastAsia="Times New Roman" w:hAnsi="Calibri" w:cs="Calibri"/>
                <w:color w:val="000000"/>
                <w:sz w:val="20"/>
                <w:szCs w:val="20"/>
              </w:rPr>
            </w:pPr>
            <w:r>
              <w:rPr>
                <w:rFonts w:ascii="Calibri" w:hAnsi="Calibri" w:cs="Calibri"/>
                <w:color w:val="000000"/>
                <w:sz w:val="20"/>
                <w:szCs w:val="20"/>
              </w:rPr>
              <w:t>717</w:t>
            </w:r>
          </w:p>
        </w:tc>
        <w:tc>
          <w:tcPr>
            <w:tcW w:w="1606" w:type="dxa"/>
            <w:tcBorders>
              <w:top w:val="nil"/>
              <w:left w:val="nil"/>
              <w:bottom w:val="single" w:sz="4" w:space="0" w:color="auto"/>
              <w:right w:val="single" w:sz="4" w:space="0" w:color="auto"/>
            </w:tcBorders>
            <w:shd w:val="clear" w:color="auto" w:fill="auto"/>
            <w:vAlign w:val="bottom"/>
            <w:hideMark/>
          </w:tcPr>
          <w:p w14:paraId="1E3B5A1C" w14:textId="037632CF" w:rsidR="00AA0687" w:rsidRPr="005C6152" w:rsidRDefault="00AA0687" w:rsidP="00AA0687">
            <w:pPr>
              <w:keepNext/>
              <w:spacing w:after="0"/>
              <w:jc w:val="right"/>
              <w:rPr>
                <w:rFonts w:ascii="Calibri" w:eastAsia="Times New Roman" w:hAnsi="Calibri" w:cs="Calibri"/>
                <w:color w:val="000000"/>
                <w:sz w:val="20"/>
                <w:szCs w:val="20"/>
              </w:rPr>
            </w:pPr>
            <w:r>
              <w:rPr>
                <w:rFonts w:ascii="Calibri" w:hAnsi="Calibri" w:cs="Calibri"/>
                <w:color w:val="000000"/>
                <w:sz w:val="20"/>
                <w:szCs w:val="20"/>
              </w:rPr>
              <w:t>2%</w:t>
            </w:r>
          </w:p>
        </w:tc>
        <w:tc>
          <w:tcPr>
            <w:tcW w:w="1607" w:type="dxa"/>
            <w:tcBorders>
              <w:top w:val="nil"/>
              <w:left w:val="nil"/>
              <w:bottom w:val="single" w:sz="4" w:space="0" w:color="auto"/>
              <w:right w:val="single" w:sz="4" w:space="0" w:color="auto"/>
            </w:tcBorders>
            <w:shd w:val="clear" w:color="auto" w:fill="auto"/>
            <w:vAlign w:val="bottom"/>
            <w:hideMark/>
          </w:tcPr>
          <w:p w14:paraId="65FCB684" w14:textId="3B024C96" w:rsidR="00AA0687" w:rsidRPr="005C6152" w:rsidRDefault="00AA0687" w:rsidP="00AA0687">
            <w:pPr>
              <w:keepNext/>
              <w:spacing w:after="0"/>
              <w:jc w:val="right"/>
              <w:rPr>
                <w:rFonts w:ascii="Calibri" w:eastAsia="Times New Roman" w:hAnsi="Calibri" w:cs="Calibri"/>
                <w:color w:val="000000"/>
                <w:sz w:val="20"/>
                <w:szCs w:val="20"/>
              </w:rPr>
            </w:pPr>
            <w:r>
              <w:rPr>
                <w:rFonts w:ascii="Calibri" w:hAnsi="Calibri" w:cs="Calibri"/>
                <w:color w:val="000000"/>
                <w:sz w:val="20"/>
                <w:szCs w:val="20"/>
              </w:rPr>
              <w:t>0.3%</w:t>
            </w:r>
          </w:p>
        </w:tc>
      </w:tr>
      <w:tr w:rsidR="00AA0687" w:rsidRPr="005C6152" w14:paraId="60AF2457" w14:textId="77777777" w:rsidTr="002B54F2">
        <w:trPr>
          <w:trHeight w:val="300"/>
        </w:trPr>
        <w:tc>
          <w:tcPr>
            <w:tcW w:w="1068" w:type="dxa"/>
            <w:tcBorders>
              <w:top w:val="nil"/>
              <w:left w:val="single" w:sz="4" w:space="0" w:color="auto"/>
              <w:bottom w:val="single" w:sz="4" w:space="0" w:color="auto"/>
              <w:right w:val="single" w:sz="4" w:space="0" w:color="auto"/>
            </w:tcBorders>
            <w:shd w:val="clear" w:color="auto" w:fill="auto"/>
            <w:vAlign w:val="bottom"/>
            <w:hideMark/>
          </w:tcPr>
          <w:p w14:paraId="4149972A" w14:textId="2DC78665" w:rsidR="00AA0687" w:rsidRPr="005C6152" w:rsidRDefault="00AA0687" w:rsidP="00AA0687">
            <w:pPr>
              <w:keepNext/>
              <w:spacing w:after="0"/>
              <w:rPr>
                <w:rFonts w:ascii="Calibri" w:eastAsia="Times New Roman" w:hAnsi="Calibri" w:cs="Calibri"/>
                <w:color w:val="000000"/>
                <w:sz w:val="20"/>
                <w:szCs w:val="20"/>
              </w:rPr>
            </w:pPr>
            <w:r>
              <w:rPr>
                <w:rFonts w:ascii="Calibri" w:hAnsi="Calibri" w:cs="Calibri"/>
                <w:color w:val="000000"/>
                <w:sz w:val="20"/>
                <w:szCs w:val="20"/>
              </w:rPr>
              <w:t>Asthma total</w:t>
            </w:r>
          </w:p>
        </w:tc>
        <w:tc>
          <w:tcPr>
            <w:tcW w:w="3067" w:type="dxa"/>
            <w:tcBorders>
              <w:top w:val="nil"/>
              <w:left w:val="nil"/>
              <w:bottom w:val="single" w:sz="4" w:space="0" w:color="auto"/>
              <w:right w:val="single" w:sz="4" w:space="0" w:color="auto"/>
            </w:tcBorders>
            <w:shd w:val="clear" w:color="auto" w:fill="auto"/>
            <w:noWrap/>
            <w:vAlign w:val="bottom"/>
            <w:hideMark/>
          </w:tcPr>
          <w:p w14:paraId="3F38F562" w14:textId="5386A962" w:rsidR="00AA0687" w:rsidRPr="005C6152" w:rsidRDefault="00AA0687" w:rsidP="00AA0687">
            <w:pPr>
              <w:keepNext/>
              <w:spacing w:after="0"/>
              <w:rPr>
                <w:rFonts w:ascii="Calibri" w:eastAsia="Times New Roman" w:hAnsi="Calibri" w:cs="Calibri"/>
                <w:color w:val="000000"/>
                <w:sz w:val="20"/>
                <w:szCs w:val="20"/>
              </w:rPr>
            </w:pPr>
            <w:r>
              <w:rPr>
                <w:rFonts w:ascii="Calibri" w:hAnsi="Calibri" w:cs="Calibri"/>
                <w:color w:val="000000"/>
                <w:sz w:val="20"/>
                <w:szCs w:val="20"/>
              </w:rPr>
              <w:t> </w:t>
            </w:r>
          </w:p>
        </w:tc>
        <w:tc>
          <w:tcPr>
            <w:tcW w:w="1606" w:type="dxa"/>
            <w:tcBorders>
              <w:top w:val="nil"/>
              <w:left w:val="nil"/>
              <w:bottom w:val="single" w:sz="4" w:space="0" w:color="auto"/>
              <w:right w:val="single" w:sz="4" w:space="0" w:color="auto"/>
            </w:tcBorders>
            <w:shd w:val="clear" w:color="auto" w:fill="auto"/>
            <w:noWrap/>
            <w:vAlign w:val="bottom"/>
            <w:hideMark/>
          </w:tcPr>
          <w:p w14:paraId="072A8340" w14:textId="78D37E88" w:rsidR="00AA0687" w:rsidRPr="005C6152" w:rsidRDefault="00AA0687" w:rsidP="00AA0687">
            <w:pPr>
              <w:keepNext/>
              <w:spacing w:after="0"/>
              <w:jc w:val="right"/>
              <w:rPr>
                <w:rFonts w:ascii="Calibri" w:eastAsia="Times New Roman" w:hAnsi="Calibri" w:cs="Calibri"/>
                <w:color w:val="000000"/>
                <w:sz w:val="20"/>
                <w:szCs w:val="20"/>
              </w:rPr>
            </w:pPr>
            <w:r>
              <w:rPr>
                <w:rFonts w:ascii="Calibri" w:hAnsi="Calibri" w:cs="Calibri"/>
                <w:color w:val="000000"/>
                <w:sz w:val="20"/>
                <w:szCs w:val="20"/>
              </w:rPr>
              <w:t>34</w:t>
            </w:r>
            <w:r w:rsidR="00142263">
              <w:rPr>
                <w:rFonts w:ascii="Calibri" w:hAnsi="Calibri" w:cs="Calibri"/>
                <w:color w:val="000000"/>
                <w:sz w:val="20"/>
                <w:szCs w:val="20"/>
              </w:rPr>
              <w:t>,</w:t>
            </w:r>
            <w:r>
              <w:rPr>
                <w:rFonts w:ascii="Calibri" w:hAnsi="Calibri" w:cs="Calibri"/>
                <w:color w:val="000000"/>
                <w:sz w:val="20"/>
                <w:szCs w:val="20"/>
              </w:rPr>
              <w:t>729</w:t>
            </w:r>
          </w:p>
        </w:tc>
        <w:tc>
          <w:tcPr>
            <w:tcW w:w="1606" w:type="dxa"/>
            <w:tcBorders>
              <w:top w:val="nil"/>
              <w:left w:val="nil"/>
              <w:bottom w:val="single" w:sz="4" w:space="0" w:color="auto"/>
              <w:right w:val="single" w:sz="4" w:space="0" w:color="auto"/>
            </w:tcBorders>
            <w:shd w:val="clear" w:color="auto" w:fill="auto"/>
            <w:noWrap/>
            <w:vAlign w:val="bottom"/>
            <w:hideMark/>
          </w:tcPr>
          <w:p w14:paraId="04F9EF24" w14:textId="242D708C" w:rsidR="00AA0687" w:rsidRPr="005C6152" w:rsidRDefault="00AA0687" w:rsidP="00AA0687">
            <w:pPr>
              <w:keepNext/>
              <w:spacing w:after="0"/>
              <w:rPr>
                <w:rFonts w:ascii="Calibri" w:eastAsia="Times New Roman" w:hAnsi="Calibri" w:cs="Calibri"/>
                <w:color w:val="000000"/>
                <w:sz w:val="20"/>
                <w:szCs w:val="20"/>
              </w:rPr>
            </w:pPr>
            <w:r>
              <w:rPr>
                <w:rFonts w:ascii="Calibri" w:hAnsi="Calibri" w:cs="Calibri"/>
                <w:color w:val="000000"/>
                <w:sz w:val="20"/>
                <w:szCs w:val="20"/>
              </w:rPr>
              <w:t> </w:t>
            </w:r>
          </w:p>
        </w:tc>
        <w:tc>
          <w:tcPr>
            <w:tcW w:w="1607" w:type="dxa"/>
            <w:tcBorders>
              <w:top w:val="nil"/>
              <w:left w:val="nil"/>
              <w:bottom w:val="single" w:sz="4" w:space="0" w:color="auto"/>
              <w:right w:val="single" w:sz="4" w:space="0" w:color="auto"/>
            </w:tcBorders>
            <w:shd w:val="clear" w:color="auto" w:fill="auto"/>
            <w:vAlign w:val="bottom"/>
            <w:hideMark/>
          </w:tcPr>
          <w:p w14:paraId="0357F719" w14:textId="3904DB16" w:rsidR="00AA0687" w:rsidRPr="005C6152" w:rsidRDefault="00AA0687" w:rsidP="00AA0687">
            <w:pPr>
              <w:keepNext/>
              <w:spacing w:after="0"/>
              <w:jc w:val="right"/>
              <w:rPr>
                <w:rFonts w:ascii="Calibri" w:eastAsia="Times New Roman" w:hAnsi="Calibri" w:cs="Calibri"/>
                <w:color w:val="000000"/>
                <w:sz w:val="20"/>
                <w:szCs w:val="20"/>
              </w:rPr>
            </w:pPr>
            <w:r>
              <w:rPr>
                <w:rFonts w:ascii="Calibri" w:hAnsi="Calibri" w:cs="Calibri"/>
                <w:color w:val="000000"/>
                <w:sz w:val="20"/>
                <w:szCs w:val="20"/>
              </w:rPr>
              <w:t>13%</w:t>
            </w:r>
          </w:p>
        </w:tc>
      </w:tr>
      <w:tr w:rsidR="00AA0687" w:rsidRPr="005C6152" w14:paraId="6E455836" w14:textId="77777777" w:rsidTr="002B54F2">
        <w:trPr>
          <w:trHeight w:val="300"/>
        </w:trPr>
        <w:tc>
          <w:tcPr>
            <w:tcW w:w="1068" w:type="dxa"/>
            <w:tcBorders>
              <w:top w:val="nil"/>
              <w:left w:val="single" w:sz="4" w:space="0" w:color="auto"/>
              <w:bottom w:val="single" w:sz="4" w:space="0" w:color="auto"/>
              <w:right w:val="single" w:sz="4" w:space="0" w:color="auto"/>
            </w:tcBorders>
            <w:shd w:val="clear" w:color="auto" w:fill="auto"/>
            <w:vAlign w:val="bottom"/>
            <w:hideMark/>
          </w:tcPr>
          <w:p w14:paraId="3A120887" w14:textId="04799F3E" w:rsidR="00AA0687" w:rsidRPr="005C6152" w:rsidRDefault="00AA0687" w:rsidP="00AA0687">
            <w:pPr>
              <w:keepNext/>
              <w:spacing w:after="0"/>
              <w:rPr>
                <w:rFonts w:ascii="Calibri" w:eastAsia="Times New Roman" w:hAnsi="Calibri" w:cs="Calibri"/>
                <w:color w:val="000000"/>
                <w:sz w:val="20"/>
                <w:szCs w:val="20"/>
              </w:rPr>
            </w:pPr>
            <w:r>
              <w:rPr>
                <w:rFonts w:ascii="Calibri" w:hAnsi="Calibri" w:cs="Calibri"/>
                <w:color w:val="000000"/>
                <w:sz w:val="20"/>
                <w:szCs w:val="20"/>
              </w:rPr>
              <w:t>Dermatitis</w:t>
            </w:r>
          </w:p>
        </w:tc>
        <w:tc>
          <w:tcPr>
            <w:tcW w:w="3067" w:type="dxa"/>
            <w:tcBorders>
              <w:top w:val="nil"/>
              <w:left w:val="nil"/>
              <w:bottom w:val="single" w:sz="4" w:space="0" w:color="auto"/>
              <w:right w:val="single" w:sz="4" w:space="0" w:color="auto"/>
            </w:tcBorders>
            <w:shd w:val="clear" w:color="auto" w:fill="auto"/>
            <w:vAlign w:val="bottom"/>
            <w:hideMark/>
          </w:tcPr>
          <w:p w14:paraId="60DE0499" w14:textId="26B8767D" w:rsidR="00AA0687" w:rsidRPr="005C6152" w:rsidRDefault="00AA0687" w:rsidP="00AA0687">
            <w:pPr>
              <w:keepNext/>
              <w:spacing w:after="0"/>
              <w:rPr>
                <w:rFonts w:ascii="Calibri" w:eastAsia="Times New Roman" w:hAnsi="Calibri" w:cs="Calibri"/>
                <w:color w:val="000000"/>
                <w:sz w:val="20"/>
                <w:szCs w:val="20"/>
              </w:rPr>
            </w:pPr>
            <w:r>
              <w:rPr>
                <w:rFonts w:ascii="Calibri" w:hAnsi="Calibri" w:cs="Calibri"/>
                <w:color w:val="000000"/>
                <w:sz w:val="20"/>
                <w:szCs w:val="20"/>
              </w:rPr>
              <w:t>Dermatitis</w:t>
            </w:r>
          </w:p>
        </w:tc>
        <w:tc>
          <w:tcPr>
            <w:tcW w:w="1606" w:type="dxa"/>
            <w:tcBorders>
              <w:top w:val="nil"/>
              <w:left w:val="nil"/>
              <w:bottom w:val="single" w:sz="4" w:space="0" w:color="auto"/>
              <w:right w:val="single" w:sz="4" w:space="0" w:color="auto"/>
            </w:tcBorders>
            <w:shd w:val="clear" w:color="auto" w:fill="auto"/>
            <w:vAlign w:val="bottom"/>
            <w:hideMark/>
          </w:tcPr>
          <w:p w14:paraId="40634E74" w14:textId="430F53AC" w:rsidR="00AA0687" w:rsidRPr="005C6152" w:rsidRDefault="00AA0687" w:rsidP="00AA0687">
            <w:pPr>
              <w:keepNext/>
              <w:spacing w:after="0"/>
              <w:jc w:val="right"/>
              <w:rPr>
                <w:rFonts w:ascii="Calibri" w:eastAsia="Times New Roman" w:hAnsi="Calibri" w:cs="Calibri"/>
                <w:color w:val="000000"/>
                <w:sz w:val="20"/>
                <w:szCs w:val="20"/>
              </w:rPr>
            </w:pPr>
            <w:r>
              <w:rPr>
                <w:rFonts w:ascii="Calibri" w:hAnsi="Calibri" w:cs="Calibri"/>
                <w:color w:val="000000"/>
                <w:sz w:val="20"/>
                <w:szCs w:val="20"/>
              </w:rPr>
              <w:t>218</w:t>
            </w:r>
            <w:r w:rsidR="00142263">
              <w:rPr>
                <w:rFonts w:ascii="Calibri" w:hAnsi="Calibri" w:cs="Calibri"/>
                <w:color w:val="000000"/>
                <w:sz w:val="20"/>
                <w:szCs w:val="20"/>
              </w:rPr>
              <w:t>,</w:t>
            </w:r>
            <w:r>
              <w:rPr>
                <w:rFonts w:ascii="Calibri" w:hAnsi="Calibri" w:cs="Calibri"/>
                <w:color w:val="000000"/>
                <w:sz w:val="20"/>
                <w:szCs w:val="20"/>
              </w:rPr>
              <w:t>022</w:t>
            </w:r>
          </w:p>
        </w:tc>
        <w:tc>
          <w:tcPr>
            <w:tcW w:w="1606" w:type="dxa"/>
            <w:tcBorders>
              <w:top w:val="nil"/>
              <w:left w:val="nil"/>
              <w:bottom w:val="single" w:sz="4" w:space="0" w:color="auto"/>
              <w:right w:val="single" w:sz="4" w:space="0" w:color="auto"/>
            </w:tcBorders>
            <w:shd w:val="clear" w:color="auto" w:fill="auto"/>
            <w:vAlign w:val="bottom"/>
            <w:hideMark/>
          </w:tcPr>
          <w:p w14:paraId="3CC58F0F" w14:textId="59597B59" w:rsidR="00AA0687" w:rsidRPr="005C6152" w:rsidRDefault="00AA0687" w:rsidP="00AA0687">
            <w:pPr>
              <w:keepNext/>
              <w:spacing w:after="0"/>
              <w:jc w:val="right"/>
              <w:rPr>
                <w:rFonts w:ascii="Calibri" w:eastAsia="Times New Roman" w:hAnsi="Calibri" w:cs="Calibri"/>
                <w:color w:val="000000"/>
                <w:sz w:val="20"/>
                <w:szCs w:val="20"/>
              </w:rPr>
            </w:pPr>
            <w:r>
              <w:rPr>
                <w:rFonts w:ascii="Calibri" w:hAnsi="Calibri" w:cs="Calibri"/>
                <w:color w:val="000000"/>
                <w:sz w:val="20"/>
                <w:szCs w:val="20"/>
              </w:rPr>
              <w:t>98%</w:t>
            </w:r>
          </w:p>
        </w:tc>
        <w:tc>
          <w:tcPr>
            <w:tcW w:w="1607" w:type="dxa"/>
            <w:tcBorders>
              <w:top w:val="nil"/>
              <w:left w:val="nil"/>
              <w:bottom w:val="single" w:sz="4" w:space="0" w:color="auto"/>
              <w:right w:val="single" w:sz="4" w:space="0" w:color="auto"/>
            </w:tcBorders>
            <w:shd w:val="clear" w:color="auto" w:fill="auto"/>
            <w:vAlign w:val="bottom"/>
            <w:hideMark/>
          </w:tcPr>
          <w:p w14:paraId="020E00E7" w14:textId="10FD17DA" w:rsidR="00AA0687" w:rsidRPr="005C6152" w:rsidRDefault="00AA0687" w:rsidP="00AA0687">
            <w:pPr>
              <w:keepNext/>
              <w:spacing w:after="0"/>
              <w:jc w:val="right"/>
              <w:rPr>
                <w:rFonts w:ascii="Calibri" w:eastAsia="Times New Roman" w:hAnsi="Calibri" w:cs="Calibri"/>
                <w:color w:val="000000"/>
                <w:sz w:val="20"/>
                <w:szCs w:val="20"/>
              </w:rPr>
            </w:pPr>
            <w:r>
              <w:rPr>
                <w:rFonts w:ascii="Calibri" w:hAnsi="Calibri" w:cs="Calibri"/>
                <w:color w:val="000000"/>
                <w:sz w:val="20"/>
                <w:szCs w:val="20"/>
              </w:rPr>
              <w:t>85%</w:t>
            </w:r>
          </w:p>
        </w:tc>
      </w:tr>
      <w:tr w:rsidR="00AA0687" w:rsidRPr="005C6152" w14:paraId="2D0859B1" w14:textId="77777777" w:rsidTr="002B54F2">
        <w:trPr>
          <w:trHeight w:val="300"/>
        </w:trPr>
        <w:tc>
          <w:tcPr>
            <w:tcW w:w="1068" w:type="dxa"/>
            <w:tcBorders>
              <w:top w:val="nil"/>
              <w:left w:val="single" w:sz="4" w:space="0" w:color="auto"/>
              <w:bottom w:val="single" w:sz="4" w:space="0" w:color="auto"/>
              <w:right w:val="single" w:sz="4" w:space="0" w:color="auto"/>
            </w:tcBorders>
            <w:shd w:val="clear" w:color="auto" w:fill="auto"/>
            <w:vAlign w:val="bottom"/>
            <w:hideMark/>
          </w:tcPr>
          <w:p w14:paraId="7555F598" w14:textId="420BCE73" w:rsidR="00AA0687" w:rsidRPr="005C6152" w:rsidRDefault="00AA0687" w:rsidP="00AA0687">
            <w:pPr>
              <w:keepNext/>
              <w:spacing w:after="0"/>
              <w:rPr>
                <w:rFonts w:ascii="Calibri" w:eastAsia="Times New Roman" w:hAnsi="Calibri" w:cs="Calibri"/>
                <w:color w:val="000000"/>
                <w:sz w:val="20"/>
                <w:szCs w:val="20"/>
              </w:rPr>
            </w:pPr>
            <w:r>
              <w:rPr>
                <w:rFonts w:ascii="Calibri" w:hAnsi="Calibri" w:cs="Calibri"/>
                <w:color w:val="000000"/>
                <w:sz w:val="20"/>
                <w:szCs w:val="20"/>
              </w:rPr>
              <w:t>Dermatitis</w:t>
            </w:r>
          </w:p>
        </w:tc>
        <w:tc>
          <w:tcPr>
            <w:tcW w:w="3067" w:type="dxa"/>
            <w:tcBorders>
              <w:top w:val="nil"/>
              <w:left w:val="nil"/>
              <w:bottom w:val="single" w:sz="4" w:space="0" w:color="auto"/>
              <w:right w:val="single" w:sz="4" w:space="0" w:color="auto"/>
            </w:tcBorders>
            <w:shd w:val="clear" w:color="auto" w:fill="auto"/>
            <w:vAlign w:val="bottom"/>
            <w:hideMark/>
          </w:tcPr>
          <w:p w14:paraId="7DBBC139" w14:textId="2F152EE2" w:rsidR="00AA0687" w:rsidRPr="005C6152" w:rsidRDefault="00AA0687" w:rsidP="00AA0687">
            <w:pPr>
              <w:keepNext/>
              <w:spacing w:after="0"/>
              <w:rPr>
                <w:rFonts w:ascii="Calibri" w:eastAsia="Times New Roman" w:hAnsi="Calibri" w:cs="Calibri"/>
                <w:color w:val="000000"/>
                <w:sz w:val="20"/>
                <w:szCs w:val="20"/>
              </w:rPr>
            </w:pPr>
            <w:r>
              <w:rPr>
                <w:rFonts w:ascii="Calibri" w:hAnsi="Calibri" w:cs="Calibri"/>
                <w:color w:val="000000"/>
                <w:sz w:val="20"/>
                <w:szCs w:val="20"/>
              </w:rPr>
              <w:t>Asthma</w:t>
            </w:r>
          </w:p>
        </w:tc>
        <w:tc>
          <w:tcPr>
            <w:tcW w:w="1606" w:type="dxa"/>
            <w:tcBorders>
              <w:top w:val="nil"/>
              <w:left w:val="nil"/>
              <w:bottom w:val="single" w:sz="4" w:space="0" w:color="auto"/>
              <w:right w:val="single" w:sz="4" w:space="0" w:color="auto"/>
            </w:tcBorders>
            <w:shd w:val="clear" w:color="auto" w:fill="auto"/>
            <w:vAlign w:val="bottom"/>
            <w:hideMark/>
          </w:tcPr>
          <w:p w14:paraId="26F0B566" w14:textId="19BAE9D2" w:rsidR="00AA0687" w:rsidRPr="005C6152" w:rsidRDefault="00AA0687" w:rsidP="00AA0687">
            <w:pPr>
              <w:keepNext/>
              <w:spacing w:after="0"/>
              <w:jc w:val="right"/>
              <w:rPr>
                <w:rFonts w:ascii="Calibri" w:eastAsia="Times New Roman" w:hAnsi="Calibri" w:cs="Calibri"/>
                <w:color w:val="000000"/>
                <w:sz w:val="20"/>
                <w:szCs w:val="20"/>
              </w:rPr>
            </w:pPr>
            <w:r>
              <w:rPr>
                <w:rFonts w:ascii="Calibri" w:hAnsi="Calibri" w:cs="Calibri"/>
                <w:color w:val="000000"/>
                <w:sz w:val="20"/>
                <w:szCs w:val="20"/>
              </w:rPr>
              <w:t>3</w:t>
            </w:r>
            <w:r w:rsidR="00142263">
              <w:rPr>
                <w:rFonts w:ascii="Calibri" w:hAnsi="Calibri" w:cs="Calibri"/>
                <w:color w:val="000000"/>
                <w:sz w:val="20"/>
                <w:szCs w:val="20"/>
              </w:rPr>
              <w:t>,</w:t>
            </w:r>
            <w:r>
              <w:rPr>
                <w:rFonts w:ascii="Calibri" w:hAnsi="Calibri" w:cs="Calibri"/>
                <w:color w:val="000000"/>
                <w:sz w:val="20"/>
                <w:szCs w:val="20"/>
              </w:rPr>
              <w:t>634</w:t>
            </w:r>
          </w:p>
        </w:tc>
        <w:tc>
          <w:tcPr>
            <w:tcW w:w="1606" w:type="dxa"/>
            <w:tcBorders>
              <w:top w:val="nil"/>
              <w:left w:val="nil"/>
              <w:bottom w:val="single" w:sz="4" w:space="0" w:color="auto"/>
              <w:right w:val="single" w:sz="4" w:space="0" w:color="auto"/>
            </w:tcBorders>
            <w:shd w:val="clear" w:color="auto" w:fill="auto"/>
            <w:vAlign w:val="bottom"/>
            <w:hideMark/>
          </w:tcPr>
          <w:p w14:paraId="7B6BD01C" w14:textId="5987DE44" w:rsidR="00AA0687" w:rsidRPr="005C6152" w:rsidRDefault="00AA0687" w:rsidP="00AA0687">
            <w:pPr>
              <w:keepNext/>
              <w:spacing w:after="0"/>
              <w:jc w:val="right"/>
              <w:rPr>
                <w:rFonts w:ascii="Calibri" w:eastAsia="Times New Roman" w:hAnsi="Calibri" w:cs="Calibri"/>
                <w:color w:val="000000"/>
                <w:sz w:val="20"/>
                <w:szCs w:val="20"/>
              </w:rPr>
            </w:pPr>
            <w:r>
              <w:rPr>
                <w:rFonts w:ascii="Calibri" w:hAnsi="Calibri" w:cs="Calibri"/>
                <w:color w:val="000000"/>
                <w:sz w:val="20"/>
                <w:szCs w:val="20"/>
              </w:rPr>
              <w:t>2%</w:t>
            </w:r>
          </w:p>
        </w:tc>
        <w:tc>
          <w:tcPr>
            <w:tcW w:w="1607" w:type="dxa"/>
            <w:tcBorders>
              <w:top w:val="nil"/>
              <w:left w:val="nil"/>
              <w:bottom w:val="single" w:sz="4" w:space="0" w:color="auto"/>
              <w:right w:val="single" w:sz="4" w:space="0" w:color="auto"/>
            </w:tcBorders>
            <w:shd w:val="clear" w:color="auto" w:fill="auto"/>
            <w:vAlign w:val="bottom"/>
            <w:hideMark/>
          </w:tcPr>
          <w:p w14:paraId="721BBC01" w14:textId="7CAE6211" w:rsidR="00AA0687" w:rsidRPr="005C6152" w:rsidRDefault="00AA0687" w:rsidP="00AA0687">
            <w:pPr>
              <w:keepNext/>
              <w:spacing w:after="0"/>
              <w:jc w:val="right"/>
              <w:rPr>
                <w:rFonts w:ascii="Calibri" w:eastAsia="Times New Roman" w:hAnsi="Calibri" w:cs="Calibri"/>
                <w:color w:val="000000"/>
                <w:sz w:val="20"/>
                <w:szCs w:val="20"/>
              </w:rPr>
            </w:pPr>
            <w:r>
              <w:rPr>
                <w:rFonts w:ascii="Calibri" w:hAnsi="Calibri" w:cs="Calibri"/>
                <w:color w:val="000000"/>
                <w:sz w:val="20"/>
                <w:szCs w:val="20"/>
              </w:rPr>
              <w:t>1%</w:t>
            </w:r>
          </w:p>
        </w:tc>
      </w:tr>
      <w:tr w:rsidR="00AA0687" w:rsidRPr="005C6152" w14:paraId="298E1809" w14:textId="77777777" w:rsidTr="002B54F2">
        <w:trPr>
          <w:trHeight w:val="300"/>
        </w:trPr>
        <w:tc>
          <w:tcPr>
            <w:tcW w:w="1068" w:type="dxa"/>
            <w:tcBorders>
              <w:top w:val="nil"/>
              <w:left w:val="single" w:sz="4" w:space="0" w:color="auto"/>
              <w:bottom w:val="single" w:sz="4" w:space="0" w:color="auto"/>
              <w:right w:val="single" w:sz="4" w:space="0" w:color="auto"/>
            </w:tcBorders>
            <w:shd w:val="clear" w:color="auto" w:fill="auto"/>
            <w:vAlign w:val="bottom"/>
            <w:hideMark/>
          </w:tcPr>
          <w:p w14:paraId="3465A15C" w14:textId="00B81AD7" w:rsidR="00AA0687" w:rsidRPr="005C6152" w:rsidRDefault="00AA0687" w:rsidP="00AA0687">
            <w:pPr>
              <w:keepNext/>
              <w:spacing w:after="0"/>
              <w:rPr>
                <w:rFonts w:ascii="Calibri" w:eastAsia="Times New Roman" w:hAnsi="Calibri" w:cs="Calibri"/>
                <w:color w:val="000000"/>
                <w:sz w:val="20"/>
                <w:szCs w:val="20"/>
              </w:rPr>
            </w:pPr>
            <w:r>
              <w:rPr>
                <w:rFonts w:ascii="Calibri" w:hAnsi="Calibri" w:cs="Calibri"/>
                <w:color w:val="000000"/>
                <w:sz w:val="20"/>
                <w:szCs w:val="20"/>
              </w:rPr>
              <w:t>Dermatitis</w:t>
            </w:r>
          </w:p>
        </w:tc>
        <w:tc>
          <w:tcPr>
            <w:tcW w:w="3067" w:type="dxa"/>
            <w:tcBorders>
              <w:top w:val="nil"/>
              <w:left w:val="nil"/>
              <w:bottom w:val="single" w:sz="4" w:space="0" w:color="auto"/>
              <w:right w:val="single" w:sz="4" w:space="0" w:color="auto"/>
            </w:tcBorders>
            <w:shd w:val="clear" w:color="auto" w:fill="auto"/>
            <w:vAlign w:val="bottom"/>
            <w:hideMark/>
          </w:tcPr>
          <w:p w14:paraId="39EC19E5" w14:textId="19CAF90E" w:rsidR="00AA0687" w:rsidRPr="005C6152" w:rsidRDefault="00AA0687" w:rsidP="00AA0687">
            <w:pPr>
              <w:keepNext/>
              <w:spacing w:after="0"/>
              <w:rPr>
                <w:rFonts w:ascii="Calibri" w:eastAsia="Times New Roman" w:hAnsi="Calibri" w:cs="Calibri"/>
                <w:color w:val="000000"/>
                <w:sz w:val="20"/>
                <w:szCs w:val="20"/>
              </w:rPr>
            </w:pPr>
            <w:r>
              <w:rPr>
                <w:rFonts w:ascii="Calibri" w:hAnsi="Calibri" w:cs="Calibri"/>
                <w:color w:val="000000"/>
                <w:sz w:val="20"/>
                <w:szCs w:val="20"/>
              </w:rPr>
              <w:t>Unknown</w:t>
            </w:r>
          </w:p>
        </w:tc>
        <w:tc>
          <w:tcPr>
            <w:tcW w:w="1606" w:type="dxa"/>
            <w:tcBorders>
              <w:top w:val="nil"/>
              <w:left w:val="nil"/>
              <w:bottom w:val="single" w:sz="4" w:space="0" w:color="auto"/>
              <w:right w:val="single" w:sz="4" w:space="0" w:color="auto"/>
            </w:tcBorders>
            <w:shd w:val="clear" w:color="auto" w:fill="auto"/>
            <w:vAlign w:val="bottom"/>
            <w:hideMark/>
          </w:tcPr>
          <w:p w14:paraId="31AA2701" w14:textId="767915A8" w:rsidR="00AA0687" w:rsidRPr="005C6152" w:rsidRDefault="00AA0687" w:rsidP="00AA0687">
            <w:pPr>
              <w:keepNext/>
              <w:spacing w:after="0"/>
              <w:jc w:val="right"/>
              <w:rPr>
                <w:rFonts w:ascii="Calibri" w:eastAsia="Times New Roman" w:hAnsi="Calibri" w:cs="Calibri"/>
                <w:color w:val="000000"/>
                <w:sz w:val="20"/>
                <w:szCs w:val="20"/>
              </w:rPr>
            </w:pPr>
            <w:r>
              <w:rPr>
                <w:rFonts w:ascii="Calibri" w:hAnsi="Calibri" w:cs="Calibri"/>
                <w:color w:val="000000"/>
                <w:sz w:val="20"/>
                <w:szCs w:val="20"/>
              </w:rPr>
              <w:t>1</w:t>
            </w:r>
            <w:r w:rsidR="00142263">
              <w:rPr>
                <w:rFonts w:ascii="Calibri" w:hAnsi="Calibri" w:cs="Calibri"/>
                <w:color w:val="000000"/>
                <w:sz w:val="20"/>
                <w:szCs w:val="20"/>
              </w:rPr>
              <w:t>,</w:t>
            </w:r>
            <w:r>
              <w:rPr>
                <w:rFonts w:ascii="Calibri" w:hAnsi="Calibri" w:cs="Calibri"/>
                <w:color w:val="000000"/>
                <w:sz w:val="20"/>
                <w:szCs w:val="20"/>
              </w:rPr>
              <w:t>142</w:t>
            </w:r>
          </w:p>
        </w:tc>
        <w:tc>
          <w:tcPr>
            <w:tcW w:w="1606" w:type="dxa"/>
            <w:tcBorders>
              <w:top w:val="nil"/>
              <w:left w:val="nil"/>
              <w:bottom w:val="single" w:sz="4" w:space="0" w:color="auto"/>
              <w:right w:val="single" w:sz="4" w:space="0" w:color="auto"/>
            </w:tcBorders>
            <w:shd w:val="clear" w:color="auto" w:fill="auto"/>
            <w:vAlign w:val="bottom"/>
            <w:hideMark/>
          </w:tcPr>
          <w:p w14:paraId="67A72FC5" w14:textId="51A8C346" w:rsidR="00AA0687" w:rsidRPr="005C6152" w:rsidRDefault="00AA0687" w:rsidP="00AA0687">
            <w:pPr>
              <w:keepNext/>
              <w:spacing w:after="0"/>
              <w:jc w:val="right"/>
              <w:rPr>
                <w:rFonts w:ascii="Calibri" w:eastAsia="Times New Roman" w:hAnsi="Calibri" w:cs="Calibri"/>
                <w:color w:val="000000"/>
                <w:sz w:val="20"/>
                <w:szCs w:val="20"/>
              </w:rPr>
            </w:pPr>
            <w:r>
              <w:rPr>
                <w:rFonts w:ascii="Calibri" w:hAnsi="Calibri" w:cs="Calibri"/>
                <w:color w:val="000000"/>
                <w:sz w:val="20"/>
                <w:szCs w:val="20"/>
              </w:rPr>
              <w:t>1%</w:t>
            </w:r>
          </w:p>
        </w:tc>
        <w:tc>
          <w:tcPr>
            <w:tcW w:w="1607" w:type="dxa"/>
            <w:tcBorders>
              <w:top w:val="nil"/>
              <w:left w:val="nil"/>
              <w:bottom w:val="single" w:sz="4" w:space="0" w:color="auto"/>
              <w:right w:val="single" w:sz="4" w:space="0" w:color="auto"/>
            </w:tcBorders>
            <w:shd w:val="clear" w:color="auto" w:fill="auto"/>
            <w:vAlign w:val="bottom"/>
            <w:hideMark/>
          </w:tcPr>
          <w:p w14:paraId="13E093AD" w14:textId="71A4A9E1" w:rsidR="00AA0687" w:rsidRPr="005C6152" w:rsidRDefault="00AA0687" w:rsidP="00AA0687">
            <w:pPr>
              <w:keepNext/>
              <w:spacing w:after="0"/>
              <w:jc w:val="right"/>
              <w:rPr>
                <w:rFonts w:ascii="Calibri" w:eastAsia="Times New Roman" w:hAnsi="Calibri" w:cs="Calibri"/>
                <w:color w:val="000000"/>
                <w:sz w:val="20"/>
                <w:szCs w:val="20"/>
              </w:rPr>
            </w:pPr>
            <w:r>
              <w:rPr>
                <w:rFonts w:ascii="Calibri" w:hAnsi="Calibri" w:cs="Calibri"/>
                <w:color w:val="000000"/>
                <w:sz w:val="20"/>
                <w:szCs w:val="20"/>
              </w:rPr>
              <w:t>0.4%</w:t>
            </w:r>
          </w:p>
        </w:tc>
      </w:tr>
      <w:tr w:rsidR="00AA0687" w:rsidRPr="005C6152" w14:paraId="381DFBB0" w14:textId="77777777" w:rsidTr="002B54F2">
        <w:trPr>
          <w:trHeight w:val="300"/>
        </w:trPr>
        <w:tc>
          <w:tcPr>
            <w:tcW w:w="1068" w:type="dxa"/>
            <w:tcBorders>
              <w:top w:val="nil"/>
              <w:left w:val="single" w:sz="4" w:space="0" w:color="auto"/>
              <w:bottom w:val="single" w:sz="4" w:space="0" w:color="auto"/>
              <w:right w:val="single" w:sz="4" w:space="0" w:color="auto"/>
            </w:tcBorders>
            <w:shd w:val="clear" w:color="auto" w:fill="auto"/>
            <w:vAlign w:val="bottom"/>
            <w:hideMark/>
          </w:tcPr>
          <w:p w14:paraId="4B3CCFFC" w14:textId="42E5AF0A" w:rsidR="00AA0687" w:rsidRPr="005C6152" w:rsidRDefault="00AA0687" w:rsidP="00AA0687">
            <w:pPr>
              <w:keepNext/>
              <w:spacing w:after="0"/>
              <w:rPr>
                <w:rFonts w:ascii="Calibri" w:eastAsia="Times New Roman" w:hAnsi="Calibri" w:cs="Calibri"/>
                <w:color w:val="000000"/>
                <w:sz w:val="20"/>
                <w:szCs w:val="20"/>
              </w:rPr>
            </w:pPr>
            <w:r>
              <w:rPr>
                <w:rFonts w:ascii="Calibri" w:hAnsi="Calibri" w:cs="Calibri"/>
                <w:color w:val="000000"/>
                <w:sz w:val="20"/>
                <w:szCs w:val="20"/>
              </w:rPr>
              <w:t>Dermatitis total</w:t>
            </w:r>
          </w:p>
        </w:tc>
        <w:tc>
          <w:tcPr>
            <w:tcW w:w="3067" w:type="dxa"/>
            <w:tcBorders>
              <w:top w:val="nil"/>
              <w:left w:val="nil"/>
              <w:bottom w:val="single" w:sz="4" w:space="0" w:color="auto"/>
              <w:right w:val="single" w:sz="4" w:space="0" w:color="auto"/>
            </w:tcBorders>
            <w:shd w:val="clear" w:color="auto" w:fill="auto"/>
            <w:vAlign w:val="bottom"/>
            <w:hideMark/>
          </w:tcPr>
          <w:p w14:paraId="7703D1A8" w14:textId="3BC99BF9" w:rsidR="00AA0687" w:rsidRPr="005C6152" w:rsidRDefault="00AA0687" w:rsidP="00AA0687">
            <w:pPr>
              <w:keepNext/>
              <w:spacing w:after="0"/>
              <w:rPr>
                <w:rFonts w:ascii="Calibri" w:eastAsia="Times New Roman" w:hAnsi="Calibri" w:cs="Calibri"/>
                <w:color w:val="000000"/>
                <w:sz w:val="20"/>
                <w:szCs w:val="20"/>
              </w:rPr>
            </w:pPr>
            <w:r>
              <w:rPr>
                <w:rFonts w:ascii="Calibri" w:hAnsi="Calibri" w:cs="Calibri"/>
                <w:color w:val="000000"/>
                <w:sz w:val="20"/>
                <w:szCs w:val="20"/>
              </w:rPr>
              <w:t> </w:t>
            </w:r>
          </w:p>
        </w:tc>
        <w:tc>
          <w:tcPr>
            <w:tcW w:w="1606" w:type="dxa"/>
            <w:tcBorders>
              <w:top w:val="nil"/>
              <w:left w:val="nil"/>
              <w:bottom w:val="single" w:sz="4" w:space="0" w:color="auto"/>
              <w:right w:val="single" w:sz="4" w:space="0" w:color="auto"/>
            </w:tcBorders>
            <w:shd w:val="clear" w:color="auto" w:fill="auto"/>
            <w:vAlign w:val="bottom"/>
            <w:hideMark/>
          </w:tcPr>
          <w:p w14:paraId="688F1570" w14:textId="2A75BBBE" w:rsidR="00AA0687" w:rsidRPr="005C6152" w:rsidRDefault="00AA0687" w:rsidP="00AA0687">
            <w:pPr>
              <w:keepNext/>
              <w:spacing w:after="0"/>
              <w:jc w:val="right"/>
              <w:rPr>
                <w:rFonts w:ascii="Calibri" w:eastAsia="Times New Roman" w:hAnsi="Calibri" w:cs="Calibri"/>
                <w:color w:val="000000"/>
                <w:sz w:val="20"/>
                <w:szCs w:val="20"/>
              </w:rPr>
            </w:pPr>
            <w:r>
              <w:rPr>
                <w:rFonts w:ascii="Calibri" w:hAnsi="Calibri" w:cs="Calibri"/>
                <w:color w:val="000000"/>
                <w:sz w:val="20"/>
                <w:szCs w:val="20"/>
              </w:rPr>
              <w:t>222</w:t>
            </w:r>
            <w:r w:rsidR="00142263">
              <w:rPr>
                <w:rFonts w:ascii="Calibri" w:hAnsi="Calibri" w:cs="Calibri"/>
                <w:color w:val="000000"/>
                <w:sz w:val="20"/>
                <w:szCs w:val="20"/>
              </w:rPr>
              <w:t>,</w:t>
            </w:r>
            <w:r>
              <w:rPr>
                <w:rFonts w:ascii="Calibri" w:hAnsi="Calibri" w:cs="Calibri"/>
                <w:color w:val="000000"/>
                <w:sz w:val="20"/>
                <w:szCs w:val="20"/>
              </w:rPr>
              <w:t>798</w:t>
            </w:r>
          </w:p>
        </w:tc>
        <w:tc>
          <w:tcPr>
            <w:tcW w:w="1606" w:type="dxa"/>
            <w:tcBorders>
              <w:top w:val="nil"/>
              <w:left w:val="nil"/>
              <w:bottom w:val="single" w:sz="4" w:space="0" w:color="auto"/>
              <w:right w:val="single" w:sz="4" w:space="0" w:color="auto"/>
            </w:tcBorders>
            <w:shd w:val="clear" w:color="auto" w:fill="auto"/>
            <w:vAlign w:val="bottom"/>
            <w:hideMark/>
          </w:tcPr>
          <w:p w14:paraId="543649D2" w14:textId="460E1D73" w:rsidR="00AA0687" w:rsidRPr="005C6152" w:rsidRDefault="00AA0687" w:rsidP="00AA0687">
            <w:pPr>
              <w:keepNext/>
              <w:spacing w:after="0"/>
              <w:rPr>
                <w:rFonts w:ascii="Calibri" w:eastAsia="Times New Roman" w:hAnsi="Calibri" w:cs="Calibri"/>
                <w:color w:val="000000"/>
                <w:sz w:val="20"/>
                <w:szCs w:val="20"/>
              </w:rPr>
            </w:pPr>
            <w:r>
              <w:rPr>
                <w:rFonts w:ascii="Calibri" w:hAnsi="Calibri" w:cs="Calibri"/>
                <w:color w:val="000000"/>
                <w:sz w:val="20"/>
                <w:szCs w:val="20"/>
              </w:rPr>
              <w:t> </w:t>
            </w:r>
          </w:p>
        </w:tc>
        <w:tc>
          <w:tcPr>
            <w:tcW w:w="1607" w:type="dxa"/>
            <w:tcBorders>
              <w:top w:val="nil"/>
              <w:left w:val="nil"/>
              <w:bottom w:val="single" w:sz="4" w:space="0" w:color="auto"/>
              <w:right w:val="single" w:sz="4" w:space="0" w:color="auto"/>
            </w:tcBorders>
            <w:shd w:val="clear" w:color="auto" w:fill="auto"/>
            <w:vAlign w:val="bottom"/>
            <w:hideMark/>
          </w:tcPr>
          <w:p w14:paraId="41BAD8DA" w14:textId="1B13763A" w:rsidR="00AA0687" w:rsidRPr="005C6152" w:rsidRDefault="00AA0687" w:rsidP="00AA0687">
            <w:pPr>
              <w:keepNext/>
              <w:spacing w:after="0"/>
              <w:jc w:val="right"/>
              <w:rPr>
                <w:rFonts w:ascii="Calibri" w:eastAsia="Times New Roman" w:hAnsi="Calibri" w:cs="Calibri"/>
                <w:color w:val="000000"/>
                <w:sz w:val="20"/>
                <w:szCs w:val="20"/>
              </w:rPr>
            </w:pPr>
            <w:r>
              <w:rPr>
                <w:rFonts w:ascii="Calibri" w:hAnsi="Calibri" w:cs="Calibri"/>
                <w:color w:val="000000"/>
                <w:sz w:val="20"/>
                <w:szCs w:val="20"/>
              </w:rPr>
              <w:t>87%</w:t>
            </w:r>
          </w:p>
        </w:tc>
      </w:tr>
      <w:tr w:rsidR="00AA0687" w:rsidRPr="005C6152" w14:paraId="01DBDB8D" w14:textId="77777777" w:rsidTr="002B54F2">
        <w:trPr>
          <w:trHeight w:val="300"/>
        </w:trPr>
        <w:tc>
          <w:tcPr>
            <w:tcW w:w="10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4D5644" w14:textId="60F9B76F" w:rsidR="00AA0687" w:rsidRPr="005C6152" w:rsidRDefault="00AA0687" w:rsidP="00AA0687">
            <w:pPr>
              <w:spacing w:after="0"/>
              <w:rPr>
                <w:rFonts w:ascii="Calibri" w:eastAsia="Times New Roman" w:hAnsi="Calibri" w:cs="Calibri"/>
                <w:color w:val="000000"/>
                <w:sz w:val="20"/>
                <w:szCs w:val="20"/>
              </w:rPr>
            </w:pPr>
            <w:r>
              <w:rPr>
                <w:rFonts w:ascii="Calibri" w:hAnsi="Calibri" w:cs="Calibri"/>
                <w:color w:val="000000"/>
                <w:sz w:val="20"/>
                <w:szCs w:val="20"/>
              </w:rPr>
              <w:t>Total</w:t>
            </w:r>
          </w:p>
        </w:tc>
        <w:tc>
          <w:tcPr>
            <w:tcW w:w="30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36BE9" w14:textId="5E31B9DE" w:rsidR="00AA0687" w:rsidRPr="005C6152" w:rsidRDefault="00AA0687" w:rsidP="00AA0687">
            <w:pPr>
              <w:spacing w:after="0"/>
              <w:rPr>
                <w:rFonts w:ascii="Calibri" w:eastAsia="Times New Roman" w:hAnsi="Calibri" w:cs="Calibri"/>
                <w:color w:val="000000"/>
                <w:sz w:val="20"/>
                <w:szCs w:val="20"/>
              </w:rPr>
            </w:pPr>
            <w:r>
              <w:rPr>
                <w:rFonts w:ascii="Calibri" w:hAnsi="Calibri" w:cs="Calibri"/>
                <w:color w:val="000000"/>
                <w:sz w:val="20"/>
                <w:szCs w:val="20"/>
              </w:rPr>
              <w:t> </w:t>
            </w:r>
          </w:p>
        </w:tc>
        <w:tc>
          <w:tcPr>
            <w:tcW w:w="16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F9134" w14:textId="6D4AC36B" w:rsidR="00AA0687" w:rsidRPr="005C6152" w:rsidRDefault="00AA0687" w:rsidP="00AA0687">
            <w:pPr>
              <w:spacing w:after="0"/>
              <w:jc w:val="right"/>
              <w:rPr>
                <w:rFonts w:ascii="Calibri" w:eastAsia="Times New Roman" w:hAnsi="Calibri" w:cs="Calibri"/>
                <w:color w:val="000000"/>
                <w:sz w:val="20"/>
                <w:szCs w:val="20"/>
              </w:rPr>
            </w:pPr>
            <w:r>
              <w:rPr>
                <w:rFonts w:ascii="Calibri" w:hAnsi="Calibri" w:cs="Calibri"/>
                <w:color w:val="000000"/>
                <w:sz w:val="20"/>
                <w:szCs w:val="20"/>
              </w:rPr>
              <w:t>257</w:t>
            </w:r>
            <w:r w:rsidR="00142263">
              <w:rPr>
                <w:rFonts w:ascii="Calibri" w:hAnsi="Calibri" w:cs="Calibri"/>
                <w:color w:val="000000"/>
                <w:sz w:val="20"/>
                <w:szCs w:val="20"/>
              </w:rPr>
              <w:t>,</w:t>
            </w:r>
            <w:r>
              <w:rPr>
                <w:rFonts w:ascii="Calibri" w:hAnsi="Calibri" w:cs="Calibri"/>
                <w:color w:val="000000"/>
                <w:sz w:val="20"/>
                <w:szCs w:val="20"/>
              </w:rPr>
              <w:t>527</w:t>
            </w:r>
          </w:p>
        </w:tc>
        <w:tc>
          <w:tcPr>
            <w:tcW w:w="16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23D47" w14:textId="72079FED" w:rsidR="00AA0687" w:rsidRPr="005C6152" w:rsidRDefault="00AA0687" w:rsidP="00AA0687">
            <w:pPr>
              <w:spacing w:after="0"/>
              <w:rPr>
                <w:rFonts w:ascii="Calibri" w:eastAsia="Times New Roman" w:hAnsi="Calibri" w:cs="Calibri"/>
                <w:color w:val="000000"/>
                <w:sz w:val="20"/>
                <w:szCs w:val="20"/>
              </w:rPr>
            </w:pPr>
            <w:r>
              <w:rPr>
                <w:rFonts w:ascii="Calibri" w:hAnsi="Calibri" w:cs="Calibri"/>
                <w:color w:val="000000"/>
                <w:sz w:val="20"/>
                <w:szCs w:val="20"/>
              </w:rPr>
              <w:t> </w:t>
            </w:r>
          </w:p>
        </w:tc>
        <w:tc>
          <w:tcPr>
            <w:tcW w:w="1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587E9" w14:textId="16AEA201" w:rsidR="00AA0687" w:rsidRPr="005C6152" w:rsidRDefault="00AA0687" w:rsidP="00AA0687">
            <w:pPr>
              <w:spacing w:after="0"/>
              <w:rPr>
                <w:rFonts w:ascii="Calibri" w:eastAsia="Times New Roman" w:hAnsi="Calibri" w:cs="Calibri"/>
                <w:color w:val="000000"/>
                <w:sz w:val="20"/>
                <w:szCs w:val="20"/>
              </w:rPr>
            </w:pPr>
            <w:r>
              <w:rPr>
                <w:rFonts w:ascii="Calibri" w:hAnsi="Calibri" w:cs="Calibri"/>
                <w:color w:val="000000"/>
                <w:sz w:val="20"/>
                <w:szCs w:val="20"/>
              </w:rPr>
              <w:t> </w:t>
            </w:r>
          </w:p>
        </w:tc>
      </w:tr>
    </w:tbl>
    <w:p w14:paraId="6A8264E5" w14:textId="77777777" w:rsidR="00B05F73" w:rsidRPr="005C6152" w:rsidRDefault="00B05F73" w:rsidP="00D06C14"/>
    <w:p w14:paraId="5919BA0F" w14:textId="276599A2" w:rsidR="003D4F69" w:rsidRDefault="003D4F69" w:rsidP="003D4F69"/>
    <w:p w14:paraId="4B03C391" w14:textId="768221E1" w:rsidR="003D4F69" w:rsidRDefault="000C215E" w:rsidP="00D06C14">
      <w:r>
        <w:rPr>
          <w:noProof/>
        </w:rPr>
        <w:drawing>
          <wp:inline distT="0" distB="0" distL="0" distR="0" wp14:anchorId="795AA37B" wp14:editId="47AFCA98">
            <wp:extent cx="5687695" cy="3984411"/>
            <wp:effectExtent l="0" t="0" r="8255" b="0"/>
            <wp:docPr id="2" name="Picture 2" descr="A diagram of a pie chart&#10;&#10;It shows that 84.66% of prescriptions with dermatitis item codes were for dermatitis authorities, and 10.81 of prescriptions with asthma item codes were for asthma authorities. This implies less than 5% of prescriptions were misco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pie chart&#10;&#10;It shows that 84.66% of prescriptions with dermatitis item codes were for dermatitis authorities, and 10.81 of prescriptions with asthma item codes were for asthma authorities. This implies less than 5% of prescriptions were miscoded."/>
                    <pic:cNvPicPr/>
                  </pic:nvPicPr>
                  <pic:blipFill>
                    <a:blip r:embed="rId19"/>
                    <a:stretch>
                      <a:fillRect/>
                    </a:stretch>
                  </pic:blipFill>
                  <pic:spPr>
                    <a:xfrm>
                      <a:off x="0" y="0"/>
                      <a:ext cx="5687695" cy="3984411"/>
                    </a:xfrm>
                    <a:prstGeom prst="rect">
                      <a:avLst/>
                    </a:prstGeom>
                  </pic:spPr>
                </pic:pic>
              </a:graphicData>
            </a:graphic>
          </wp:inline>
        </w:drawing>
      </w:r>
    </w:p>
    <w:p w14:paraId="6A725DA7" w14:textId="03C68B9D" w:rsidR="003D4F69" w:rsidRDefault="003D4F69" w:rsidP="003D4F69">
      <w:pPr>
        <w:pStyle w:val="Figuretitle"/>
      </w:pPr>
      <w:r w:rsidRPr="008C08E1">
        <w:t xml:space="preserve">Figure </w:t>
      </w:r>
      <w:r w:rsidR="00465265">
        <w:t>1</w:t>
      </w:r>
      <w:r w:rsidRPr="008C08E1">
        <w:t>: Use of dupilumab by item code restriction and authority code restriction</w:t>
      </w:r>
    </w:p>
    <w:p w14:paraId="3320FDB1" w14:textId="16389739" w:rsidR="00B05F73" w:rsidRDefault="00B05F73" w:rsidP="00D06C14"/>
    <w:p w14:paraId="140E2F11" w14:textId="545459B7" w:rsidR="00B05F73" w:rsidRDefault="008761B9" w:rsidP="00250525">
      <w:r>
        <w:t>Figure 2</w:t>
      </w:r>
      <w:r w:rsidR="00B05F73">
        <w:t xml:space="preserve"> shows the use of dupilumab for severe asthma in the context of the </w:t>
      </w:r>
      <w:r w:rsidR="00B05F73" w:rsidRPr="00B05F73">
        <w:t>monoclonal antibodies for severe asthma</w:t>
      </w:r>
      <w:r w:rsidR="00B05F73">
        <w:t xml:space="preserve"> market</w:t>
      </w:r>
      <w:r w:rsidR="00250525">
        <w:t xml:space="preserve">, using authority code, since January 2017. </w:t>
      </w:r>
    </w:p>
    <w:p w14:paraId="7DA4E5BD" w14:textId="0A10E52C" w:rsidR="003D4F69" w:rsidRDefault="00E77A6E" w:rsidP="00D06C14">
      <w:r>
        <w:rPr>
          <w:noProof/>
        </w:rPr>
        <w:lastRenderedPageBreak/>
        <w:drawing>
          <wp:inline distT="0" distB="0" distL="0" distR="0" wp14:anchorId="45346C47" wp14:editId="5BC0E56D">
            <wp:extent cx="5687695" cy="4111625"/>
            <wp:effectExtent l="0" t="0" r="8255" b="3175"/>
            <wp:docPr id="14" name="Chart 14" descr="A line chart that shows the total use of monoclonal antibodies for severe asthma is increasing. Dupilumab entered the market in quarter 2 of 2021 its use is now the second highest within the market.">
              <a:extLst xmlns:a="http://schemas.openxmlformats.org/drawingml/2006/main">
                <a:ext uri="{FF2B5EF4-FFF2-40B4-BE49-F238E27FC236}">
                  <a16:creationId xmlns:a16="http://schemas.microsoft.com/office/drawing/2014/main" id="{D185C14F-A107-45CB-B2CE-903C3D6848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FBE9B21" w14:textId="32C5CC4C" w:rsidR="00420FDD" w:rsidRDefault="00420FDD" w:rsidP="00420FDD">
      <w:pPr>
        <w:pStyle w:val="Figuretitle"/>
      </w:pPr>
      <w:r w:rsidRPr="00420FDD">
        <w:t xml:space="preserve">Figure </w:t>
      </w:r>
      <w:r w:rsidR="008761B9">
        <w:t>2</w:t>
      </w:r>
      <w:r w:rsidRPr="00420FDD">
        <w:t>: Use of monoclonal antibodies</w:t>
      </w:r>
      <w:r>
        <w:t xml:space="preserve"> for severe asthma by </w:t>
      </w:r>
      <w:r w:rsidRPr="00420FDD">
        <w:t xml:space="preserve">authority code </w:t>
      </w:r>
    </w:p>
    <w:p w14:paraId="5E12D1BD" w14:textId="335F761D" w:rsidR="00420FDD" w:rsidRDefault="00420FDD" w:rsidP="00420FDD"/>
    <w:p w14:paraId="704301C3" w14:textId="555B55CC" w:rsidR="00250525" w:rsidRDefault="00250525" w:rsidP="00420FDD">
      <w:r>
        <w:t xml:space="preserve">Table </w:t>
      </w:r>
      <w:r w:rsidR="00465265">
        <w:t>7</w:t>
      </w:r>
      <w:r>
        <w:t xml:space="preserve"> shows the number of patients who were supplied dupilumab for dermatitis by item code (16,99</w:t>
      </w:r>
      <w:r w:rsidR="00D5576A">
        <w:t>5</w:t>
      </w:r>
      <w:r>
        <w:t xml:space="preserve"> patients) or authority code (16,373 patients), and whether they were supplied another </w:t>
      </w:r>
      <w:r w:rsidRPr="00250525">
        <w:t>monoclonal antibod</w:t>
      </w:r>
      <w:r>
        <w:t>y (not dupilumab) for severe asthma by either item code, authority code, or both.</w:t>
      </w:r>
    </w:p>
    <w:p w14:paraId="42D35FC2" w14:textId="4FF5124A" w:rsidR="002743A1" w:rsidRDefault="002743A1" w:rsidP="002743A1">
      <w:pPr>
        <w:pStyle w:val="Figuretitle"/>
      </w:pPr>
      <w:r>
        <w:t xml:space="preserve">Table </w:t>
      </w:r>
      <w:r w:rsidR="00465265">
        <w:t>7</w:t>
      </w:r>
      <w:r>
        <w:t xml:space="preserve">: </w:t>
      </w:r>
      <w:r w:rsidRPr="002743A1">
        <w:t>Use of monoclonal antibodies for severe asthma</w:t>
      </w:r>
      <w:r>
        <w:t xml:space="preserve"> in dermatitis patients </w:t>
      </w:r>
    </w:p>
    <w:tbl>
      <w:tblPr>
        <w:tblW w:w="8954" w:type="dxa"/>
        <w:tblInd w:w="113" w:type="dxa"/>
        <w:tblLayout w:type="fixed"/>
        <w:tblLook w:val="04A0" w:firstRow="1" w:lastRow="0" w:firstColumn="1" w:lastColumn="0" w:noHBand="0" w:noVBand="1"/>
      </w:tblPr>
      <w:tblGrid>
        <w:gridCol w:w="3143"/>
        <w:gridCol w:w="1749"/>
        <w:gridCol w:w="1511"/>
        <w:gridCol w:w="1276"/>
        <w:gridCol w:w="1275"/>
      </w:tblGrid>
      <w:tr w:rsidR="002743A1" w:rsidRPr="002743A1" w14:paraId="7F56017B" w14:textId="77777777" w:rsidTr="002B54F2">
        <w:trPr>
          <w:trHeight w:val="300"/>
        </w:trPr>
        <w:tc>
          <w:tcPr>
            <w:tcW w:w="3143"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655F6AA" w14:textId="77777777" w:rsidR="002743A1" w:rsidRPr="002743A1" w:rsidRDefault="002743A1" w:rsidP="002743A1">
            <w:pPr>
              <w:spacing w:after="0"/>
              <w:rPr>
                <w:rFonts w:ascii="Calibri" w:eastAsia="Times New Roman" w:hAnsi="Calibri" w:cs="Calibri"/>
                <w:b/>
                <w:bCs/>
                <w:color w:val="000000"/>
                <w:sz w:val="20"/>
                <w:szCs w:val="20"/>
              </w:rPr>
            </w:pPr>
            <w:r w:rsidRPr="002743A1">
              <w:rPr>
                <w:rFonts w:ascii="Calibri" w:eastAsia="Times New Roman" w:hAnsi="Calibri" w:cs="Calibri"/>
                <w:b/>
                <w:bCs/>
                <w:color w:val="000000"/>
                <w:sz w:val="20"/>
                <w:szCs w:val="20"/>
              </w:rPr>
              <w:t>Restriction</w:t>
            </w:r>
          </w:p>
        </w:tc>
        <w:tc>
          <w:tcPr>
            <w:tcW w:w="1749" w:type="dxa"/>
            <w:tcBorders>
              <w:top w:val="single" w:sz="4" w:space="0" w:color="auto"/>
              <w:left w:val="nil"/>
              <w:bottom w:val="single" w:sz="4" w:space="0" w:color="auto"/>
              <w:right w:val="single" w:sz="4" w:space="0" w:color="auto"/>
            </w:tcBorders>
            <w:shd w:val="clear" w:color="000000" w:fill="BFBFBF"/>
            <w:noWrap/>
            <w:vAlign w:val="bottom"/>
            <w:hideMark/>
          </w:tcPr>
          <w:p w14:paraId="0AE4CA8D" w14:textId="4391ACC0" w:rsidR="002743A1" w:rsidRPr="002743A1" w:rsidRDefault="002743A1" w:rsidP="002743A1">
            <w:pPr>
              <w:spacing w:after="0"/>
              <w:rPr>
                <w:rFonts w:ascii="Calibri" w:eastAsia="Times New Roman" w:hAnsi="Calibri" w:cs="Calibri"/>
                <w:b/>
                <w:bCs/>
                <w:color w:val="000000"/>
                <w:sz w:val="20"/>
                <w:szCs w:val="20"/>
              </w:rPr>
            </w:pPr>
            <w:r w:rsidRPr="002743A1">
              <w:rPr>
                <w:rFonts w:ascii="Calibri" w:eastAsia="Times New Roman" w:hAnsi="Calibri" w:cs="Calibri"/>
                <w:b/>
                <w:bCs/>
                <w:color w:val="000000"/>
                <w:sz w:val="20"/>
                <w:szCs w:val="20"/>
              </w:rPr>
              <w:t xml:space="preserve">Previous asthma </w:t>
            </w:r>
            <w:r w:rsidR="00250525">
              <w:rPr>
                <w:rFonts w:ascii="Calibri" w:eastAsia="Times New Roman" w:hAnsi="Calibri" w:cs="Calibri"/>
                <w:b/>
                <w:bCs/>
                <w:color w:val="000000"/>
                <w:sz w:val="20"/>
                <w:szCs w:val="20"/>
              </w:rPr>
              <w:t xml:space="preserve">supply </w:t>
            </w:r>
            <w:r w:rsidRPr="002743A1">
              <w:rPr>
                <w:rFonts w:ascii="Calibri" w:eastAsia="Times New Roman" w:hAnsi="Calibri" w:cs="Calibri"/>
                <w:b/>
                <w:bCs/>
                <w:color w:val="000000"/>
                <w:sz w:val="20"/>
                <w:szCs w:val="20"/>
              </w:rPr>
              <w:t>by item code</w:t>
            </w:r>
          </w:p>
        </w:tc>
        <w:tc>
          <w:tcPr>
            <w:tcW w:w="1511" w:type="dxa"/>
            <w:tcBorders>
              <w:top w:val="single" w:sz="4" w:space="0" w:color="auto"/>
              <w:left w:val="nil"/>
              <w:bottom w:val="single" w:sz="4" w:space="0" w:color="auto"/>
              <w:right w:val="single" w:sz="4" w:space="0" w:color="auto"/>
            </w:tcBorders>
            <w:shd w:val="clear" w:color="000000" w:fill="BFBFBF"/>
            <w:noWrap/>
            <w:vAlign w:val="bottom"/>
            <w:hideMark/>
          </w:tcPr>
          <w:p w14:paraId="063B4131" w14:textId="63A51F50" w:rsidR="002743A1" w:rsidRPr="002743A1" w:rsidRDefault="002743A1" w:rsidP="002743A1">
            <w:pPr>
              <w:spacing w:after="0"/>
              <w:rPr>
                <w:rFonts w:ascii="Calibri" w:eastAsia="Times New Roman" w:hAnsi="Calibri" w:cs="Calibri"/>
                <w:b/>
                <w:bCs/>
                <w:color w:val="000000"/>
                <w:sz w:val="20"/>
                <w:szCs w:val="20"/>
              </w:rPr>
            </w:pPr>
            <w:r w:rsidRPr="002743A1">
              <w:rPr>
                <w:rFonts w:ascii="Calibri" w:eastAsia="Times New Roman" w:hAnsi="Calibri" w:cs="Calibri"/>
                <w:b/>
                <w:bCs/>
                <w:color w:val="000000"/>
                <w:sz w:val="20"/>
                <w:szCs w:val="20"/>
              </w:rPr>
              <w:t>Previous asthma</w:t>
            </w:r>
            <w:r w:rsidR="00250525">
              <w:rPr>
                <w:rFonts w:ascii="Calibri" w:eastAsia="Times New Roman" w:hAnsi="Calibri" w:cs="Calibri"/>
                <w:b/>
                <w:bCs/>
                <w:color w:val="000000"/>
                <w:sz w:val="20"/>
                <w:szCs w:val="20"/>
              </w:rPr>
              <w:t xml:space="preserve"> </w:t>
            </w:r>
            <w:r w:rsidRPr="002743A1">
              <w:rPr>
                <w:rFonts w:ascii="Calibri" w:eastAsia="Times New Roman" w:hAnsi="Calibri" w:cs="Calibri"/>
                <w:b/>
                <w:bCs/>
                <w:color w:val="000000"/>
                <w:sz w:val="20"/>
                <w:szCs w:val="20"/>
              </w:rPr>
              <w:t>s</w:t>
            </w:r>
            <w:r w:rsidR="00250525">
              <w:rPr>
                <w:rFonts w:ascii="Calibri" w:eastAsia="Times New Roman" w:hAnsi="Calibri" w:cs="Calibri"/>
                <w:b/>
                <w:bCs/>
                <w:color w:val="000000"/>
                <w:sz w:val="20"/>
                <w:szCs w:val="20"/>
              </w:rPr>
              <w:t>upply</w:t>
            </w:r>
            <w:r w:rsidRPr="002743A1">
              <w:rPr>
                <w:rFonts w:ascii="Calibri" w:eastAsia="Times New Roman" w:hAnsi="Calibri" w:cs="Calibri"/>
                <w:b/>
                <w:bCs/>
                <w:color w:val="000000"/>
                <w:sz w:val="20"/>
                <w:szCs w:val="20"/>
              </w:rPr>
              <w:t xml:space="preserve"> by authority code</w:t>
            </w:r>
          </w:p>
        </w:tc>
        <w:tc>
          <w:tcPr>
            <w:tcW w:w="1276" w:type="dxa"/>
            <w:tcBorders>
              <w:top w:val="single" w:sz="4" w:space="0" w:color="auto"/>
              <w:left w:val="nil"/>
              <w:bottom w:val="single" w:sz="4" w:space="0" w:color="auto"/>
              <w:right w:val="single" w:sz="4" w:space="0" w:color="auto"/>
            </w:tcBorders>
            <w:shd w:val="clear" w:color="000000" w:fill="BFBFBF"/>
            <w:noWrap/>
            <w:vAlign w:val="bottom"/>
            <w:hideMark/>
          </w:tcPr>
          <w:p w14:paraId="2A40B098" w14:textId="77777777" w:rsidR="002743A1" w:rsidRPr="002743A1" w:rsidRDefault="002743A1" w:rsidP="002743A1">
            <w:pPr>
              <w:spacing w:after="0"/>
              <w:rPr>
                <w:rFonts w:ascii="Calibri" w:eastAsia="Times New Roman" w:hAnsi="Calibri" w:cs="Calibri"/>
                <w:b/>
                <w:bCs/>
                <w:color w:val="000000"/>
                <w:sz w:val="20"/>
                <w:szCs w:val="20"/>
              </w:rPr>
            </w:pPr>
            <w:r w:rsidRPr="002743A1">
              <w:rPr>
                <w:rFonts w:ascii="Calibri" w:eastAsia="Times New Roman" w:hAnsi="Calibri" w:cs="Calibri"/>
                <w:b/>
                <w:bCs/>
                <w:color w:val="000000"/>
                <w:sz w:val="20"/>
                <w:szCs w:val="20"/>
              </w:rPr>
              <w:t>Patient count</w:t>
            </w:r>
          </w:p>
        </w:tc>
        <w:tc>
          <w:tcPr>
            <w:tcW w:w="1275" w:type="dxa"/>
            <w:tcBorders>
              <w:top w:val="single" w:sz="4" w:space="0" w:color="auto"/>
              <w:left w:val="nil"/>
              <w:bottom w:val="single" w:sz="4" w:space="0" w:color="auto"/>
              <w:right w:val="single" w:sz="4" w:space="0" w:color="auto"/>
            </w:tcBorders>
            <w:shd w:val="clear" w:color="000000" w:fill="BFBFBF"/>
            <w:noWrap/>
            <w:vAlign w:val="bottom"/>
            <w:hideMark/>
          </w:tcPr>
          <w:p w14:paraId="0EC38F1D" w14:textId="77777777" w:rsidR="002743A1" w:rsidRPr="002743A1" w:rsidRDefault="002743A1" w:rsidP="002743A1">
            <w:pPr>
              <w:spacing w:after="0"/>
              <w:rPr>
                <w:rFonts w:ascii="Calibri" w:eastAsia="Times New Roman" w:hAnsi="Calibri" w:cs="Calibri"/>
                <w:b/>
                <w:bCs/>
                <w:color w:val="000000"/>
                <w:sz w:val="20"/>
                <w:szCs w:val="20"/>
              </w:rPr>
            </w:pPr>
            <w:r w:rsidRPr="002743A1">
              <w:rPr>
                <w:rFonts w:ascii="Calibri" w:eastAsia="Times New Roman" w:hAnsi="Calibri" w:cs="Calibri"/>
                <w:b/>
                <w:bCs/>
                <w:color w:val="000000"/>
                <w:sz w:val="20"/>
                <w:szCs w:val="20"/>
              </w:rPr>
              <w:t>Percent</w:t>
            </w:r>
          </w:p>
        </w:tc>
      </w:tr>
      <w:tr w:rsidR="002743A1" w:rsidRPr="002743A1" w14:paraId="56EFA3B2" w14:textId="77777777" w:rsidTr="002B54F2">
        <w:trPr>
          <w:trHeight w:val="300"/>
        </w:trPr>
        <w:tc>
          <w:tcPr>
            <w:tcW w:w="895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3C37F" w14:textId="567467A8" w:rsidR="002743A1" w:rsidRPr="002743A1" w:rsidRDefault="002743A1" w:rsidP="002743A1">
            <w:pPr>
              <w:spacing w:after="0"/>
              <w:rPr>
                <w:rFonts w:ascii="Calibri" w:eastAsia="Times New Roman" w:hAnsi="Calibri" w:cs="Calibri"/>
                <w:color w:val="000000"/>
                <w:sz w:val="20"/>
                <w:szCs w:val="20"/>
              </w:rPr>
            </w:pPr>
            <w:r>
              <w:rPr>
                <w:rFonts w:ascii="Calibri" w:eastAsia="Times New Roman" w:hAnsi="Calibri" w:cs="Calibri"/>
                <w:color w:val="000000"/>
                <w:sz w:val="20"/>
                <w:szCs w:val="20"/>
              </w:rPr>
              <w:t>Dermatitis by i</w:t>
            </w:r>
            <w:r w:rsidRPr="002743A1">
              <w:rPr>
                <w:rFonts w:ascii="Calibri" w:eastAsia="Times New Roman" w:hAnsi="Calibri" w:cs="Calibri"/>
                <w:color w:val="000000"/>
                <w:sz w:val="20"/>
                <w:szCs w:val="20"/>
              </w:rPr>
              <w:t>tem code</w:t>
            </w:r>
          </w:p>
        </w:tc>
      </w:tr>
      <w:tr w:rsidR="004156C7" w:rsidRPr="002743A1" w14:paraId="36640CCB" w14:textId="77777777" w:rsidTr="002B54F2">
        <w:trPr>
          <w:trHeight w:val="300"/>
        </w:trPr>
        <w:tc>
          <w:tcPr>
            <w:tcW w:w="3143" w:type="dxa"/>
            <w:tcBorders>
              <w:top w:val="nil"/>
              <w:left w:val="single" w:sz="4" w:space="0" w:color="auto"/>
              <w:bottom w:val="single" w:sz="4" w:space="0" w:color="auto"/>
              <w:right w:val="single" w:sz="4" w:space="0" w:color="auto"/>
            </w:tcBorders>
            <w:shd w:val="clear" w:color="auto" w:fill="auto"/>
            <w:noWrap/>
            <w:vAlign w:val="bottom"/>
            <w:hideMark/>
          </w:tcPr>
          <w:p w14:paraId="4267C539" w14:textId="77777777" w:rsidR="004156C7" w:rsidRPr="002743A1" w:rsidRDefault="004156C7" w:rsidP="004156C7">
            <w:pPr>
              <w:spacing w:after="0"/>
              <w:rPr>
                <w:rFonts w:ascii="Calibri" w:eastAsia="Times New Roman" w:hAnsi="Calibri" w:cs="Calibri"/>
                <w:color w:val="000000"/>
                <w:sz w:val="20"/>
                <w:szCs w:val="20"/>
              </w:rPr>
            </w:pPr>
            <w:r w:rsidRPr="002743A1">
              <w:rPr>
                <w:rFonts w:ascii="Calibri" w:eastAsia="Times New Roman" w:hAnsi="Calibri" w:cs="Calibri"/>
                <w:color w:val="000000"/>
                <w:sz w:val="20"/>
                <w:szCs w:val="20"/>
              </w:rPr>
              <w:t>Dermatitis</w:t>
            </w:r>
          </w:p>
        </w:tc>
        <w:tc>
          <w:tcPr>
            <w:tcW w:w="1749" w:type="dxa"/>
            <w:tcBorders>
              <w:top w:val="single" w:sz="4" w:space="0" w:color="auto"/>
              <w:left w:val="nil"/>
              <w:bottom w:val="single" w:sz="4" w:space="0" w:color="auto"/>
              <w:right w:val="single" w:sz="4" w:space="0" w:color="auto"/>
            </w:tcBorders>
            <w:shd w:val="clear" w:color="auto" w:fill="auto"/>
            <w:noWrap/>
            <w:vAlign w:val="bottom"/>
            <w:hideMark/>
          </w:tcPr>
          <w:p w14:paraId="2205E237" w14:textId="122F4CC4" w:rsidR="004156C7" w:rsidRPr="002743A1" w:rsidRDefault="004156C7" w:rsidP="004156C7">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False</w:t>
            </w:r>
          </w:p>
        </w:tc>
        <w:tc>
          <w:tcPr>
            <w:tcW w:w="1511" w:type="dxa"/>
            <w:tcBorders>
              <w:top w:val="single" w:sz="4" w:space="0" w:color="auto"/>
              <w:left w:val="nil"/>
              <w:bottom w:val="single" w:sz="4" w:space="0" w:color="auto"/>
              <w:right w:val="single" w:sz="4" w:space="0" w:color="auto"/>
            </w:tcBorders>
            <w:shd w:val="clear" w:color="auto" w:fill="auto"/>
            <w:noWrap/>
            <w:vAlign w:val="bottom"/>
            <w:hideMark/>
          </w:tcPr>
          <w:p w14:paraId="56C42EE5" w14:textId="6B8AC3BE" w:rsidR="004156C7" w:rsidRPr="002743A1" w:rsidRDefault="004156C7" w:rsidP="004156C7">
            <w:pPr>
              <w:spacing w:after="0"/>
              <w:jc w:val="right"/>
              <w:rPr>
                <w:rFonts w:ascii="Calibri" w:eastAsia="Times New Roman" w:hAnsi="Calibri" w:cs="Calibri"/>
                <w:color w:val="000000"/>
                <w:sz w:val="20"/>
                <w:szCs w:val="20"/>
              </w:rPr>
            </w:pPr>
            <w:r w:rsidRPr="00250525">
              <w:rPr>
                <w:rFonts w:ascii="Calibri" w:eastAsia="Times New Roman" w:hAnsi="Calibri" w:cs="Calibri"/>
                <w:color w:val="000000"/>
                <w:sz w:val="20"/>
                <w:szCs w:val="20"/>
              </w:rPr>
              <w:t>False</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F47FC01" w14:textId="40D537F5" w:rsidR="004156C7" w:rsidRPr="002743A1" w:rsidRDefault="004156C7" w:rsidP="004156C7">
            <w:pPr>
              <w:spacing w:after="0"/>
              <w:jc w:val="right"/>
              <w:rPr>
                <w:rFonts w:ascii="Calibri" w:eastAsia="Times New Roman" w:hAnsi="Calibri" w:cs="Calibri"/>
                <w:color w:val="000000"/>
                <w:sz w:val="20"/>
                <w:szCs w:val="20"/>
              </w:rPr>
            </w:pPr>
            <w:r>
              <w:rPr>
                <w:rFonts w:ascii="Calibri" w:hAnsi="Calibri" w:cs="Calibri"/>
                <w:color w:val="000000"/>
                <w:sz w:val="20"/>
                <w:szCs w:val="20"/>
              </w:rPr>
              <w:t>16,52</w:t>
            </w:r>
            <w:r w:rsidR="00A63871">
              <w:rPr>
                <w:rFonts w:ascii="Calibri" w:hAnsi="Calibri" w:cs="Calibri"/>
                <w:color w:val="000000"/>
                <w:sz w:val="20"/>
                <w:szCs w:val="20"/>
              </w:rPr>
              <w:t>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9B9305" w14:textId="0793A964" w:rsidR="004156C7" w:rsidRPr="002743A1" w:rsidRDefault="004156C7" w:rsidP="004156C7">
            <w:pPr>
              <w:spacing w:after="0"/>
              <w:jc w:val="right"/>
              <w:rPr>
                <w:rFonts w:ascii="Calibri" w:eastAsia="Times New Roman" w:hAnsi="Calibri" w:cs="Calibri"/>
                <w:color w:val="000000"/>
                <w:sz w:val="20"/>
                <w:szCs w:val="20"/>
              </w:rPr>
            </w:pPr>
            <w:r>
              <w:rPr>
                <w:rFonts w:ascii="Calibri" w:hAnsi="Calibri" w:cs="Calibri"/>
                <w:color w:val="000000"/>
                <w:sz w:val="20"/>
                <w:szCs w:val="20"/>
              </w:rPr>
              <w:t>97%</w:t>
            </w:r>
          </w:p>
        </w:tc>
      </w:tr>
      <w:tr w:rsidR="004156C7" w:rsidRPr="002743A1" w14:paraId="33160575" w14:textId="77777777" w:rsidTr="002B54F2">
        <w:trPr>
          <w:trHeight w:val="300"/>
        </w:trPr>
        <w:tc>
          <w:tcPr>
            <w:tcW w:w="3143" w:type="dxa"/>
            <w:tcBorders>
              <w:top w:val="nil"/>
              <w:left w:val="single" w:sz="4" w:space="0" w:color="auto"/>
              <w:bottom w:val="single" w:sz="4" w:space="0" w:color="auto"/>
              <w:right w:val="single" w:sz="4" w:space="0" w:color="auto"/>
            </w:tcBorders>
            <w:shd w:val="clear" w:color="auto" w:fill="auto"/>
            <w:noWrap/>
            <w:vAlign w:val="bottom"/>
            <w:hideMark/>
          </w:tcPr>
          <w:p w14:paraId="374BA9C1" w14:textId="77777777" w:rsidR="004156C7" w:rsidRPr="002743A1" w:rsidRDefault="004156C7" w:rsidP="004156C7">
            <w:pPr>
              <w:spacing w:after="0"/>
              <w:rPr>
                <w:rFonts w:ascii="Calibri" w:eastAsia="Times New Roman" w:hAnsi="Calibri" w:cs="Calibri"/>
                <w:color w:val="000000"/>
                <w:sz w:val="20"/>
                <w:szCs w:val="20"/>
              </w:rPr>
            </w:pPr>
            <w:r w:rsidRPr="002743A1">
              <w:rPr>
                <w:rFonts w:ascii="Calibri" w:eastAsia="Times New Roman" w:hAnsi="Calibri" w:cs="Calibri"/>
                <w:color w:val="000000"/>
                <w:sz w:val="20"/>
                <w:szCs w:val="20"/>
              </w:rPr>
              <w:t>Dermatitis</w:t>
            </w:r>
          </w:p>
        </w:tc>
        <w:tc>
          <w:tcPr>
            <w:tcW w:w="1749" w:type="dxa"/>
            <w:tcBorders>
              <w:top w:val="single" w:sz="4" w:space="0" w:color="auto"/>
              <w:left w:val="nil"/>
              <w:bottom w:val="single" w:sz="4" w:space="0" w:color="auto"/>
              <w:right w:val="single" w:sz="4" w:space="0" w:color="auto"/>
            </w:tcBorders>
            <w:shd w:val="clear" w:color="auto" w:fill="auto"/>
            <w:noWrap/>
            <w:vAlign w:val="bottom"/>
            <w:hideMark/>
          </w:tcPr>
          <w:p w14:paraId="6CBC1B11" w14:textId="6E4C7B93" w:rsidR="004156C7" w:rsidRPr="002743A1" w:rsidRDefault="004156C7" w:rsidP="004156C7">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True</w:t>
            </w:r>
          </w:p>
        </w:tc>
        <w:tc>
          <w:tcPr>
            <w:tcW w:w="1511" w:type="dxa"/>
            <w:tcBorders>
              <w:top w:val="single" w:sz="4" w:space="0" w:color="auto"/>
              <w:left w:val="nil"/>
              <w:bottom w:val="single" w:sz="4" w:space="0" w:color="auto"/>
              <w:right w:val="single" w:sz="4" w:space="0" w:color="auto"/>
            </w:tcBorders>
            <w:shd w:val="clear" w:color="auto" w:fill="auto"/>
            <w:noWrap/>
            <w:vAlign w:val="bottom"/>
            <w:hideMark/>
          </w:tcPr>
          <w:p w14:paraId="07673FBC" w14:textId="24F49331" w:rsidR="004156C7" w:rsidRPr="002743A1" w:rsidRDefault="004156C7" w:rsidP="004156C7">
            <w:pPr>
              <w:spacing w:after="0"/>
              <w:jc w:val="right"/>
              <w:rPr>
                <w:rFonts w:ascii="Calibri" w:eastAsia="Times New Roman" w:hAnsi="Calibri" w:cs="Calibri"/>
                <w:color w:val="000000"/>
                <w:sz w:val="20"/>
                <w:szCs w:val="20"/>
              </w:rPr>
            </w:pPr>
            <w:r w:rsidRPr="00250525">
              <w:rPr>
                <w:rFonts w:ascii="Calibri" w:eastAsia="Times New Roman" w:hAnsi="Calibri" w:cs="Calibri"/>
                <w:color w:val="000000"/>
                <w:sz w:val="20"/>
                <w:szCs w:val="20"/>
              </w:rPr>
              <w:t>False</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F04B9C9" w14:textId="1D02FEDB" w:rsidR="004156C7" w:rsidRPr="002743A1" w:rsidRDefault="004156C7" w:rsidP="004156C7">
            <w:pPr>
              <w:spacing w:after="0"/>
              <w:jc w:val="right"/>
              <w:rPr>
                <w:rFonts w:ascii="Calibri" w:eastAsia="Times New Roman" w:hAnsi="Calibri" w:cs="Calibri"/>
                <w:color w:val="000000"/>
                <w:sz w:val="20"/>
                <w:szCs w:val="20"/>
              </w:rPr>
            </w:pPr>
            <w:r>
              <w:rPr>
                <w:rFonts w:ascii="Calibri" w:hAnsi="Calibri" w:cs="Calibri"/>
                <w:color w:val="000000"/>
                <w:sz w:val="20"/>
                <w:szCs w:val="20"/>
              </w:rPr>
              <w:t>98</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580720" w14:textId="3E8D8367" w:rsidR="004156C7" w:rsidRPr="002743A1" w:rsidRDefault="004156C7" w:rsidP="004156C7">
            <w:pPr>
              <w:spacing w:after="0"/>
              <w:jc w:val="right"/>
              <w:rPr>
                <w:rFonts w:ascii="Calibri" w:eastAsia="Times New Roman" w:hAnsi="Calibri" w:cs="Calibri"/>
                <w:color w:val="000000"/>
                <w:sz w:val="20"/>
                <w:szCs w:val="20"/>
              </w:rPr>
            </w:pPr>
            <w:r>
              <w:rPr>
                <w:rFonts w:ascii="Calibri" w:hAnsi="Calibri" w:cs="Calibri"/>
                <w:color w:val="000000"/>
                <w:sz w:val="20"/>
                <w:szCs w:val="20"/>
              </w:rPr>
              <w:t>1%</w:t>
            </w:r>
          </w:p>
        </w:tc>
      </w:tr>
      <w:tr w:rsidR="004156C7" w:rsidRPr="002743A1" w14:paraId="3CF6EB69" w14:textId="77777777" w:rsidTr="002B54F2">
        <w:trPr>
          <w:trHeight w:val="300"/>
        </w:trPr>
        <w:tc>
          <w:tcPr>
            <w:tcW w:w="3143" w:type="dxa"/>
            <w:tcBorders>
              <w:top w:val="nil"/>
              <w:left w:val="single" w:sz="4" w:space="0" w:color="auto"/>
              <w:bottom w:val="single" w:sz="4" w:space="0" w:color="auto"/>
              <w:right w:val="single" w:sz="4" w:space="0" w:color="auto"/>
            </w:tcBorders>
            <w:shd w:val="clear" w:color="auto" w:fill="auto"/>
            <w:noWrap/>
            <w:vAlign w:val="bottom"/>
            <w:hideMark/>
          </w:tcPr>
          <w:p w14:paraId="6EDC2122" w14:textId="77777777" w:rsidR="004156C7" w:rsidRPr="002743A1" w:rsidRDefault="004156C7" w:rsidP="004156C7">
            <w:pPr>
              <w:spacing w:after="0"/>
              <w:rPr>
                <w:rFonts w:ascii="Calibri" w:eastAsia="Times New Roman" w:hAnsi="Calibri" w:cs="Calibri"/>
                <w:color w:val="000000"/>
                <w:sz w:val="20"/>
                <w:szCs w:val="20"/>
              </w:rPr>
            </w:pPr>
            <w:r w:rsidRPr="002743A1">
              <w:rPr>
                <w:rFonts w:ascii="Calibri" w:eastAsia="Times New Roman" w:hAnsi="Calibri" w:cs="Calibri"/>
                <w:color w:val="000000"/>
                <w:sz w:val="20"/>
                <w:szCs w:val="20"/>
              </w:rPr>
              <w:t>Dermatitis</w:t>
            </w:r>
          </w:p>
        </w:tc>
        <w:tc>
          <w:tcPr>
            <w:tcW w:w="1749" w:type="dxa"/>
            <w:tcBorders>
              <w:top w:val="single" w:sz="4" w:space="0" w:color="auto"/>
              <w:left w:val="nil"/>
              <w:bottom w:val="single" w:sz="4" w:space="0" w:color="auto"/>
              <w:right w:val="single" w:sz="4" w:space="0" w:color="auto"/>
            </w:tcBorders>
            <w:shd w:val="clear" w:color="auto" w:fill="auto"/>
            <w:noWrap/>
            <w:vAlign w:val="bottom"/>
            <w:hideMark/>
          </w:tcPr>
          <w:p w14:paraId="0DF00812" w14:textId="0783B098" w:rsidR="004156C7" w:rsidRPr="002743A1" w:rsidRDefault="004156C7" w:rsidP="004156C7">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True</w:t>
            </w:r>
          </w:p>
        </w:tc>
        <w:tc>
          <w:tcPr>
            <w:tcW w:w="1511" w:type="dxa"/>
            <w:tcBorders>
              <w:top w:val="single" w:sz="4" w:space="0" w:color="auto"/>
              <w:left w:val="nil"/>
              <w:bottom w:val="single" w:sz="4" w:space="0" w:color="auto"/>
              <w:right w:val="single" w:sz="4" w:space="0" w:color="auto"/>
            </w:tcBorders>
            <w:shd w:val="clear" w:color="auto" w:fill="auto"/>
            <w:noWrap/>
            <w:vAlign w:val="bottom"/>
            <w:hideMark/>
          </w:tcPr>
          <w:p w14:paraId="4C72519C" w14:textId="450EDD15" w:rsidR="004156C7" w:rsidRPr="002743A1" w:rsidRDefault="004156C7" w:rsidP="004156C7">
            <w:pPr>
              <w:spacing w:after="0"/>
              <w:jc w:val="right"/>
              <w:rPr>
                <w:rFonts w:ascii="Calibri" w:eastAsia="Times New Roman" w:hAnsi="Calibri" w:cs="Calibri"/>
                <w:color w:val="000000"/>
                <w:sz w:val="20"/>
                <w:szCs w:val="20"/>
              </w:rPr>
            </w:pPr>
            <w:r w:rsidRPr="00250525">
              <w:rPr>
                <w:rFonts w:ascii="Calibri" w:eastAsia="Times New Roman" w:hAnsi="Calibri" w:cs="Calibri"/>
                <w:color w:val="000000"/>
                <w:sz w:val="20"/>
                <w:szCs w:val="20"/>
              </w:rPr>
              <w:t>True</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8B1BAEB" w14:textId="7AE39732" w:rsidR="004156C7" w:rsidRPr="002743A1" w:rsidRDefault="004156C7" w:rsidP="004156C7">
            <w:pPr>
              <w:spacing w:after="0"/>
              <w:jc w:val="right"/>
              <w:rPr>
                <w:rFonts w:ascii="Calibri" w:eastAsia="Times New Roman" w:hAnsi="Calibri" w:cs="Calibri"/>
                <w:color w:val="000000"/>
                <w:sz w:val="20"/>
                <w:szCs w:val="20"/>
              </w:rPr>
            </w:pPr>
            <w:r>
              <w:rPr>
                <w:rFonts w:ascii="Calibri" w:hAnsi="Calibri" w:cs="Calibri"/>
                <w:color w:val="000000"/>
                <w:sz w:val="20"/>
                <w:szCs w:val="20"/>
              </w:rPr>
              <w:t>371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5C9CC4" w14:textId="2A056A88" w:rsidR="004156C7" w:rsidRPr="002743A1" w:rsidRDefault="004156C7" w:rsidP="004156C7">
            <w:pPr>
              <w:spacing w:after="0"/>
              <w:jc w:val="right"/>
              <w:rPr>
                <w:rFonts w:ascii="Calibri" w:eastAsia="Times New Roman" w:hAnsi="Calibri" w:cs="Calibri"/>
                <w:color w:val="000000"/>
                <w:sz w:val="20"/>
                <w:szCs w:val="20"/>
              </w:rPr>
            </w:pPr>
            <w:r>
              <w:rPr>
                <w:rFonts w:ascii="Calibri" w:hAnsi="Calibri" w:cs="Calibri"/>
                <w:color w:val="000000"/>
                <w:sz w:val="20"/>
                <w:szCs w:val="20"/>
              </w:rPr>
              <w:t>2%</w:t>
            </w:r>
          </w:p>
        </w:tc>
      </w:tr>
      <w:tr w:rsidR="004156C7" w:rsidRPr="002743A1" w14:paraId="5AA32373" w14:textId="77777777" w:rsidTr="002B54F2">
        <w:trPr>
          <w:trHeight w:val="300"/>
        </w:trPr>
        <w:tc>
          <w:tcPr>
            <w:tcW w:w="3143" w:type="dxa"/>
            <w:tcBorders>
              <w:top w:val="nil"/>
              <w:left w:val="single" w:sz="4" w:space="0" w:color="auto"/>
              <w:bottom w:val="single" w:sz="4" w:space="0" w:color="auto"/>
              <w:right w:val="single" w:sz="4" w:space="0" w:color="auto"/>
            </w:tcBorders>
            <w:shd w:val="clear" w:color="auto" w:fill="auto"/>
            <w:noWrap/>
            <w:vAlign w:val="bottom"/>
            <w:hideMark/>
          </w:tcPr>
          <w:p w14:paraId="67B1FDAC" w14:textId="77777777" w:rsidR="004156C7" w:rsidRPr="002743A1" w:rsidRDefault="004156C7" w:rsidP="004156C7">
            <w:pPr>
              <w:spacing w:after="0"/>
              <w:rPr>
                <w:rFonts w:ascii="Calibri" w:eastAsia="Times New Roman" w:hAnsi="Calibri" w:cs="Calibri"/>
                <w:color w:val="000000"/>
                <w:sz w:val="20"/>
                <w:szCs w:val="20"/>
              </w:rPr>
            </w:pPr>
            <w:r w:rsidRPr="002743A1">
              <w:rPr>
                <w:rFonts w:ascii="Calibri" w:eastAsia="Times New Roman" w:hAnsi="Calibri" w:cs="Calibri"/>
                <w:color w:val="000000"/>
                <w:sz w:val="20"/>
                <w:szCs w:val="20"/>
              </w:rPr>
              <w:t>Dermatitis total (by item code)</w:t>
            </w:r>
          </w:p>
        </w:tc>
        <w:tc>
          <w:tcPr>
            <w:tcW w:w="1749" w:type="dxa"/>
            <w:tcBorders>
              <w:top w:val="single" w:sz="4" w:space="0" w:color="auto"/>
              <w:left w:val="nil"/>
              <w:bottom w:val="single" w:sz="4" w:space="0" w:color="auto"/>
              <w:right w:val="single" w:sz="4" w:space="0" w:color="auto"/>
            </w:tcBorders>
            <w:shd w:val="clear" w:color="auto" w:fill="auto"/>
            <w:noWrap/>
            <w:vAlign w:val="bottom"/>
            <w:hideMark/>
          </w:tcPr>
          <w:p w14:paraId="325DAA38" w14:textId="77777777" w:rsidR="004156C7" w:rsidRPr="002743A1" w:rsidRDefault="004156C7" w:rsidP="004156C7">
            <w:pPr>
              <w:spacing w:after="0"/>
              <w:rPr>
                <w:rFonts w:ascii="Calibri" w:eastAsia="Times New Roman" w:hAnsi="Calibri" w:cs="Calibri"/>
                <w:color w:val="000000"/>
                <w:sz w:val="20"/>
                <w:szCs w:val="20"/>
              </w:rPr>
            </w:pPr>
            <w:r w:rsidRPr="002743A1">
              <w:rPr>
                <w:rFonts w:ascii="Calibri" w:eastAsia="Times New Roman" w:hAnsi="Calibri" w:cs="Calibri"/>
                <w:color w:val="000000"/>
                <w:sz w:val="20"/>
                <w:szCs w:val="20"/>
              </w:rPr>
              <w:t> </w:t>
            </w:r>
          </w:p>
        </w:tc>
        <w:tc>
          <w:tcPr>
            <w:tcW w:w="1511" w:type="dxa"/>
            <w:tcBorders>
              <w:top w:val="single" w:sz="4" w:space="0" w:color="auto"/>
              <w:left w:val="nil"/>
              <w:bottom w:val="single" w:sz="4" w:space="0" w:color="auto"/>
              <w:right w:val="single" w:sz="4" w:space="0" w:color="auto"/>
            </w:tcBorders>
            <w:shd w:val="clear" w:color="auto" w:fill="auto"/>
            <w:noWrap/>
            <w:vAlign w:val="bottom"/>
            <w:hideMark/>
          </w:tcPr>
          <w:p w14:paraId="4E57EE0D" w14:textId="77777777" w:rsidR="004156C7" w:rsidRPr="002743A1" w:rsidRDefault="004156C7" w:rsidP="004156C7">
            <w:pPr>
              <w:spacing w:after="0"/>
              <w:rPr>
                <w:rFonts w:ascii="Calibri" w:eastAsia="Times New Roman" w:hAnsi="Calibri" w:cs="Calibri"/>
                <w:color w:val="000000"/>
                <w:sz w:val="20"/>
                <w:szCs w:val="20"/>
              </w:rPr>
            </w:pPr>
            <w:r w:rsidRPr="002743A1">
              <w:rPr>
                <w:rFonts w:ascii="Calibri" w:eastAsia="Times New Roman" w:hAnsi="Calibri" w:cs="Calibri"/>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E543C0C" w14:textId="34742063" w:rsidR="004156C7" w:rsidRPr="002743A1" w:rsidRDefault="004156C7" w:rsidP="004156C7">
            <w:pPr>
              <w:spacing w:after="0"/>
              <w:jc w:val="right"/>
              <w:rPr>
                <w:rFonts w:ascii="Calibri" w:eastAsia="Times New Roman" w:hAnsi="Calibri" w:cs="Calibri"/>
                <w:color w:val="000000"/>
                <w:sz w:val="20"/>
                <w:szCs w:val="20"/>
              </w:rPr>
            </w:pPr>
            <w:r>
              <w:rPr>
                <w:rFonts w:ascii="Calibri" w:hAnsi="Calibri" w:cs="Calibri"/>
                <w:color w:val="000000"/>
                <w:sz w:val="20"/>
                <w:szCs w:val="20"/>
              </w:rPr>
              <w:t>16,99</w:t>
            </w:r>
            <w:r w:rsidR="00857781">
              <w:rPr>
                <w:rFonts w:ascii="Calibri" w:hAnsi="Calibri" w:cs="Calibri"/>
                <w:color w:val="000000"/>
                <w:sz w:val="20"/>
                <w:szCs w:val="20"/>
              </w:rPr>
              <w:t>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904B3D" w14:textId="4B49AD43" w:rsidR="004156C7" w:rsidRPr="002743A1" w:rsidRDefault="004156C7" w:rsidP="004156C7">
            <w:pPr>
              <w:spacing w:after="0"/>
              <w:rPr>
                <w:rFonts w:ascii="Calibri" w:eastAsia="Times New Roman" w:hAnsi="Calibri" w:cs="Calibri"/>
                <w:color w:val="000000"/>
                <w:sz w:val="20"/>
                <w:szCs w:val="20"/>
              </w:rPr>
            </w:pPr>
            <w:r>
              <w:rPr>
                <w:rFonts w:ascii="Calibri" w:hAnsi="Calibri" w:cs="Calibri"/>
                <w:color w:val="000000"/>
                <w:sz w:val="20"/>
                <w:szCs w:val="20"/>
              </w:rPr>
              <w:t> </w:t>
            </w:r>
          </w:p>
        </w:tc>
      </w:tr>
      <w:tr w:rsidR="002743A1" w:rsidRPr="002743A1" w14:paraId="233D6529" w14:textId="77777777" w:rsidTr="002B54F2">
        <w:trPr>
          <w:trHeight w:val="300"/>
        </w:trPr>
        <w:tc>
          <w:tcPr>
            <w:tcW w:w="895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3C6C6" w14:textId="421737D0" w:rsidR="002743A1" w:rsidRPr="002743A1" w:rsidRDefault="002743A1" w:rsidP="002743A1">
            <w:pPr>
              <w:spacing w:after="0"/>
              <w:rPr>
                <w:rFonts w:ascii="Calibri" w:eastAsia="Times New Roman" w:hAnsi="Calibri" w:cs="Calibri"/>
                <w:color w:val="000000"/>
                <w:sz w:val="20"/>
                <w:szCs w:val="20"/>
              </w:rPr>
            </w:pPr>
            <w:r w:rsidRPr="002743A1">
              <w:rPr>
                <w:rFonts w:ascii="Calibri" w:eastAsia="Times New Roman" w:hAnsi="Calibri" w:cs="Calibri"/>
                <w:color w:val="000000"/>
                <w:sz w:val="20"/>
                <w:szCs w:val="20"/>
              </w:rPr>
              <w:t xml:space="preserve">Dermatitis by </w:t>
            </w:r>
            <w:r>
              <w:rPr>
                <w:rFonts w:ascii="Calibri" w:eastAsia="Times New Roman" w:hAnsi="Calibri" w:cs="Calibri"/>
                <w:color w:val="000000"/>
                <w:sz w:val="20"/>
                <w:szCs w:val="20"/>
              </w:rPr>
              <w:t>a</w:t>
            </w:r>
            <w:r w:rsidRPr="002743A1">
              <w:rPr>
                <w:rFonts w:ascii="Calibri" w:eastAsia="Times New Roman" w:hAnsi="Calibri" w:cs="Calibri"/>
                <w:color w:val="000000"/>
                <w:sz w:val="20"/>
                <w:szCs w:val="20"/>
              </w:rPr>
              <w:t>uthority code</w:t>
            </w:r>
          </w:p>
        </w:tc>
      </w:tr>
      <w:tr w:rsidR="004156C7" w:rsidRPr="002743A1" w14:paraId="6B6E085D" w14:textId="77777777" w:rsidTr="002B54F2">
        <w:trPr>
          <w:trHeight w:val="300"/>
        </w:trPr>
        <w:tc>
          <w:tcPr>
            <w:tcW w:w="3143" w:type="dxa"/>
            <w:tcBorders>
              <w:top w:val="nil"/>
              <w:left w:val="single" w:sz="4" w:space="0" w:color="auto"/>
              <w:bottom w:val="single" w:sz="4" w:space="0" w:color="auto"/>
              <w:right w:val="single" w:sz="4" w:space="0" w:color="auto"/>
            </w:tcBorders>
            <w:shd w:val="clear" w:color="auto" w:fill="auto"/>
            <w:noWrap/>
            <w:vAlign w:val="bottom"/>
            <w:hideMark/>
          </w:tcPr>
          <w:p w14:paraId="055E9776" w14:textId="77777777" w:rsidR="004156C7" w:rsidRPr="002743A1" w:rsidRDefault="004156C7" w:rsidP="004156C7">
            <w:pPr>
              <w:spacing w:after="0"/>
              <w:rPr>
                <w:rFonts w:ascii="Calibri" w:eastAsia="Times New Roman" w:hAnsi="Calibri" w:cs="Calibri"/>
                <w:color w:val="000000"/>
                <w:sz w:val="20"/>
                <w:szCs w:val="20"/>
              </w:rPr>
            </w:pPr>
            <w:r w:rsidRPr="002743A1">
              <w:rPr>
                <w:rFonts w:ascii="Calibri" w:eastAsia="Times New Roman" w:hAnsi="Calibri" w:cs="Calibri"/>
                <w:color w:val="000000"/>
                <w:sz w:val="20"/>
                <w:szCs w:val="20"/>
              </w:rPr>
              <w:t>Chronic severe atopic dermatitis</w:t>
            </w:r>
          </w:p>
        </w:tc>
        <w:tc>
          <w:tcPr>
            <w:tcW w:w="1749" w:type="dxa"/>
            <w:tcBorders>
              <w:top w:val="single" w:sz="4" w:space="0" w:color="auto"/>
              <w:left w:val="nil"/>
              <w:bottom w:val="single" w:sz="4" w:space="0" w:color="auto"/>
              <w:right w:val="single" w:sz="4" w:space="0" w:color="auto"/>
            </w:tcBorders>
            <w:shd w:val="clear" w:color="auto" w:fill="auto"/>
            <w:noWrap/>
            <w:vAlign w:val="bottom"/>
            <w:hideMark/>
          </w:tcPr>
          <w:p w14:paraId="18E53ADF" w14:textId="56F785CE" w:rsidR="004156C7" w:rsidRPr="002743A1" w:rsidRDefault="004156C7" w:rsidP="004156C7">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False</w:t>
            </w:r>
          </w:p>
        </w:tc>
        <w:tc>
          <w:tcPr>
            <w:tcW w:w="1511" w:type="dxa"/>
            <w:tcBorders>
              <w:top w:val="single" w:sz="4" w:space="0" w:color="auto"/>
              <w:left w:val="nil"/>
              <w:bottom w:val="single" w:sz="4" w:space="0" w:color="auto"/>
              <w:right w:val="single" w:sz="4" w:space="0" w:color="auto"/>
            </w:tcBorders>
            <w:shd w:val="clear" w:color="auto" w:fill="auto"/>
            <w:noWrap/>
            <w:vAlign w:val="bottom"/>
            <w:hideMark/>
          </w:tcPr>
          <w:p w14:paraId="2D104EE9" w14:textId="39E38C5F" w:rsidR="004156C7" w:rsidRPr="002743A1" w:rsidRDefault="004156C7" w:rsidP="004156C7">
            <w:pPr>
              <w:spacing w:after="0"/>
              <w:jc w:val="right"/>
              <w:rPr>
                <w:rFonts w:ascii="Calibri" w:eastAsia="Times New Roman" w:hAnsi="Calibri" w:cs="Calibri"/>
                <w:color w:val="000000"/>
                <w:sz w:val="20"/>
                <w:szCs w:val="20"/>
              </w:rPr>
            </w:pPr>
            <w:r w:rsidRPr="00250525">
              <w:rPr>
                <w:rFonts w:ascii="Calibri" w:eastAsia="Times New Roman" w:hAnsi="Calibri" w:cs="Calibri"/>
                <w:color w:val="000000"/>
                <w:sz w:val="20"/>
                <w:szCs w:val="20"/>
              </w:rPr>
              <w:t>False</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5B00893" w14:textId="14779396" w:rsidR="004156C7" w:rsidRPr="002743A1" w:rsidRDefault="004156C7" w:rsidP="004156C7">
            <w:pPr>
              <w:spacing w:after="0"/>
              <w:jc w:val="right"/>
              <w:rPr>
                <w:rFonts w:ascii="Calibri" w:eastAsia="Times New Roman" w:hAnsi="Calibri" w:cs="Calibri"/>
                <w:color w:val="000000"/>
                <w:sz w:val="20"/>
                <w:szCs w:val="20"/>
              </w:rPr>
            </w:pPr>
            <w:r>
              <w:rPr>
                <w:rFonts w:ascii="Calibri" w:hAnsi="Calibri" w:cs="Calibri"/>
                <w:color w:val="000000"/>
                <w:sz w:val="20"/>
                <w:szCs w:val="20"/>
              </w:rPr>
              <w:t>16,25</w:t>
            </w:r>
            <w:r w:rsidR="00857781">
              <w:rPr>
                <w:rFonts w:ascii="Calibri" w:hAnsi="Calibri" w:cs="Calibri"/>
                <w:color w:val="000000"/>
                <w:sz w:val="20"/>
                <w:szCs w:val="20"/>
              </w:rPr>
              <w:t>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45D7A1" w14:textId="2D332810" w:rsidR="004156C7" w:rsidRPr="002743A1" w:rsidRDefault="004156C7" w:rsidP="004156C7">
            <w:pPr>
              <w:spacing w:after="0"/>
              <w:jc w:val="right"/>
              <w:rPr>
                <w:rFonts w:ascii="Calibri" w:eastAsia="Times New Roman" w:hAnsi="Calibri" w:cs="Calibri"/>
                <w:color w:val="000000"/>
                <w:sz w:val="20"/>
                <w:szCs w:val="20"/>
              </w:rPr>
            </w:pPr>
            <w:r>
              <w:rPr>
                <w:rFonts w:ascii="Calibri" w:hAnsi="Calibri" w:cs="Calibri"/>
                <w:color w:val="000000"/>
                <w:sz w:val="20"/>
                <w:szCs w:val="20"/>
              </w:rPr>
              <w:t>99%</w:t>
            </w:r>
          </w:p>
        </w:tc>
      </w:tr>
      <w:tr w:rsidR="004156C7" w:rsidRPr="002743A1" w14:paraId="6AB91430" w14:textId="77777777" w:rsidTr="002B54F2">
        <w:trPr>
          <w:trHeight w:val="300"/>
        </w:trPr>
        <w:tc>
          <w:tcPr>
            <w:tcW w:w="3143" w:type="dxa"/>
            <w:tcBorders>
              <w:top w:val="nil"/>
              <w:left w:val="single" w:sz="4" w:space="0" w:color="auto"/>
              <w:bottom w:val="single" w:sz="4" w:space="0" w:color="auto"/>
              <w:right w:val="single" w:sz="4" w:space="0" w:color="auto"/>
            </w:tcBorders>
            <w:shd w:val="clear" w:color="auto" w:fill="auto"/>
            <w:noWrap/>
            <w:vAlign w:val="bottom"/>
            <w:hideMark/>
          </w:tcPr>
          <w:p w14:paraId="7743BF8F" w14:textId="77777777" w:rsidR="004156C7" w:rsidRPr="002743A1" w:rsidRDefault="004156C7" w:rsidP="004156C7">
            <w:pPr>
              <w:spacing w:after="0"/>
              <w:rPr>
                <w:rFonts w:ascii="Calibri" w:eastAsia="Times New Roman" w:hAnsi="Calibri" w:cs="Calibri"/>
                <w:color w:val="000000"/>
                <w:sz w:val="20"/>
                <w:szCs w:val="20"/>
              </w:rPr>
            </w:pPr>
            <w:r w:rsidRPr="002743A1">
              <w:rPr>
                <w:rFonts w:ascii="Calibri" w:eastAsia="Times New Roman" w:hAnsi="Calibri" w:cs="Calibri"/>
                <w:color w:val="000000"/>
                <w:sz w:val="20"/>
                <w:szCs w:val="20"/>
              </w:rPr>
              <w:t>Chronic severe atopic dermatitis</w:t>
            </w:r>
          </w:p>
        </w:tc>
        <w:tc>
          <w:tcPr>
            <w:tcW w:w="1749" w:type="dxa"/>
            <w:tcBorders>
              <w:top w:val="single" w:sz="4" w:space="0" w:color="auto"/>
              <w:left w:val="nil"/>
              <w:bottom w:val="single" w:sz="4" w:space="0" w:color="auto"/>
              <w:right w:val="single" w:sz="4" w:space="0" w:color="auto"/>
            </w:tcBorders>
            <w:shd w:val="clear" w:color="auto" w:fill="auto"/>
            <w:noWrap/>
            <w:vAlign w:val="bottom"/>
            <w:hideMark/>
          </w:tcPr>
          <w:p w14:paraId="7D18C0D0" w14:textId="5DDB8825" w:rsidR="004156C7" w:rsidRPr="002743A1" w:rsidRDefault="004156C7" w:rsidP="004156C7">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True</w:t>
            </w:r>
          </w:p>
        </w:tc>
        <w:tc>
          <w:tcPr>
            <w:tcW w:w="1511" w:type="dxa"/>
            <w:tcBorders>
              <w:top w:val="single" w:sz="4" w:space="0" w:color="auto"/>
              <w:left w:val="nil"/>
              <w:bottom w:val="single" w:sz="4" w:space="0" w:color="auto"/>
              <w:right w:val="single" w:sz="4" w:space="0" w:color="auto"/>
            </w:tcBorders>
            <w:shd w:val="clear" w:color="auto" w:fill="auto"/>
            <w:noWrap/>
            <w:vAlign w:val="bottom"/>
            <w:hideMark/>
          </w:tcPr>
          <w:p w14:paraId="39A9F31C" w14:textId="69140E9E" w:rsidR="004156C7" w:rsidRPr="002743A1" w:rsidRDefault="004156C7" w:rsidP="004156C7">
            <w:pPr>
              <w:spacing w:after="0"/>
              <w:jc w:val="right"/>
              <w:rPr>
                <w:rFonts w:ascii="Calibri" w:eastAsia="Times New Roman" w:hAnsi="Calibri" w:cs="Calibri"/>
                <w:color w:val="000000"/>
                <w:sz w:val="20"/>
                <w:szCs w:val="20"/>
              </w:rPr>
            </w:pPr>
            <w:r w:rsidRPr="00250525">
              <w:rPr>
                <w:rFonts w:ascii="Calibri" w:eastAsia="Times New Roman" w:hAnsi="Calibri" w:cs="Calibri"/>
                <w:color w:val="000000"/>
                <w:sz w:val="20"/>
                <w:szCs w:val="20"/>
              </w:rPr>
              <w:t>False</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7E04347" w14:textId="49580A65" w:rsidR="004156C7" w:rsidRPr="002743A1" w:rsidRDefault="004156C7" w:rsidP="004156C7">
            <w:pPr>
              <w:spacing w:after="0"/>
              <w:jc w:val="right"/>
              <w:rPr>
                <w:rFonts w:ascii="Calibri" w:eastAsia="Times New Roman" w:hAnsi="Calibri" w:cs="Calibri"/>
                <w:color w:val="000000"/>
                <w:sz w:val="20"/>
                <w:szCs w:val="20"/>
              </w:rPr>
            </w:pPr>
            <w:r>
              <w:rPr>
                <w:rFonts w:ascii="Calibri" w:hAnsi="Calibri" w:cs="Calibri"/>
                <w:color w:val="000000"/>
                <w:sz w:val="20"/>
                <w:szCs w:val="20"/>
              </w:rPr>
              <w:t>57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81C6ED" w14:textId="29ADFCA1" w:rsidR="004156C7" w:rsidRPr="002743A1" w:rsidRDefault="004156C7" w:rsidP="004156C7">
            <w:pPr>
              <w:spacing w:after="0"/>
              <w:jc w:val="right"/>
              <w:rPr>
                <w:rFonts w:ascii="Calibri" w:eastAsia="Times New Roman" w:hAnsi="Calibri" w:cs="Calibri"/>
                <w:color w:val="000000"/>
                <w:sz w:val="20"/>
                <w:szCs w:val="20"/>
              </w:rPr>
            </w:pPr>
            <w:r>
              <w:rPr>
                <w:rFonts w:ascii="Calibri" w:hAnsi="Calibri" w:cs="Calibri"/>
                <w:color w:val="000000"/>
                <w:sz w:val="20"/>
                <w:szCs w:val="20"/>
              </w:rPr>
              <w:t>0.3%</w:t>
            </w:r>
          </w:p>
        </w:tc>
      </w:tr>
      <w:tr w:rsidR="004156C7" w:rsidRPr="002743A1" w14:paraId="1B20B73A" w14:textId="77777777" w:rsidTr="002B54F2">
        <w:trPr>
          <w:trHeight w:val="300"/>
        </w:trPr>
        <w:tc>
          <w:tcPr>
            <w:tcW w:w="3143" w:type="dxa"/>
            <w:tcBorders>
              <w:top w:val="nil"/>
              <w:left w:val="single" w:sz="4" w:space="0" w:color="auto"/>
              <w:bottom w:val="single" w:sz="4" w:space="0" w:color="auto"/>
              <w:right w:val="single" w:sz="4" w:space="0" w:color="auto"/>
            </w:tcBorders>
            <w:shd w:val="clear" w:color="auto" w:fill="auto"/>
            <w:noWrap/>
            <w:vAlign w:val="bottom"/>
            <w:hideMark/>
          </w:tcPr>
          <w:p w14:paraId="59486814" w14:textId="77777777" w:rsidR="004156C7" w:rsidRPr="002743A1" w:rsidRDefault="004156C7" w:rsidP="004156C7">
            <w:pPr>
              <w:spacing w:after="0"/>
              <w:rPr>
                <w:rFonts w:ascii="Calibri" w:eastAsia="Times New Roman" w:hAnsi="Calibri" w:cs="Calibri"/>
                <w:color w:val="000000"/>
                <w:sz w:val="20"/>
                <w:szCs w:val="20"/>
              </w:rPr>
            </w:pPr>
            <w:r w:rsidRPr="002743A1">
              <w:rPr>
                <w:rFonts w:ascii="Calibri" w:eastAsia="Times New Roman" w:hAnsi="Calibri" w:cs="Calibri"/>
                <w:color w:val="000000"/>
                <w:sz w:val="20"/>
                <w:szCs w:val="20"/>
              </w:rPr>
              <w:t>Chronic severe atopic dermatitis</w:t>
            </w:r>
          </w:p>
        </w:tc>
        <w:tc>
          <w:tcPr>
            <w:tcW w:w="1749" w:type="dxa"/>
            <w:tcBorders>
              <w:top w:val="single" w:sz="4" w:space="0" w:color="auto"/>
              <w:left w:val="nil"/>
              <w:bottom w:val="single" w:sz="4" w:space="0" w:color="auto"/>
              <w:right w:val="single" w:sz="4" w:space="0" w:color="auto"/>
            </w:tcBorders>
            <w:shd w:val="clear" w:color="auto" w:fill="auto"/>
            <w:noWrap/>
            <w:vAlign w:val="bottom"/>
            <w:hideMark/>
          </w:tcPr>
          <w:p w14:paraId="49CDA91F" w14:textId="294287BE" w:rsidR="004156C7" w:rsidRPr="002743A1" w:rsidRDefault="004156C7" w:rsidP="004156C7">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True</w:t>
            </w:r>
          </w:p>
        </w:tc>
        <w:tc>
          <w:tcPr>
            <w:tcW w:w="1511" w:type="dxa"/>
            <w:tcBorders>
              <w:top w:val="single" w:sz="4" w:space="0" w:color="auto"/>
              <w:left w:val="nil"/>
              <w:bottom w:val="single" w:sz="4" w:space="0" w:color="auto"/>
              <w:right w:val="single" w:sz="4" w:space="0" w:color="auto"/>
            </w:tcBorders>
            <w:shd w:val="clear" w:color="auto" w:fill="auto"/>
            <w:noWrap/>
            <w:vAlign w:val="bottom"/>
            <w:hideMark/>
          </w:tcPr>
          <w:p w14:paraId="71DDECA4" w14:textId="52D16C2B" w:rsidR="004156C7" w:rsidRPr="002743A1" w:rsidRDefault="004156C7" w:rsidP="004156C7">
            <w:pPr>
              <w:spacing w:after="0"/>
              <w:jc w:val="right"/>
              <w:rPr>
                <w:rFonts w:ascii="Calibri" w:eastAsia="Times New Roman" w:hAnsi="Calibri" w:cs="Calibri"/>
                <w:color w:val="000000"/>
                <w:sz w:val="20"/>
                <w:szCs w:val="20"/>
              </w:rPr>
            </w:pPr>
            <w:r w:rsidRPr="00250525">
              <w:rPr>
                <w:rFonts w:ascii="Calibri" w:eastAsia="Times New Roman" w:hAnsi="Calibri" w:cs="Calibri"/>
                <w:color w:val="000000"/>
                <w:sz w:val="20"/>
                <w:szCs w:val="20"/>
              </w:rPr>
              <w:t>True</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9CC3C5F" w14:textId="219680DE" w:rsidR="004156C7" w:rsidRPr="002743A1" w:rsidRDefault="004156C7" w:rsidP="004156C7">
            <w:pPr>
              <w:spacing w:after="0"/>
              <w:jc w:val="right"/>
              <w:rPr>
                <w:rFonts w:ascii="Calibri" w:eastAsia="Times New Roman" w:hAnsi="Calibri" w:cs="Calibri"/>
                <w:color w:val="000000"/>
                <w:sz w:val="20"/>
                <w:szCs w:val="20"/>
              </w:rPr>
            </w:pPr>
            <w:r>
              <w:rPr>
                <w:rFonts w:ascii="Calibri" w:hAnsi="Calibri" w:cs="Calibri"/>
                <w:color w:val="000000"/>
                <w:sz w:val="20"/>
                <w:szCs w:val="20"/>
              </w:rPr>
              <w:t>63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34FED2" w14:textId="4BC31854" w:rsidR="004156C7" w:rsidRPr="002743A1" w:rsidRDefault="004156C7" w:rsidP="004156C7">
            <w:pPr>
              <w:spacing w:after="0"/>
              <w:jc w:val="right"/>
              <w:rPr>
                <w:rFonts w:ascii="Calibri" w:eastAsia="Times New Roman" w:hAnsi="Calibri" w:cs="Calibri"/>
                <w:color w:val="000000"/>
                <w:sz w:val="20"/>
                <w:szCs w:val="20"/>
              </w:rPr>
            </w:pPr>
            <w:r>
              <w:rPr>
                <w:rFonts w:ascii="Calibri" w:hAnsi="Calibri" w:cs="Calibri"/>
                <w:color w:val="000000"/>
                <w:sz w:val="20"/>
                <w:szCs w:val="20"/>
              </w:rPr>
              <w:t>0.4%</w:t>
            </w:r>
          </w:p>
        </w:tc>
      </w:tr>
      <w:tr w:rsidR="004156C7" w:rsidRPr="002743A1" w14:paraId="29653392" w14:textId="77777777" w:rsidTr="002B54F2">
        <w:trPr>
          <w:trHeight w:val="300"/>
        </w:trPr>
        <w:tc>
          <w:tcPr>
            <w:tcW w:w="3143" w:type="dxa"/>
            <w:tcBorders>
              <w:top w:val="nil"/>
              <w:left w:val="single" w:sz="4" w:space="0" w:color="auto"/>
              <w:bottom w:val="single" w:sz="4" w:space="0" w:color="auto"/>
              <w:right w:val="single" w:sz="4" w:space="0" w:color="auto"/>
            </w:tcBorders>
            <w:shd w:val="clear" w:color="auto" w:fill="auto"/>
            <w:noWrap/>
            <w:vAlign w:val="bottom"/>
            <w:hideMark/>
          </w:tcPr>
          <w:p w14:paraId="5121E5FD" w14:textId="77777777" w:rsidR="004156C7" w:rsidRPr="002743A1" w:rsidRDefault="004156C7" w:rsidP="004156C7">
            <w:pPr>
              <w:spacing w:after="0"/>
              <w:rPr>
                <w:rFonts w:ascii="Calibri" w:eastAsia="Times New Roman" w:hAnsi="Calibri" w:cs="Calibri"/>
                <w:color w:val="000000"/>
                <w:sz w:val="20"/>
                <w:szCs w:val="20"/>
              </w:rPr>
            </w:pPr>
            <w:r w:rsidRPr="002743A1">
              <w:rPr>
                <w:rFonts w:ascii="Calibri" w:eastAsia="Times New Roman" w:hAnsi="Calibri" w:cs="Calibri"/>
                <w:color w:val="000000"/>
                <w:sz w:val="20"/>
                <w:szCs w:val="20"/>
              </w:rPr>
              <w:t>Dermatitis total (by authority code)</w:t>
            </w:r>
          </w:p>
        </w:tc>
        <w:tc>
          <w:tcPr>
            <w:tcW w:w="1749" w:type="dxa"/>
            <w:tcBorders>
              <w:top w:val="single" w:sz="4" w:space="0" w:color="auto"/>
              <w:left w:val="nil"/>
              <w:bottom w:val="single" w:sz="4" w:space="0" w:color="auto"/>
              <w:right w:val="single" w:sz="4" w:space="0" w:color="auto"/>
            </w:tcBorders>
            <w:shd w:val="clear" w:color="auto" w:fill="auto"/>
            <w:noWrap/>
            <w:vAlign w:val="bottom"/>
            <w:hideMark/>
          </w:tcPr>
          <w:p w14:paraId="1C810469" w14:textId="77777777" w:rsidR="004156C7" w:rsidRPr="002743A1" w:rsidRDefault="004156C7" w:rsidP="004156C7">
            <w:pPr>
              <w:spacing w:after="0"/>
              <w:rPr>
                <w:rFonts w:ascii="Calibri" w:eastAsia="Times New Roman" w:hAnsi="Calibri" w:cs="Calibri"/>
                <w:color w:val="000000"/>
                <w:sz w:val="20"/>
                <w:szCs w:val="20"/>
              </w:rPr>
            </w:pPr>
            <w:r w:rsidRPr="002743A1">
              <w:rPr>
                <w:rFonts w:ascii="Calibri" w:eastAsia="Times New Roman" w:hAnsi="Calibri" w:cs="Calibri"/>
                <w:color w:val="000000"/>
                <w:sz w:val="20"/>
                <w:szCs w:val="20"/>
              </w:rPr>
              <w:t> </w:t>
            </w:r>
          </w:p>
        </w:tc>
        <w:tc>
          <w:tcPr>
            <w:tcW w:w="1511" w:type="dxa"/>
            <w:tcBorders>
              <w:top w:val="single" w:sz="4" w:space="0" w:color="auto"/>
              <w:left w:val="nil"/>
              <w:bottom w:val="single" w:sz="4" w:space="0" w:color="auto"/>
              <w:right w:val="single" w:sz="4" w:space="0" w:color="auto"/>
            </w:tcBorders>
            <w:shd w:val="clear" w:color="auto" w:fill="auto"/>
            <w:noWrap/>
            <w:vAlign w:val="bottom"/>
            <w:hideMark/>
          </w:tcPr>
          <w:p w14:paraId="1C930065" w14:textId="77777777" w:rsidR="004156C7" w:rsidRPr="002743A1" w:rsidRDefault="004156C7" w:rsidP="004156C7">
            <w:pPr>
              <w:spacing w:after="0"/>
              <w:rPr>
                <w:rFonts w:ascii="Calibri" w:eastAsia="Times New Roman" w:hAnsi="Calibri" w:cs="Calibri"/>
                <w:color w:val="000000"/>
                <w:sz w:val="20"/>
                <w:szCs w:val="20"/>
              </w:rPr>
            </w:pPr>
            <w:r w:rsidRPr="002743A1">
              <w:rPr>
                <w:rFonts w:ascii="Calibri" w:eastAsia="Times New Roman" w:hAnsi="Calibri" w:cs="Calibri"/>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E82EAC6" w14:textId="7DAB7B84" w:rsidR="004156C7" w:rsidRPr="002743A1" w:rsidRDefault="004156C7" w:rsidP="004156C7">
            <w:pPr>
              <w:spacing w:after="0"/>
              <w:jc w:val="right"/>
              <w:rPr>
                <w:rFonts w:ascii="Calibri" w:eastAsia="Times New Roman" w:hAnsi="Calibri" w:cs="Calibri"/>
                <w:color w:val="000000"/>
                <w:sz w:val="20"/>
                <w:szCs w:val="20"/>
              </w:rPr>
            </w:pPr>
            <w:r>
              <w:rPr>
                <w:rFonts w:ascii="Calibri" w:hAnsi="Calibri" w:cs="Calibri"/>
                <w:color w:val="000000"/>
                <w:sz w:val="20"/>
                <w:szCs w:val="20"/>
              </w:rPr>
              <w:t>16,37</w:t>
            </w:r>
            <w:r w:rsidR="00857781">
              <w:rPr>
                <w:rFonts w:ascii="Calibri" w:hAnsi="Calibri" w:cs="Calibri"/>
                <w:color w:val="000000"/>
                <w:sz w:val="20"/>
                <w:szCs w:val="20"/>
              </w:rPr>
              <w:t>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757DBB" w14:textId="780F35AB" w:rsidR="004156C7" w:rsidRPr="002743A1" w:rsidRDefault="004156C7" w:rsidP="004156C7">
            <w:pPr>
              <w:spacing w:after="0"/>
              <w:rPr>
                <w:rFonts w:ascii="Calibri" w:eastAsia="Times New Roman" w:hAnsi="Calibri" w:cs="Calibri"/>
                <w:color w:val="000000"/>
                <w:sz w:val="20"/>
                <w:szCs w:val="20"/>
              </w:rPr>
            </w:pPr>
            <w:r>
              <w:rPr>
                <w:rFonts w:ascii="Calibri" w:hAnsi="Calibri" w:cs="Calibri"/>
                <w:color w:val="000000"/>
                <w:sz w:val="20"/>
                <w:szCs w:val="20"/>
              </w:rPr>
              <w:t> </w:t>
            </w:r>
          </w:p>
        </w:tc>
      </w:tr>
    </w:tbl>
    <w:p w14:paraId="0A518DA7" w14:textId="77777777" w:rsidR="002743A1" w:rsidRDefault="002743A1" w:rsidP="00420FDD"/>
    <w:p w14:paraId="260A08C7" w14:textId="37DE33D6" w:rsidR="00510A7C" w:rsidRDefault="00D86286" w:rsidP="002743A1">
      <w:r>
        <w:t xml:space="preserve">It appears </w:t>
      </w:r>
      <w:r w:rsidR="002743A1" w:rsidRPr="00D86286">
        <w:t>that the use of dupilumab is higher for dermatitis than for asthma, and that its use for asthma</w:t>
      </w:r>
      <w:r w:rsidR="00B05F73" w:rsidRPr="00D86286">
        <w:t xml:space="preserve"> (by authority code)</w:t>
      </w:r>
      <w:r w:rsidR="002743A1" w:rsidRPr="00D86286">
        <w:t xml:space="preserve"> fits in the</w:t>
      </w:r>
      <w:r w:rsidR="00250525" w:rsidRPr="00D86286">
        <w:t xml:space="preserve"> context of the</w:t>
      </w:r>
      <w:r w:rsidR="002743A1" w:rsidRPr="00D86286">
        <w:t xml:space="preserve"> asthma market. </w:t>
      </w:r>
      <w:r w:rsidR="0032171B">
        <w:t xml:space="preserve">It is possible that there is more </w:t>
      </w:r>
      <w:r w:rsidR="00B05F73" w:rsidRPr="00D86286">
        <w:t>miscoding of asthma for dermatitis than dermatitis for asthma</w:t>
      </w:r>
      <w:r w:rsidR="0032171B">
        <w:t>, possibly due to the relative market sizes</w:t>
      </w:r>
      <w:r w:rsidR="001D5017">
        <w:t>. O</w:t>
      </w:r>
      <w:r w:rsidR="004318F8">
        <w:t>verall it appears that t</w:t>
      </w:r>
      <w:r w:rsidR="00250525" w:rsidRPr="00D86286">
        <w:t>he data quality</w:t>
      </w:r>
      <w:r w:rsidR="002743A1" w:rsidRPr="00D86286">
        <w:t xml:space="preserve"> by item code is good</w:t>
      </w:r>
      <w:r w:rsidR="004E764D">
        <w:t xml:space="preserve">, </w:t>
      </w:r>
      <w:r w:rsidR="004B0221">
        <w:t>as</w:t>
      </w:r>
      <w:r w:rsidR="004E764D">
        <w:t xml:space="preserve"> </w:t>
      </w:r>
      <w:r w:rsidR="001245C8">
        <w:t xml:space="preserve">98% of prescriptions supplied under a PBS item code for dermatitis had a matching authority code for dermatitis and </w:t>
      </w:r>
      <w:r w:rsidR="004E764D">
        <w:t xml:space="preserve">97% of </w:t>
      </w:r>
      <w:r w:rsidR="004B0221">
        <w:t xml:space="preserve">patients who were supplied dupilumab under an item code for dermatitis had never been supplied </w:t>
      </w:r>
      <w:r w:rsidR="00536B77">
        <w:t xml:space="preserve">a previous </w:t>
      </w:r>
      <w:r w:rsidR="00E25E15" w:rsidRPr="00E25E15">
        <w:t xml:space="preserve">monoclonal antibody </w:t>
      </w:r>
      <w:r w:rsidR="00536B77">
        <w:t>for asthma</w:t>
      </w:r>
      <w:r w:rsidR="001245C8">
        <w:t xml:space="preserve">, noting that patients could have </w:t>
      </w:r>
      <w:r w:rsidR="00B14570">
        <w:t>atopic dermatitis and asthma</w:t>
      </w:r>
      <w:r w:rsidR="00510A7C">
        <w:t xml:space="preserve">. </w:t>
      </w:r>
    </w:p>
    <w:p w14:paraId="1FDBE94D" w14:textId="7885A5A7" w:rsidR="003D4F69" w:rsidRDefault="00510A7C" w:rsidP="002743A1">
      <w:r>
        <w:t xml:space="preserve">The subsequent analyses </w:t>
      </w:r>
      <w:r w:rsidR="002C066C">
        <w:t xml:space="preserve">are of the </w:t>
      </w:r>
      <w:r w:rsidR="007C0A0B">
        <w:t xml:space="preserve">use of dupilumab for atopic </w:t>
      </w:r>
      <w:r w:rsidR="002C066C">
        <w:t>dermatitis using</w:t>
      </w:r>
      <w:r>
        <w:t xml:space="preserve"> </w:t>
      </w:r>
      <w:r w:rsidR="002C066C">
        <w:t>PBS item code</w:t>
      </w:r>
      <w:r w:rsidR="007C0A0B">
        <w:t>,</w:t>
      </w:r>
      <w:r w:rsidR="002C066C">
        <w:t xml:space="preserve"> unless specified. </w:t>
      </w:r>
    </w:p>
    <w:p w14:paraId="09F8A9BC" w14:textId="1BB8E954" w:rsidR="006A44F5" w:rsidRDefault="00736041" w:rsidP="00CF5E22">
      <w:pPr>
        <w:pStyle w:val="Heading3"/>
      </w:pPr>
      <w:r w:rsidRPr="005E22C2">
        <w:t>Overall utilisation</w:t>
      </w:r>
    </w:p>
    <w:p w14:paraId="2FC8EDE0" w14:textId="39EDEF28" w:rsidR="00986450" w:rsidRDefault="00381F4B" w:rsidP="00986450">
      <w:r>
        <w:rPr>
          <w:noProof/>
        </w:rPr>
        <w:drawing>
          <wp:inline distT="0" distB="0" distL="0" distR="0" wp14:anchorId="77FCAB98" wp14:editId="25A7AD6F">
            <wp:extent cx="5687695" cy="3696335"/>
            <wp:effectExtent l="0" t="0" r="8255" b="18415"/>
            <wp:docPr id="15" name="Chart 15" descr="A line graph that shows the use of prescriptions for dupilumab and upadacitinib for atopic dermatitis. Upadacitinib was listed in quarter 1 of 2022 and its use is much lower than dupilumab.">
              <a:extLst xmlns:a="http://schemas.openxmlformats.org/drawingml/2006/main">
                <a:ext uri="{FF2B5EF4-FFF2-40B4-BE49-F238E27FC236}">
                  <a16:creationId xmlns:a16="http://schemas.microsoft.com/office/drawing/2014/main" id="{2C04268A-2651-BF82-69B7-CE61CC8DE4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B0560E2" w14:textId="20076C93" w:rsidR="00986450" w:rsidRDefault="000650FC" w:rsidP="00223FD5">
      <w:pPr>
        <w:pStyle w:val="Figuretitle"/>
      </w:pPr>
      <w:r w:rsidRPr="00381F4B">
        <w:t xml:space="preserve">Figure </w:t>
      </w:r>
      <w:r w:rsidR="008761B9">
        <w:t>3</w:t>
      </w:r>
      <w:r w:rsidRPr="00381F4B">
        <w:t xml:space="preserve">: Prescriptions of dupilumab and </w:t>
      </w:r>
      <w:proofErr w:type="spellStart"/>
      <w:r w:rsidRPr="00381F4B">
        <w:t>upadacitinib</w:t>
      </w:r>
      <w:proofErr w:type="spellEnd"/>
      <w:r w:rsidRPr="00381F4B">
        <w:t xml:space="preserve"> for atopi</w:t>
      </w:r>
      <w:r w:rsidR="00821F79" w:rsidRPr="00381F4B">
        <w:t>c</w:t>
      </w:r>
      <w:r w:rsidRPr="00381F4B">
        <w:t xml:space="preserve"> dermatitis</w:t>
      </w:r>
    </w:p>
    <w:p w14:paraId="6BAA5DA2" w14:textId="77777777" w:rsidR="008D5D44" w:rsidRDefault="008D5D44" w:rsidP="00B40D10"/>
    <w:p w14:paraId="1A5928B7" w14:textId="227D6A20" w:rsidR="00687182" w:rsidRDefault="00687182" w:rsidP="00B40D10">
      <w:r>
        <w:rPr>
          <w:noProof/>
        </w:rPr>
        <w:lastRenderedPageBreak/>
        <w:drawing>
          <wp:inline distT="0" distB="0" distL="0" distR="0" wp14:anchorId="405D1A5A" wp14:editId="34E3031A">
            <wp:extent cx="5687695" cy="3789045"/>
            <wp:effectExtent l="0" t="0" r="8255" b="1905"/>
            <wp:docPr id="16" name="Chart 16" descr="A line graph that shows initiating patients of dupilumab and upadacitinib are both quite low and stable and the number of treated patients is increasing.">
              <a:extLst xmlns:a="http://schemas.openxmlformats.org/drawingml/2006/main">
                <a:ext uri="{FF2B5EF4-FFF2-40B4-BE49-F238E27FC236}">
                  <a16:creationId xmlns:a16="http://schemas.microsoft.com/office/drawing/2014/main" id="{82333015-A830-EC6C-131D-A9EFBA8ECE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DAD8018" w14:textId="4B70A37B" w:rsidR="00687182" w:rsidRDefault="00687182" w:rsidP="00687182">
      <w:pPr>
        <w:pStyle w:val="Figuretitle"/>
      </w:pPr>
      <w:r w:rsidRPr="00687182">
        <w:t xml:space="preserve">Figure </w:t>
      </w:r>
      <w:r w:rsidR="008761B9">
        <w:t>4</w:t>
      </w:r>
      <w:r w:rsidRPr="00687182">
        <w:t xml:space="preserve">: </w:t>
      </w:r>
      <w:r>
        <w:t>Patients supplied</w:t>
      </w:r>
      <w:r w:rsidRPr="00687182">
        <w:t xml:space="preserve"> dupilumab and </w:t>
      </w:r>
      <w:proofErr w:type="spellStart"/>
      <w:r w:rsidRPr="00687182">
        <w:t>upadacitinib</w:t>
      </w:r>
      <w:proofErr w:type="spellEnd"/>
      <w:r w:rsidRPr="00687182">
        <w:t xml:space="preserve"> for atopic </w:t>
      </w:r>
      <w:proofErr w:type="gramStart"/>
      <w:r w:rsidRPr="00687182">
        <w:t>dermatitis</w:t>
      </w:r>
      <w:proofErr w:type="gramEnd"/>
    </w:p>
    <w:p w14:paraId="5DEE4103" w14:textId="77777777" w:rsidR="00687182" w:rsidRDefault="00687182" w:rsidP="00B40D10"/>
    <w:p w14:paraId="18219EB4" w14:textId="07945EBC" w:rsidR="00B40D10" w:rsidRDefault="00B40D10" w:rsidP="00B40D10">
      <w:r>
        <w:t xml:space="preserve">Figure </w:t>
      </w:r>
      <w:r w:rsidR="008761B9">
        <w:t>4</w:t>
      </w:r>
      <w:r>
        <w:t xml:space="preserve"> shows the market of dupilumab and </w:t>
      </w:r>
      <w:proofErr w:type="spellStart"/>
      <w:r>
        <w:t>upadacitinib</w:t>
      </w:r>
      <w:proofErr w:type="spellEnd"/>
      <w:r>
        <w:t xml:space="preserve"> prescriptions </w:t>
      </w:r>
      <w:r w:rsidR="00821F79">
        <w:t xml:space="preserve">for atopic </w:t>
      </w:r>
      <w:r w:rsidR="00FA0BC9">
        <w:t>dermatitis</w:t>
      </w:r>
      <w:r w:rsidR="00667C89">
        <w:t xml:space="preserve"> </w:t>
      </w:r>
      <w:r w:rsidR="0002519C">
        <w:t>by</w:t>
      </w:r>
      <w:r w:rsidR="00667C89">
        <w:t xml:space="preserve"> PBS item codes</w:t>
      </w:r>
      <w:r w:rsidR="0002519C">
        <w:t>.</w:t>
      </w:r>
      <w:r w:rsidR="0055343E">
        <w:t xml:space="preserve"> Upadacitinib was listed February 2022 and dupilumab is the market leader</w:t>
      </w:r>
      <w:r w:rsidR="0010463D">
        <w:t xml:space="preserve">, in </w:t>
      </w:r>
      <w:r w:rsidR="007A7777">
        <w:t xml:space="preserve">the last 12 months of data there were more than five times as many prescriptions supplied for dupilumab than for </w:t>
      </w:r>
      <w:proofErr w:type="spellStart"/>
      <w:r w:rsidR="007A7777">
        <w:t>upadacitinib</w:t>
      </w:r>
      <w:proofErr w:type="spellEnd"/>
      <w:r w:rsidR="007A7777">
        <w:t xml:space="preserve">. This report </w:t>
      </w:r>
      <w:r w:rsidR="00C72833">
        <w:t xml:space="preserve">is mainly </w:t>
      </w:r>
      <w:r w:rsidR="007A7777">
        <w:t>focuse</w:t>
      </w:r>
      <w:r w:rsidR="00C72833">
        <w:t>d</w:t>
      </w:r>
      <w:r w:rsidR="007A7777">
        <w:t xml:space="preserve"> on the patients who were supplied dupilumab.</w:t>
      </w:r>
    </w:p>
    <w:p w14:paraId="44C06860" w14:textId="5292E6E4" w:rsidR="005F40E1" w:rsidRDefault="00C722DC" w:rsidP="00910C90">
      <w:pPr>
        <w:pStyle w:val="Tabletitle"/>
      </w:pPr>
      <w:r>
        <w:t xml:space="preserve">Table </w:t>
      </w:r>
      <w:r w:rsidR="00465265">
        <w:t>8</w:t>
      </w:r>
      <w:r>
        <w:t xml:space="preserve">: </w:t>
      </w:r>
      <w:r w:rsidR="00910C90">
        <w:t>Patient switching</w:t>
      </w:r>
      <w:r>
        <w:t xml:space="preserve"> between dupilumab and </w:t>
      </w:r>
      <w:proofErr w:type="spellStart"/>
      <w:proofErr w:type="gramStart"/>
      <w:r>
        <w:t>upadacitinib</w:t>
      </w:r>
      <w:proofErr w:type="spellEnd"/>
      <w:proofErr w:type="gramEnd"/>
    </w:p>
    <w:tbl>
      <w:tblPr>
        <w:tblW w:w="8218" w:type="dxa"/>
        <w:tblLook w:val="04A0" w:firstRow="1" w:lastRow="0" w:firstColumn="1" w:lastColumn="0" w:noHBand="0" w:noVBand="1"/>
      </w:tblPr>
      <w:tblGrid>
        <w:gridCol w:w="5098"/>
        <w:gridCol w:w="1560"/>
        <w:gridCol w:w="1560"/>
      </w:tblGrid>
      <w:tr w:rsidR="00EC31B5" w:rsidRPr="00315B36" w14:paraId="7A419313" w14:textId="33E1BF34" w:rsidTr="00827959">
        <w:trPr>
          <w:trHeight w:val="300"/>
        </w:trPr>
        <w:tc>
          <w:tcPr>
            <w:tcW w:w="509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8C07F39" w14:textId="77777777" w:rsidR="00EC31B5" w:rsidRPr="00315B36" w:rsidRDefault="00EC31B5" w:rsidP="00315B36">
            <w:pPr>
              <w:spacing w:after="0"/>
              <w:rPr>
                <w:rFonts w:ascii="Calibri" w:eastAsia="Times New Roman" w:hAnsi="Calibri" w:cs="Calibri"/>
                <w:b/>
                <w:bCs/>
                <w:color w:val="000000"/>
                <w:sz w:val="20"/>
                <w:szCs w:val="20"/>
              </w:rPr>
            </w:pPr>
            <w:r w:rsidRPr="00315B36">
              <w:rPr>
                <w:rFonts w:ascii="Calibri" w:eastAsia="Times New Roman" w:hAnsi="Calibri" w:cs="Calibri"/>
                <w:b/>
                <w:bCs/>
                <w:color w:val="000000"/>
                <w:sz w:val="20"/>
                <w:szCs w:val="20"/>
              </w:rPr>
              <w:t>Sequence</w:t>
            </w:r>
          </w:p>
        </w:tc>
        <w:tc>
          <w:tcPr>
            <w:tcW w:w="1560" w:type="dxa"/>
            <w:tcBorders>
              <w:top w:val="single" w:sz="4" w:space="0" w:color="auto"/>
              <w:left w:val="nil"/>
              <w:bottom w:val="single" w:sz="4" w:space="0" w:color="auto"/>
              <w:right w:val="single" w:sz="4" w:space="0" w:color="auto"/>
            </w:tcBorders>
            <w:shd w:val="clear" w:color="000000" w:fill="BFBFBF"/>
            <w:noWrap/>
            <w:vAlign w:val="bottom"/>
            <w:hideMark/>
          </w:tcPr>
          <w:p w14:paraId="7BDD7795" w14:textId="77777777" w:rsidR="00EC31B5" w:rsidRPr="00315B36" w:rsidRDefault="00EC31B5" w:rsidP="00315B36">
            <w:pPr>
              <w:spacing w:after="0"/>
              <w:rPr>
                <w:rFonts w:ascii="Calibri" w:eastAsia="Times New Roman" w:hAnsi="Calibri" w:cs="Calibri"/>
                <w:b/>
                <w:bCs/>
                <w:color w:val="000000"/>
                <w:sz w:val="20"/>
                <w:szCs w:val="20"/>
              </w:rPr>
            </w:pPr>
            <w:r w:rsidRPr="00315B36">
              <w:rPr>
                <w:rFonts w:ascii="Calibri" w:eastAsia="Times New Roman" w:hAnsi="Calibri" w:cs="Calibri"/>
                <w:b/>
                <w:bCs/>
                <w:color w:val="000000"/>
                <w:sz w:val="20"/>
                <w:szCs w:val="20"/>
              </w:rPr>
              <w:t>Patient count</w:t>
            </w:r>
          </w:p>
        </w:tc>
        <w:tc>
          <w:tcPr>
            <w:tcW w:w="1560" w:type="dxa"/>
            <w:tcBorders>
              <w:top w:val="single" w:sz="4" w:space="0" w:color="auto"/>
              <w:left w:val="nil"/>
              <w:bottom w:val="single" w:sz="4" w:space="0" w:color="auto"/>
              <w:right w:val="single" w:sz="4" w:space="0" w:color="auto"/>
            </w:tcBorders>
            <w:shd w:val="clear" w:color="000000" w:fill="BFBFBF"/>
            <w:vAlign w:val="center"/>
          </w:tcPr>
          <w:p w14:paraId="7670EF26" w14:textId="29A4443B" w:rsidR="00EC31B5" w:rsidRPr="00315B36" w:rsidRDefault="00162A62" w:rsidP="00162A62">
            <w:pPr>
              <w:spacing w:after="0"/>
              <w:rPr>
                <w:rFonts w:ascii="Calibri" w:eastAsia="Times New Roman" w:hAnsi="Calibri" w:cs="Calibri"/>
                <w:b/>
                <w:bCs/>
                <w:color w:val="000000"/>
                <w:sz w:val="20"/>
                <w:szCs w:val="20"/>
              </w:rPr>
            </w:pPr>
            <w:r>
              <w:rPr>
                <w:rFonts w:ascii="Calibri" w:eastAsia="Times New Roman" w:hAnsi="Calibri" w:cs="Calibri"/>
                <w:b/>
                <w:bCs/>
                <w:color w:val="000000"/>
                <w:sz w:val="20"/>
                <w:szCs w:val="20"/>
              </w:rPr>
              <w:t>Percent of total</w:t>
            </w:r>
          </w:p>
        </w:tc>
      </w:tr>
      <w:tr w:rsidR="00162A62" w:rsidRPr="00315B36" w14:paraId="23AF6429" w14:textId="7B660A73" w:rsidTr="00827959">
        <w:trPr>
          <w:trHeight w:val="30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40B43B29" w14:textId="77777777" w:rsidR="00162A62" w:rsidRPr="00315B36" w:rsidRDefault="00162A62" w:rsidP="00162A62">
            <w:pPr>
              <w:spacing w:after="0"/>
              <w:rPr>
                <w:rFonts w:ascii="Calibri" w:eastAsia="Times New Roman" w:hAnsi="Calibri" w:cs="Calibri"/>
                <w:color w:val="000000"/>
                <w:sz w:val="20"/>
                <w:szCs w:val="20"/>
              </w:rPr>
            </w:pPr>
            <w:r w:rsidRPr="00315B36">
              <w:rPr>
                <w:rFonts w:ascii="Calibri" w:eastAsia="Times New Roman" w:hAnsi="Calibri" w:cs="Calibri"/>
                <w:color w:val="000000"/>
                <w:sz w:val="20"/>
                <w:szCs w:val="20"/>
              </w:rPr>
              <w:t>DUPILUMAB</w:t>
            </w:r>
          </w:p>
        </w:tc>
        <w:tc>
          <w:tcPr>
            <w:tcW w:w="1560" w:type="dxa"/>
            <w:tcBorders>
              <w:top w:val="nil"/>
              <w:left w:val="nil"/>
              <w:bottom w:val="single" w:sz="4" w:space="0" w:color="auto"/>
              <w:right w:val="single" w:sz="4" w:space="0" w:color="auto"/>
            </w:tcBorders>
            <w:shd w:val="clear" w:color="auto" w:fill="auto"/>
            <w:noWrap/>
            <w:vAlign w:val="bottom"/>
            <w:hideMark/>
          </w:tcPr>
          <w:p w14:paraId="5D4E6617" w14:textId="4860BAF1" w:rsidR="00162A62" w:rsidRPr="00315B36" w:rsidRDefault="00162A62" w:rsidP="00162A62">
            <w:pPr>
              <w:spacing w:after="0"/>
              <w:jc w:val="right"/>
              <w:rPr>
                <w:rFonts w:ascii="Calibri" w:eastAsia="Times New Roman" w:hAnsi="Calibri" w:cs="Calibri"/>
                <w:color w:val="000000"/>
                <w:sz w:val="20"/>
                <w:szCs w:val="20"/>
              </w:rPr>
            </w:pPr>
            <w:r w:rsidRPr="00315B36">
              <w:rPr>
                <w:rFonts w:ascii="Calibri" w:eastAsia="Times New Roman" w:hAnsi="Calibri" w:cs="Calibri"/>
                <w:color w:val="000000"/>
                <w:sz w:val="20"/>
                <w:szCs w:val="20"/>
              </w:rPr>
              <w:t>15</w:t>
            </w:r>
            <w:r>
              <w:rPr>
                <w:rFonts w:ascii="Calibri" w:eastAsia="Times New Roman" w:hAnsi="Calibri" w:cs="Calibri"/>
                <w:color w:val="000000"/>
                <w:sz w:val="20"/>
                <w:szCs w:val="20"/>
              </w:rPr>
              <w:t>,</w:t>
            </w:r>
            <w:r w:rsidRPr="00315B36">
              <w:rPr>
                <w:rFonts w:ascii="Calibri" w:eastAsia="Times New Roman" w:hAnsi="Calibri" w:cs="Calibri"/>
                <w:color w:val="000000"/>
                <w:sz w:val="20"/>
                <w:szCs w:val="20"/>
              </w:rPr>
              <w:t>886</w:t>
            </w:r>
          </w:p>
        </w:tc>
        <w:tc>
          <w:tcPr>
            <w:tcW w:w="1560" w:type="dxa"/>
            <w:tcBorders>
              <w:top w:val="nil"/>
              <w:left w:val="nil"/>
              <w:bottom w:val="single" w:sz="4" w:space="0" w:color="auto"/>
              <w:right w:val="single" w:sz="4" w:space="0" w:color="auto"/>
            </w:tcBorders>
            <w:vAlign w:val="bottom"/>
          </w:tcPr>
          <w:p w14:paraId="14ABEB18" w14:textId="21DD135E" w:rsidR="00162A62" w:rsidRPr="00162A62" w:rsidRDefault="00162A62" w:rsidP="00162A62">
            <w:pPr>
              <w:spacing w:after="0"/>
              <w:jc w:val="right"/>
              <w:rPr>
                <w:rFonts w:ascii="Calibri" w:eastAsia="Times New Roman" w:hAnsi="Calibri" w:cs="Calibri"/>
                <w:color w:val="000000"/>
                <w:sz w:val="20"/>
                <w:szCs w:val="20"/>
              </w:rPr>
            </w:pPr>
            <w:r w:rsidRPr="00162A62">
              <w:rPr>
                <w:rFonts w:ascii="Calibri" w:hAnsi="Calibri" w:cs="Calibri"/>
                <w:color w:val="000000"/>
                <w:sz w:val="20"/>
                <w:szCs w:val="20"/>
              </w:rPr>
              <w:t>78%</w:t>
            </w:r>
          </w:p>
        </w:tc>
      </w:tr>
      <w:tr w:rsidR="00162A62" w:rsidRPr="00315B36" w14:paraId="6CECB98B" w14:textId="5A8D50C4" w:rsidTr="00827959">
        <w:trPr>
          <w:trHeight w:val="30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1AA250A3" w14:textId="77777777" w:rsidR="00162A62" w:rsidRPr="00315B36" w:rsidRDefault="00162A62" w:rsidP="00162A62">
            <w:pPr>
              <w:spacing w:after="0"/>
              <w:rPr>
                <w:rFonts w:ascii="Calibri" w:eastAsia="Times New Roman" w:hAnsi="Calibri" w:cs="Calibri"/>
                <w:color w:val="000000"/>
                <w:sz w:val="20"/>
                <w:szCs w:val="20"/>
              </w:rPr>
            </w:pPr>
            <w:r w:rsidRPr="00315B36">
              <w:rPr>
                <w:rFonts w:ascii="Calibri" w:eastAsia="Times New Roman" w:hAnsi="Calibri" w:cs="Calibri"/>
                <w:color w:val="000000"/>
                <w:sz w:val="20"/>
                <w:szCs w:val="20"/>
              </w:rPr>
              <w:t>UPADACITINIB</w:t>
            </w:r>
          </w:p>
        </w:tc>
        <w:tc>
          <w:tcPr>
            <w:tcW w:w="1560" w:type="dxa"/>
            <w:tcBorders>
              <w:top w:val="nil"/>
              <w:left w:val="nil"/>
              <w:bottom w:val="single" w:sz="4" w:space="0" w:color="auto"/>
              <w:right w:val="single" w:sz="4" w:space="0" w:color="auto"/>
            </w:tcBorders>
            <w:shd w:val="clear" w:color="auto" w:fill="auto"/>
            <w:noWrap/>
            <w:vAlign w:val="bottom"/>
            <w:hideMark/>
          </w:tcPr>
          <w:p w14:paraId="5FFC4B97" w14:textId="41F0881E" w:rsidR="00162A62" w:rsidRPr="00315B36" w:rsidRDefault="00162A62" w:rsidP="00162A62">
            <w:pPr>
              <w:spacing w:after="0"/>
              <w:jc w:val="right"/>
              <w:rPr>
                <w:rFonts w:ascii="Calibri" w:eastAsia="Times New Roman" w:hAnsi="Calibri" w:cs="Calibri"/>
                <w:color w:val="000000"/>
                <w:sz w:val="20"/>
                <w:szCs w:val="20"/>
              </w:rPr>
            </w:pPr>
            <w:r w:rsidRPr="00315B36">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315B36">
              <w:rPr>
                <w:rFonts w:ascii="Calibri" w:eastAsia="Times New Roman" w:hAnsi="Calibri" w:cs="Calibri"/>
                <w:color w:val="000000"/>
                <w:sz w:val="20"/>
                <w:szCs w:val="20"/>
              </w:rPr>
              <w:t>339</w:t>
            </w:r>
          </w:p>
        </w:tc>
        <w:tc>
          <w:tcPr>
            <w:tcW w:w="1560" w:type="dxa"/>
            <w:tcBorders>
              <w:top w:val="nil"/>
              <w:left w:val="nil"/>
              <w:bottom w:val="single" w:sz="4" w:space="0" w:color="auto"/>
              <w:right w:val="single" w:sz="4" w:space="0" w:color="auto"/>
            </w:tcBorders>
            <w:vAlign w:val="bottom"/>
          </w:tcPr>
          <w:p w14:paraId="7A605F98" w14:textId="393CB3C6" w:rsidR="00162A62" w:rsidRPr="00162A62" w:rsidRDefault="00162A62" w:rsidP="00162A62">
            <w:pPr>
              <w:spacing w:after="0"/>
              <w:jc w:val="right"/>
              <w:rPr>
                <w:rFonts w:ascii="Calibri" w:eastAsia="Times New Roman" w:hAnsi="Calibri" w:cs="Calibri"/>
                <w:color w:val="000000"/>
                <w:sz w:val="20"/>
                <w:szCs w:val="20"/>
              </w:rPr>
            </w:pPr>
            <w:r w:rsidRPr="00162A62">
              <w:rPr>
                <w:rFonts w:ascii="Calibri" w:hAnsi="Calibri" w:cs="Calibri"/>
                <w:color w:val="000000"/>
                <w:sz w:val="20"/>
                <w:szCs w:val="20"/>
              </w:rPr>
              <w:t>16%</w:t>
            </w:r>
          </w:p>
        </w:tc>
      </w:tr>
      <w:tr w:rsidR="00162A62" w:rsidRPr="00315B36" w14:paraId="46FD4BAC" w14:textId="0BED6DB9" w:rsidTr="00827959">
        <w:trPr>
          <w:trHeight w:val="30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5096F398" w14:textId="77777777" w:rsidR="00162A62" w:rsidRPr="00315B36" w:rsidRDefault="00162A62" w:rsidP="00162A62">
            <w:pPr>
              <w:spacing w:after="0"/>
              <w:rPr>
                <w:rFonts w:ascii="Calibri" w:eastAsia="Times New Roman" w:hAnsi="Calibri" w:cs="Calibri"/>
                <w:color w:val="000000"/>
                <w:sz w:val="20"/>
                <w:szCs w:val="20"/>
              </w:rPr>
            </w:pPr>
            <w:r w:rsidRPr="00315B36">
              <w:rPr>
                <w:rFonts w:ascii="Calibri" w:eastAsia="Times New Roman" w:hAnsi="Calibri" w:cs="Calibri"/>
                <w:color w:val="000000"/>
                <w:sz w:val="20"/>
                <w:szCs w:val="20"/>
              </w:rPr>
              <w:t>DUPILUMAB &gt; UPADACITINIB</w:t>
            </w:r>
          </w:p>
        </w:tc>
        <w:tc>
          <w:tcPr>
            <w:tcW w:w="1560" w:type="dxa"/>
            <w:tcBorders>
              <w:top w:val="nil"/>
              <w:left w:val="nil"/>
              <w:bottom w:val="single" w:sz="4" w:space="0" w:color="auto"/>
              <w:right w:val="single" w:sz="4" w:space="0" w:color="auto"/>
            </w:tcBorders>
            <w:shd w:val="clear" w:color="auto" w:fill="auto"/>
            <w:noWrap/>
            <w:vAlign w:val="bottom"/>
            <w:hideMark/>
          </w:tcPr>
          <w:p w14:paraId="4A0BEFDA" w14:textId="77777777" w:rsidR="00162A62" w:rsidRPr="00315B36" w:rsidRDefault="00162A62" w:rsidP="00162A62">
            <w:pPr>
              <w:spacing w:after="0"/>
              <w:jc w:val="right"/>
              <w:rPr>
                <w:rFonts w:ascii="Calibri" w:eastAsia="Times New Roman" w:hAnsi="Calibri" w:cs="Calibri"/>
                <w:color w:val="000000"/>
                <w:sz w:val="20"/>
                <w:szCs w:val="20"/>
              </w:rPr>
            </w:pPr>
            <w:r w:rsidRPr="00315B36">
              <w:rPr>
                <w:rFonts w:ascii="Calibri" w:eastAsia="Times New Roman" w:hAnsi="Calibri" w:cs="Calibri"/>
                <w:color w:val="000000"/>
                <w:sz w:val="20"/>
                <w:szCs w:val="20"/>
              </w:rPr>
              <w:t>836</w:t>
            </w:r>
          </w:p>
        </w:tc>
        <w:tc>
          <w:tcPr>
            <w:tcW w:w="1560" w:type="dxa"/>
            <w:tcBorders>
              <w:top w:val="nil"/>
              <w:left w:val="nil"/>
              <w:bottom w:val="single" w:sz="4" w:space="0" w:color="auto"/>
              <w:right w:val="single" w:sz="4" w:space="0" w:color="auto"/>
            </w:tcBorders>
            <w:vAlign w:val="bottom"/>
          </w:tcPr>
          <w:p w14:paraId="2E9701A3" w14:textId="68C9765D" w:rsidR="00162A62" w:rsidRPr="00162A62" w:rsidRDefault="00162A62" w:rsidP="00162A62">
            <w:pPr>
              <w:spacing w:after="0"/>
              <w:jc w:val="right"/>
              <w:rPr>
                <w:rFonts w:ascii="Calibri" w:eastAsia="Times New Roman" w:hAnsi="Calibri" w:cs="Calibri"/>
                <w:color w:val="000000"/>
                <w:sz w:val="20"/>
                <w:szCs w:val="20"/>
              </w:rPr>
            </w:pPr>
            <w:r w:rsidRPr="00162A62">
              <w:rPr>
                <w:rFonts w:ascii="Calibri" w:hAnsi="Calibri" w:cs="Calibri"/>
                <w:color w:val="000000"/>
                <w:sz w:val="20"/>
                <w:szCs w:val="20"/>
              </w:rPr>
              <w:t>4%</w:t>
            </w:r>
          </w:p>
        </w:tc>
      </w:tr>
      <w:tr w:rsidR="00162A62" w:rsidRPr="00315B36" w14:paraId="01224A53" w14:textId="6CB52524" w:rsidTr="00827959">
        <w:trPr>
          <w:trHeight w:val="30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7E4CD847" w14:textId="77777777" w:rsidR="00162A62" w:rsidRPr="00315B36" w:rsidRDefault="00162A62" w:rsidP="00162A62">
            <w:pPr>
              <w:spacing w:after="0"/>
              <w:rPr>
                <w:rFonts w:ascii="Calibri" w:eastAsia="Times New Roman" w:hAnsi="Calibri" w:cs="Calibri"/>
                <w:color w:val="000000"/>
                <w:sz w:val="20"/>
                <w:szCs w:val="20"/>
              </w:rPr>
            </w:pPr>
            <w:r w:rsidRPr="00315B36">
              <w:rPr>
                <w:rFonts w:ascii="Calibri" w:eastAsia="Times New Roman" w:hAnsi="Calibri" w:cs="Calibri"/>
                <w:color w:val="000000"/>
                <w:sz w:val="20"/>
                <w:szCs w:val="20"/>
              </w:rPr>
              <w:t>UPADACITINIB &gt; DUPILUMAB</w:t>
            </w:r>
          </w:p>
        </w:tc>
        <w:tc>
          <w:tcPr>
            <w:tcW w:w="1560" w:type="dxa"/>
            <w:tcBorders>
              <w:top w:val="nil"/>
              <w:left w:val="nil"/>
              <w:bottom w:val="single" w:sz="4" w:space="0" w:color="auto"/>
              <w:right w:val="single" w:sz="4" w:space="0" w:color="auto"/>
            </w:tcBorders>
            <w:shd w:val="clear" w:color="auto" w:fill="auto"/>
            <w:noWrap/>
            <w:vAlign w:val="bottom"/>
            <w:hideMark/>
          </w:tcPr>
          <w:p w14:paraId="651210FB" w14:textId="77777777" w:rsidR="00162A62" w:rsidRPr="00315B36" w:rsidRDefault="00162A62" w:rsidP="00162A62">
            <w:pPr>
              <w:spacing w:after="0"/>
              <w:jc w:val="right"/>
              <w:rPr>
                <w:rFonts w:ascii="Calibri" w:eastAsia="Times New Roman" w:hAnsi="Calibri" w:cs="Calibri"/>
                <w:color w:val="000000"/>
                <w:sz w:val="20"/>
                <w:szCs w:val="20"/>
              </w:rPr>
            </w:pPr>
            <w:r w:rsidRPr="00315B36">
              <w:rPr>
                <w:rFonts w:ascii="Calibri" w:eastAsia="Times New Roman" w:hAnsi="Calibri" w:cs="Calibri"/>
                <w:color w:val="000000"/>
                <w:sz w:val="20"/>
                <w:szCs w:val="20"/>
              </w:rPr>
              <w:t>125</w:t>
            </w:r>
          </w:p>
        </w:tc>
        <w:tc>
          <w:tcPr>
            <w:tcW w:w="1560" w:type="dxa"/>
            <w:tcBorders>
              <w:top w:val="nil"/>
              <w:left w:val="nil"/>
              <w:bottom w:val="single" w:sz="4" w:space="0" w:color="auto"/>
              <w:right w:val="single" w:sz="4" w:space="0" w:color="auto"/>
            </w:tcBorders>
            <w:vAlign w:val="bottom"/>
          </w:tcPr>
          <w:p w14:paraId="7C5ECD83" w14:textId="13CEB9E9" w:rsidR="00162A62" w:rsidRPr="00162A62" w:rsidRDefault="00162A62" w:rsidP="00162A62">
            <w:pPr>
              <w:spacing w:after="0"/>
              <w:jc w:val="right"/>
              <w:rPr>
                <w:rFonts w:ascii="Calibri" w:eastAsia="Times New Roman" w:hAnsi="Calibri" w:cs="Calibri"/>
                <w:color w:val="000000"/>
                <w:sz w:val="20"/>
                <w:szCs w:val="20"/>
              </w:rPr>
            </w:pPr>
            <w:r w:rsidRPr="00162A62">
              <w:rPr>
                <w:rFonts w:ascii="Calibri" w:hAnsi="Calibri" w:cs="Calibri"/>
                <w:color w:val="000000"/>
                <w:sz w:val="20"/>
                <w:szCs w:val="20"/>
              </w:rPr>
              <w:t>0.6%</w:t>
            </w:r>
          </w:p>
        </w:tc>
      </w:tr>
      <w:tr w:rsidR="00162A62" w:rsidRPr="00315B36" w14:paraId="06652325" w14:textId="3376B6F0" w:rsidTr="00827959">
        <w:trPr>
          <w:trHeight w:val="30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1B89FD2A" w14:textId="77777777" w:rsidR="00162A62" w:rsidRPr="00315B36" w:rsidRDefault="00162A62" w:rsidP="00162A62">
            <w:pPr>
              <w:spacing w:after="0"/>
              <w:rPr>
                <w:rFonts w:ascii="Calibri" w:eastAsia="Times New Roman" w:hAnsi="Calibri" w:cs="Calibri"/>
                <w:color w:val="000000"/>
                <w:sz w:val="20"/>
                <w:szCs w:val="20"/>
              </w:rPr>
            </w:pPr>
            <w:r w:rsidRPr="00315B36">
              <w:rPr>
                <w:rFonts w:ascii="Calibri" w:eastAsia="Times New Roman" w:hAnsi="Calibri" w:cs="Calibri"/>
                <w:color w:val="000000"/>
                <w:sz w:val="20"/>
                <w:szCs w:val="20"/>
              </w:rPr>
              <w:t>DUPILUMAB &gt; UPADACITINIB &gt; DUPILUMAB</w:t>
            </w:r>
          </w:p>
        </w:tc>
        <w:tc>
          <w:tcPr>
            <w:tcW w:w="1560" w:type="dxa"/>
            <w:tcBorders>
              <w:top w:val="nil"/>
              <w:left w:val="nil"/>
              <w:bottom w:val="single" w:sz="4" w:space="0" w:color="auto"/>
              <w:right w:val="single" w:sz="4" w:space="0" w:color="auto"/>
            </w:tcBorders>
            <w:shd w:val="clear" w:color="auto" w:fill="auto"/>
            <w:noWrap/>
            <w:vAlign w:val="bottom"/>
            <w:hideMark/>
          </w:tcPr>
          <w:p w14:paraId="17C1F1C7" w14:textId="77777777" w:rsidR="00162A62" w:rsidRPr="00315B36" w:rsidRDefault="00162A62" w:rsidP="00162A62">
            <w:pPr>
              <w:spacing w:after="0"/>
              <w:jc w:val="right"/>
              <w:rPr>
                <w:rFonts w:ascii="Calibri" w:eastAsia="Times New Roman" w:hAnsi="Calibri" w:cs="Calibri"/>
                <w:color w:val="000000"/>
                <w:sz w:val="20"/>
                <w:szCs w:val="20"/>
              </w:rPr>
            </w:pPr>
            <w:r w:rsidRPr="00315B36">
              <w:rPr>
                <w:rFonts w:ascii="Calibri" w:eastAsia="Times New Roman" w:hAnsi="Calibri" w:cs="Calibri"/>
                <w:color w:val="000000"/>
                <w:sz w:val="20"/>
                <w:szCs w:val="20"/>
              </w:rPr>
              <w:t>77</w:t>
            </w:r>
          </w:p>
        </w:tc>
        <w:tc>
          <w:tcPr>
            <w:tcW w:w="1560" w:type="dxa"/>
            <w:tcBorders>
              <w:top w:val="nil"/>
              <w:left w:val="nil"/>
              <w:bottom w:val="single" w:sz="4" w:space="0" w:color="auto"/>
              <w:right w:val="single" w:sz="4" w:space="0" w:color="auto"/>
            </w:tcBorders>
            <w:vAlign w:val="bottom"/>
          </w:tcPr>
          <w:p w14:paraId="6C54D39A" w14:textId="7CBED73D" w:rsidR="00162A62" w:rsidRPr="00162A62" w:rsidRDefault="00162A62" w:rsidP="00162A62">
            <w:pPr>
              <w:spacing w:after="0"/>
              <w:jc w:val="right"/>
              <w:rPr>
                <w:rFonts w:ascii="Calibri" w:eastAsia="Times New Roman" w:hAnsi="Calibri" w:cs="Calibri"/>
                <w:color w:val="000000"/>
                <w:sz w:val="20"/>
                <w:szCs w:val="20"/>
              </w:rPr>
            </w:pPr>
            <w:r w:rsidRPr="00162A62">
              <w:rPr>
                <w:rFonts w:ascii="Calibri" w:hAnsi="Calibri" w:cs="Calibri"/>
                <w:color w:val="000000"/>
                <w:sz w:val="20"/>
                <w:szCs w:val="20"/>
              </w:rPr>
              <w:t>0.4%</w:t>
            </w:r>
          </w:p>
        </w:tc>
      </w:tr>
      <w:tr w:rsidR="00162A62" w:rsidRPr="00315B36" w14:paraId="31D1F5CA" w14:textId="6E3DB486" w:rsidTr="00827959">
        <w:trPr>
          <w:trHeight w:val="30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7101F4FA" w14:textId="77777777" w:rsidR="00162A62" w:rsidRPr="00315B36" w:rsidRDefault="00162A62" w:rsidP="00162A62">
            <w:pPr>
              <w:spacing w:after="0"/>
              <w:rPr>
                <w:rFonts w:ascii="Calibri" w:eastAsia="Times New Roman" w:hAnsi="Calibri" w:cs="Calibri"/>
                <w:color w:val="000000"/>
                <w:sz w:val="20"/>
                <w:szCs w:val="20"/>
              </w:rPr>
            </w:pPr>
            <w:r w:rsidRPr="00315B36">
              <w:rPr>
                <w:rFonts w:ascii="Calibri" w:eastAsia="Times New Roman" w:hAnsi="Calibri" w:cs="Calibri"/>
                <w:color w:val="000000"/>
                <w:sz w:val="20"/>
                <w:szCs w:val="20"/>
              </w:rPr>
              <w:t>UPADACITINIB &gt; DUPILUMAB &gt; UPADACITINIB</w:t>
            </w:r>
          </w:p>
        </w:tc>
        <w:tc>
          <w:tcPr>
            <w:tcW w:w="1560" w:type="dxa"/>
            <w:tcBorders>
              <w:top w:val="nil"/>
              <w:left w:val="nil"/>
              <w:bottom w:val="single" w:sz="4" w:space="0" w:color="auto"/>
              <w:right w:val="single" w:sz="4" w:space="0" w:color="auto"/>
            </w:tcBorders>
            <w:shd w:val="clear" w:color="auto" w:fill="auto"/>
            <w:noWrap/>
            <w:vAlign w:val="bottom"/>
            <w:hideMark/>
          </w:tcPr>
          <w:p w14:paraId="73201BA8" w14:textId="77777777" w:rsidR="00162A62" w:rsidRPr="00315B36" w:rsidRDefault="00162A62" w:rsidP="00162A62">
            <w:pPr>
              <w:spacing w:after="0"/>
              <w:jc w:val="right"/>
              <w:rPr>
                <w:rFonts w:ascii="Calibri" w:eastAsia="Times New Roman" w:hAnsi="Calibri" w:cs="Calibri"/>
                <w:color w:val="000000"/>
                <w:sz w:val="20"/>
                <w:szCs w:val="20"/>
              </w:rPr>
            </w:pPr>
            <w:r w:rsidRPr="00315B36">
              <w:rPr>
                <w:rFonts w:ascii="Calibri" w:eastAsia="Times New Roman" w:hAnsi="Calibri" w:cs="Calibri"/>
                <w:color w:val="000000"/>
                <w:sz w:val="20"/>
                <w:szCs w:val="20"/>
              </w:rPr>
              <w:t>19</w:t>
            </w:r>
          </w:p>
        </w:tc>
        <w:tc>
          <w:tcPr>
            <w:tcW w:w="1560" w:type="dxa"/>
            <w:tcBorders>
              <w:top w:val="nil"/>
              <w:left w:val="nil"/>
              <w:bottom w:val="single" w:sz="4" w:space="0" w:color="auto"/>
              <w:right w:val="single" w:sz="4" w:space="0" w:color="auto"/>
            </w:tcBorders>
            <w:vAlign w:val="bottom"/>
          </w:tcPr>
          <w:p w14:paraId="50435B5C" w14:textId="405436D2" w:rsidR="00162A62" w:rsidRPr="00162A62" w:rsidRDefault="00162A62" w:rsidP="00162A62">
            <w:pPr>
              <w:spacing w:after="0"/>
              <w:jc w:val="right"/>
              <w:rPr>
                <w:rFonts w:ascii="Calibri" w:eastAsia="Times New Roman" w:hAnsi="Calibri" w:cs="Calibri"/>
                <w:color w:val="000000"/>
                <w:sz w:val="20"/>
                <w:szCs w:val="20"/>
              </w:rPr>
            </w:pPr>
            <w:r w:rsidRPr="00162A62">
              <w:rPr>
                <w:rFonts w:ascii="Calibri" w:hAnsi="Calibri" w:cs="Calibri"/>
                <w:color w:val="000000"/>
                <w:sz w:val="20"/>
                <w:szCs w:val="20"/>
              </w:rPr>
              <w:t>0.1%</w:t>
            </w:r>
          </w:p>
        </w:tc>
      </w:tr>
      <w:tr w:rsidR="00162A62" w:rsidRPr="00315B36" w14:paraId="646D8139" w14:textId="33082204" w:rsidTr="004D4654">
        <w:trPr>
          <w:trHeight w:val="30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5ECF26AA" w14:textId="77777777" w:rsidR="00162A62" w:rsidRPr="00315B36" w:rsidRDefault="00162A62" w:rsidP="00162A62">
            <w:pPr>
              <w:spacing w:after="0"/>
              <w:rPr>
                <w:rFonts w:ascii="Calibri" w:eastAsia="Times New Roman" w:hAnsi="Calibri" w:cs="Calibri"/>
                <w:color w:val="000000"/>
                <w:sz w:val="20"/>
                <w:szCs w:val="20"/>
              </w:rPr>
            </w:pPr>
            <w:r w:rsidRPr="00315B36">
              <w:rPr>
                <w:rFonts w:ascii="Calibri" w:eastAsia="Times New Roman" w:hAnsi="Calibri" w:cs="Calibri"/>
                <w:color w:val="000000"/>
                <w:sz w:val="20"/>
                <w:szCs w:val="20"/>
              </w:rPr>
              <w:t>MORE THAN TWO SWITCHES</w:t>
            </w:r>
          </w:p>
        </w:tc>
        <w:tc>
          <w:tcPr>
            <w:tcW w:w="1560" w:type="dxa"/>
            <w:tcBorders>
              <w:top w:val="nil"/>
              <w:left w:val="nil"/>
              <w:bottom w:val="single" w:sz="4" w:space="0" w:color="auto"/>
              <w:right w:val="single" w:sz="4" w:space="0" w:color="auto"/>
            </w:tcBorders>
            <w:shd w:val="clear" w:color="auto" w:fill="auto"/>
            <w:noWrap/>
            <w:vAlign w:val="bottom"/>
            <w:hideMark/>
          </w:tcPr>
          <w:p w14:paraId="4C0B3142" w14:textId="77777777" w:rsidR="00162A62" w:rsidRPr="00315B36" w:rsidRDefault="00162A62" w:rsidP="00162A62">
            <w:pPr>
              <w:spacing w:after="0"/>
              <w:jc w:val="right"/>
              <w:rPr>
                <w:rFonts w:ascii="Calibri" w:eastAsia="Times New Roman" w:hAnsi="Calibri" w:cs="Calibri"/>
                <w:color w:val="000000"/>
                <w:sz w:val="20"/>
                <w:szCs w:val="20"/>
              </w:rPr>
            </w:pPr>
            <w:r w:rsidRPr="00315B36">
              <w:rPr>
                <w:rFonts w:ascii="Calibri" w:eastAsia="Times New Roman" w:hAnsi="Calibri" w:cs="Calibri"/>
                <w:color w:val="000000"/>
                <w:sz w:val="20"/>
                <w:szCs w:val="20"/>
              </w:rPr>
              <w:t>52</w:t>
            </w:r>
          </w:p>
        </w:tc>
        <w:tc>
          <w:tcPr>
            <w:tcW w:w="1560" w:type="dxa"/>
            <w:tcBorders>
              <w:top w:val="nil"/>
              <w:left w:val="nil"/>
              <w:bottom w:val="single" w:sz="4" w:space="0" w:color="auto"/>
              <w:right w:val="single" w:sz="4" w:space="0" w:color="auto"/>
            </w:tcBorders>
            <w:vAlign w:val="bottom"/>
          </w:tcPr>
          <w:p w14:paraId="5A0DC606" w14:textId="79C7F346" w:rsidR="00162A62" w:rsidRPr="00162A62" w:rsidRDefault="00162A62" w:rsidP="00162A62">
            <w:pPr>
              <w:spacing w:after="0"/>
              <w:jc w:val="right"/>
              <w:rPr>
                <w:rFonts w:ascii="Calibri" w:eastAsia="Times New Roman" w:hAnsi="Calibri" w:cs="Calibri"/>
                <w:color w:val="000000"/>
                <w:sz w:val="20"/>
                <w:szCs w:val="20"/>
              </w:rPr>
            </w:pPr>
            <w:r w:rsidRPr="00162A62">
              <w:rPr>
                <w:rFonts w:ascii="Calibri" w:hAnsi="Calibri" w:cs="Calibri"/>
                <w:color w:val="000000"/>
                <w:sz w:val="20"/>
                <w:szCs w:val="20"/>
              </w:rPr>
              <w:t>0.3%</w:t>
            </w:r>
          </w:p>
        </w:tc>
      </w:tr>
      <w:tr w:rsidR="00EC31B5" w:rsidRPr="00315B36" w14:paraId="610F5819" w14:textId="59BB7265" w:rsidTr="004D4654">
        <w:trPr>
          <w:trHeight w:val="300"/>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B2B0D2" w14:textId="215F5DFA" w:rsidR="00EC31B5" w:rsidRPr="00315B36" w:rsidRDefault="00EC31B5" w:rsidP="00315B36">
            <w:pPr>
              <w:spacing w:after="0"/>
              <w:rPr>
                <w:rFonts w:ascii="Calibri" w:eastAsia="Times New Roman" w:hAnsi="Calibri" w:cs="Calibri"/>
                <w:color w:val="000000"/>
                <w:sz w:val="20"/>
                <w:szCs w:val="20"/>
              </w:rPr>
            </w:pPr>
            <w:r>
              <w:rPr>
                <w:rFonts w:ascii="Calibri" w:eastAsia="Times New Roman" w:hAnsi="Calibri" w:cs="Calibri"/>
                <w:color w:val="000000"/>
                <w:sz w:val="20"/>
                <w:szCs w:val="20"/>
              </w:rPr>
              <w:t>TOTAL</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74364559" w14:textId="370C4824" w:rsidR="00EC31B5" w:rsidRPr="00315B36" w:rsidRDefault="00EC31B5" w:rsidP="00315B36">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20,334</w:t>
            </w:r>
          </w:p>
        </w:tc>
        <w:tc>
          <w:tcPr>
            <w:tcW w:w="1560" w:type="dxa"/>
            <w:tcBorders>
              <w:top w:val="single" w:sz="4" w:space="0" w:color="auto"/>
              <w:left w:val="nil"/>
              <w:bottom w:val="single" w:sz="4" w:space="0" w:color="auto"/>
              <w:right w:val="single" w:sz="4" w:space="0" w:color="auto"/>
            </w:tcBorders>
          </w:tcPr>
          <w:p w14:paraId="07207B24" w14:textId="77777777" w:rsidR="00EC31B5" w:rsidRDefault="00EC31B5" w:rsidP="00315B36">
            <w:pPr>
              <w:spacing w:after="0"/>
              <w:jc w:val="right"/>
              <w:rPr>
                <w:rFonts w:ascii="Calibri" w:eastAsia="Times New Roman" w:hAnsi="Calibri" w:cs="Calibri"/>
                <w:color w:val="000000"/>
                <w:sz w:val="20"/>
                <w:szCs w:val="20"/>
              </w:rPr>
            </w:pPr>
          </w:p>
        </w:tc>
      </w:tr>
    </w:tbl>
    <w:p w14:paraId="127E079B" w14:textId="77777777" w:rsidR="00315B36" w:rsidRDefault="00315B36" w:rsidP="00B40D10"/>
    <w:p w14:paraId="1892C4D9" w14:textId="60E7CFE9" w:rsidR="00315B36" w:rsidRDefault="00B13C63" w:rsidP="00B40D10">
      <w:r>
        <w:t xml:space="preserve">Table </w:t>
      </w:r>
      <w:r w:rsidR="00465265">
        <w:t>8</w:t>
      </w:r>
      <w:r>
        <w:t xml:space="preserve"> shows the </w:t>
      </w:r>
      <w:r w:rsidR="0075094F">
        <w:t xml:space="preserve">number of patients who have switched between </w:t>
      </w:r>
      <w:r w:rsidR="00162A62">
        <w:t xml:space="preserve">dupilumab and </w:t>
      </w:r>
      <w:proofErr w:type="spellStart"/>
      <w:r w:rsidR="00162A62">
        <w:t>up</w:t>
      </w:r>
      <w:r w:rsidR="00131F03">
        <w:t>a</w:t>
      </w:r>
      <w:r w:rsidR="00162A62">
        <w:t>dacitinib</w:t>
      </w:r>
      <w:proofErr w:type="spellEnd"/>
      <w:r w:rsidR="00827959">
        <w:t>, and that 95% of patients have not switched from their initial therapy</w:t>
      </w:r>
      <w:r w:rsidR="00162A62">
        <w:t xml:space="preserve">. As dupilumab was listed 11 months </w:t>
      </w:r>
      <w:r w:rsidR="008C238C">
        <w:t xml:space="preserve">before </w:t>
      </w:r>
      <w:proofErr w:type="spellStart"/>
      <w:r w:rsidR="008C238C">
        <w:t>upadacitinib</w:t>
      </w:r>
      <w:proofErr w:type="spellEnd"/>
      <w:r w:rsidR="008C238C">
        <w:t xml:space="preserve">, it is more likely that patients will have switched from dupilumab to </w:t>
      </w:r>
      <w:proofErr w:type="spellStart"/>
      <w:r w:rsidR="008C238C" w:rsidRPr="008C238C">
        <w:t>upadacitinib</w:t>
      </w:r>
      <w:proofErr w:type="spellEnd"/>
      <w:r w:rsidR="008C238C">
        <w:t xml:space="preserve"> than from </w:t>
      </w:r>
      <w:proofErr w:type="spellStart"/>
      <w:r w:rsidR="008C238C" w:rsidRPr="008C238C">
        <w:t>upadacitinib</w:t>
      </w:r>
      <w:proofErr w:type="spellEnd"/>
      <w:r w:rsidR="008C238C">
        <w:t xml:space="preserve"> to dupilumab. However, </w:t>
      </w:r>
      <w:r w:rsidR="00E1733D">
        <w:lastRenderedPageBreak/>
        <w:t xml:space="preserve">there </w:t>
      </w:r>
      <w:r w:rsidR="00131F03">
        <w:t>are</w:t>
      </w:r>
      <w:r w:rsidR="00E1733D">
        <w:t xml:space="preserve"> a small number of</w:t>
      </w:r>
      <w:r w:rsidR="004510A8">
        <w:t xml:space="preserve"> patients</w:t>
      </w:r>
      <w:r w:rsidR="00E1733D">
        <w:t xml:space="preserve"> who initiated on </w:t>
      </w:r>
      <w:proofErr w:type="spellStart"/>
      <w:r w:rsidR="00E1733D" w:rsidRPr="00E1733D">
        <w:t>upadacitinib</w:t>
      </w:r>
      <w:proofErr w:type="spellEnd"/>
      <w:r w:rsidR="00E1733D">
        <w:t xml:space="preserve"> and have switched to dupilumab.</w:t>
      </w:r>
      <w:r w:rsidR="007C3D55">
        <w:t xml:space="preserve"> </w:t>
      </w:r>
    </w:p>
    <w:p w14:paraId="15CDCC9C" w14:textId="0B1AB10B" w:rsidR="005F40E1" w:rsidRDefault="008A5E9C" w:rsidP="00516922">
      <w:pPr>
        <w:pStyle w:val="Tabletitle"/>
        <w:keepNext/>
      </w:pPr>
      <w:r>
        <w:t xml:space="preserve">Table </w:t>
      </w:r>
      <w:r w:rsidR="00465265">
        <w:t>9</w:t>
      </w:r>
      <w:r>
        <w:t xml:space="preserve">: </w:t>
      </w:r>
      <w:r w:rsidR="005F40E1">
        <w:t>Patient and prescription counts between July 2022 and June 2023</w:t>
      </w:r>
    </w:p>
    <w:tbl>
      <w:tblPr>
        <w:tblW w:w="7949" w:type="dxa"/>
        <w:tblLook w:val="04A0" w:firstRow="1" w:lastRow="0" w:firstColumn="1" w:lastColumn="0" w:noHBand="0" w:noVBand="1"/>
      </w:tblPr>
      <w:tblGrid>
        <w:gridCol w:w="2478"/>
        <w:gridCol w:w="1720"/>
        <w:gridCol w:w="1780"/>
        <w:gridCol w:w="2275"/>
      </w:tblGrid>
      <w:tr w:rsidR="005F40E1" w:rsidRPr="005F40E1" w14:paraId="3B110AE7" w14:textId="77777777" w:rsidTr="005F40E1">
        <w:trPr>
          <w:trHeight w:val="300"/>
        </w:trPr>
        <w:tc>
          <w:tcPr>
            <w:tcW w:w="247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7BB8F2F1" w14:textId="77777777" w:rsidR="005F40E1" w:rsidRPr="005F40E1" w:rsidRDefault="005F40E1" w:rsidP="00516922">
            <w:pPr>
              <w:keepNext/>
              <w:spacing w:after="0"/>
              <w:rPr>
                <w:rFonts w:ascii="Calibri" w:eastAsia="Times New Roman" w:hAnsi="Calibri" w:cs="Calibri"/>
                <w:b/>
                <w:bCs/>
                <w:color w:val="000000"/>
                <w:sz w:val="20"/>
                <w:szCs w:val="20"/>
              </w:rPr>
            </w:pPr>
            <w:r w:rsidRPr="005F40E1">
              <w:rPr>
                <w:rFonts w:ascii="Calibri" w:eastAsia="Times New Roman" w:hAnsi="Calibri" w:cs="Calibri"/>
                <w:b/>
                <w:bCs/>
                <w:color w:val="000000"/>
                <w:sz w:val="20"/>
                <w:szCs w:val="20"/>
              </w:rPr>
              <w:t> </w:t>
            </w:r>
          </w:p>
        </w:tc>
        <w:tc>
          <w:tcPr>
            <w:tcW w:w="172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014CF1F4" w14:textId="77777777" w:rsidR="005F40E1" w:rsidRPr="005F40E1" w:rsidRDefault="005F40E1" w:rsidP="00516922">
            <w:pPr>
              <w:keepNext/>
              <w:spacing w:after="0"/>
              <w:rPr>
                <w:rFonts w:ascii="Calibri" w:eastAsia="Times New Roman" w:hAnsi="Calibri" w:cs="Calibri"/>
                <w:b/>
                <w:bCs/>
                <w:color w:val="000000"/>
                <w:sz w:val="20"/>
                <w:szCs w:val="20"/>
              </w:rPr>
            </w:pPr>
            <w:r w:rsidRPr="005F40E1">
              <w:rPr>
                <w:rFonts w:ascii="Calibri" w:eastAsia="Times New Roman" w:hAnsi="Calibri" w:cs="Calibri"/>
                <w:b/>
                <w:bCs/>
                <w:color w:val="000000"/>
                <w:sz w:val="20"/>
                <w:szCs w:val="20"/>
              </w:rPr>
              <w:t>Dupilumab</w:t>
            </w:r>
          </w:p>
        </w:tc>
        <w:tc>
          <w:tcPr>
            <w:tcW w:w="178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7FEACE6A" w14:textId="77777777" w:rsidR="005F40E1" w:rsidRPr="005F40E1" w:rsidRDefault="005F40E1" w:rsidP="00516922">
            <w:pPr>
              <w:keepNext/>
              <w:spacing w:after="0"/>
              <w:rPr>
                <w:rFonts w:ascii="Calibri" w:eastAsia="Times New Roman" w:hAnsi="Calibri" w:cs="Calibri"/>
                <w:b/>
                <w:bCs/>
                <w:color w:val="000000"/>
                <w:sz w:val="20"/>
                <w:szCs w:val="20"/>
              </w:rPr>
            </w:pPr>
            <w:r w:rsidRPr="005F40E1">
              <w:rPr>
                <w:rFonts w:ascii="Calibri" w:eastAsia="Times New Roman" w:hAnsi="Calibri" w:cs="Calibri"/>
                <w:b/>
                <w:bCs/>
                <w:color w:val="000000"/>
                <w:sz w:val="20"/>
                <w:szCs w:val="20"/>
              </w:rPr>
              <w:t>Upadacitinib</w:t>
            </w:r>
          </w:p>
        </w:tc>
        <w:tc>
          <w:tcPr>
            <w:tcW w:w="1971"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6DFDC23A" w14:textId="1A808DA1" w:rsidR="005F40E1" w:rsidRPr="005F40E1" w:rsidRDefault="005F40E1" w:rsidP="00516922">
            <w:pPr>
              <w:keepNext/>
              <w:spacing w:after="0"/>
              <w:rPr>
                <w:rFonts w:ascii="Calibri" w:eastAsia="Times New Roman" w:hAnsi="Calibri" w:cs="Calibri"/>
                <w:b/>
                <w:bCs/>
                <w:color w:val="000000"/>
                <w:sz w:val="20"/>
                <w:szCs w:val="20"/>
              </w:rPr>
            </w:pPr>
            <w:r w:rsidRPr="005F40E1">
              <w:rPr>
                <w:rFonts w:ascii="Calibri" w:eastAsia="Times New Roman" w:hAnsi="Calibri" w:cs="Calibri"/>
                <w:b/>
                <w:bCs/>
                <w:color w:val="000000"/>
                <w:sz w:val="20"/>
                <w:szCs w:val="20"/>
              </w:rPr>
              <w:t>Dupilumab/Upadacitin</w:t>
            </w:r>
            <w:r w:rsidR="008A5E9C">
              <w:rPr>
                <w:rFonts w:ascii="Calibri" w:eastAsia="Times New Roman" w:hAnsi="Calibri" w:cs="Calibri"/>
                <w:b/>
                <w:bCs/>
                <w:color w:val="000000"/>
                <w:sz w:val="20"/>
                <w:szCs w:val="20"/>
              </w:rPr>
              <w:t>ib</w:t>
            </w:r>
          </w:p>
        </w:tc>
      </w:tr>
      <w:tr w:rsidR="005F40E1" w:rsidRPr="005F40E1" w14:paraId="31AF3C78" w14:textId="77777777" w:rsidTr="005F40E1">
        <w:trPr>
          <w:trHeight w:val="300"/>
        </w:trPr>
        <w:tc>
          <w:tcPr>
            <w:tcW w:w="2478" w:type="dxa"/>
            <w:tcBorders>
              <w:top w:val="nil"/>
              <w:left w:val="single" w:sz="4" w:space="0" w:color="auto"/>
              <w:bottom w:val="single" w:sz="4" w:space="0" w:color="auto"/>
              <w:right w:val="single" w:sz="4" w:space="0" w:color="auto"/>
            </w:tcBorders>
            <w:shd w:val="clear" w:color="auto" w:fill="auto"/>
            <w:noWrap/>
            <w:vAlign w:val="bottom"/>
            <w:hideMark/>
          </w:tcPr>
          <w:p w14:paraId="17DC260C" w14:textId="77777777" w:rsidR="005F40E1" w:rsidRPr="005F40E1" w:rsidRDefault="005F40E1" w:rsidP="00516922">
            <w:pPr>
              <w:keepNext/>
              <w:spacing w:after="0"/>
              <w:rPr>
                <w:rFonts w:ascii="Calibri" w:eastAsia="Times New Roman" w:hAnsi="Calibri" w:cs="Calibri"/>
                <w:color w:val="000000"/>
                <w:sz w:val="20"/>
                <w:szCs w:val="20"/>
              </w:rPr>
            </w:pPr>
            <w:r w:rsidRPr="005F40E1">
              <w:rPr>
                <w:rFonts w:ascii="Calibri" w:eastAsia="Times New Roman" w:hAnsi="Calibri" w:cs="Calibri"/>
                <w:color w:val="000000"/>
                <w:sz w:val="20"/>
                <w:szCs w:val="20"/>
              </w:rPr>
              <w:t>Prescriptions</w:t>
            </w:r>
          </w:p>
        </w:tc>
        <w:tc>
          <w:tcPr>
            <w:tcW w:w="1720" w:type="dxa"/>
            <w:tcBorders>
              <w:top w:val="nil"/>
              <w:left w:val="nil"/>
              <w:bottom w:val="single" w:sz="4" w:space="0" w:color="auto"/>
              <w:right w:val="single" w:sz="4" w:space="0" w:color="auto"/>
            </w:tcBorders>
            <w:shd w:val="clear" w:color="auto" w:fill="auto"/>
            <w:noWrap/>
            <w:vAlign w:val="bottom"/>
            <w:hideMark/>
          </w:tcPr>
          <w:p w14:paraId="73AC63F0" w14:textId="2B4AE82B" w:rsidR="005F40E1" w:rsidRPr="005F40E1" w:rsidRDefault="005F40E1" w:rsidP="00516922">
            <w:pPr>
              <w:keepNext/>
              <w:spacing w:after="0"/>
              <w:jc w:val="right"/>
              <w:rPr>
                <w:rFonts w:ascii="Calibri" w:eastAsia="Times New Roman" w:hAnsi="Calibri" w:cs="Calibri"/>
                <w:color w:val="000000"/>
                <w:sz w:val="20"/>
                <w:szCs w:val="20"/>
              </w:rPr>
            </w:pPr>
            <w:r w:rsidRPr="005F40E1">
              <w:rPr>
                <w:rFonts w:ascii="Calibri" w:eastAsia="Times New Roman" w:hAnsi="Calibri" w:cs="Calibri"/>
                <w:color w:val="000000"/>
                <w:sz w:val="20"/>
                <w:szCs w:val="20"/>
              </w:rPr>
              <w:t>129</w:t>
            </w:r>
            <w:r>
              <w:rPr>
                <w:rFonts w:ascii="Calibri" w:eastAsia="Times New Roman" w:hAnsi="Calibri" w:cs="Calibri"/>
                <w:color w:val="000000"/>
                <w:sz w:val="20"/>
                <w:szCs w:val="20"/>
              </w:rPr>
              <w:t>,</w:t>
            </w:r>
            <w:r w:rsidRPr="005F40E1">
              <w:rPr>
                <w:rFonts w:ascii="Calibri" w:eastAsia="Times New Roman" w:hAnsi="Calibri" w:cs="Calibri"/>
                <w:color w:val="000000"/>
                <w:sz w:val="20"/>
                <w:szCs w:val="20"/>
              </w:rPr>
              <w:t>527</w:t>
            </w:r>
          </w:p>
        </w:tc>
        <w:tc>
          <w:tcPr>
            <w:tcW w:w="1780" w:type="dxa"/>
            <w:tcBorders>
              <w:top w:val="nil"/>
              <w:left w:val="nil"/>
              <w:bottom w:val="single" w:sz="4" w:space="0" w:color="auto"/>
              <w:right w:val="single" w:sz="4" w:space="0" w:color="auto"/>
            </w:tcBorders>
            <w:shd w:val="clear" w:color="auto" w:fill="auto"/>
            <w:noWrap/>
            <w:vAlign w:val="bottom"/>
            <w:hideMark/>
          </w:tcPr>
          <w:p w14:paraId="3782D644" w14:textId="5972E207" w:rsidR="005F40E1" w:rsidRPr="005F40E1" w:rsidRDefault="005F40E1" w:rsidP="00516922">
            <w:pPr>
              <w:keepNext/>
              <w:spacing w:after="0"/>
              <w:jc w:val="right"/>
              <w:rPr>
                <w:rFonts w:ascii="Calibri" w:eastAsia="Times New Roman" w:hAnsi="Calibri" w:cs="Calibri"/>
                <w:color w:val="000000"/>
                <w:sz w:val="20"/>
                <w:szCs w:val="20"/>
              </w:rPr>
            </w:pPr>
            <w:r w:rsidRPr="005F40E1">
              <w:rPr>
                <w:rFonts w:ascii="Calibri" w:eastAsia="Times New Roman" w:hAnsi="Calibri" w:cs="Calibri"/>
                <w:color w:val="000000"/>
                <w:sz w:val="20"/>
                <w:szCs w:val="20"/>
              </w:rPr>
              <w:t>24</w:t>
            </w:r>
            <w:r>
              <w:rPr>
                <w:rFonts w:ascii="Calibri" w:eastAsia="Times New Roman" w:hAnsi="Calibri" w:cs="Calibri"/>
                <w:color w:val="000000"/>
                <w:sz w:val="20"/>
                <w:szCs w:val="20"/>
              </w:rPr>
              <w:t>,</w:t>
            </w:r>
            <w:r w:rsidRPr="005F40E1">
              <w:rPr>
                <w:rFonts w:ascii="Calibri" w:eastAsia="Times New Roman" w:hAnsi="Calibri" w:cs="Calibri"/>
                <w:color w:val="000000"/>
                <w:sz w:val="20"/>
                <w:szCs w:val="20"/>
              </w:rPr>
              <w:t>478</w:t>
            </w:r>
          </w:p>
        </w:tc>
        <w:tc>
          <w:tcPr>
            <w:tcW w:w="1971" w:type="dxa"/>
            <w:tcBorders>
              <w:top w:val="nil"/>
              <w:left w:val="nil"/>
              <w:bottom w:val="single" w:sz="4" w:space="0" w:color="auto"/>
              <w:right w:val="single" w:sz="4" w:space="0" w:color="auto"/>
            </w:tcBorders>
            <w:shd w:val="clear" w:color="auto" w:fill="auto"/>
            <w:noWrap/>
            <w:vAlign w:val="bottom"/>
            <w:hideMark/>
          </w:tcPr>
          <w:p w14:paraId="3162ADB8" w14:textId="77777777" w:rsidR="005F40E1" w:rsidRPr="005F40E1" w:rsidRDefault="005F40E1" w:rsidP="00516922">
            <w:pPr>
              <w:keepNext/>
              <w:spacing w:after="0"/>
              <w:jc w:val="right"/>
              <w:rPr>
                <w:rFonts w:ascii="Calibri" w:eastAsia="Times New Roman" w:hAnsi="Calibri" w:cs="Calibri"/>
                <w:color w:val="000000"/>
                <w:sz w:val="20"/>
                <w:szCs w:val="20"/>
              </w:rPr>
            </w:pPr>
            <w:r w:rsidRPr="005F40E1">
              <w:rPr>
                <w:rFonts w:ascii="Calibri" w:eastAsia="Times New Roman" w:hAnsi="Calibri" w:cs="Calibri"/>
                <w:color w:val="000000"/>
                <w:sz w:val="20"/>
                <w:szCs w:val="20"/>
              </w:rPr>
              <w:t>5.3</w:t>
            </w:r>
          </w:p>
        </w:tc>
      </w:tr>
      <w:tr w:rsidR="005F40E1" w:rsidRPr="005F40E1" w14:paraId="169BD687" w14:textId="77777777" w:rsidTr="005F40E1">
        <w:trPr>
          <w:trHeight w:val="300"/>
        </w:trPr>
        <w:tc>
          <w:tcPr>
            <w:tcW w:w="2478" w:type="dxa"/>
            <w:tcBorders>
              <w:top w:val="nil"/>
              <w:left w:val="single" w:sz="4" w:space="0" w:color="auto"/>
              <w:bottom w:val="single" w:sz="4" w:space="0" w:color="auto"/>
              <w:right w:val="single" w:sz="4" w:space="0" w:color="auto"/>
            </w:tcBorders>
            <w:shd w:val="clear" w:color="auto" w:fill="auto"/>
            <w:noWrap/>
            <w:vAlign w:val="bottom"/>
            <w:hideMark/>
          </w:tcPr>
          <w:p w14:paraId="2AAF8C28" w14:textId="77777777" w:rsidR="005F40E1" w:rsidRPr="005F40E1" w:rsidRDefault="005F40E1" w:rsidP="00516922">
            <w:pPr>
              <w:keepNext/>
              <w:spacing w:after="0"/>
              <w:rPr>
                <w:rFonts w:ascii="Calibri" w:eastAsia="Times New Roman" w:hAnsi="Calibri" w:cs="Calibri"/>
                <w:color w:val="000000"/>
                <w:sz w:val="20"/>
                <w:szCs w:val="20"/>
              </w:rPr>
            </w:pPr>
            <w:r w:rsidRPr="005F40E1">
              <w:rPr>
                <w:rFonts w:ascii="Calibri" w:eastAsia="Times New Roman" w:hAnsi="Calibri" w:cs="Calibri"/>
                <w:color w:val="000000"/>
                <w:sz w:val="20"/>
                <w:szCs w:val="20"/>
              </w:rPr>
              <w:t>Treated patients</w:t>
            </w:r>
          </w:p>
        </w:tc>
        <w:tc>
          <w:tcPr>
            <w:tcW w:w="1720" w:type="dxa"/>
            <w:tcBorders>
              <w:top w:val="nil"/>
              <w:left w:val="nil"/>
              <w:bottom w:val="single" w:sz="4" w:space="0" w:color="auto"/>
              <w:right w:val="single" w:sz="4" w:space="0" w:color="auto"/>
            </w:tcBorders>
            <w:shd w:val="clear" w:color="auto" w:fill="auto"/>
            <w:noWrap/>
            <w:vAlign w:val="bottom"/>
            <w:hideMark/>
          </w:tcPr>
          <w:p w14:paraId="2BA095BA" w14:textId="2DC63E24" w:rsidR="005F40E1" w:rsidRPr="005F40E1" w:rsidRDefault="005F40E1" w:rsidP="00516922">
            <w:pPr>
              <w:keepNext/>
              <w:spacing w:after="0"/>
              <w:jc w:val="right"/>
              <w:rPr>
                <w:rFonts w:ascii="Calibri" w:eastAsia="Times New Roman" w:hAnsi="Calibri" w:cs="Calibri"/>
                <w:color w:val="000000"/>
                <w:sz w:val="20"/>
                <w:szCs w:val="20"/>
              </w:rPr>
            </w:pPr>
            <w:r w:rsidRPr="005F40E1">
              <w:rPr>
                <w:rFonts w:ascii="Calibri" w:eastAsia="Times New Roman" w:hAnsi="Calibri" w:cs="Calibri"/>
                <w:color w:val="000000"/>
                <w:sz w:val="20"/>
                <w:szCs w:val="20"/>
              </w:rPr>
              <w:t>46</w:t>
            </w:r>
            <w:r>
              <w:rPr>
                <w:rFonts w:ascii="Calibri" w:eastAsia="Times New Roman" w:hAnsi="Calibri" w:cs="Calibri"/>
                <w:color w:val="000000"/>
                <w:sz w:val="20"/>
                <w:szCs w:val="20"/>
              </w:rPr>
              <w:t>,</w:t>
            </w:r>
            <w:r w:rsidRPr="005F40E1">
              <w:rPr>
                <w:rFonts w:ascii="Calibri" w:eastAsia="Times New Roman" w:hAnsi="Calibri" w:cs="Calibri"/>
                <w:color w:val="000000"/>
                <w:sz w:val="20"/>
                <w:szCs w:val="20"/>
              </w:rPr>
              <w:t>344</w:t>
            </w:r>
          </w:p>
        </w:tc>
        <w:tc>
          <w:tcPr>
            <w:tcW w:w="1780" w:type="dxa"/>
            <w:tcBorders>
              <w:top w:val="nil"/>
              <w:left w:val="nil"/>
              <w:bottom w:val="single" w:sz="4" w:space="0" w:color="auto"/>
              <w:right w:val="single" w:sz="4" w:space="0" w:color="auto"/>
            </w:tcBorders>
            <w:shd w:val="clear" w:color="auto" w:fill="auto"/>
            <w:noWrap/>
            <w:vAlign w:val="bottom"/>
            <w:hideMark/>
          </w:tcPr>
          <w:p w14:paraId="4A9CC714" w14:textId="36F89B50" w:rsidR="005F40E1" w:rsidRPr="005F40E1" w:rsidRDefault="005F40E1" w:rsidP="00516922">
            <w:pPr>
              <w:keepNext/>
              <w:spacing w:after="0"/>
              <w:jc w:val="right"/>
              <w:rPr>
                <w:rFonts w:ascii="Calibri" w:eastAsia="Times New Roman" w:hAnsi="Calibri" w:cs="Calibri"/>
                <w:color w:val="000000"/>
                <w:sz w:val="20"/>
                <w:szCs w:val="20"/>
              </w:rPr>
            </w:pPr>
            <w:r w:rsidRPr="005F40E1">
              <w:rPr>
                <w:rFonts w:ascii="Calibri" w:eastAsia="Times New Roman" w:hAnsi="Calibri" w:cs="Calibri"/>
                <w:color w:val="000000"/>
                <w:sz w:val="20"/>
                <w:szCs w:val="20"/>
              </w:rPr>
              <w:t>9</w:t>
            </w:r>
            <w:r>
              <w:rPr>
                <w:rFonts w:ascii="Calibri" w:eastAsia="Times New Roman" w:hAnsi="Calibri" w:cs="Calibri"/>
                <w:color w:val="000000"/>
                <w:sz w:val="20"/>
                <w:szCs w:val="20"/>
              </w:rPr>
              <w:t>,</w:t>
            </w:r>
            <w:r w:rsidRPr="005F40E1">
              <w:rPr>
                <w:rFonts w:ascii="Calibri" w:eastAsia="Times New Roman" w:hAnsi="Calibri" w:cs="Calibri"/>
                <w:color w:val="000000"/>
                <w:sz w:val="20"/>
                <w:szCs w:val="20"/>
              </w:rPr>
              <w:t>968</w:t>
            </w:r>
          </w:p>
        </w:tc>
        <w:tc>
          <w:tcPr>
            <w:tcW w:w="1971" w:type="dxa"/>
            <w:tcBorders>
              <w:top w:val="nil"/>
              <w:left w:val="nil"/>
              <w:bottom w:val="single" w:sz="4" w:space="0" w:color="auto"/>
              <w:right w:val="single" w:sz="4" w:space="0" w:color="auto"/>
            </w:tcBorders>
            <w:shd w:val="clear" w:color="auto" w:fill="auto"/>
            <w:noWrap/>
            <w:vAlign w:val="bottom"/>
            <w:hideMark/>
          </w:tcPr>
          <w:p w14:paraId="7B8E212E" w14:textId="77777777" w:rsidR="005F40E1" w:rsidRPr="005F40E1" w:rsidRDefault="005F40E1" w:rsidP="00516922">
            <w:pPr>
              <w:keepNext/>
              <w:spacing w:after="0"/>
              <w:jc w:val="right"/>
              <w:rPr>
                <w:rFonts w:ascii="Calibri" w:eastAsia="Times New Roman" w:hAnsi="Calibri" w:cs="Calibri"/>
                <w:color w:val="000000"/>
                <w:sz w:val="20"/>
                <w:szCs w:val="20"/>
              </w:rPr>
            </w:pPr>
            <w:r w:rsidRPr="005F40E1">
              <w:rPr>
                <w:rFonts w:ascii="Calibri" w:eastAsia="Times New Roman" w:hAnsi="Calibri" w:cs="Calibri"/>
                <w:color w:val="000000"/>
                <w:sz w:val="20"/>
                <w:szCs w:val="20"/>
              </w:rPr>
              <w:t>4.6</w:t>
            </w:r>
          </w:p>
        </w:tc>
      </w:tr>
      <w:tr w:rsidR="005F40E1" w:rsidRPr="005F40E1" w14:paraId="2315E403" w14:textId="77777777" w:rsidTr="005F40E1">
        <w:trPr>
          <w:trHeight w:val="300"/>
        </w:trPr>
        <w:tc>
          <w:tcPr>
            <w:tcW w:w="2478" w:type="dxa"/>
            <w:tcBorders>
              <w:top w:val="nil"/>
              <w:left w:val="single" w:sz="4" w:space="0" w:color="auto"/>
              <w:bottom w:val="single" w:sz="4" w:space="0" w:color="auto"/>
              <w:right w:val="single" w:sz="4" w:space="0" w:color="auto"/>
            </w:tcBorders>
            <w:shd w:val="clear" w:color="auto" w:fill="auto"/>
            <w:noWrap/>
            <w:vAlign w:val="bottom"/>
            <w:hideMark/>
          </w:tcPr>
          <w:p w14:paraId="7381B369" w14:textId="77777777" w:rsidR="005F40E1" w:rsidRPr="005F40E1" w:rsidRDefault="005F40E1" w:rsidP="005F40E1">
            <w:pPr>
              <w:spacing w:after="0"/>
              <w:rPr>
                <w:rFonts w:ascii="Calibri" w:eastAsia="Times New Roman" w:hAnsi="Calibri" w:cs="Calibri"/>
                <w:color w:val="000000"/>
                <w:sz w:val="20"/>
                <w:szCs w:val="20"/>
              </w:rPr>
            </w:pPr>
            <w:r w:rsidRPr="005F40E1">
              <w:rPr>
                <w:rFonts w:ascii="Calibri" w:eastAsia="Times New Roman" w:hAnsi="Calibri" w:cs="Calibri"/>
                <w:color w:val="000000"/>
                <w:sz w:val="20"/>
                <w:szCs w:val="20"/>
              </w:rPr>
              <w:t>Initiating patients (to therapy)</w:t>
            </w:r>
          </w:p>
        </w:tc>
        <w:tc>
          <w:tcPr>
            <w:tcW w:w="1720" w:type="dxa"/>
            <w:tcBorders>
              <w:top w:val="nil"/>
              <w:left w:val="nil"/>
              <w:bottom w:val="single" w:sz="4" w:space="0" w:color="auto"/>
              <w:right w:val="single" w:sz="4" w:space="0" w:color="auto"/>
            </w:tcBorders>
            <w:shd w:val="clear" w:color="auto" w:fill="auto"/>
            <w:noWrap/>
            <w:vAlign w:val="bottom"/>
            <w:hideMark/>
          </w:tcPr>
          <w:p w14:paraId="51CCB017" w14:textId="7F786680" w:rsidR="005F40E1" w:rsidRPr="005F40E1" w:rsidRDefault="005F40E1" w:rsidP="005F40E1">
            <w:pPr>
              <w:spacing w:after="0"/>
              <w:jc w:val="right"/>
              <w:rPr>
                <w:rFonts w:ascii="Calibri" w:eastAsia="Times New Roman" w:hAnsi="Calibri" w:cs="Calibri"/>
                <w:color w:val="000000"/>
                <w:sz w:val="20"/>
                <w:szCs w:val="20"/>
              </w:rPr>
            </w:pPr>
            <w:r w:rsidRPr="005F40E1">
              <w:rPr>
                <w:rFonts w:ascii="Calibri" w:eastAsia="Times New Roman" w:hAnsi="Calibri" w:cs="Calibri"/>
                <w:color w:val="000000"/>
                <w:sz w:val="20"/>
                <w:szCs w:val="20"/>
              </w:rPr>
              <w:t>6</w:t>
            </w:r>
            <w:r>
              <w:rPr>
                <w:rFonts w:ascii="Calibri" w:eastAsia="Times New Roman" w:hAnsi="Calibri" w:cs="Calibri"/>
                <w:color w:val="000000"/>
                <w:sz w:val="20"/>
                <w:szCs w:val="20"/>
              </w:rPr>
              <w:t>,</w:t>
            </w:r>
            <w:r w:rsidRPr="005F40E1">
              <w:rPr>
                <w:rFonts w:ascii="Calibri" w:eastAsia="Times New Roman" w:hAnsi="Calibri" w:cs="Calibri"/>
                <w:color w:val="000000"/>
                <w:sz w:val="20"/>
                <w:szCs w:val="20"/>
              </w:rPr>
              <w:t>700</w:t>
            </w:r>
          </w:p>
        </w:tc>
        <w:tc>
          <w:tcPr>
            <w:tcW w:w="1780" w:type="dxa"/>
            <w:tcBorders>
              <w:top w:val="nil"/>
              <w:left w:val="nil"/>
              <w:bottom w:val="single" w:sz="4" w:space="0" w:color="auto"/>
              <w:right w:val="single" w:sz="4" w:space="0" w:color="auto"/>
            </w:tcBorders>
            <w:shd w:val="clear" w:color="auto" w:fill="auto"/>
            <w:noWrap/>
            <w:vAlign w:val="bottom"/>
            <w:hideMark/>
          </w:tcPr>
          <w:p w14:paraId="348C4064" w14:textId="408E3FBB" w:rsidR="005F40E1" w:rsidRPr="005F40E1" w:rsidRDefault="005F40E1" w:rsidP="005F40E1">
            <w:pPr>
              <w:spacing w:after="0"/>
              <w:jc w:val="right"/>
              <w:rPr>
                <w:rFonts w:ascii="Calibri" w:eastAsia="Times New Roman" w:hAnsi="Calibri" w:cs="Calibri"/>
                <w:color w:val="000000"/>
                <w:sz w:val="20"/>
                <w:szCs w:val="20"/>
              </w:rPr>
            </w:pPr>
            <w:r w:rsidRPr="005F40E1">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5F40E1">
              <w:rPr>
                <w:rFonts w:ascii="Calibri" w:eastAsia="Times New Roman" w:hAnsi="Calibri" w:cs="Calibri"/>
                <w:color w:val="000000"/>
                <w:sz w:val="20"/>
                <w:szCs w:val="20"/>
              </w:rPr>
              <w:t>425</w:t>
            </w:r>
          </w:p>
        </w:tc>
        <w:tc>
          <w:tcPr>
            <w:tcW w:w="1971" w:type="dxa"/>
            <w:tcBorders>
              <w:top w:val="nil"/>
              <w:left w:val="nil"/>
              <w:bottom w:val="single" w:sz="4" w:space="0" w:color="auto"/>
              <w:right w:val="single" w:sz="4" w:space="0" w:color="auto"/>
            </w:tcBorders>
            <w:shd w:val="clear" w:color="auto" w:fill="auto"/>
            <w:noWrap/>
            <w:vAlign w:val="bottom"/>
            <w:hideMark/>
          </w:tcPr>
          <w:p w14:paraId="038F1499" w14:textId="77777777" w:rsidR="005F40E1" w:rsidRPr="005F40E1" w:rsidRDefault="005F40E1" w:rsidP="005F40E1">
            <w:pPr>
              <w:spacing w:after="0"/>
              <w:jc w:val="right"/>
              <w:rPr>
                <w:rFonts w:ascii="Calibri" w:eastAsia="Times New Roman" w:hAnsi="Calibri" w:cs="Calibri"/>
                <w:color w:val="000000"/>
                <w:sz w:val="20"/>
                <w:szCs w:val="20"/>
              </w:rPr>
            </w:pPr>
            <w:r w:rsidRPr="005F40E1">
              <w:rPr>
                <w:rFonts w:ascii="Calibri" w:eastAsia="Times New Roman" w:hAnsi="Calibri" w:cs="Calibri"/>
                <w:color w:val="000000"/>
                <w:sz w:val="20"/>
                <w:szCs w:val="20"/>
              </w:rPr>
              <w:t>2.8</w:t>
            </w:r>
          </w:p>
        </w:tc>
      </w:tr>
    </w:tbl>
    <w:p w14:paraId="11AF499D" w14:textId="77777777" w:rsidR="005F40E1" w:rsidRPr="00986450" w:rsidRDefault="005F40E1" w:rsidP="00B40D10"/>
    <w:p w14:paraId="25BCC61F" w14:textId="7A80CD7A" w:rsidR="005C3BFC" w:rsidRDefault="001512F7" w:rsidP="00A35800">
      <w:pPr>
        <w:rPr>
          <w:highlight w:val="yellow"/>
        </w:rPr>
      </w:pPr>
      <w:r>
        <w:rPr>
          <w:noProof/>
        </w:rPr>
        <w:drawing>
          <wp:inline distT="0" distB="0" distL="0" distR="0" wp14:anchorId="3A57CDF6" wp14:editId="0C01943F">
            <wp:extent cx="5687695" cy="3592800"/>
            <wp:effectExtent l="0" t="0" r="8255" b="8255"/>
            <wp:docPr id="1" name="Chart 1" descr="A line graph showing the number of prescriptions for dupilumab per quarter is increasing with the number of treated patients.">
              <a:extLst xmlns:a="http://schemas.openxmlformats.org/drawingml/2006/main">
                <a:ext uri="{FF2B5EF4-FFF2-40B4-BE49-F238E27FC236}">
                  <a16:creationId xmlns:a16="http://schemas.microsoft.com/office/drawing/2014/main" id="{5A701941-25BA-4216-BCD3-9FE92FE3C5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4A9F8AC" w14:textId="5BE14460" w:rsidR="00F34EA0" w:rsidRDefault="00C81878" w:rsidP="00C81878">
      <w:pPr>
        <w:pStyle w:val="Figuretitle"/>
        <w:rPr>
          <w:highlight w:val="yellow"/>
        </w:rPr>
      </w:pPr>
      <w:r w:rsidRPr="00C81878">
        <w:t xml:space="preserve">Figure </w:t>
      </w:r>
      <w:r w:rsidR="008761B9">
        <w:t>5</w:t>
      </w:r>
      <w:r w:rsidRPr="00C81878">
        <w:t xml:space="preserve">: </w:t>
      </w:r>
      <w:r w:rsidR="008D5D44">
        <w:t>P</w:t>
      </w:r>
      <w:r w:rsidR="00780359">
        <w:t>atient and prescription</w:t>
      </w:r>
      <w:r w:rsidR="008D5D44">
        <w:t xml:space="preserve"> counts for</w:t>
      </w:r>
      <w:r w:rsidR="00780359">
        <w:t xml:space="preserve"> </w:t>
      </w:r>
      <w:r w:rsidR="008D5D44">
        <w:t xml:space="preserve">dupilumab for </w:t>
      </w:r>
      <w:proofErr w:type="gramStart"/>
      <w:r w:rsidR="008D5D44">
        <w:t>dermatitis</w:t>
      </w:r>
      <w:proofErr w:type="gramEnd"/>
    </w:p>
    <w:p w14:paraId="6A196479" w14:textId="77777777" w:rsidR="00C81878" w:rsidRPr="00125E0F" w:rsidRDefault="00C81878" w:rsidP="00F50942"/>
    <w:p w14:paraId="6FA92F18" w14:textId="056C5BB7" w:rsidR="002D7D74" w:rsidRPr="00125E0F" w:rsidRDefault="002D7D74" w:rsidP="00F50942">
      <w:r w:rsidRPr="00125E0F">
        <w:t xml:space="preserve">The number of initiating patients </w:t>
      </w:r>
      <w:r w:rsidR="00A053FF">
        <w:t xml:space="preserve">per quarter </w:t>
      </w:r>
      <w:r w:rsidR="00680717" w:rsidRPr="00125E0F">
        <w:t>was highest in the second quarter of 2021</w:t>
      </w:r>
      <w:r w:rsidR="00D51118" w:rsidRPr="00125E0F">
        <w:t xml:space="preserve">, noting that </w:t>
      </w:r>
      <w:r w:rsidR="00DD3C7B" w:rsidRPr="00125E0F">
        <w:t>the first quarter of 2021 only included one month of data as dupilumab was listed March 2021.</w:t>
      </w:r>
      <w:r w:rsidR="00125E0F" w:rsidRPr="00125E0F">
        <w:t xml:space="preserve"> </w:t>
      </w:r>
      <w:r w:rsidR="00A053FF">
        <w:t xml:space="preserve">The number </w:t>
      </w:r>
      <w:r w:rsidR="00A053FF" w:rsidRPr="00A053FF">
        <w:t xml:space="preserve">of initiating patients </w:t>
      </w:r>
      <w:r w:rsidR="00A053FF">
        <w:t xml:space="preserve">per quarter has been fairly stable </w:t>
      </w:r>
      <w:r w:rsidR="00187F0B">
        <w:t xml:space="preserve">since the fourth quarter of 2021. </w:t>
      </w:r>
      <w:r w:rsidR="00125E0F">
        <w:t xml:space="preserve">The number of treated patients and supplied prescriptions </w:t>
      </w:r>
      <w:r w:rsidR="00B7543A">
        <w:t>ha</w:t>
      </w:r>
      <w:r w:rsidR="006F3B26">
        <w:t>ve</w:t>
      </w:r>
      <w:r w:rsidR="00B7543A">
        <w:t xml:space="preserve"> increased every quarter since listing, and </w:t>
      </w:r>
      <w:r w:rsidR="00E72F82">
        <w:t>the rate of growth does not appear to be decreasing.</w:t>
      </w:r>
    </w:p>
    <w:p w14:paraId="74E26639" w14:textId="2FED1A5C" w:rsidR="00F50942" w:rsidRDefault="002E1ACA" w:rsidP="00A35800">
      <w:pPr>
        <w:rPr>
          <w:highlight w:val="yellow"/>
        </w:rPr>
      </w:pPr>
      <w:r>
        <w:rPr>
          <w:noProof/>
        </w:rPr>
        <w:lastRenderedPageBreak/>
        <w:drawing>
          <wp:inline distT="0" distB="0" distL="0" distR="0" wp14:anchorId="361910C4" wp14:editId="7D1127E0">
            <wp:extent cx="5687695" cy="3289111"/>
            <wp:effectExtent l="0" t="0" r="8255" b="6985"/>
            <wp:docPr id="5" name="Chart 5" descr="A column chart with separate columns for whole body, face and/or hands and unknown by quarter. The use of each is increasing each quarter with whole body being around 4 times higher each quarter than face and/or hands.  ">
              <a:extLst xmlns:a="http://schemas.openxmlformats.org/drawingml/2006/main">
                <a:ext uri="{FF2B5EF4-FFF2-40B4-BE49-F238E27FC236}">
                  <a16:creationId xmlns:a16="http://schemas.microsoft.com/office/drawing/2014/main" id="{B390B87C-F781-2120-8039-E04B4F0D54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909BDC4" w14:textId="2FEA4470" w:rsidR="005C6152" w:rsidRDefault="00B3528D" w:rsidP="00B3528D">
      <w:pPr>
        <w:pStyle w:val="Figuretitle"/>
      </w:pPr>
      <w:r>
        <w:t xml:space="preserve">Figure </w:t>
      </w:r>
      <w:r w:rsidR="008761B9">
        <w:t>6</w:t>
      </w:r>
      <w:r>
        <w:t>: Prescriptions for whole</w:t>
      </w:r>
      <w:r w:rsidRPr="00B3528D">
        <w:t xml:space="preserve"> body vs face and</w:t>
      </w:r>
      <w:r>
        <w:t>/or</w:t>
      </w:r>
      <w:r w:rsidRPr="00B3528D">
        <w:t xml:space="preserve"> hands</w:t>
      </w:r>
      <w:r w:rsidR="00F4184B">
        <w:t xml:space="preserve"> for dupil</w:t>
      </w:r>
      <w:r w:rsidR="00827959">
        <w:t>u</w:t>
      </w:r>
      <w:r w:rsidR="00F4184B">
        <w:t>mab</w:t>
      </w:r>
    </w:p>
    <w:p w14:paraId="066BE6BB" w14:textId="77777777" w:rsidR="00B3528D" w:rsidRDefault="00B3528D" w:rsidP="00D06C14"/>
    <w:p w14:paraId="03AEA0C4" w14:textId="29488C94" w:rsidR="00F97C1F" w:rsidRDefault="00AB46F5" w:rsidP="00D06C14">
      <w:r>
        <w:t xml:space="preserve">The majority of use of dupilumab for atopic dermatitis </w:t>
      </w:r>
      <w:r w:rsidR="00DA6662">
        <w:t xml:space="preserve">has been </w:t>
      </w:r>
      <w:r w:rsidR="008966DA">
        <w:t>supplied</w:t>
      </w:r>
      <w:r w:rsidR="00DA6662">
        <w:t xml:space="preserve"> under authority codes for treatment of the whole body. </w:t>
      </w:r>
      <w:r w:rsidR="006373D9">
        <w:t xml:space="preserve">In 2022, </w:t>
      </w:r>
      <w:r w:rsidR="008966DA">
        <w:t xml:space="preserve">82% of prescriptions were </w:t>
      </w:r>
      <w:r w:rsidR="008966DA" w:rsidRPr="008966DA">
        <w:t>supplied under authority codes for treatment of the whole body</w:t>
      </w:r>
      <w:r w:rsidR="008966DA">
        <w:t xml:space="preserve">, and 16% </w:t>
      </w:r>
      <w:r w:rsidR="00F06479" w:rsidRPr="00F06479">
        <w:t>of prescriptions were supplied under authority codes for treatment of the</w:t>
      </w:r>
      <w:r w:rsidR="00F06479">
        <w:t xml:space="preserve"> face and/or hands.</w:t>
      </w:r>
      <w:r w:rsidR="00531F26">
        <w:t xml:space="preserve"> </w:t>
      </w:r>
      <w:r w:rsidR="001C23C6">
        <w:t xml:space="preserve">It appears the use for face and/or hands has increased, </w:t>
      </w:r>
      <w:r w:rsidR="00511607">
        <w:t xml:space="preserve">from January to June 2023 </w:t>
      </w:r>
      <w:r w:rsidR="00511607" w:rsidRPr="00511607">
        <w:t>8</w:t>
      </w:r>
      <w:r w:rsidR="00511607">
        <w:t>0</w:t>
      </w:r>
      <w:r w:rsidR="00511607" w:rsidRPr="00511607">
        <w:t>% of prescriptions were supplied under authority codes for treatment of the whole body, and 1</w:t>
      </w:r>
      <w:r w:rsidR="00511607">
        <w:t>8</w:t>
      </w:r>
      <w:r w:rsidR="00511607" w:rsidRPr="00511607">
        <w:t>% of prescriptions were supplied under authority codes for treatment of the face and/or hands</w:t>
      </w:r>
      <w:r w:rsidR="00815AE4">
        <w:t>.</w:t>
      </w:r>
    </w:p>
    <w:p w14:paraId="009844DD" w14:textId="46567FEF" w:rsidR="00B43358" w:rsidRDefault="00D91056" w:rsidP="007A3DA2">
      <w:r>
        <w:t xml:space="preserve">This is consistent with the prescription data </w:t>
      </w:r>
      <w:r w:rsidR="007A3DA2">
        <w:t xml:space="preserve">presented to the </w:t>
      </w:r>
      <w:r w:rsidR="009E2593">
        <w:t>July 2023 meeting</w:t>
      </w:r>
      <w:r w:rsidR="007A3DA2">
        <w:t>. At the July 2023 meeting the</w:t>
      </w:r>
      <w:r w:rsidR="00B43358" w:rsidRPr="00B43358">
        <w:t xml:space="preserve"> PBAC noted the script data for dupilumab utilisation (March 2021 to August 2022) indicated that, of patients treated with dupilumab for severe AD, 17.6% were qualifying under the hands/face only criteria. The PBAC noted that in the most recent data available (March 2021 to March 2023) this proportion had increased to 19%. </w:t>
      </w:r>
    </w:p>
    <w:p w14:paraId="09F9D349" w14:textId="5A786D66" w:rsidR="00736041" w:rsidRPr="005E22C2" w:rsidRDefault="00736041" w:rsidP="00AE5A00">
      <w:pPr>
        <w:pStyle w:val="Heading3"/>
        <w:keepNext/>
      </w:pPr>
      <w:r w:rsidRPr="005E22C2">
        <w:lastRenderedPageBreak/>
        <w:t>Utilisation by relevant sub-populations/regions</w:t>
      </w:r>
      <w:r w:rsidR="001B5D37" w:rsidRPr="005E22C2">
        <w:t xml:space="preserve"> or patient level analysis</w:t>
      </w:r>
    </w:p>
    <w:p w14:paraId="6067218F" w14:textId="5242DAC9" w:rsidR="00B3528D" w:rsidRDefault="00EC44EF" w:rsidP="00846962">
      <w:pPr>
        <w:rPr>
          <w:highlight w:val="yellow"/>
        </w:rPr>
      </w:pPr>
      <w:r>
        <w:rPr>
          <w:noProof/>
        </w:rPr>
        <w:drawing>
          <wp:inline distT="0" distB="0" distL="0" distR="0" wp14:anchorId="69D03007" wp14:editId="39C9FB65">
            <wp:extent cx="5687695" cy="3997325"/>
            <wp:effectExtent l="0" t="0" r="8255" b="3175"/>
            <wp:docPr id="6" name="Chart 6" descr="A column graph showing the aged and gender of initiating dupilumab patients by five year groups. Use is highest in patients aged 15-19, 20-24 and 25-29.">
              <a:extLst xmlns:a="http://schemas.openxmlformats.org/drawingml/2006/main">
                <a:ext uri="{FF2B5EF4-FFF2-40B4-BE49-F238E27FC236}">
                  <a16:creationId xmlns:a16="http://schemas.microsoft.com/office/drawing/2014/main" id="{C70EAC28-1FB6-B5CE-04FE-AED67E41E6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275EB6E" w14:textId="72B2E7E0" w:rsidR="00B3528D" w:rsidRPr="006502D5" w:rsidRDefault="006502D5" w:rsidP="006502D5">
      <w:pPr>
        <w:pStyle w:val="Figuretitle"/>
      </w:pPr>
      <w:r w:rsidRPr="006502D5">
        <w:t xml:space="preserve">Figure </w:t>
      </w:r>
      <w:r w:rsidR="00CD0E09">
        <w:t>7</w:t>
      </w:r>
      <w:r w:rsidRPr="006502D5">
        <w:t>: Age and gender of initiating patients</w:t>
      </w:r>
      <w:r w:rsidR="00F4184B">
        <w:t xml:space="preserve"> for dupil</w:t>
      </w:r>
      <w:r w:rsidR="00B71CD0">
        <w:t>u</w:t>
      </w:r>
      <w:r w:rsidR="00F4184B">
        <w:t>mab</w:t>
      </w:r>
    </w:p>
    <w:p w14:paraId="540172B6" w14:textId="569A9D70" w:rsidR="006502D5" w:rsidRDefault="006502D5" w:rsidP="00846962">
      <w:pPr>
        <w:rPr>
          <w:highlight w:val="yellow"/>
        </w:rPr>
      </w:pPr>
    </w:p>
    <w:p w14:paraId="0496AC0E" w14:textId="00150D90" w:rsidR="006502D5" w:rsidRPr="009C7D53" w:rsidRDefault="003054D0" w:rsidP="00846962">
      <w:r>
        <w:t xml:space="preserve">Figure </w:t>
      </w:r>
      <w:r w:rsidR="00CD0E09">
        <w:t>7</w:t>
      </w:r>
      <w:r>
        <w:t xml:space="preserve"> shows the age and gender of initiating patients of dupilumab for </w:t>
      </w:r>
      <w:r w:rsidRPr="003054D0">
        <w:t>atopic dermatitis</w:t>
      </w:r>
      <w:r w:rsidR="00920BE6">
        <w:t>.</w:t>
      </w:r>
      <w:r w:rsidRPr="003054D0">
        <w:t xml:space="preserve"> </w:t>
      </w:r>
      <w:r w:rsidR="00C92D80" w:rsidRPr="00C92D80">
        <w:t>The mean age at initiation was 40</w:t>
      </w:r>
      <w:r w:rsidR="00C92D80">
        <w:t xml:space="preserve"> years old</w:t>
      </w:r>
      <w:r w:rsidR="00C92D80" w:rsidRPr="00C92D80">
        <w:t>, and the median was 36</w:t>
      </w:r>
      <w:r w:rsidR="00C92D80">
        <w:t xml:space="preserve"> years old</w:t>
      </w:r>
      <w:r w:rsidR="00C92D80" w:rsidRPr="00C92D80">
        <w:t>.</w:t>
      </w:r>
      <w:r w:rsidR="00AA744A">
        <w:t xml:space="preserve"> </w:t>
      </w:r>
      <w:r w:rsidR="001E2DAC">
        <w:t xml:space="preserve">The </w:t>
      </w:r>
      <w:r w:rsidR="00920BE6">
        <w:t xml:space="preserve">group with the highest number of patients is those aged 20 to 24 years old. </w:t>
      </w:r>
      <w:r w:rsidR="002857FF">
        <w:t xml:space="preserve">Patients aged 15 to 29 account for </w:t>
      </w:r>
      <w:r w:rsidR="00472EB8">
        <w:t>34% of the 16,99</w:t>
      </w:r>
      <w:r w:rsidR="00D94572">
        <w:t>5</w:t>
      </w:r>
      <w:r w:rsidR="00472EB8">
        <w:t xml:space="preserve"> initiators. </w:t>
      </w:r>
      <w:r w:rsidR="00A362FD">
        <w:t xml:space="preserve">More males than female patients initiated in every age group, except </w:t>
      </w:r>
      <w:r w:rsidR="002857FF">
        <w:t xml:space="preserve">in the </w:t>
      </w:r>
      <w:r w:rsidR="00A91A37">
        <w:t>45</w:t>
      </w:r>
      <w:r w:rsidR="002857FF">
        <w:t xml:space="preserve"> – </w:t>
      </w:r>
      <w:proofErr w:type="gramStart"/>
      <w:r w:rsidR="002857FF">
        <w:t>54 year</w:t>
      </w:r>
      <w:proofErr w:type="gramEnd"/>
      <w:r w:rsidR="002857FF">
        <w:t xml:space="preserve"> range. </w:t>
      </w:r>
      <w:r w:rsidR="00257BEB" w:rsidRPr="001E2DAC">
        <w:t xml:space="preserve">Patients aged younger than 10 and older than 94 years old are not shown due to small numbers. </w:t>
      </w:r>
      <w:r w:rsidR="001E2DAC" w:rsidRPr="001E2DAC">
        <w:t>Five</w:t>
      </w:r>
      <w:r w:rsidR="00AE5A00" w:rsidRPr="001E2DAC">
        <w:t xml:space="preserve"> </w:t>
      </w:r>
      <w:r w:rsidR="009C7D53" w:rsidRPr="001E2DAC">
        <w:t>patients</w:t>
      </w:r>
      <w:r w:rsidR="006502D5" w:rsidRPr="001E2DAC">
        <w:t xml:space="preserve"> initiated </w:t>
      </w:r>
      <w:r w:rsidR="009C7D53" w:rsidRPr="001E2DAC">
        <w:t>dupilumab for dermatitis aged younger than</w:t>
      </w:r>
      <w:r w:rsidR="006502D5" w:rsidRPr="001E2DAC">
        <w:t xml:space="preserve"> 12 years old</w:t>
      </w:r>
      <w:r w:rsidR="009C7D53" w:rsidRPr="001E2DAC">
        <w:t>.</w:t>
      </w:r>
    </w:p>
    <w:p w14:paraId="1B813378" w14:textId="77777777" w:rsidR="00B3528D" w:rsidRDefault="00B3528D" w:rsidP="00846962">
      <w:pPr>
        <w:rPr>
          <w:highlight w:val="yellow"/>
        </w:rPr>
      </w:pPr>
    </w:p>
    <w:p w14:paraId="32C0C824" w14:textId="77777777" w:rsidR="00EA609E" w:rsidRDefault="00EA609E" w:rsidP="00C81878">
      <w:pPr>
        <w:rPr>
          <w:highlight w:val="yellow"/>
        </w:rPr>
      </w:pPr>
    </w:p>
    <w:p w14:paraId="077D3FEA" w14:textId="5CA27B6B" w:rsidR="00EA609E" w:rsidRDefault="00913C54" w:rsidP="00C81878">
      <w:pPr>
        <w:rPr>
          <w:highlight w:val="yellow"/>
        </w:rPr>
      </w:pPr>
      <w:r>
        <w:rPr>
          <w:noProof/>
        </w:rPr>
        <w:lastRenderedPageBreak/>
        <w:drawing>
          <wp:inline distT="0" distB="0" distL="0" distR="0" wp14:anchorId="6065ADE2" wp14:editId="3CA845C5">
            <wp:extent cx="5468587" cy="3290570"/>
            <wp:effectExtent l="0" t="0" r="18415" b="5080"/>
            <wp:docPr id="3" name="Chart 3" descr="A column graph showing the number of initiating dupilumab patients and the number of initiating dupilumab patients standardised by state population.">
              <a:extLst xmlns:a="http://schemas.openxmlformats.org/drawingml/2006/main">
                <a:ext uri="{FF2B5EF4-FFF2-40B4-BE49-F238E27FC236}">
                  <a16:creationId xmlns:a16="http://schemas.microsoft.com/office/drawing/2014/main" id="{4F18A320-77F5-14E6-D0CC-0FC8C60BBA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DB3C2F2" w14:textId="52AA23FF" w:rsidR="00C81878" w:rsidRPr="00EA609E" w:rsidRDefault="00EA609E" w:rsidP="00EA609E">
      <w:pPr>
        <w:pStyle w:val="Figuretitle"/>
      </w:pPr>
      <w:r w:rsidRPr="00EA609E">
        <w:t xml:space="preserve">Figure </w:t>
      </w:r>
      <w:r w:rsidR="00CD0E09">
        <w:t>8</w:t>
      </w:r>
      <w:r w:rsidRPr="00EA609E">
        <w:t xml:space="preserve">: Number of initiating patients and </w:t>
      </w:r>
      <w:proofErr w:type="spellStart"/>
      <w:r w:rsidRPr="00EA609E">
        <w:t>standardised</w:t>
      </w:r>
      <w:proofErr w:type="spellEnd"/>
      <w:r w:rsidRPr="00EA609E">
        <w:t xml:space="preserve"> initiating patients by </w:t>
      </w:r>
      <w:r w:rsidR="00C81878" w:rsidRPr="00EA609E">
        <w:t>State</w:t>
      </w:r>
    </w:p>
    <w:p w14:paraId="6CC70FC8" w14:textId="5F75BDFD" w:rsidR="00EA609E" w:rsidRPr="00F21A21" w:rsidRDefault="00F21A21" w:rsidP="00F21A21">
      <w:pPr>
        <w:pStyle w:val="Notes"/>
      </w:pPr>
      <w:r w:rsidRPr="00F21A21">
        <w:t>Note: Number of initiators for Australia (16,99</w:t>
      </w:r>
      <w:r w:rsidR="00C67B97">
        <w:t>5</w:t>
      </w:r>
      <w:r w:rsidRPr="00F21A21">
        <w:t>) is not shown</w:t>
      </w:r>
    </w:p>
    <w:p w14:paraId="13F73AC4" w14:textId="6C5B0950" w:rsidR="008820F7" w:rsidRDefault="00F21A21" w:rsidP="00C81878">
      <w:pPr>
        <w:rPr>
          <w:highlight w:val="yellow"/>
        </w:rPr>
      </w:pPr>
      <w:r w:rsidRPr="00255A81">
        <w:t xml:space="preserve">Figure </w:t>
      </w:r>
      <w:r w:rsidR="00CD0E09">
        <w:t>8</w:t>
      </w:r>
      <w:r w:rsidRPr="00255A81">
        <w:t xml:space="preserve"> counts every patient once </w:t>
      </w:r>
      <w:r w:rsidR="001831AC" w:rsidRPr="00255A81">
        <w:t>for the State</w:t>
      </w:r>
      <w:r w:rsidR="00255A81">
        <w:t xml:space="preserve"> or Territory</w:t>
      </w:r>
      <w:r w:rsidR="001831AC" w:rsidRPr="00255A81">
        <w:t xml:space="preserve"> that</w:t>
      </w:r>
      <w:r w:rsidR="006814AA">
        <w:t xml:space="preserve"> the</w:t>
      </w:r>
      <w:r w:rsidR="001831AC" w:rsidRPr="00255A81">
        <w:t xml:space="preserve"> patient initiated in</w:t>
      </w:r>
      <w:r w:rsidR="00255A81">
        <w:t>, using the patient’s postcode</w:t>
      </w:r>
      <w:r w:rsidR="001831AC" w:rsidRPr="00255A81">
        <w:t xml:space="preserve">. </w:t>
      </w:r>
      <w:r w:rsidR="008820F7" w:rsidRPr="00255A81">
        <w:t xml:space="preserve">The State in Australia with the highest number of initiating patients </w:t>
      </w:r>
      <w:r w:rsidR="001831AC" w:rsidRPr="00255A81">
        <w:t>wa</w:t>
      </w:r>
      <w:r w:rsidR="008820F7" w:rsidRPr="00255A81">
        <w:t>s NSW</w:t>
      </w:r>
      <w:r w:rsidR="001831AC" w:rsidRPr="00255A81">
        <w:t>, and the standardised data sho</w:t>
      </w:r>
      <w:r w:rsidR="00C31F6D" w:rsidRPr="00255A81">
        <w:t xml:space="preserve">ws that the standardised number of initiating patients was highest in Tasmania. </w:t>
      </w:r>
      <w:r w:rsidR="00B760A5" w:rsidRPr="00255A81">
        <w:t>Northern Territory had the lowest number of initiating patients and the lowest</w:t>
      </w:r>
      <w:r w:rsidR="00B760A5">
        <w:t xml:space="preserve"> </w:t>
      </w:r>
      <w:r w:rsidR="00B760A5" w:rsidRPr="00B760A5">
        <w:t>standardised number of initiating patients</w:t>
      </w:r>
      <w:r w:rsidR="00255A81">
        <w:t>.</w:t>
      </w:r>
    </w:p>
    <w:p w14:paraId="26AC2F46" w14:textId="77777777" w:rsidR="00F21A21" w:rsidRDefault="00F21A21" w:rsidP="00C81878">
      <w:pPr>
        <w:rPr>
          <w:highlight w:val="yellow"/>
        </w:rPr>
      </w:pPr>
    </w:p>
    <w:p w14:paraId="64E742EB" w14:textId="023D57E5" w:rsidR="00EA609E" w:rsidRPr="002E5F17" w:rsidRDefault="002E5F17" w:rsidP="002E5F17">
      <w:pPr>
        <w:pStyle w:val="Tabletitle"/>
      </w:pPr>
      <w:r w:rsidRPr="00603162">
        <w:t xml:space="preserve">Table </w:t>
      </w:r>
      <w:r w:rsidR="00302A5A">
        <w:t>1</w:t>
      </w:r>
      <w:r w:rsidR="00465265">
        <w:t>0</w:t>
      </w:r>
      <w:r w:rsidRPr="00603162">
        <w:t>: Prescriber type for initiating patients and prescriptions</w:t>
      </w:r>
    </w:p>
    <w:tbl>
      <w:tblPr>
        <w:tblW w:w="7845" w:type="dxa"/>
        <w:tblInd w:w="113" w:type="dxa"/>
        <w:tblLook w:val="04A0" w:firstRow="1" w:lastRow="0" w:firstColumn="1" w:lastColumn="0" w:noHBand="0" w:noVBand="1"/>
      </w:tblPr>
      <w:tblGrid>
        <w:gridCol w:w="2606"/>
        <w:gridCol w:w="1560"/>
        <w:gridCol w:w="1420"/>
        <w:gridCol w:w="1299"/>
        <w:gridCol w:w="960"/>
      </w:tblGrid>
      <w:tr w:rsidR="002E5F17" w:rsidRPr="002E5F17" w14:paraId="1CEA4579" w14:textId="77777777" w:rsidTr="00BA156B">
        <w:trPr>
          <w:trHeight w:val="300"/>
        </w:trPr>
        <w:tc>
          <w:tcPr>
            <w:tcW w:w="2606"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16FEF91" w14:textId="77777777" w:rsidR="002E5F17" w:rsidRPr="002E5F17" w:rsidRDefault="002E5F17" w:rsidP="002E5F17">
            <w:pPr>
              <w:spacing w:after="0"/>
              <w:rPr>
                <w:rFonts w:ascii="Calibri" w:eastAsia="Times New Roman" w:hAnsi="Calibri" w:cs="Calibri"/>
                <w:b/>
                <w:bCs/>
                <w:color w:val="000000"/>
                <w:sz w:val="20"/>
                <w:szCs w:val="20"/>
              </w:rPr>
            </w:pPr>
            <w:r w:rsidRPr="002E5F17">
              <w:rPr>
                <w:rFonts w:ascii="Calibri" w:eastAsia="Times New Roman" w:hAnsi="Calibri" w:cs="Calibri"/>
                <w:b/>
                <w:bCs/>
                <w:color w:val="000000"/>
                <w:sz w:val="20"/>
                <w:szCs w:val="20"/>
              </w:rPr>
              <w:t>Major Specialty Name</w:t>
            </w:r>
          </w:p>
        </w:tc>
        <w:tc>
          <w:tcPr>
            <w:tcW w:w="1560" w:type="dxa"/>
            <w:tcBorders>
              <w:top w:val="single" w:sz="4" w:space="0" w:color="auto"/>
              <w:left w:val="nil"/>
              <w:bottom w:val="single" w:sz="4" w:space="0" w:color="auto"/>
              <w:right w:val="single" w:sz="4" w:space="0" w:color="auto"/>
            </w:tcBorders>
            <w:shd w:val="clear" w:color="000000" w:fill="BFBFBF"/>
            <w:noWrap/>
            <w:vAlign w:val="bottom"/>
            <w:hideMark/>
          </w:tcPr>
          <w:p w14:paraId="2E464CEB" w14:textId="77777777" w:rsidR="002E5F17" w:rsidRPr="002E5F17" w:rsidRDefault="002E5F17" w:rsidP="002E5F17">
            <w:pPr>
              <w:spacing w:after="0"/>
              <w:rPr>
                <w:rFonts w:ascii="Calibri" w:eastAsia="Times New Roman" w:hAnsi="Calibri" w:cs="Calibri"/>
                <w:b/>
                <w:bCs/>
                <w:color w:val="000000"/>
                <w:sz w:val="20"/>
                <w:szCs w:val="20"/>
              </w:rPr>
            </w:pPr>
            <w:r w:rsidRPr="002E5F17">
              <w:rPr>
                <w:rFonts w:ascii="Calibri" w:eastAsia="Times New Roman" w:hAnsi="Calibri" w:cs="Calibri"/>
                <w:b/>
                <w:bCs/>
                <w:color w:val="000000"/>
                <w:sz w:val="20"/>
                <w:szCs w:val="20"/>
              </w:rPr>
              <w:t>Initiating patients</w:t>
            </w:r>
          </w:p>
        </w:tc>
        <w:tc>
          <w:tcPr>
            <w:tcW w:w="1420" w:type="dxa"/>
            <w:tcBorders>
              <w:top w:val="single" w:sz="4" w:space="0" w:color="auto"/>
              <w:left w:val="nil"/>
              <w:bottom w:val="single" w:sz="4" w:space="0" w:color="auto"/>
              <w:right w:val="single" w:sz="4" w:space="0" w:color="auto"/>
            </w:tcBorders>
            <w:shd w:val="clear" w:color="000000" w:fill="BFBFBF"/>
            <w:noWrap/>
            <w:vAlign w:val="bottom"/>
            <w:hideMark/>
          </w:tcPr>
          <w:p w14:paraId="5A019289" w14:textId="77777777" w:rsidR="002E5F17" w:rsidRPr="002E5F17" w:rsidRDefault="002E5F17" w:rsidP="002E5F17">
            <w:pPr>
              <w:spacing w:after="0"/>
              <w:rPr>
                <w:rFonts w:ascii="Calibri" w:eastAsia="Times New Roman" w:hAnsi="Calibri" w:cs="Calibri"/>
                <w:b/>
                <w:bCs/>
                <w:color w:val="000000"/>
                <w:sz w:val="20"/>
                <w:szCs w:val="20"/>
              </w:rPr>
            </w:pPr>
            <w:r w:rsidRPr="002E5F17">
              <w:rPr>
                <w:rFonts w:ascii="Calibri" w:eastAsia="Times New Roman" w:hAnsi="Calibri" w:cs="Calibri"/>
                <w:b/>
                <w:bCs/>
                <w:color w:val="000000"/>
                <w:sz w:val="20"/>
                <w:szCs w:val="20"/>
              </w:rPr>
              <w:t>Percent of total</w:t>
            </w:r>
          </w:p>
        </w:tc>
        <w:tc>
          <w:tcPr>
            <w:tcW w:w="1299" w:type="dxa"/>
            <w:tcBorders>
              <w:top w:val="single" w:sz="4" w:space="0" w:color="auto"/>
              <w:left w:val="nil"/>
              <w:bottom w:val="single" w:sz="4" w:space="0" w:color="auto"/>
              <w:right w:val="single" w:sz="4" w:space="0" w:color="auto"/>
            </w:tcBorders>
            <w:shd w:val="clear" w:color="000000" w:fill="BFBFBF"/>
            <w:noWrap/>
            <w:vAlign w:val="bottom"/>
            <w:hideMark/>
          </w:tcPr>
          <w:p w14:paraId="095F7055" w14:textId="77777777" w:rsidR="002E5F17" w:rsidRPr="002E5F17" w:rsidRDefault="002E5F17" w:rsidP="002E5F17">
            <w:pPr>
              <w:spacing w:after="0"/>
              <w:rPr>
                <w:rFonts w:ascii="Calibri" w:eastAsia="Times New Roman" w:hAnsi="Calibri" w:cs="Calibri"/>
                <w:b/>
                <w:bCs/>
                <w:color w:val="000000"/>
                <w:sz w:val="20"/>
                <w:szCs w:val="20"/>
              </w:rPr>
            </w:pPr>
            <w:r w:rsidRPr="002E5F17">
              <w:rPr>
                <w:rFonts w:ascii="Calibri" w:eastAsia="Times New Roman" w:hAnsi="Calibri" w:cs="Calibri"/>
                <w:b/>
                <w:bCs/>
                <w:color w:val="000000"/>
                <w:sz w:val="20"/>
                <w:szCs w:val="20"/>
              </w:rPr>
              <w:t>Prescriptions</w:t>
            </w:r>
          </w:p>
        </w:tc>
        <w:tc>
          <w:tcPr>
            <w:tcW w:w="960" w:type="dxa"/>
            <w:tcBorders>
              <w:top w:val="single" w:sz="4" w:space="0" w:color="auto"/>
              <w:left w:val="nil"/>
              <w:bottom w:val="single" w:sz="4" w:space="0" w:color="auto"/>
              <w:right w:val="single" w:sz="4" w:space="0" w:color="auto"/>
            </w:tcBorders>
            <w:shd w:val="clear" w:color="000000" w:fill="BFBFBF"/>
            <w:noWrap/>
            <w:vAlign w:val="bottom"/>
            <w:hideMark/>
          </w:tcPr>
          <w:p w14:paraId="2D652933" w14:textId="77777777" w:rsidR="002E5F17" w:rsidRPr="002E5F17" w:rsidRDefault="002E5F17" w:rsidP="002E5F17">
            <w:pPr>
              <w:spacing w:after="0"/>
              <w:rPr>
                <w:rFonts w:ascii="Calibri" w:eastAsia="Times New Roman" w:hAnsi="Calibri" w:cs="Calibri"/>
                <w:b/>
                <w:bCs/>
                <w:color w:val="000000"/>
                <w:sz w:val="20"/>
                <w:szCs w:val="20"/>
              </w:rPr>
            </w:pPr>
            <w:r w:rsidRPr="002E5F17">
              <w:rPr>
                <w:rFonts w:ascii="Calibri" w:eastAsia="Times New Roman" w:hAnsi="Calibri" w:cs="Calibri"/>
                <w:b/>
                <w:bCs/>
                <w:color w:val="000000"/>
                <w:sz w:val="20"/>
                <w:szCs w:val="20"/>
              </w:rPr>
              <w:t>Percent of total</w:t>
            </w:r>
          </w:p>
        </w:tc>
      </w:tr>
      <w:tr w:rsidR="00BA156B" w:rsidRPr="002E5F17" w14:paraId="21F19ECD" w14:textId="77777777" w:rsidTr="00BA156B">
        <w:trPr>
          <w:trHeight w:val="300"/>
        </w:trPr>
        <w:tc>
          <w:tcPr>
            <w:tcW w:w="2606" w:type="dxa"/>
            <w:tcBorders>
              <w:top w:val="nil"/>
              <w:left w:val="single" w:sz="4" w:space="0" w:color="auto"/>
              <w:bottom w:val="single" w:sz="4" w:space="0" w:color="auto"/>
              <w:right w:val="single" w:sz="4" w:space="0" w:color="auto"/>
            </w:tcBorders>
            <w:shd w:val="clear" w:color="auto" w:fill="auto"/>
            <w:noWrap/>
            <w:vAlign w:val="bottom"/>
            <w:hideMark/>
          </w:tcPr>
          <w:p w14:paraId="6277F26B" w14:textId="4D50DCC1" w:rsidR="00BA156B" w:rsidRPr="002E5F17" w:rsidRDefault="00BA156B" w:rsidP="00BA156B">
            <w:pPr>
              <w:spacing w:after="0"/>
              <w:rPr>
                <w:rFonts w:ascii="Calibri" w:eastAsia="Times New Roman" w:hAnsi="Calibri" w:cs="Calibri"/>
                <w:color w:val="000000"/>
                <w:sz w:val="20"/>
                <w:szCs w:val="20"/>
              </w:rPr>
            </w:pPr>
            <w:r>
              <w:rPr>
                <w:rFonts w:ascii="Calibri" w:hAnsi="Calibri" w:cs="Calibri"/>
                <w:color w:val="000000"/>
                <w:sz w:val="20"/>
                <w:szCs w:val="20"/>
              </w:rPr>
              <w:t>Dermatology</w:t>
            </w:r>
          </w:p>
        </w:tc>
        <w:tc>
          <w:tcPr>
            <w:tcW w:w="1560" w:type="dxa"/>
            <w:tcBorders>
              <w:top w:val="nil"/>
              <w:left w:val="nil"/>
              <w:bottom w:val="single" w:sz="4" w:space="0" w:color="auto"/>
              <w:right w:val="single" w:sz="4" w:space="0" w:color="auto"/>
            </w:tcBorders>
            <w:shd w:val="clear" w:color="auto" w:fill="auto"/>
            <w:noWrap/>
            <w:vAlign w:val="bottom"/>
            <w:hideMark/>
          </w:tcPr>
          <w:p w14:paraId="2E9BED4E" w14:textId="16C95D7D" w:rsidR="00BA156B" w:rsidRPr="002E5F17" w:rsidRDefault="00BA156B" w:rsidP="00BA156B">
            <w:pPr>
              <w:spacing w:after="0"/>
              <w:jc w:val="right"/>
              <w:rPr>
                <w:rFonts w:ascii="Calibri" w:eastAsia="Times New Roman" w:hAnsi="Calibri" w:cs="Calibri"/>
                <w:color w:val="000000"/>
                <w:sz w:val="20"/>
                <w:szCs w:val="20"/>
              </w:rPr>
            </w:pPr>
            <w:r>
              <w:rPr>
                <w:rFonts w:ascii="Calibri" w:hAnsi="Calibri" w:cs="Calibri"/>
                <w:color w:val="000000"/>
                <w:sz w:val="20"/>
                <w:szCs w:val="20"/>
              </w:rPr>
              <w:t>13,348</w:t>
            </w:r>
          </w:p>
        </w:tc>
        <w:tc>
          <w:tcPr>
            <w:tcW w:w="1420" w:type="dxa"/>
            <w:tcBorders>
              <w:top w:val="nil"/>
              <w:left w:val="nil"/>
              <w:bottom w:val="single" w:sz="4" w:space="0" w:color="auto"/>
              <w:right w:val="single" w:sz="4" w:space="0" w:color="auto"/>
            </w:tcBorders>
            <w:shd w:val="clear" w:color="auto" w:fill="auto"/>
            <w:noWrap/>
            <w:vAlign w:val="bottom"/>
            <w:hideMark/>
          </w:tcPr>
          <w:p w14:paraId="2EEB9B89" w14:textId="0C4EC2B2" w:rsidR="00BA156B" w:rsidRPr="002E5F17" w:rsidRDefault="00BA156B" w:rsidP="00BA156B">
            <w:pPr>
              <w:spacing w:after="0"/>
              <w:jc w:val="right"/>
              <w:rPr>
                <w:rFonts w:ascii="Calibri" w:eastAsia="Times New Roman" w:hAnsi="Calibri" w:cs="Calibri"/>
                <w:color w:val="000000"/>
                <w:sz w:val="20"/>
                <w:szCs w:val="20"/>
              </w:rPr>
            </w:pPr>
            <w:r>
              <w:rPr>
                <w:rFonts w:ascii="Calibri" w:hAnsi="Calibri" w:cs="Calibri"/>
                <w:color w:val="000000"/>
                <w:sz w:val="20"/>
                <w:szCs w:val="20"/>
              </w:rPr>
              <w:t>79%</w:t>
            </w:r>
          </w:p>
        </w:tc>
        <w:tc>
          <w:tcPr>
            <w:tcW w:w="1299" w:type="dxa"/>
            <w:tcBorders>
              <w:top w:val="nil"/>
              <w:left w:val="nil"/>
              <w:bottom w:val="single" w:sz="4" w:space="0" w:color="auto"/>
              <w:right w:val="single" w:sz="4" w:space="0" w:color="auto"/>
            </w:tcBorders>
            <w:shd w:val="clear" w:color="auto" w:fill="auto"/>
            <w:noWrap/>
            <w:vAlign w:val="bottom"/>
            <w:hideMark/>
          </w:tcPr>
          <w:p w14:paraId="1FBA9437" w14:textId="5E75637C" w:rsidR="00BA156B" w:rsidRPr="002E5F17" w:rsidRDefault="00BA156B" w:rsidP="00BA156B">
            <w:pPr>
              <w:spacing w:after="0"/>
              <w:jc w:val="right"/>
              <w:rPr>
                <w:rFonts w:ascii="Calibri" w:eastAsia="Times New Roman" w:hAnsi="Calibri" w:cs="Calibri"/>
                <w:color w:val="000000"/>
                <w:sz w:val="20"/>
                <w:szCs w:val="20"/>
              </w:rPr>
            </w:pPr>
            <w:r>
              <w:rPr>
                <w:rFonts w:ascii="Calibri" w:hAnsi="Calibri" w:cs="Calibri"/>
                <w:color w:val="000000"/>
                <w:sz w:val="20"/>
                <w:szCs w:val="20"/>
              </w:rPr>
              <w:t>176,765</w:t>
            </w:r>
          </w:p>
        </w:tc>
        <w:tc>
          <w:tcPr>
            <w:tcW w:w="960" w:type="dxa"/>
            <w:tcBorders>
              <w:top w:val="nil"/>
              <w:left w:val="nil"/>
              <w:bottom w:val="single" w:sz="4" w:space="0" w:color="auto"/>
              <w:right w:val="single" w:sz="4" w:space="0" w:color="auto"/>
            </w:tcBorders>
            <w:shd w:val="clear" w:color="auto" w:fill="auto"/>
            <w:noWrap/>
            <w:vAlign w:val="bottom"/>
            <w:hideMark/>
          </w:tcPr>
          <w:p w14:paraId="53D4B35B" w14:textId="38759092" w:rsidR="00BA156B" w:rsidRPr="002E5F17" w:rsidRDefault="00BA156B" w:rsidP="00BA156B">
            <w:pPr>
              <w:spacing w:after="0"/>
              <w:jc w:val="right"/>
              <w:rPr>
                <w:rFonts w:ascii="Calibri" w:eastAsia="Times New Roman" w:hAnsi="Calibri" w:cs="Calibri"/>
                <w:color w:val="000000"/>
                <w:sz w:val="20"/>
                <w:szCs w:val="20"/>
              </w:rPr>
            </w:pPr>
            <w:r>
              <w:rPr>
                <w:rFonts w:ascii="Calibri" w:hAnsi="Calibri" w:cs="Calibri"/>
                <w:color w:val="000000"/>
                <w:sz w:val="20"/>
                <w:szCs w:val="20"/>
              </w:rPr>
              <w:t>79%</w:t>
            </w:r>
          </w:p>
        </w:tc>
      </w:tr>
      <w:tr w:rsidR="00BA156B" w:rsidRPr="002E5F17" w14:paraId="202B4129" w14:textId="77777777" w:rsidTr="00BA156B">
        <w:trPr>
          <w:trHeight w:val="300"/>
        </w:trPr>
        <w:tc>
          <w:tcPr>
            <w:tcW w:w="2606" w:type="dxa"/>
            <w:tcBorders>
              <w:top w:val="nil"/>
              <w:left w:val="single" w:sz="4" w:space="0" w:color="auto"/>
              <w:bottom w:val="single" w:sz="4" w:space="0" w:color="auto"/>
              <w:right w:val="single" w:sz="4" w:space="0" w:color="auto"/>
            </w:tcBorders>
            <w:shd w:val="clear" w:color="auto" w:fill="auto"/>
            <w:noWrap/>
            <w:vAlign w:val="bottom"/>
            <w:hideMark/>
          </w:tcPr>
          <w:p w14:paraId="4D65D1CC" w14:textId="2EB58386" w:rsidR="00BA156B" w:rsidRPr="002E5F17" w:rsidRDefault="00BA156B" w:rsidP="00BA156B">
            <w:pPr>
              <w:spacing w:after="0"/>
              <w:rPr>
                <w:rFonts w:ascii="Calibri" w:eastAsia="Times New Roman" w:hAnsi="Calibri" w:cs="Calibri"/>
                <w:color w:val="000000"/>
                <w:sz w:val="20"/>
                <w:szCs w:val="20"/>
              </w:rPr>
            </w:pPr>
            <w:r>
              <w:rPr>
                <w:rFonts w:ascii="Calibri" w:hAnsi="Calibri" w:cs="Calibri"/>
                <w:color w:val="000000"/>
                <w:sz w:val="20"/>
                <w:szCs w:val="20"/>
              </w:rPr>
              <w:t>Immunology and Allergy</w:t>
            </w:r>
          </w:p>
        </w:tc>
        <w:tc>
          <w:tcPr>
            <w:tcW w:w="1560" w:type="dxa"/>
            <w:tcBorders>
              <w:top w:val="nil"/>
              <w:left w:val="nil"/>
              <w:bottom w:val="single" w:sz="4" w:space="0" w:color="auto"/>
              <w:right w:val="single" w:sz="4" w:space="0" w:color="auto"/>
            </w:tcBorders>
            <w:shd w:val="clear" w:color="auto" w:fill="auto"/>
            <w:noWrap/>
            <w:vAlign w:val="bottom"/>
            <w:hideMark/>
          </w:tcPr>
          <w:p w14:paraId="562E6935" w14:textId="1FBA0556" w:rsidR="00BA156B" w:rsidRPr="002E5F17" w:rsidRDefault="00BA156B" w:rsidP="00BA156B">
            <w:pPr>
              <w:spacing w:after="0"/>
              <w:jc w:val="right"/>
              <w:rPr>
                <w:rFonts w:ascii="Calibri" w:eastAsia="Times New Roman" w:hAnsi="Calibri" w:cs="Calibri"/>
                <w:color w:val="000000"/>
                <w:sz w:val="20"/>
                <w:szCs w:val="20"/>
              </w:rPr>
            </w:pPr>
            <w:r>
              <w:rPr>
                <w:rFonts w:ascii="Calibri" w:hAnsi="Calibri" w:cs="Calibri"/>
                <w:color w:val="000000"/>
                <w:sz w:val="20"/>
                <w:szCs w:val="20"/>
              </w:rPr>
              <w:t>1,359</w:t>
            </w:r>
          </w:p>
        </w:tc>
        <w:tc>
          <w:tcPr>
            <w:tcW w:w="1420" w:type="dxa"/>
            <w:tcBorders>
              <w:top w:val="nil"/>
              <w:left w:val="nil"/>
              <w:bottom w:val="single" w:sz="4" w:space="0" w:color="auto"/>
              <w:right w:val="single" w:sz="4" w:space="0" w:color="auto"/>
            </w:tcBorders>
            <w:shd w:val="clear" w:color="auto" w:fill="auto"/>
            <w:noWrap/>
            <w:vAlign w:val="bottom"/>
            <w:hideMark/>
          </w:tcPr>
          <w:p w14:paraId="4D86F7E3" w14:textId="3C873499" w:rsidR="00BA156B" w:rsidRPr="002E5F17" w:rsidRDefault="00BA156B" w:rsidP="00BA156B">
            <w:pPr>
              <w:spacing w:after="0"/>
              <w:jc w:val="right"/>
              <w:rPr>
                <w:rFonts w:ascii="Calibri" w:eastAsia="Times New Roman" w:hAnsi="Calibri" w:cs="Calibri"/>
                <w:color w:val="000000"/>
                <w:sz w:val="20"/>
                <w:szCs w:val="20"/>
              </w:rPr>
            </w:pPr>
            <w:r>
              <w:rPr>
                <w:rFonts w:ascii="Calibri" w:hAnsi="Calibri" w:cs="Calibri"/>
                <w:color w:val="000000"/>
                <w:sz w:val="20"/>
                <w:szCs w:val="20"/>
              </w:rPr>
              <w:t>8%</w:t>
            </w:r>
          </w:p>
        </w:tc>
        <w:tc>
          <w:tcPr>
            <w:tcW w:w="1299" w:type="dxa"/>
            <w:tcBorders>
              <w:top w:val="nil"/>
              <w:left w:val="nil"/>
              <w:bottom w:val="single" w:sz="4" w:space="0" w:color="auto"/>
              <w:right w:val="single" w:sz="4" w:space="0" w:color="auto"/>
            </w:tcBorders>
            <w:shd w:val="clear" w:color="auto" w:fill="auto"/>
            <w:noWrap/>
            <w:vAlign w:val="bottom"/>
            <w:hideMark/>
          </w:tcPr>
          <w:p w14:paraId="4DE08CF1" w14:textId="6128FF0E" w:rsidR="00BA156B" w:rsidRPr="002E5F17" w:rsidRDefault="00BA156B" w:rsidP="00BA156B">
            <w:pPr>
              <w:spacing w:after="0"/>
              <w:jc w:val="right"/>
              <w:rPr>
                <w:rFonts w:ascii="Calibri" w:eastAsia="Times New Roman" w:hAnsi="Calibri" w:cs="Calibri"/>
                <w:color w:val="000000"/>
                <w:sz w:val="20"/>
                <w:szCs w:val="20"/>
              </w:rPr>
            </w:pPr>
            <w:r>
              <w:rPr>
                <w:rFonts w:ascii="Calibri" w:hAnsi="Calibri" w:cs="Calibri"/>
                <w:color w:val="000000"/>
                <w:sz w:val="20"/>
                <w:szCs w:val="20"/>
              </w:rPr>
              <w:t>17,542</w:t>
            </w:r>
          </w:p>
        </w:tc>
        <w:tc>
          <w:tcPr>
            <w:tcW w:w="960" w:type="dxa"/>
            <w:tcBorders>
              <w:top w:val="nil"/>
              <w:left w:val="nil"/>
              <w:bottom w:val="single" w:sz="4" w:space="0" w:color="auto"/>
              <w:right w:val="single" w:sz="4" w:space="0" w:color="auto"/>
            </w:tcBorders>
            <w:shd w:val="clear" w:color="auto" w:fill="auto"/>
            <w:noWrap/>
            <w:vAlign w:val="bottom"/>
            <w:hideMark/>
          </w:tcPr>
          <w:p w14:paraId="3A8BCC59" w14:textId="21BBF58B" w:rsidR="00BA156B" w:rsidRPr="002E5F17" w:rsidRDefault="00BA156B" w:rsidP="00BA156B">
            <w:pPr>
              <w:spacing w:after="0"/>
              <w:jc w:val="right"/>
              <w:rPr>
                <w:rFonts w:ascii="Calibri" w:eastAsia="Times New Roman" w:hAnsi="Calibri" w:cs="Calibri"/>
                <w:color w:val="000000"/>
                <w:sz w:val="20"/>
                <w:szCs w:val="20"/>
              </w:rPr>
            </w:pPr>
            <w:r>
              <w:rPr>
                <w:rFonts w:ascii="Calibri" w:hAnsi="Calibri" w:cs="Calibri"/>
                <w:color w:val="000000"/>
                <w:sz w:val="20"/>
                <w:szCs w:val="20"/>
              </w:rPr>
              <w:t>8%</w:t>
            </w:r>
          </w:p>
        </w:tc>
      </w:tr>
      <w:tr w:rsidR="00BA156B" w:rsidRPr="002E5F17" w14:paraId="62294BBA" w14:textId="77777777" w:rsidTr="00BA156B">
        <w:trPr>
          <w:trHeight w:val="300"/>
        </w:trPr>
        <w:tc>
          <w:tcPr>
            <w:tcW w:w="2606" w:type="dxa"/>
            <w:tcBorders>
              <w:top w:val="nil"/>
              <w:left w:val="single" w:sz="4" w:space="0" w:color="auto"/>
              <w:bottom w:val="single" w:sz="4" w:space="0" w:color="auto"/>
              <w:right w:val="single" w:sz="4" w:space="0" w:color="auto"/>
            </w:tcBorders>
            <w:shd w:val="clear" w:color="auto" w:fill="auto"/>
            <w:noWrap/>
            <w:vAlign w:val="bottom"/>
            <w:hideMark/>
          </w:tcPr>
          <w:p w14:paraId="366F78AB" w14:textId="7BF2A938" w:rsidR="00BA156B" w:rsidRPr="002E5F17" w:rsidRDefault="00BA156B" w:rsidP="00BA156B">
            <w:pPr>
              <w:spacing w:after="0"/>
              <w:rPr>
                <w:rFonts w:ascii="Calibri" w:eastAsia="Times New Roman" w:hAnsi="Calibri" w:cs="Calibri"/>
                <w:color w:val="000000"/>
                <w:sz w:val="20"/>
                <w:szCs w:val="20"/>
              </w:rPr>
            </w:pPr>
            <w:r>
              <w:rPr>
                <w:rFonts w:ascii="Calibri" w:hAnsi="Calibri" w:cs="Calibri"/>
                <w:color w:val="000000"/>
                <w:sz w:val="20"/>
                <w:szCs w:val="20"/>
              </w:rPr>
              <w:t>Unknown</w:t>
            </w:r>
          </w:p>
        </w:tc>
        <w:tc>
          <w:tcPr>
            <w:tcW w:w="1560" w:type="dxa"/>
            <w:tcBorders>
              <w:top w:val="nil"/>
              <w:left w:val="nil"/>
              <w:bottom w:val="single" w:sz="4" w:space="0" w:color="auto"/>
              <w:right w:val="single" w:sz="4" w:space="0" w:color="auto"/>
            </w:tcBorders>
            <w:shd w:val="clear" w:color="auto" w:fill="auto"/>
            <w:noWrap/>
            <w:vAlign w:val="bottom"/>
            <w:hideMark/>
          </w:tcPr>
          <w:p w14:paraId="6D75097E" w14:textId="2F66A1E2" w:rsidR="00BA156B" w:rsidRPr="002E5F17" w:rsidRDefault="00BA156B" w:rsidP="00BA156B">
            <w:pPr>
              <w:spacing w:after="0"/>
              <w:jc w:val="right"/>
              <w:rPr>
                <w:rFonts w:ascii="Calibri" w:eastAsia="Times New Roman" w:hAnsi="Calibri" w:cs="Calibri"/>
                <w:color w:val="000000"/>
                <w:sz w:val="20"/>
                <w:szCs w:val="20"/>
              </w:rPr>
            </w:pPr>
            <w:r>
              <w:rPr>
                <w:rFonts w:ascii="Calibri" w:hAnsi="Calibri" w:cs="Calibri"/>
                <w:color w:val="000000"/>
                <w:sz w:val="20"/>
                <w:szCs w:val="20"/>
              </w:rPr>
              <w:t>558</w:t>
            </w:r>
          </w:p>
        </w:tc>
        <w:tc>
          <w:tcPr>
            <w:tcW w:w="1420" w:type="dxa"/>
            <w:tcBorders>
              <w:top w:val="nil"/>
              <w:left w:val="nil"/>
              <w:bottom w:val="single" w:sz="4" w:space="0" w:color="auto"/>
              <w:right w:val="single" w:sz="4" w:space="0" w:color="auto"/>
            </w:tcBorders>
            <w:shd w:val="clear" w:color="auto" w:fill="auto"/>
            <w:noWrap/>
            <w:vAlign w:val="bottom"/>
            <w:hideMark/>
          </w:tcPr>
          <w:p w14:paraId="3DFA0AA7" w14:textId="05B673E0" w:rsidR="00BA156B" w:rsidRPr="002E5F17" w:rsidRDefault="00BA156B" w:rsidP="00BA156B">
            <w:pPr>
              <w:spacing w:after="0"/>
              <w:jc w:val="right"/>
              <w:rPr>
                <w:rFonts w:ascii="Calibri" w:eastAsia="Times New Roman" w:hAnsi="Calibri" w:cs="Calibri"/>
                <w:color w:val="000000"/>
                <w:sz w:val="20"/>
                <w:szCs w:val="20"/>
              </w:rPr>
            </w:pPr>
            <w:r>
              <w:rPr>
                <w:rFonts w:ascii="Calibri" w:hAnsi="Calibri" w:cs="Calibri"/>
                <w:color w:val="000000"/>
                <w:sz w:val="20"/>
                <w:szCs w:val="20"/>
              </w:rPr>
              <w:t>3%</w:t>
            </w:r>
          </w:p>
        </w:tc>
        <w:tc>
          <w:tcPr>
            <w:tcW w:w="1299" w:type="dxa"/>
            <w:tcBorders>
              <w:top w:val="nil"/>
              <w:left w:val="nil"/>
              <w:bottom w:val="single" w:sz="4" w:space="0" w:color="auto"/>
              <w:right w:val="single" w:sz="4" w:space="0" w:color="auto"/>
            </w:tcBorders>
            <w:shd w:val="clear" w:color="auto" w:fill="auto"/>
            <w:noWrap/>
            <w:vAlign w:val="bottom"/>
            <w:hideMark/>
          </w:tcPr>
          <w:p w14:paraId="3C778774" w14:textId="41863015" w:rsidR="00BA156B" w:rsidRPr="002E5F17" w:rsidRDefault="00BA156B" w:rsidP="00BA156B">
            <w:pPr>
              <w:spacing w:after="0"/>
              <w:jc w:val="right"/>
              <w:rPr>
                <w:rFonts w:ascii="Calibri" w:eastAsia="Times New Roman" w:hAnsi="Calibri" w:cs="Calibri"/>
                <w:color w:val="000000"/>
                <w:sz w:val="20"/>
                <w:szCs w:val="20"/>
              </w:rPr>
            </w:pPr>
            <w:r>
              <w:rPr>
                <w:rFonts w:ascii="Calibri" w:hAnsi="Calibri" w:cs="Calibri"/>
                <w:color w:val="000000"/>
                <w:sz w:val="20"/>
                <w:szCs w:val="20"/>
              </w:rPr>
              <w:t>8,417</w:t>
            </w:r>
          </w:p>
        </w:tc>
        <w:tc>
          <w:tcPr>
            <w:tcW w:w="960" w:type="dxa"/>
            <w:tcBorders>
              <w:top w:val="nil"/>
              <w:left w:val="nil"/>
              <w:bottom w:val="single" w:sz="4" w:space="0" w:color="auto"/>
              <w:right w:val="single" w:sz="4" w:space="0" w:color="auto"/>
            </w:tcBorders>
            <w:shd w:val="clear" w:color="auto" w:fill="auto"/>
            <w:noWrap/>
            <w:vAlign w:val="bottom"/>
            <w:hideMark/>
          </w:tcPr>
          <w:p w14:paraId="50943E5D" w14:textId="4C55A596" w:rsidR="00BA156B" w:rsidRPr="002E5F17" w:rsidRDefault="00BA156B" w:rsidP="00BA156B">
            <w:pPr>
              <w:spacing w:after="0"/>
              <w:jc w:val="right"/>
              <w:rPr>
                <w:rFonts w:ascii="Calibri" w:eastAsia="Times New Roman" w:hAnsi="Calibri" w:cs="Calibri"/>
                <w:color w:val="000000"/>
                <w:sz w:val="20"/>
                <w:szCs w:val="20"/>
              </w:rPr>
            </w:pPr>
            <w:r>
              <w:rPr>
                <w:rFonts w:ascii="Calibri" w:hAnsi="Calibri" w:cs="Calibri"/>
                <w:color w:val="000000"/>
                <w:sz w:val="20"/>
                <w:szCs w:val="20"/>
              </w:rPr>
              <w:t>4%</w:t>
            </w:r>
          </w:p>
        </w:tc>
      </w:tr>
      <w:tr w:rsidR="00BA156B" w:rsidRPr="002E5F17" w14:paraId="3079A6B6" w14:textId="77777777" w:rsidTr="00BA156B">
        <w:trPr>
          <w:trHeight w:val="300"/>
        </w:trPr>
        <w:tc>
          <w:tcPr>
            <w:tcW w:w="2606" w:type="dxa"/>
            <w:tcBorders>
              <w:top w:val="nil"/>
              <w:left w:val="single" w:sz="4" w:space="0" w:color="auto"/>
              <w:bottom w:val="single" w:sz="4" w:space="0" w:color="auto"/>
              <w:right w:val="single" w:sz="4" w:space="0" w:color="auto"/>
            </w:tcBorders>
            <w:shd w:val="clear" w:color="auto" w:fill="auto"/>
            <w:noWrap/>
            <w:vAlign w:val="bottom"/>
            <w:hideMark/>
          </w:tcPr>
          <w:p w14:paraId="654B0585" w14:textId="7A1D838E" w:rsidR="00BA156B" w:rsidRPr="002E5F17" w:rsidRDefault="00BA156B" w:rsidP="00BA156B">
            <w:pPr>
              <w:spacing w:after="0"/>
              <w:rPr>
                <w:rFonts w:ascii="Calibri" w:eastAsia="Times New Roman" w:hAnsi="Calibri" w:cs="Calibri"/>
                <w:color w:val="000000"/>
                <w:sz w:val="20"/>
                <w:szCs w:val="20"/>
              </w:rPr>
            </w:pPr>
            <w:r>
              <w:rPr>
                <w:rFonts w:ascii="Calibri" w:hAnsi="Calibri" w:cs="Calibri"/>
                <w:color w:val="000000"/>
                <w:sz w:val="20"/>
                <w:szCs w:val="20"/>
              </w:rPr>
              <w:t>GP</w:t>
            </w:r>
          </w:p>
        </w:tc>
        <w:tc>
          <w:tcPr>
            <w:tcW w:w="1560" w:type="dxa"/>
            <w:tcBorders>
              <w:top w:val="nil"/>
              <w:left w:val="nil"/>
              <w:bottom w:val="single" w:sz="4" w:space="0" w:color="auto"/>
              <w:right w:val="single" w:sz="4" w:space="0" w:color="auto"/>
            </w:tcBorders>
            <w:shd w:val="clear" w:color="auto" w:fill="auto"/>
            <w:noWrap/>
            <w:vAlign w:val="bottom"/>
            <w:hideMark/>
          </w:tcPr>
          <w:p w14:paraId="0A1FAF30" w14:textId="76E0481F" w:rsidR="00BA156B" w:rsidRPr="002E5F17" w:rsidRDefault="00BA156B" w:rsidP="00BA156B">
            <w:pPr>
              <w:spacing w:after="0"/>
              <w:jc w:val="right"/>
              <w:rPr>
                <w:rFonts w:ascii="Calibri" w:eastAsia="Times New Roman" w:hAnsi="Calibri" w:cs="Calibri"/>
                <w:color w:val="000000"/>
                <w:sz w:val="20"/>
                <w:szCs w:val="20"/>
              </w:rPr>
            </w:pPr>
            <w:r>
              <w:rPr>
                <w:rFonts w:ascii="Calibri" w:hAnsi="Calibri" w:cs="Calibri"/>
                <w:color w:val="000000"/>
                <w:sz w:val="20"/>
                <w:szCs w:val="20"/>
              </w:rPr>
              <w:t>554</w:t>
            </w:r>
          </w:p>
        </w:tc>
        <w:tc>
          <w:tcPr>
            <w:tcW w:w="1420" w:type="dxa"/>
            <w:tcBorders>
              <w:top w:val="nil"/>
              <w:left w:val="nil"/>
              <w:bottom w:val="single" w:sz="4" w:space="0" w:color="auto"/>
              <w:right w:val="single" w:sz="4" w:space="0" w:color="auto"/>
            </w:tcBorders>
            <w:shd w:val="clear" w:color="auto" w:fill="auto"/>
            <w:noWrap/>
            <w:vAlign w:val="bottom"/>
            <w:hideMark/>
          </w:tcPr>
          <w:p w14:paraId="7C907F2E" w14:textId="315D4A87" w:rsidR="00BA156B" w:rsidRPr="002E5F17" w:rsidRDefault="00BA156B" w:rsidP="00BA156B">
            <w:pPr>
              <w:spacing w:after="0"/>
              <w:jc w:val="right"/>
              <w:rPr>
                <w:rFonts w:ascii="Calibri" w:eastAsia="Times New Roman" w:hAnsi="Calibri" w:cs="Calibri"/>
                <w:color w:val="000000"/>
                <w:sz w:val="20"/>
                <w:szCs w:val="20"/>
              </w:rPr>
            </w:pPr>
            <w:r>
              <w:rPr>
                <w:rFonts w:ascii="Calibri" w:hAnsi="Calibri" w:cs="Calibri"/>
                <w:color w:val="000000"/>
                <w:sz w:val="20"/>
                <w:szCs w:val="20"/>
              </w:rPr>
              <w:t>3%</w:t>
            </w:r>
          </w:p>
        </w:tc>
        <w:tc>
          <w:tcPr>
            <w:tcW w:w="1299" w:type="dxa"/>
            <w:tcBorders>
              <w:top w:val="nil"/>
              <w:left w:val="nil"/>
              <w:bottom w:val="single" w:sz="4" w:space="0" w:color="auto"/>
              <w:right w:val="single" w:sz="4" w:space="0" w:color="auto"/>
            </w:tcBorders>
            <w:shd w:val="clear" w:color="auto" w:fill="auto"/>
            <w:noWrap/>
            <w:vAlign w:val="bottom"/>
            <w:hideMark/>
          </w:tcPr>
          <w:p w14:paraId="4E6BF122" w14:textId="31E6CC40" w:rsidR="00BA156B" w:rsidRPr="002E5F17" w:rsidRDefault="00BA156B" w:rsidP="00BA156B">
            <w:pPr>
              <w:spacing w:after="0"/>
              <w:jc w:val="right"/>
              <w:rPr>
                <w:rFonts w:ascii="Calibri" w:eastAsia="Times New Roman" w:hAnsi="Calibri" w:cs="Calibri"/>
                <w:color w:val="000000"/>
                <w:sz w:val="20"/>
                <w:szCs w:val="20"/>
              </w:rPr>
            </w:pPr>
            <w:r>
              <w:rPr>
                <w:rFonts w:ascii="Calibri" w:hAnsi="Calibri" w:cs="Calibri"/>
                <w:color w:val="000000"/>
                <w:sz w:val="20"/>
                <w:szCs w:val="20"/>
              </w:rPr>
              <w:t>8,375</w:t>
            </w:r>
          </w:p>
        </w:tc>
        <w:tc>
          <w:tcPr>
            <w:tcW w:w="960" w:type="dxa"/>
            <w:tcBorders>
              <w:top w:val="nil"/>
              <w:left w:val="nil"/>
              <w:bottom w:val="single" w:sz="4" w:space="0" w:color="auto"/>
              <w:right w:val="single" w:sz="4" w:space="0" w:color="auto"/>
            </w:tcBorders>
            <w:shd w:val="clear" w:color="auto" w:fill="auto"/>
            <w:noWrap/>
            <w:vAlign w:val="bottom"/>
            <w:hideMark/>
          </w:tcPr>
          <w:p w14:paraId="1E0E9512" w14:textId="7365137C" w:rsidR="00BA156B" w:rsidRPr="002E5F17" w:rsidRDefault="00BA156B" w:rsidP="00BA156B">
            <w:pPr>
              <w:spacing w:after="0"/>
              <w:jc w:val="right"/>
              <w:rPr>
                <w:rFonts w:ascii="Calibri" w:eastAsia="Times New Roman" w:hAnsi="Calibri" w:cs="Calibri"/>
                <w:color w:val="000000"/>
                <w:sz w:val="20"/>
                <w:szCs w:val="20"/>
              </w:rPr>
            </w:pPr>
            <w:r>
              <w:rPr>
                <w:rFonts w:ascii="Calibri" w:hAnsi="Calibri" w:cs="Calibri"/>
                <w:color w:val="000000"/>
                <w:sz w:val="20"/>
                <w:szCs w:val="20"/>
              </w:rPr>
              <w:t>4%</w:t>
            </w:r>
          </w:p>
        </w:tc>
      </w:tr>
      <w:tr w:rsidR="00BA156B" w:rsidRPr="002E5F17" w14:paraId="59C1F8F8" w14:textId="77777777" w:rsidTr="00BA156B">
        <w:trPr>
          <w:trHeight w:val="300"/>
        </w:trPr>
        <w:tc>
          <w:tcPr>
            <w:tcW w:w="2606" w:type="dxa"/>
            <w:tcBorders>
              <w:top w:val="nil"/>
              <w:left w:val="single" w:sz="4" w:space="0" w:color="auto"/>
              <w:bottom w:val="single" w:sz="4" w:space="0" w:color="auto"/>
              <w:right w:val="single" w:sz="4" w:space="0" w:color="auto"/>
            </w:tcBorders>
            <w:shd w:val="clear" w:color="auto" w:fill="auto"/>
            <w:noWrap/>
            <w:vAlign w:val="bottom"/>
            <w:hideMark/>
          </w:tcPr>
          <w:p w14:paraId="45FD5F6C" w14:textId="0CF38ADC" w:rsidR="00BA156B" w:rsidRPr="002E5F17" w:rsidRDefault="00BA156B" w:rsidP="00BA156B">
            <w:pPr>
              <w:spacing w:after="0"/>
              <w:rPr>
                <w:rFonts w:ascii="Calibri" w:eastAsia="Times New Roman" w:hAnsi="Calibri" w:cs="Calibri"/>
                <w:color w:val="000000"/>
                <w:sz w:val="20"/>
                <w:szCs w:val="20"/>
              </w:rPr>
            </w:pPr>
            <w:r>
              <w:rPr>
                <w:rFonts w:ascii="Calibri" w:hAnsi="Calibri" w:cs="Calibri"/>
                <w:color w:val="000000"/>
                <w:sz w:val="20"/>
                <w:szCs w:val="20"/>
              </w:rPr>
              <w:t>Respiratory and Sleep Medicine</w:t>
            </w:r>
          </w:p>
        </w:tc>
        <w:tc>
          <w:tcPr>
            <w:tcW w:w="1560" w:type="dxa"/>
            <w:tcBorders>
              <w:top w:val="nil"/>
              <w:left w:val="nil"/>
              <w:bottom w:val="single" w:sz="4" w:space="0" w:color="auto"/>
              <w:right w:val="single" w:sz="4" w:space="0" w:color="auto"/>
            </w:tcBorders>
            <w:shd w:val="clear" w:color="auto" w:fill="auto"/>
            <w:noWrap/>
            <w:vAlign w:val="bottom"/>
            <w:hideMark/>
          </w:tcPr>
          <w:p w14:paraId="24427AC4" w14:textId="2F683CA7" w:rsidR="00BA156B" w:rsidRPr="002E5F17" w:rsidRDefault="00BA156B" w:rsidP="00BA156B">
            <w:pPr>
              <w:spacing w:after="0"/>
              <w:jc w:val="right"/>
              <w:rPr>
                <w:rFonts w:ascii="Calibri" w:eastAsia="Times New Roman" w:hAnsi="Calibri" w:cs="Calibri"/>
                <w:color w:val="000000"/>
                <w:sz w:val="20"/>
                <w:szCs w:val="20"/>
              </w:rPr>
            </w:pPr>
            <w:r>
              <w:rPr>
                <w:rFonts w:ascii="Calibri" w:hAnsi="Calibri" w:cs="Calibri"/>
                <w:color w:val="000000"/>
                <w:sz w:val="20"/>
                <w:szCs w:val="20"/>
              </w:rPr>
              <w:t>532</w:t>
            </w:r>
          </w:p>
        </w:tc>
        <w:tc>
          <w:tcPr>
            <w:tcW w:w="1420" w:type="dxa"/>
            <w:tcBorders>
              <w:top w:val="nil"/>
              <w:left w:val="nil"/>
              <w:bottom w:val="single" w:sz="4" w:space="0" w:color="auto"/>
              <w:right w:val="single" w:sz="4" w:space="0" w:color="auto"/>
            </w:tcBorders>
            <w:shd w:val="clear" w:color="auto" w:fill="auto"/>
            <w:noWrap/>
            <w:vAlign w:val="bottom"/>
            <w:hideMark/>
          </w:tcPr>
          <w:p w14:paraId="256C8473" w14:textId="04D6307A" w:rsidR="00BA156B" w:rsidRPr="002E5F17" w:rsidRDefault="00BA156B" w:rsidP="00BA156B">
            <w:pPr>
              <w:spacing w:after="0"/>
              <w:jc w:val="right"/>
              <w:rPr>
                <w:rFonts w:ascii="Calibri" w:eastAsia="Times New Roman" w:hAnsi="Calibri" w:cs="Calibri"/>
                <w:color w:val="000000"/>
                <w:sz w:val="20"/>
                <w:szCs w:val="20"/>
              </w:rPr>
            </w:pPr>
            <w:r>
              <w:rPr>
                <w:rFonts w:ascii="Calibri" w:hAnsi="Calibri" w:cs="Calibri"/>
                <w:color w:val="000000"/>
                <w:sz w:val="20"/>
                <w:szCs w:val="20"/>
              </w:rPr>
              <w:t>3.1%</w:t>
            </w:r>
          </w:p>
        </w:tc>
        <w:tc>
          <w:tcPr>
            <w:tcW w:w="1299" w:type="dxa"/>
            <w:tcBorders>
              <w:top w:val="nil"/>
              <w:left w:val="nil"/>
              <w:bottom w:val="single" w:sz="4" w:space="0" w:color="auto"/>
              <w:right w:val="single" w:sz="4" w:space="0" w:color="auto"/>
            </w:tcBorders>
            <w:shd w:val="clear" w:color="auto" w:fill="auto"/>
            <w:noWrap/>
            <w:vAlign w:val="bottom"/>
            <w:hideMark/>
          </w:tcPr>
          <w:p w14:paraId="4F22020C" w14:textId="158A0F0F" w:rsidR="00BA156B" w:rsidRPr="002E5F17" w:rsidRDefault="00BA156B" w:rsidP="00BA156B">
            <w:pPr>
              <w:spacing w:after="0"/>
              <w:jc w:val="right"/>
              <w:rPr>
                <w:rFonts w:ascii="Calibri" w:eastAsia="Times New Roman" w:hAnsi="Calibri" w:cs="Calibri"/>
                <w:color w:val="000000"/>
                <w:sz w:val="20"/>
                <w:szCs w:val="20"/>
              </w:rPr>
            </w:pPr>
            <w:r>
              <w:rPr>
                <w:rFonts w:ascii="Calibri" w:hAnsi="Calibri" w:cs="Calibri"/>
                <w:color w:val="000000"/>
                <w:sz w:val="20"/>
                <w:szCs w:val="20"/>
              </w:rPr>
              <w:t>2,867</w:t>
            </w:r>
          </w:p>
        </w:tc>
        <w:tc>
          <w:tcPr>
            <w:tcW w:w="960" w:type="dxa"/>
            <w:tcBorders>
              <w:top w:val="nil"/>
              <w:left w:val="nil"/>
              <w:bottom w:val="single" w:sz="4" w:space="0" w:color="auto"/>
              <w:right w:val="single" w:sz="4" w:space="0" w:color="auto"/>
            </w:tcBorders>
            <w:shd w:val="clear" w:color="auto" w:fill="auto"/>
            <w:noWrap/>
            <w:vAlign w:val="bottom"/>
            <w:hideMark/>
          </w:tcPr>
          <w:p w14:paraId="66B57121" w14:textId="5E5A27FC" w:rsidR="00BA156B" w:rsidRPr="002E5F17" w:rsidRDefault="00BA156B" w:rsidP="00BA156B">
            <w:pPr>
              <w:spacing w:after="0"/>
              <w:jc w:val="right"/>
              <w:rPr>
                <w:rFonts w:ascii="Calibri" w:eastAsia="Times New Roman" w:hAnsi="Calibri" w:cs="Calibri"/>
                <w:color w:val="000000"/>
                <w:sz w:val="20"/>
                <w:szCs w:val="20"/>
              </w:rPr>
            </w:pPr>
            <w:r>
              <w:rPr>
                <w:rFonts w:ascii="Calibri" w:hAnsi="Calibri" w:cs="Calibri"/>
                <w:color w:val="000000"/>
                <w:sz w:val="20"/>
                <w:szCs w:val="20"/>
              </w:rPr>
              <w:t>1.3%</w:t>
            </w:r>
          </w:p>
        </w:tc>
      </w:tr>
      <w:tr w:rsidR="00BA156B" w:rsidRPr="002E5F17" w14:paraId="670E857D" w14:textId="77777777" w:rsidTr="00BA156B">
        <w:trPr>
          <w:trHeight w:val="300"/>
        </w:trPr>
        <w:tc>
          <w:tcPr>
            <w:tcW w:w="2606" w:type="dxa"/>
            <w:tcBorders>
              <w:top w:val="nil"/>
              <w:left w:val="single" w:sz="4" w:space="0" w:color="auto"/>
              <w:bottom w:val="single" w:sz="4" w:space="0" w:color="auto"/>
              <w:right w:val="single" w:sz="4" w:space="0" w:color="auto"/>
            </w:tcBorders>
            <w:shd w:val="clear" w:color="auto" w:fill="auto"/>
            <w:noWrap/>
            <w:vAlign w:val="bottom"/>
            <w:hideMark/>
          </w:tcPr>
          <w:p w14:paraId="01793736" w14:textId="3DC4BF9A" w:rsidR="00BA156B" w:rsidRPr="002E5F17" w:rsidRDefault="00BA156B" w:rsidP="00BA156B">
            <w:pPr>
              <w:spacing w:after="0"/>
              <w:rPr>
                <w:rFonts w:ascii="Calibri" w:eastAsia="Times New Roman" w:hAnsi="Calibri" w:cs="Calibri"/>
                <w:color w:val="000000"/>
                <w:sz w:val="20"/>
                <w:szCs w:val="20"/>
              </w:rPr>
            </w:pPr>
            <w:r>
              <w:rPr>
                <w:rFonts w:ascii="Calibri" w:hAnsi="Calibri" w:cs="Calibri"/>
                <w:color w:val="000000"/>
                <w:sz w:val="20"/>
                <w:szCs w:val="20"/>
              </w:rPr>
              <w:t>Pathology</w:t>
            </w:r>
          </w:p>
        </w:tc>
        <w:tc>
          <w:tcPr>
            <w:tcW w:w="1560" w:type="dxa"/>
            <w:tcBorders>
              <w:top w:val="nil"/>
              <w:left w:val="nil"/>
              <w:bottom w:val="single" w:sz="4" w:space="0" w:color="auto"/>
              <w:right w:val="single" w:sz="4" w:space="0" w:color="auto"/>
            </w:tcBorders>
            <w:shd w:val="clear" w:color="auto" w:fill="auto"/>
            <w:noWrap/>
            <w:vAlign w:val="bottom"/>
            <w:hideMark/>
          </w:tcPr>
          <w:p w14:paraId="2247C26C" w14:textId="0BFA56AE" w:rsidR="00BA156B" w:rsidRPr="002E5F17" w:rsidRDefault="00BA156B" w:rsidP="00BA156B">
            <w:pPr>
              <w:spacing w:after="0"/>
              <w:jc w:val="right"/>
              <w:rPr>
                <w:rFonts w:ascii="Calibri" w:eastAsia="Times New Roman" w:hAnsi="Calibri" w:cs="Calibri"/>
                <w:color w:val="000000"/>
                <w:sz w:val="20"/>
                <w:szCs w:val="20"/>
              </w:rPr>
            </w:pPr>
            <w:r>
              <w:rPr>
                <w:rFonts w:ascii="Calibri" w:hAnsi="Calibri" w:cs="Calibri"/>
                <w:color w:val="000000"/>
                <w:sz w:val="20"/>
                <w:szCs w:val="20"/>
              </w:rPr>
              <w:t>389</w:t>
            </w:r>
          </w:p>
        </w:tc>
        <w:tc>
          <w:tcPr>
            <w:tcW w:w="1420" w:type="dxa"/>
            <w:tcBorders>
              <w:top w:val="nil"/>
              <w:left w:val="nil"/>
              <w:bottom w:val="single" w:sz="4" w:space="0" w:color="auto"/>
              <w:right w:val="single" w:sz="4" w:space="0" w:color="auto"/>
            </w:tcBorders>
            <w:shd w:val="clear" w:color="auto" w:fill="auto"/>
            <w:noWrap/>
            <w:vAlign w:val="bottom"/>
            <w:hideMark/>
          </w:tcPr>
          <w:p w14:paraId="35FA7EBB" w14:textId="1E1C950F" w:rsidR="00BA156B" w:rsidRPr="002E5F17" w:rsidRDefault="00BA156B" w:rsidP="00BA156B">
            <w:pPr>
              <w:spacing w:after="0"/>
              <w:jc w:val="right"/>
              <w:rPr>
                <w:rFonts w:ascii="Calibri" w:eastAsia="Times New Roman" w:hAnsi="Calibri" w:cs="Calibri"/>
                <w:color w:val="000000"/>
                <w:sz w:val="20"/>
                <w:szCs w:val="20"/>
              </w:rPr>
            </w:pPr>
            <w:r>
              <w:rPr>
                <w:rFonts w:ascii="Calibri" w:hAnsi="Calibri" w:cs="Calibri"/>
                <w:color w:val="000000"/>
                <w:sz w:val="20"/>
                <w:szCs w:val="20"/>
              </w:rPr>
              <w:t>2.3%</w:t>
            </w:r>
          </w:p>
        </w:tc>
        <w:tc>
          <w:tcPr>
            <w:tcW w:w="1299" w:type="dxa"/>
            <w:tcBorders>
              <w:top w:val="nil"/>
              <w:left w:val="nil"/>
              <w:bottom w:val="single" w:sz="4" w:space="0" w:color="auto"/>
              <w:right w:val="single" w:sz="4" w:space="0" w:color="auto"/>
            </w:tcBorders>
            <w:shd w:val="clear" w:color="auto" w:fill="auto"/>
            <w:noWrap/>
            <w:vAlign w:val="bottom"/>
            <w:hideMark/>
          </w:tcPr>
          <w:p w14:paraId="65DC9493" w14:textId="35E9CDF0" w:rsidR="00BA156B" w:rsidRPr="002E5F17" w:rsidRDefault="00BA156B" w:rsidP="00BA156B">
            <w:pPr>
              <w:spacing w:after="0"/>
              <w:jc w:val="right"/>
              <w:rPr>
                <w:rFonts w:ascii="Calibri" w:eastAsia="Times New Roman" w:hAnsi="Calibri" w:cs="Calibri"/>
                <w:color w:val="000000"/>
                <w:sz w:val="20"/>
                <w:szCs w:val="20"/>
              </w:rPr>
            </w:pPr>
            <w:r>
              <w:rPr>
                <w:rFonts w:ascii="Calibri" w:hAnsi="Calibri" w:cs="Calibri"/>
                <w:color w:val="000000"/>
                <w:sz w:val="20"/>
                <w:szCs w:val="20"/>
              </w:rPr>
              <w:t>5,861</w:t>
            </w:r>
          </w:p>
        </w:tc>
        <w:tc>
          <w:tcPr>
            <w:tcW w:w="960" w:type="dxa"/>
            <w:tcBorders>
              <w:top w:val="nil"/>
              <w:left w:val="nil"/>
              <w:bottom w:val="single" w:sz="4" w:space="0" w:color="auto"/>
              <w:right w:val="single" w:sz="4" w:space="0" w:color="auto"/>
            </w:tcBorders>
            <w:shd w:val="clear" w:color="auto" w:fill="auto"/>
            <w:noWrap/>
            <w:vAlign w:val="bottom"/>
            <w:hideMark/>
          </w:tcPr>
          <w:p w14:paraId="5A3CBC3E" w14:textId="283EFFF8" w:rsidR="00BA156B" w:rsidRPr="002E5F17" w:rsidRDefault="00BA156B" w:rsidP="00BA156B">
            <w:pPr>
              <w:spacing w:after="0"/>
              <w:jc w:val="right"/>
              <w:rPr>
                <w:rFonts w:ascii="Calibri" w:eastAsia="Times New Roman" w:hAnsi="Calibri" w:cs="Calibri"/>
                <w:color w:val="000000"/>
                <w:sz w:val="20"/>
                <w:szCs w:val="20"/>
              </w:rPr>
            </w:pPr>
            <w:r>
              <w:rPr>
                <w:rFonts w:ascii="Calibri" w:hAnsi="Calibri" w:cs="Calibri"/>
                <w:color w:val="000000"/>
                <w:sz w:val="20"/>
                <w:szCs w:val="20"/>
              </w:rPr>
              <w:t>3%</w:t>
            </w:r>
          </w:p>
        </w:tc>
      </w:tr>
      <w:tr w:rsidR="00BA156B" w:rsidRPr="002E5F17" w14:paraId="08B43CE3" w14:textId="77777777" w:rsidTr="00BA156B">
        <w:trPr>
          <w:trHeight w:val="300"/>
        </w:trPr>
        <w:tc>
          <w:tcPr>
            <w:tcW w:w="2606" w:type="dxa"/>
            <w:tcBorders>
              <w:top w:val="nil"/>
              <w:left w:val="single" w:sz="4" w:space="0" w:color="auto"/>
              <w:bottom w:val="single" w:sz="4" w:space="0" w:color="auto"/>
              <w:right w:val="single" w:sz="4" w:space="0" w:color="auto"/>
            </w:tcBorders>
            <w:shd w:val="clear" w:color="auto" w:fill="auto"/>
            <w:noWrap/>
            <w:vAlign w:val="bottom"/>
            <w:hideMark/>
          </w:tcPr>
          <w:p w14:paraId="33240CFD" w14:textId="42455600" w:rsidR="00BA156B" w:rsidRPr="002E5F17" w:rsidRDefault="00BA156B" w:rsidP="00BA156B">
            <w:pPr>
              <w:spacing w:after="0"/>
              <w:rPr>
                <w:rFonts w:ascii="Calibri" w:eastAsia="Times New Roman" w:hAnsi="Calibri" w:cs="Calibri"/>
                <w:color w:val="000000"/>
                <w:sz w:val="20"/>
                <w:szCs w:val="20"/>
              </w:rPr>
            </w:pPr>
            <w:r>
              <w:rPr>
                <w:rFonts w:ascii="Calibri" w:hAnsi="Calibri" w:cs="Calibri"/>
                <w:color w:val="000000"/>
                <w:sz w:val="20"/>
                <w:szCs w:val="20"/>
              </w:rPr>
              <w:t>Paediatric Medicine</w:t>
            </w:r>
          </w:p>
        </w:tc>
        <w:tc>
          <w:tcPr>
            <w:tcW w:w="1560" w:type="dxa"/>
            <w:tcBorders>
              <w:top w:val="nil"/>
              <w:left w:val="nil"/>
              <w:bottom w:val="single" w:sz="4" w:space="0" w:color="auto"/>
              <w:right w:val="single" w:sz="4" w:space="0" w:color="auto"/>
            </w:tcBorders>
            <w:shd w:val="clear" w:color="auto" w:fill="auto"/>
            <w:noWrap/>
            <w:vAlign w:val="bottom"/>
            <w:hideMark/>
          </w:tcPr>
          <w:p w14:paraId="09131410" w14:textId="3ACB5B77" w:rsidR="00BA156B" w:rsidRPr="002E5F17" w:rsidRDefault="00BA156B" w:rsidP="00BA156B">
            <w:pPr>
              <w:spacing w:after="0"/>
              <w:jc w:val="right"/>
              <w:rPr>
                <w:rFonts w:ascii="Calibri" w:eastAsia="Times New Roman" w:hAnsi="Calibri" w:cs="Calibri"/>
                <w:color w:val="000000"/>
                <w:sz w:val="20"/>
                <w:szCs w:val="20"/>
              </w:rPr>
            </w:pPr>
            <w:r>
              <w:rPr>
                <w:rFonts w:ascii="Calibri" w:hAnsi="Calibri" w:cs="Calibri"/>
                <w:color w:val="000000"/>
                <w:sz w:val="20"/>
                <w:szCs w:val="20"/>
              </w:rPr>
              <w:t>117</w:t>
            </w:r>
          </w:p>
        </w:tc>
        <w:tc>
          <w:tcPr>
            <w:tcW w:w="1420" w:type="dxa"/>
            <w:tcBorders>
              <w:top w:val="nil"/>
              <w:left w:val="nil"/>
              <w:bottom w:val="single" w:sz="4" w:space="0" w:color="auto"/>
              <w:right w:val="single" w:sz="4" w:space="0" w:color="auto"/>
            </w:tcBorders>
            <w:shd w:val="clear" w:color="auto" w:fill="auto"/>
            <w:noWrap/>
            <w:vAlign w:val="bottom"/>
            <w:hideMark/>
          </w:tcPr>
          <w:p w14:paraId="3BF56E99" w14:textId="3583F924" w:rsidR="00BA156B" w:rsidRPr="002E5F17" w:rsidRDefault="00BA156B" w:rsidP="00BA156B">
            <w:pPr>
              <w:spacing w:after="0"/>
              <w:jc w:val="right"/>
              <w:rPr>
                <w:rFonts w:ascii="Calibri" w:eastAsia="Times New Roman" w:hAnsi="Calibri" w:cs="Calibri"/>
                <w:color w:val="000000"/>
                <w:sz w:val="20"/>
                <w:szCs w:val="20"/>
              </w:rPr>
            </w:pPr>
            <w:r>
              <w:rPr>
                <w:rFonts w:ascii="Calibri" w:hAnsi="Calibri" w:cs="Calibri"/>
                <w:color w:val="000000"/>
                <w:sz w:val="20"/>
                <w:szCs w:val="20"/>
              </w:rPr>
              <w:t>0.7%</w:t>
            </w:r>
          </w:p>
        </w:tc>
        <w:tc>
          <w:tcPr>
            <w:tcW w:w="1299" w:type="dxa"/>
            <w:tcBorders>
              <w:top w:val="nil"/>
              <w:left w:val="nil"/>
              <w:bottom w:val="single" w:sz="4" w:space="0" w:color="auto"/>
              <w:right w:val="single" w:sz="4" w:space="0" w:color="auto"/>
            </w:tcBorders>
            <w:shd w:val="clear" w:color="auto" w:fill="auto"/>
            <w:noWrap/>
            <w:vAlign w:val="bottom"/>
            <w:hideMark/>
          </w:tcPr>
          <w:p w14:paraId="51A0B3AE" w14:textId="3F8B6F5E" w:rsidR="00BA156B" w:rsidRPr="002E5F17" w:rsidRDefault="00BA156B" w:rsidP="00BA156B">
            <w:pPr>
              <w:spacing w:after="0"/>
              <w:jc w:val="right"/>
              <w:rPr>
                <w:rFonts w:ascii="Calibri" w:eastAsia="Times New Roman" w:hAnsi="Calibri" w:cs="Calibri"/>
                <w:color w:val="000000"/>
                <w:sz w:val="20"/>
                <w:szCs w:val="20"/>
              </w:rPr>
            </w:pPr>
            <w:r>
              <w:rPr>
                <w:rFonts w:ascii="Calibri" w:hAnsi="Calibri" w:cs="Calibri"/>
                <w:color w:val="000000"/>
                <w:sz w:val="20"/>
                <w:szCs w:val="20"/>
              </w:rPr>
              <w:t>1,558</w:t>
            </w:r>
          </w:p>
        </w:tc>
        <w:tc>
          <w:tcPr>
            <w:tcW w:w="960" w:type="dxa"/>
            <w:tcBorders>
              <w:top w:val="nil"/>
              <w:left w:val="nil"/>
              <w:bottom w:val="single" w:sz="4" w:space="0" w:color="auto"/>
              <w:right w:val="single" w:sz="4" w:space="0" w:color="auto"/>
            </w:tcBorders>
            <w:shd w:val="clear" w:color="auto" w:fill="auto"/>
            <w:noWrap/>
            <w:vAlign w:val="bottom"/>
            <w:hideMark/>
          </w:tcPr>
          <w:p w14:paraId="1D19FAB9" w14:textId="2517A352" w:rsidR="00BA156B" w:rsidRPr="002E5F17" w:rsidRDefault="00BA156B" w:rsidP="00BA156B">
            <w:pPr>
              <w:spacing w:after="0"/>
              <w:jc w:val="right"/>
              <w:rPr>
                <w:rFonts w:ascii="Calibri" w:eastAsia="Times New Roman" w:hAnsi="Calibri" w:cs="Calibri"/>
                <w:color w:val="000000"/>
                <w:sz w:val="20"/>
                <w:szCs w:val="20"/>
              </w:rPr>
            </w:pPr>
            <w:r>
              <w:rPr>
                <w:rFonts w:ascii="Calibri" w:hAnsi="Calibri" w:cs="Calibri"/>
                <w:color w:val="000000"/>
                <w:sz w:val="20"/>
                <w:szCs w:val="20"/>
              </w:rPr>
              <w:t>0.7%</w:t>
            </w:r>
          </w:p>
        </w:tc>
      </w:tr>
      <w:tr w:rsidR="00BA156B" w:rsidRPr="002E5F17" w14:paraId="735453A0" w14:textId="77777777" w:rsidTr="00BA156B">
        <w:trPr>
          <w:trHeight w:val="300"/>
        </w:trPr>
        <w:tc>
          <w:tcPr>
            <w:tcW w:w="2606" w:type="dxa"/>
            <w:tcBorders>
              <w:top w:val="nil"/>
              <w:left w:val="single" w:sz="4" w:space="0" w:color="auto"/>
              <w:bottom w:val="single" w:sz="4" w:space="0" w:color="auto"/>
              <w:right w:val="single" w:sz="4" w:space="0" w:color="auto"/>
            </w:tcBorders>
            <w:shd w:val="clear" w:color="auto" w:fill="auto"/>
            <w:noWrap/>
            <w:vAlign w:val="bottom"/>
            <w:hideMark/>
          </w:tcPr>
          <w:p w14:paraId="0590945B" w14:textId="5C3C7CBB" w:rsidR="00BA156B" w:rsidRPr="002E5F17" w:rsidRDefault="00BA156B" w:rsidP="00BA156B">
            <w:pPr>
              <w:spacing w:after="0"/>
              <w:rPr>
                <w:rFonts w:ascii="Calibri" w:eastAsia="Times New Roman" w:hAnsi="Calibri" w:cs="Calibri"/>
                <w:color w:val="000000"/>
                <w:sz w:val="20"/>
                <w:szCs w:val="20"/>
              </w:rPr>
            </w:pPr>
            <w:r>
              <w:rPr>
                <w:rFonts w:ascii="Calibri" w:hAnsi="Calibri" w:cs="Calibri"/>
                <w:color w:val="000000"/>
                <w:sz w:val="20"/>
                <w:szCs w:val="20"/>
              </w:rPr>
              <w:t>Internal Medicine</w:t>
            </w:r>
          </w:p>
        </w:tc>
        <w:tc>
          <w:tcPr>
            <w:tcW w:w="1560" w:type="dxa"/>
            <w:tcBorders>
              <w:top w:val="nil"/>
              <w:left w:val="nil"/>
              <w:bottom w:val="single" w:sz="4" w:space="0" w:color="auto"/>
              <w:right w:val="single" w:sz="4" w:space="0" w:color="auto"/>
            </w:tcBorders>
            <w:shd w:val="clear" w:color="auto" w:fill="auto"/>
            <w:noWrap/>
            <w:vAlign w:val="bottom"/>
            <w:hideMark/>
          </w:tcPr>
          <w:p w14:paraId="169809E7" w14:textId="23714239" w:rsidR="00BA156B" w:rsidRPr="002E5F17" w:rsidRDefault="00BA156B" w:rsidP="00BA156B">
            <w:pPr>
              <w:spacing w:after="0"/>
              <w:jc w:val="right"/>
              <w:rPr>
                <w:rFonts w:ascii="Calibri" w:eastAsia="Times New Roman" w:hAnsi="Calibri" w:cs="Calibri"/>
                <w:color w:val="000000"/>
                <w:sz w:val="20"/>
                <w:szCs w:val="20"/>
              </w:rPr>
            </w:pPr>
            <w:r>
              <w:rPr>
                <w:rFonts w:ascii="Calibri" w:hAnsi="Calibri" w:cs="Calibri"/>
                <w:color w:val="000000"/>
                <w:sz w:val="20"/>
                <w:szCs w:val="20"/>
              </w:rPr>
              <w:t>104</w:t>
            </w:r>
          </w:p>
        </w:tc>
        <w:tc>
          <w:tcPr>
            <w:tcW w:w="1420" w:type="dxa"/>
            <w:tcBorders>
              <w:top w:val="nil"/>
              <w:left w:val="nil"/>
              <w:bottom w:val="single" w:sz="4" w:space="0" w:color="auto"/>
              <w:right w:val="single" w:sz="4" w:space="0" w:color="auto"/>
            </w:tcBorders>
            <w:shd w:val="clear" w:color="auto" w:fill="auto"/>
            <w:noWrap/>
            <w:vAlign w:val="bottom"/>
            <w:hideMark/>
          </w:tcPr>
          <w:p w14:paraId="61C0A826" w14:textId="49136FD5" w:rsidR="00BA156B" w:rsidRPr="002E5F17" w:rsidRDefault="00BA156B" w:rsidP="00BA156B">
            <w:pPr>
              <w:spacing w:after="0"/>
              <w:jc w:val="right"/>
              <w:rPr>
                <w:rFonts w:ascii="Calibri" w:eastAsia="Times New Roman" w:hAnsi="Calibri" w:cs="Calibri"/>
                <w:color w:val="000000"/>
                <w:sz w:val="20"/>
                <w:szCs w:val="20"/>
              </w:rPr>
            </w:pPr>
            <w:r>
              <w:rPr>
                <w:rFonts w:ascii="Calibri" w:hAnsi="Calibri" w:cs="Calibri"/>
                <w:color w:val="000000"/>
                <w:sz w:val="20"/>
                <w:szCs w:val="20"/>
              </w:rPr>
              <w:t>0.6%</w:t>
            </w:r>
          </w:p>
        </w:tc>
        <w:tc>
          <w:tcPr>
            <w:tcW w:w="1299" w:type="dxa"/>
            <w:tcBorders>
              <w:top w:val="nil"/>
              <w:left w:val="nil"/>
              <w:bottom w:val="single" w:sz="4" w:space="0" w:color="auto"/>
              <w:right w:val="single" w:sz="4" w:space="0" w:color="auto"/>
            </w:tcBorders>
            <w:shd w:val="clear" w:color="auto" w:fill="auto"/>
            <w:noWrap/>
            <w:vAlign w:val="bottom"/>
            <w:hideMark/>
          </w:tcPr>
          <w:p w14:paraId="36FFB3B7" w14:textId="16A845D8" w:rsidR="00BA156B" w:rsidRPr="002E5F17" w:rsidRDefault="00BA156B" w:rsidP="00BA156B">
            <w:pPr>
              <w:spacing w:after="0"/>
              <w:jc w:val="right"/>
              <w:rPr>
                <w:rFonts w:ascii="Calibri" w:eastAsia="Times New Roman" w:hAnsi="Calibri" w:cs="Calibri"/>
                <w:color w:val="000000"/>
                <w:sz w:val="20"/>
                <w:szCs w:val="20"/>
              </w:rPr>
            </w:pPr>
            <w:r>
              <w:rPr>
                <w:rFonts w:ascii="Calibri" w:hAnsi="Calibri" w:cs="Calibri"/>
                <w:color w:val="000000"/>
                <w:sz w:val="20"/>
                <w:szCs w:val="20"/>
              </w:rPr>
              <w:t>1,110</w:t>
            </w:r>
          </w:p>
        </w:tc>
        <w:tc>
          <w:tcPr>
            <w:tcW w:w="960" w:type="dxa"/>
            <w:tcBorders>
              <w:top w:val="nil"/>
              <w:left w:val="nil"/>
              <w:bottom w:val="single" w:sz="4" w:space="0" w:color="auto"/>
              <w:right w:val="single" w:sz="4" w:space="0" w:color="auto"/>
            </w:tcBorders>
            <w:shd w:val="clear" w:color="auto" w:fill="auto"/>
            <w:noWrap/>
            <w:vAlign w:val="bottom"/>
            <w:hideMark/>
          </w:tcPr>
          <w:p w14:paraId="0A9E3B44" w14:textId="41806AF6" w:rsidR="00BA156B" w:rsidRPr="002E5F17" w:rsidRDefault="00BA156B" w:rsidP="00BA156B">
            <w:pPr>
              <w:spacing w:after="0"/>
              <w:jc w:val="right"/>
              <w:rPr>
                <w:rFonts w:ascii="Calibri" w:eastAsia="Times New Roman" w:hAnsi="Calibri" w:cs="Calibri"/>
                <w:color w:val="000000"/>
                <w:sz w:val="20"/>
                <w:szCs w:val="20"/>
              </w:rPr>
            </w:pPr>
            <w:r>
              <w:rPr>
                <w:rFonts w:ascii="Calibri" w:hAnsi="Calibri" w:cs="Calibri"/>
                <w:color w:val="000000"/>
                <w:sz w:val="20"/>
                <w:szCs w:val="20"/>
              </w:rPr>
              <w:t>0.5%</w:t>
            </w:r>
          </w:p>
        </w:tc>
      </w:tr>
      <w:tr w:rsidR="00BA156B" w:rsidRPr="002E5F17" w14:paraId="340708AA" w14:textId="77777777" w:rsidTr="00BA156B">
        <w:trPr>
          <w:trHeight w:val="300"/>
        </w:trPr>
        <w:tc>
          <w:tcPr>
            <w:tcW w:w="2606" w:type="dxa"/>
            <w:tcBorders>
              <w:top w:val="nil"/>
              <w:left w:val="single" w:sz="4" w:space="0" w:color="auto"/>
              <w:bottom w:val="single" w:sz="4" w:space="0" w:color="auto"/>
              <w:right w:val="single" w:sz="4" w:space="0" w:color="auto"/>
            </w:tcBorders>
            <w:shd w:val="clear" w:color="auto" w:fill="auto"/>
            <w:noWrap/>
            <w:vAlign w:val="bottom"/>
            <w:hideMark/>
          </w:tcPr>
          <w:p w14:paraId="05191C9C" w14:textId="2F9CF557" w:rsidR="00BA156B" w:rsidRPr="002E5F17" w:rsidRDefault="00BA156B" w:rsidP="00BA156B">
            <w:pPr>
              <w:spacing w:after="0"/>
              <w:rPr>
                <w:rFonts w:ascii="Calibri" w:eastAsia="Times New Roman" w:hAnsi="Calibri" w:cs="Calibri"/>
                <w:color w:val="000000"/>
                <w:sz w:val="20"/>
                <w:szCs w:val="20"/>
              </w:rPr>
            </w:pPr>
            <w:r>
              <w:rPr>
                <w:rFonts w:ascii="Calibri" w:hAnsi="Calibri" w:cs="Calibri"/>
                <w:color w:val="000000"/>
                <w:sz w:val="20"/>
                <w:szCs w:val="20"/>
              </w:rPr>
              <w:t>Other</w:t>
            </w:r>
          </w:p>
        </w:tc>
        <w:tc>
          <w:tcPr>
            <w:tcW w:w="1560" w:type="dxa"/>
            <w:tcBorders>
              <w:top w:val="nil"/>
              <w:left w:val="nil"/>
              <w:bottom w:val="single" w:sz="4" w:space="0" w:color="auto"/>
              <w:right w:val="single" w:sz="4" w:space="0" w:color="auto"/>
            </w:tcBorders>
            <w:shd w:val="clear" w:color="auto" w:fill="auto"/>
            <w:noWrap/>
            <w:vAlign w:val="bottom"/>
            <w:hideMark/>
          </w:tcPr>
          <w:p w14:paraId="2F6B4D56" w14:textId="586EC56E" w:rsidR="00BA156B" w:rsidRPr="002E5F17" w:rsidRDefault="00BA156B" w:rsidP="00BA156B">
            <w:pPr>
              <w:spacing w:after="0"/>
              <w:jc w:val="right"/>
              <w:rPr>
                <w:rFonts w:ascii="Calibri" w:eastAsia="Times New Roman" w:hAnsi="Calibri" w:cs="Calibri"/>
                <w:color w:val="000000"/>
                <w:sz w:val="20"/>
                <w:szCs w:val="20"/>
              </w:rPr>
            </w:pPr>
            <w:r>
              <w:rPr>
                <w:rFonts w:ascii="Calibri" w:hAnsi="Calibri" w:cs="Calibri"/>
                <w:color w:val="000000"/>
                <w:sz w:val="20"/>
                <w:szCs w:val="20"/>
              </w:rPr>
              <w:t>34</w:t>
            </w:r>
          </w:p>
        </w:tc>
        <w:tc>
          <w:tcPr>
            <w:tcW w:w="1420" w:type="dxa"/>
            <w:tcBorders>
              <w:top w:val="nil"/>
              <w:left w:val="nil"/>
              <w:bottom w:val="single" w:sz="4" w:space="0" w:color="auto"/>
              <w:right w:val="single" w:sz="4" w:space="0" w:color="auto"/>
            </w:tcBorders>
            <w:shd w:val="clear" w:color="auto" w:fill="auto"/>
            <w:noWrap/>
            <w:vAlign w:val="bottom"/>
            <w:hideMark/>
          </w:tcPr>
          <w:p w14:paraId="4282ACB7" w14:textId="0433B19C" w:rsidR="00BA156B" w:rsidRPr="002E5F17" w:rsidRDefault="00BA156B" w:rsidP="00BA156B">
            <w:pPr>
              <w:spacing w:after="0"/>
              <w:jc w:val="right"/>
              <w:rPr>
                <w:rFonts w:ascii="Calibri" w:eastAsia="Times New Roman" w:hAnsi="Calibri" w:cs="Calibri"/>
                <w:color w:val="000000"/>
                <w:sz w:val="20"/>
                <w:szCs w:val="20"/>
              </w:rPr>
            </w:pPr>
            <w:r>
              <w:rPr>
                <w:rFonts w:ascii="Calibri" w:hAnsi="Calibri" w:cs="Calibri"/>
                <w:color w:val="000000"/>
                <w:sz w:val="20"/>
                <w:szCs w:val="20"/>
              </w:rPr>
              <w:t>0.2%</w:t>
            </w:r>
          </w:p>
        </w:tc>
        <w:tc>
          <w:tcPr>
            <w:tcW w:w="1299" w:type="dxa"/>
            <w:tcBorders>
              <w:top w:val="nil"/>
              <w:left w:val="nil"/>
              <w:bottom w:val="single" w:sz="4" w:space="0" w:color="auto"/>
              <w:right w:val="single" w:sz="4" w:space="0" w:color="auto"/>
            </w:tcBorders>
            <w:shd w:val="clear" w:color="auto" w:fill="auto"/>
            <w:noWrap/>
            <w:vAlign w:val="bottom"/>
            <w:hideMark/>
          </w:tcPr>
          <w:p w14:paraId="2A28C578" w14:textId="57464207" w:rsidR="00BA156B" w:rsidRPr="002E5F17" w:rsidRDefault="00BA156B" w:rsidP="00BA156B">
            <w:pPr>
              <w:spacing w:after="0"/>
              <w:jc w:val="right"/>
              <w:rPr>
                <w:rFonts w:ascii="Calibri" w:eastAsia="Times New Roman" w:hAnsi="Calibri" w:cs="Calibri"/>
                <w:color w:val="000000"/>
                <w:sz w:val="20"/>
                <w:szCs w:val="20"/>
              </w:rPr>
            </w:pPr>
            <w:r>
              <w:rPr>
                <w:rFonts w:ascii="Calibri" w:hAnsi="Calibri" w:cs="Calibri"/>
                <w:color w:val="000000"/>
                <w:sz w:val="20"/>
                <w:szCs w:val="20"/>
              </w:rPr>
              <w:t>303</w:t>
            </w:r>
          </w:p>
        </w:tc>
        <w:tc>
          <w:tcPr>
            <w:tcW w:w="960" w:type="dxa"/>
            <w:tcBorders>
              <w:top w:val="nil"/>
              <w:left w:val="nil"/>
              <w:bottom w:val="single" w:sz="4" w:space="0" w:color="auto"/>
              <w:right w:val="single" w:sz="4" w:space="0" w:color="auto"/>
            </w:tcBorders>
            <w:shd w:val="clear" w:color="auto" w:fill="auto"/>
            <w:noWrap/>
            <w:vAlign w:val="bottom"/>
            <w:hideMark/>
          </w:tcPr>
          <w:p w14:paraId="792C5007" w14:textId="23C80EE9" w:rsidR="00BA156B" w:rsidRPr="002E5F17" w:rsidRDefault="00BA156B" w:rsidP="00BA156B">
            <w:pPr>
              <w:spacing w:after="0"/>
              <w:jc w:val="right"/>
              <w:rPr>
                <w:rFonts w:ascii="Calibri" w:eastAsia="Times New Roman" w:hAnsi="Calibri" w:cs="Calibri"/>
                <w:color w:val="000000"/>
                <w:sz w:val="20"/>
                <w:szCs w:val="20"/>
              </w:rPr>
            </w:pPr>
            <w:r>
              <w:rPr>
                <w:rFonts w:ascii="Calibri" w:hAnsi="Calibri" w:cs="Calibri"/>
                <w:color w:val="000000"/>
                <w:sz w:val="20"/>
                <w:szCs w:val="20"/>
              </w:rPr>
              <w:t>0.1%</w:t>
            </w:r>
          </w:p>
        </w:tc>
      </w:tr>
      <w:tr w:rsidR="00BA156B" w:rsidRPr="002E5F17" w14:paraId="19C8206A" w14:textId="77777777" w:rsidTr="00BA156B">
        <w:trPr>
          <w:trHeight w:val="300"/>
        </w:trPr>
        <w:tc>
          <w:tcPr>
            <w:tcW w:w="2606" w:type="dxa"/>
            <w:tcBorders>
              <w:top w:val="nil"/>
              <w:left w:val="single" w:sz="4" w:space="0" w:color="auto"/>
              <w:bottom w:val="single" w:sz="4" w:space="0" w:color="auto"/>
              <w:right w:val="single" w:sz="4" w:space="0" w:color="auto"/>
            </w:tcBorders>
            <w:shd w:val="clear" w:color="auto" w:fill="auto"/>
            <w:noWrap/>
            <w:vAlign w:val="bottom"/>
            <w:hideMark/>
          </w:tcPr>
          <w:p w14:paraId="0CE43FCC" w14:textId="4D73AA4E" w:rsidR="00BA156B" w:rsidRPr="002E5F17" w:rsidRDefault="00BA156B" w:rsidP="00BA156B">
            <w:pPr>
              <w:spacing w:after="0"/>
              <w:rPr>
                <w:rFonts w:ascii="Calibri" w:eastAsia="Times New Roman" w:hAnsi="Calibri" w:cs="Calibri"/>
                <w:color w:val="000000"/>
                <w:sz w:val="20"/>
                <w:szCs w:val="20"/>
              </w:rPr>
            </w:pPr>
            <w:r>
              <w:rPr>
                <w:rFonts w:ascii="Calibri" w:hAnsi="Calibri" w:cs="Calibri"/>
                <w:color w:val="000000"/>
                <w:sz w:val="20"/>
                <w:szCs w:val="20"/>
              </w:rPr>
              <w:t>Total</w:t>
            </w:r>
          </w:p>
        </w:tc>
        <w:tc>
          <w:tcPr>
            <w:tcW w:w="1560" w:type="dxa"/>
            <w:tcBorders>
              <w:top w:val="nil"/>
              <w:left w:val="nil"/>
              <w:bottom w:val="single" w:sz="4" w:space="0" w:color="auto"/>
              <w:right w:val="single" w:sz="4" w:space="0" w:color="auto"/>
            </w:tcBorders>
            <w:shd w:val="clear" w:color="auto" w:fill="auto"/>
            <w:noWrap/>
            <w:vAlign w:val="bottom"/>
            <w:hideMark/>
          </w:tcPr>
          <w:p w14:paraId="2B702703" w14:textId="59063A62" w:rsidR="00BA156B" w:rsidRPr="002E5F17" w:rsidRDefault="00BA156B" w:rsidP="00BA156B">
            <w:pPr>
              <w:spacing w:after="0"/>
              <w:jc w:val="right"/>
              <w:rPr>
                <w:rFonts w:ascii="Calibri" w:eastAsia="Times New Roman" w:hAnsi="Calibri" w:cs="Calibri"/>
                <w:color w:val="000000"/>
                <w:sz w:val="20"/>
                <w:szCs w:val="20"/>
              </w:rPr>
            </w:pPr>
            <w:r>
              <w:rPr>
                <w:rFonts w:ascii="Calibri" w:hAnsi="Calibri" w:cs="Calibri"/>
                <w:color w:val="000000"/>
                <w:sz w:val="20"/>
                <w:szCs w:val="20"/>
              </w:rPr>
              <w:t>16,995</w:t>
            </w:r>
          </w:p>
        </w:tc>
        <w:tc>
          <w:tcPr>
            <w:tcW w:w="1420" w:type="dxa"/>
            <w:tcBorders>
              <w:top w:val="nil"/>
              <w:left w:val="nil"/>
              <w:bottom w:val="single" w:sz="4" w:space="0" w:color="auto"/>
              <w:right w:val="single" w:sz="4" w:space="0" w:color="auto"/>
            </w:tcBorders>
            <w:shd w:val="clear" w:color="auto" w:fill="auto"/>
            <w:noWrap/>
            <w:vAlign w:val="bottom"/>
            <w:hideMark/>
          </w:tcPr>
          <w:p w14:paraId="089576E2" w14:textId="7EBDBE86" w:rsidR="00BA156B" w:rsidRPr="002E5F17" w:rsidRDefault="00BA156B" w:rsidP="00BA156B">
            <w:pPr>
              <w:spacing w:after="0"/>
              <w:rPr>
                <w:rFonts w:ascii="Calibri" w:eastAsia="Times New Roman" w:hAnsi="Calibri" w:cs="Calibri"/>
                <w:color w:val="000000"/>
                <w:sz w:val="20"/>
                <w:szCs w:val="20"/>
              </w:rPr>
            </w:pPr>
            <w:r>
              <w:rPr>
                <w:rFonts w:ascii="Calibri" w:hAnsi="Calibri" w:cs="Calibri"/>
                <w:color w:val="000000"/>
                <w:sz w:val="20"/>
                <w:szCs w:val="20"/>
              </w:rPr>
              <w:t> </w:t>
            </w:r>
          </w:p>
        </w:tc>
        <w:tc>
          <w:tcPr>
            <w:tcW w:w="1299" w:type="dxa"/>
            <w:tcBorders>
              <w:top w:val="nil"/>
              <w:left w:val="nil"/>
              <w:bottom w:val="single" w:sz="4" w:space="0" w:color="auto"/>
              <w:right w:val="single" w:sz="4" w:space="0" w:color="auto"/>
            </w:tcBorders>
            <w:shd w:val="clear" w:color="auto" w:fill="auto"/>
            <w:noWrap/>
            <w:vAlign w:val="bottom"/>
            <w:hideMark/>
          </w:tcPr>
          <w:p w14:paraId="68FE78F1" w14:textId="3C049DFE" w:rsidR="00BA156B" w:rsidRPr="002E5F17" w:rsidRDefault="00BA156B" w:rsidP="00BA156B">
            <w:pPr>
              <w:spacing w:after="0"/>
              <w:jc w:val="right"/>
              <w:rPr>
                <w:rFonts w:ascii="Calibri" w:eastAsia="Times New Roman" w:hAnsi="Calibri" w:cs="Calibri"/>
                <w:color w:val="000000"/>
                <w:sz w:val="20"/>
                <w:szCs w:val="20"/>
              </w:rPr>
            </w:pPr>
            <w:r>
              <w:rPr>
                <w:rFonts w:ascii="Calibri" w:hAnsi="Calibri" w:cs="Calibri"/>
                <w:color w:val="000000"/>
                <w:sz w:val="20"/>
                <w:szCs w:val="20"/>
              </w:rPr>
              <w:t>222,798</w:t>
            </w:r>
          </w:p>
        </w:tc>
        <w:tc>
          <w:tcPr>
            <w:tcW w:w="960" w:type="dxa"/>
            <w:tcBorders>
              <w:top w:val="nil"/>
              <w:left w:val="nil"/>
              <w:bottom w:val="single" w:sz="4" w:space="0" w:color="auto"/>
              <w:right w:val="single" w:sz="4" w:space="0" w:color="auto"/>
            </w:tcBorders>
            <w:shd w:val="clear" w:color="auto" w:fill="auto"/>
            <w:noWrap/>
            <w:vAlign w:val="bottom"/>
            <w:hideMark/>
          </w:tcPr>
          <w:p w14:paraId="0572A247" w14:textId="55A41F9E" w:rsidR="00BA156B" w:rsidRPr="002E5F17" w:rsidRDefault="00BA156B" w:rsidP="00BA156B">
            <w:pPr>
              <w:spacing w:after="0"/>
              <w:rPr>
                <w:rFonts w:ascii="Calibri" w:eastAsia="Times New Roman" w:hAnsi="Calibri" w:cs="Calibri"/>
                <w:color w:val="000000"/>
                <w:sz w:val="22"/>
                <w:szCs w:val="22"/>
              </w:rPr>
            </w:pPr>
            <w:r>
              <w:rPr>
                <w:rFonts w:ascii="Calibri" w:hAnsi="Calibri" w:cs="Calibri"/>
                <w:color w:val="000000"/>
                <w:sz w:val="22"/>
                <w:szCs w:val="22"/>
              </w:rPr>
              <w:t> </w:t>
            </w:r>
          </w:p>
        </w:tc>
      </w:tr>
    </w:tbl>
    <w:p w14:paraId="343BAE76" w14:textId="77777777" w:rsidR="002E5F17" w:rsidRDefault="002E5F17" w:rsidP="00A35800">
      <w:pPr>
        <w:rPr>
          <w:highlight w:val="yellow"/>
        </w:rPr>
      </w:pPr>
    </w:p>
    <w:p w14:paraId="1E394522" w14:textId="16F0F9E2" w:rsidR="000764C1" w:rsidRPr="000302B8" w:rsidRDefault="000764C1" w:rsidP="00A35800">
      <w:r w:rsidRPr="000302B8">
        <w:lastRenderedPageBreak/>
        <w:t xml:space="preserve">Prescriber type is shown above for initiating patients and </w:t>
      </w:r>
      <w:r w:rsidR="00600198" w:rsidRPr="000302B8">
        <w:t xml:space="preserve">all supplied prescriptions. The proportions </w:t>
      </w:r>
      <w:r w:rsidR="001E7A4D" w:rsidRPr="000302B8">
        <w:t>we</w:t>
      </w:r>
      <w:r w:rsidR="00600198" w:rsidRPr="000302B8">
        <w:t xml:space="preserve">re similar </w:t>
      </w:r>
      <w:r w:rsidR="000D3232" w:rsidRPr="000302B8">
        <w:t>across the two</w:t>
      </w:r>
      <w:r w:rsidR="00A61247">
        <w:t xml:space="preserve"> variables</w:t>
      </w:r>
      <w:r w:rsidR="00642A7D" w:rsidRPr="000302B8">
        <w:t xml:space="preserve">, with 87% of </w:t>
      </w:r>
      <w:r w:rsidR="00935C4C" w:rsidRPr="000302B8">
        <w:t xml:space="preserve">initiating patients and supplied prescriptions prescribed by dermatology or immunology and allergy </w:t>
      </w:r>
      <w:r w:rsidR="000302B8" w:rsidRPr="000302B8">
        <w:t>specialists.</w:t>
      </w:r>
    </w:p>
    <w:p w14:paraId="0AAC9BB8" w14:textId="6A47E5B9" w:rsidR="00AD1C12" w:rsidRPr="00C54511" w:rsidRDefault="00AD1C12" w:rsidP="000764C1">
      <w:pPr>
        <w:pStyle w:val="Tabletitle"/>
        <w:keepNext/>
      </w:pPr>
      <w:r w:rsidRPr="00C0583F">
        <w:t xml:space="preserve">Table </w:t>
      </w:r>
      <w:r w:rsidR="00302A5A">
        <w:t>1</w:t>
      </w:r>
      <w:r w:rsidR="00465265">
        <w:t>1</w:t>
      </w:r>
      <w:r w:rsidRPr="00C0583F">
        <w:t>: Sequence of use of dupilumab</w:t>
      </w:r>
      <w:r w:rsidR="00E17A32" w:rsidRPr="00C0583F">
        <w:t xml:space="preserve"> </w:t>
      </w:r>
      <w:r w:rsidRPr="00C0583F">
        <w:t>and topical therapy</w:t>
      </w:r>
    </w:p>
    <w:tbl>
      <w:tblPr>
        <w:tblW w:w="9060" w:type="dxa"/>
        <w:tblInd w:w="113" w:type="dxa"/>
        <w:tblLayout w:type="fixed"/>
        <w:tblLook w:val="04A0" w:firstRow="1" w:lastRow="0" w:firstColumn="1" w:lastColumn="0" w:noHBand="0" w:noVBand="1"/>
      </w:tblPr>
      <w:tblGrid>
        <w:gridCol w:w="3751"/>
        <w:gridCol w:w="1327"/>
        <w:gridCol w:w="1327"/>
        <w:gridCol w:w="1327"/>
        <w:gridCol w:w="1328"/>
      </w:tblGrid>
      <w:tr w:rsidR="00AD1C12" w:rsidRPr="00C54511" w14:paraId="0618B025" w14:textId="77777777" w:rsidTr="00754D45">
        <w:trPr>
          <w:trHeight w:val="300"/>
        </w:trPr>
        <w:tc>
          <w:tcPr>
            <w:tcW w:w="375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1ADE89EF" w14:textId="77777777" w:rsidR="00AD1C12" w:rsidRPr="00C54511" w:rsidRDefault="00AD1C12" w:rsidP="00754D45">
            <w:pPr>
              <w:spacing w:after="0"/>
              <w:rPr>
                <w:rFonts w:ascii="Calibri" w:eastAsia="Times New Roman" w:hAnsi="Calibri" w:cs="Calibri"/>
                <w:b/>
                <w:bCs/>
                <w:color w:val="000000"/>
                <w:sz w:val="20"/>
                <w:szCs w:val="20"/>
              </w:rPr>
            </w:pPr>
            <w:r w:rsidRPr="00C54511">
              <w:rPr>
                <w:rFonts w:ascii="Calibri" w:eastAsia="Times New Roman" w:hAnsi="Calibri" w:cs="Calibri"/>
                <w:b/>
                <w:bCs/>
                <w:color w:val="000000"/>
                <w:sz w:val="20"/>
                <w:szCs w:val="20"/>
              </w:rPr>
              <w:t>Sequence</w:t>
            </w:r>
          </w:p>
        </w:tc>
        <w:tc>
          <w:tcPr>
            <w:tcW w:w="1327"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665E501E" w14:textId="77777777" w:rsidR="00AD1C12" w:rsidRPr="00C54511" w:rsidRDefault="00AD1C12" w:rsidP="00754D45">
            <w:pPr>
              <w:spacing w:after="0"/>
              <w:rPr>
                <w:rFonts w:ascii="Calibri" w:eastAsia="Times New Roman" w:hAnsi="Calibri" w:cs="Calibri"/>
                <w:b/>
                <w:bCs/>
                <w:color w:val="000000"/>
                <w:sz w:val="20"/>
                <w:szCs w:val="20"/>
              </w:rPr>
            </w:pPr>
            <w:r w:rsidRPr="00C54511">
              <w:rPr>
                <w:rFonts w:ascii="Calibri" w:eastAsia="Times New Roman" w:hAnsi="Calibri" w:cs="Calibri"/>
                <w:b/>
                <w:bCs/>
                <w:color w:val="000000"/>
                <w:sz w:val="20"/>
                <w:szCs w:val="20"/>
              </w:rPr>
              <w:t>Patients by item code</w:t>
            </w:r>
          </w:p>
        </w:tc>
        <w:tc>
          <w:tcPr>
            <w:tcW w:w="1327"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4B3474E0" w14:textId="77777777" w:rsidR="00AD1C12" w:rsidRPr="00C54511" w:rsidRDefault="00AD1C12" w:rsidP="00754D45">
            <w:pPr>
              <w:spacing w:after="0"/>
              <w:rPr>
                <w:rFonts w:ascii="Calibri" w:eastAsia="Times New Roman" w:hAnsi="Calibri" w:cs="Calibri"/>
                <w:b/>
                <w:bCs/>
                <w:color w:val="000000"/>
                <w:sz w:val="20"/>
                <w:szCs w:val="20"/>
              </w:rPr>
            </w:pPr>
            <w:r w:rsidRPr="00C54511">
              <w:rPr>
                <w:rFonts w:ascii="Calibri" w:eastAsia="Times New Roman" w:hAnsi="Calibri" w:cs="Calibri"/>
                <w:b/>
                <w:bCs/>
                <w:color w:val="000000"/>
                <w:sz w:val="20"/>
                <w:szCs w:val="20"/>
              </w:rPr>
              <w:t>Percent by item code</w:t>
            </w:r>
          </w:p>
        </w:tc>
        <w:tc>
          <w:tcPr>
            <w:tcW w:w="1327"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36749762" w14:textId="77777777" w:rsidR="00AD1C12" w:rsidRPr="00C54511" w:rsidRDefault="00AD1C12" w:rsidP="00754D45">
            <w:pPr>
              <w:spacing w:after="0"/>
              <w:rPr>
                <w:rFonts w:ascii="Calibri" w:eastAsia="Times New Roman" w:hAnsi="Calibri" w:cs="Calibri"/>
                <w:b/>
                <w:bCs/>
                <w:color w:val="000000"/>
                <w:sz w:val="20"/>
                <w:szCs w:val="20"/>
              </w:rPr>
            </w:pPr>
            <w:r w:rsidRPr="00C54511">
              <w:rPr>
                <w:rFonts w:ascii="Calibri" w:eastAsia="Times New Roman" w:hAnsi="Calibri" w:cs="Calibri"/>
                <w:b/>
                <w:bCs/>
                <w:color w:val="000000"/>
                <w:sz w:val="20"/>
                <w:szCs w:val="20"/>
              </w:rPr>
              <w:t>Patients by authority code</w:t>
            </w:r>
          </w:p>
        </w:tc>
        <w:tc>
          <w:tcPr>
            <w:tcW w:w="1328"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31E0548F" w14:textId="77777777" w:rsidR="00AD1C12" w:rsidRPr="00C54511" w:rsidRDefault="00AD1C12" w:rsidP="00754D45">
            <w:pPr>
              <w:spacing w:after="0"/>
              <w:rPr>
                <w:rFonts w:ascii="Calibri" w:eastAsia="Times New Roman" w:hAnsi="Calibri" w:cs="Calibri"/>
                <w:b/>
                <w:bCs/>
                <w:color w:val="000000"/>
                <w:sz w:val="20"/>
                <w:szCs w:val="20"/>
              </w:rPr>
            </w:pPr>
            <w:r w:rsidRPr="00C54511">
              <w:rPr>
                <w:rFonts w:ascii="Calibri" w:eastAsia="Times New Roman" w:hAnsi="Calibri" w:cs="Calibri"/>
                <w:b/>
                <w:bCs/>
                <w:color w:val="000000"/>
                <w:sz w:val="20"/>
                <w:szCs w:val="20"/>
              </w:rPr>
              <w:t>Percent by authority code</w:t>
            </w:r>
          </w:p>
        </w:tc>
      </w:tr>
      <w:tr w:rsidR="00695716" w:rsidRPr="00C54511" w14:paraId="472296DF" w14:textId="77777777" w:rsidTr="00532ADA">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7C2A25C6" w14:textId="77777777" w:rsidR="00695716" w:rsidRPr="00C54511" w:rsidRDefault="00695716" w:rsidP="00695716">
            <w:pPr>
              <w:spacing w:after="0"/>
              <w:rPr>
                <w:rFonts w:ascii="Calibri" w:eastAsia="Times New Roman" w:hAnsi="Calibri" w:cs="Calibri"/>
                <w:color w:val="000000"/>
                <w:sz w:val="20"/>
                <w:szCs w:val="20"/>
              </w:rPr>
            </w:pPr>
            <w:r w:rsidRPr="00C54511">
              <w:rPr>
                <w:rFonts w:ascii="Calibri" w:eastAsia="Times New Roman" w:hAnsi="Calibri" w:cs="Calibri"/>
                <w:color w:val="000000"/>
                <w:sz w:val="20"/>
                <w:szCs w:val="20"/>
              </w:rPr>
              <w:t>CORTICOSTEROID &gt; DUPILUMAB</w:t>
            </w:r>
          </w:p>
        </w:tc>
        <w:tc>
          <w:tcPr>
            <w:tcW w:w="1327" w:type="dxa"/>
            <w:tcBorders>
              <w:top w:val="nil"/>
              <w:left w:val="nil"/>
              <w:bottom w:val="single" w:sz="4" w:space="0" w:color="auto"/>
              <w:right w:val="single" w:sz="4" w:space="0" w:color="auto"/>
            </w:tcBorders>
            <w:shd w:val="clear" w:color="auto" w:fill="auto"/>
            <w:noWrap/>
            <w:vAlign w:val="bottom"/>
            <w:hideMark/>
          </w:tcPr>
          <w:p w14:paraId="77F80ED1" w14:textId="77777777" w:rsidR="00695716" w:rsidRPr="00C54511" w:rsidRDefault="00695716" w:rsidP="00532ADA">
            <w:pPr>
              <w:spacing w:after="0"/>
              <w:jc w:val="right"/>
              <w:rPr>
                <w:rFonts w:ascii="Calibri" w:eastAsia="Times New Roman" w:hAnsi="Calibri" w:cs="Calibri"/>
                <w:color w:val="000000"/>
                <w:sz w:val="20"/>
                <w:szCs w:val="20"/>
              </w:rPr>
            </w:pPr>
            <w:r w:rsidRPr="00C54511">
              <w:rPr>
                <w:rFonts w:ascii="Calibri" w:eastAsia="Times New Roman" w:hAnsi="Calibri" w:cs="Calibri"/>
                <w:color w:val="000000"/>
                <w:sz w:val="20"/>
                <w:szCs w:val="20"/>
              </w:rPr>
              <w:t>15</w:t>
            </w:r>
            <w:r>
              <w:rPr>
                <w:rFonts w:ascii="Calibri" w:eastAsia="Times New Roman" w:hAnsi="Calibri" w:cs="Calibri"/>
                <w:color w:val="000000"/>
                <w:sz w:val="20"/>
                <w:szCs w:val="20"/>
              </w:rPr>
              <w:t>,</w:t>
            </w:r>
            <w:r w:rsidRPr="00C54511">
              <w:rPr>
                <w:rFonts w:ascii="Calibri" w:eastAsia="Times New Roman" w:hAnsi="Calibri" w:cs="Calibri"/>
                <w:color w:val="000000"/>
                <w:sz w:val="20"/>
                <w:szCs w:val="20"/>
              </w:rPr>
              <w:t>702</w:t>
            </w:r>
          </w:p>
        </w:tc>
        <w:tc>
          <w:tcPr>
            <w:tcW w:w="1327" w:type="dxa"/>
            <w:tcBorders>
              <w:top w:val="nil"/>
              <w:left w:val="nil"/>
              <w:bottom w:val="single" w:sz="4" w:space="0" w:color="auto"/>
              <w:right w:val="single" w:sz="4" w:space="0" w:color="auto"/>
            </w:tcBorders>
            <w:shd w:val="clear" w:color="auto" w:fill="auto"/>
            <w:noWrap/>
            <w:vAlign w:val="bottom"/>
            <w:hideMark/>
          </w:tcPr>
          <w:p w14:paraId="025D6BBB" w14:textId="77777777" w:rsidR="00695716" w:rsidRPr="00C54511" w:rsidRDefault="00695716" w:rsidP="00532ADA">
            <w:pPr>
              <w:spacing w:after="0"/>
              <w:jc w:val="right"/>
              <w:rPr>
                <w:rFonts w:ascii="Calibri" w:eastAsia="Times New Roman" w:hAnsi="Calibri" w:cs="Calibri"/>
                <w:color w:val="000000"/>
                <w:sz w:val="20"/>
                <w:szCs w:val="20"/>
              </w:rPr>
            </w:pPr>
            <w:r w:rsidRPr="00C54511">
              <w:rPr>
                <w:rFonts w:ascii="Calibri" w:eastAsia="Times New Roman" w:hAnsi="Calibri" w:cs="Calibri"/>
                <w:color w:val="000000"/>
                <w:sz w:val="20"/>
                <w:szCs w:val="20"/>
              </w:rPr>
              <w:t>92%</w:t>
            </w:r>
          </w:p>
        </w:tc>
        <w:tc>
          <w:tcPr>
            <w:tcW w:w="1327" w:type="dxa"/>
            <w:tcBorders>
              <w:top w:val="nil"/>
              <w:left w:val="nil"/>
              <w:bottom w:val="single" w:sz="4" w:space="0" w:color="auto"/>
              <w:right w:val="single" w:sz="4" w:space="0" w:color="auto"/>
            </w:tcBorders>
            <w:shd w:val="clear" w:color="auto" w:fill="auto"/>
            <w:noWrap/>
            <w:vAlign w:val="bottom"/>
            <w:hideMark/>
          </w:tcPr>
          <w:p w14:paraId="54FA8587" w14:textId="5208F027" w:rsidR="00695716" w:rsidRPr="00695716" w:rsidRDefault="00532ADA" w:rsidP="00532ADA">
            <w:pPr>
              <w:spacing w:after="0"/>
              <w:jc w:val="right"/>
              <w:rPr>
                <w:rFonts w:ascii="Calibri" w:eastAsia="Times New Roman" w:hAnsi="Calibri" w:cs="Calibri"/>
                <w:color w:val="000000"/>
                <w:sz w:val="20"/>
                <w:szCs w:val="20"/>
              </w:rPr>
            </w:pPr>
            <w:r w:rsidRPr="00532ADA">
              <w:rPr>
                <w:sz w:val="20"/>
                <w:szCs w:val="20"/>
              </w:rPr>
              <w:t>15</w:t>
            </w:r>
            <w:r>
              <w:rPr>
                <w:sz w:val="20"/>
                <w:szCs w:val="20"/>
              </w:rPr>
              <w:t>,</w:t>
            </w:r>
            <w:r w:rsidRPr="00532ADA">
              <w:rPr>
                <w:sz w:val="20"/>
                <w:szCs w:val="20"/>
              </w:rPr>
              <w:t>285</w:t>
            </w:r>
          </w:p>
        </w:tc>
        <w:tc>
          <w:tcPr>
            <w:tcW w:w="1328" w:type="dxa"/>
            <w:tcBorders>
              <w:top w:val="nil"/>
              <w:left w:val="nil"/>
              <w:bottom w:val="single" w:sz="4" w:space="0" w:color="auto"/>
              <w:right w:val="single" w:sz="4" w:space="0" w:color="auto"/>
            </w:tcBorders>
            <w:shd w:val="clear" w:color="auto" w:fill="auto"/>
            <w:noWrap/>
            <w:vAlign w:val="bottom"/>
            <w:hideMark/>
          </w:tcPr>
          <w:p w14:paraId="29E16669" w14:textId="565CC573" w:rsidR="00695716" w:rsidRPr="00695716" w:rsidRDefault="00695716" w:rsidP="00532ADA">
            <w:pPr>
              <w:spacing w:after="0"/>
              <w:jc w:val="right"/>
              <w:rPr>
                <w:rFonts w:ascii="Calibri" w:eastAsia="Times New Roman" w:hAnsi="Calibri" w:cs="Calibri"/>
                <w:color w:val="000000"/>
                <w:sz w:val="20"/>
                <w:szCs w:val="20"/>
              </w:rPr>
            </w:pPr>
            <w:r w:rsidRPr="00695716">
              <w:rPr>
                <w:sz w:val="20"/>
                <w:szCs w:val="20"/>
              </w:rPr>
              <w:t>9</w:t>
            </w:r>
            <w:r w:rsidR="00532ADA">
              <w:rPr>
                <w:sz w:val="20"/>
                <w:szCs w:val="20"/>
              </w:rPr>
              <w:t>3</w:t>
            </w:r>
            <w:r w:rsidRPr="00695716">
              <w:rPr>
                <w:sz w:val="20"/>
                <w:szCs w:val="20"/>
              </w:rPr>
              <w:t>%</w:t>
            </w:r>
          </w:p>
        </w:tc>
      </w:tr>
      <w:tr w:rsidR="00695716" w:rsidRPr="00C54511" w14:paraId="222E7C4B" w14:textId="77777777" w:rsidTr="00532ADA">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1502C2DB" w14:textId="77777777" w:rsidR="00695716" w:rsidRPr="00C54511" w:rsidRDefault="00695716" w:rsidP="00695716">
            <w:pPr>
              <w:spacing w:after="0"/>
              <w:rPr>
                <w:rFonts w:ascii="Calibri" w:eastAsia="Times New Roman" w:hAnsi="Calibri" w:cs="Calibri"/>
                <w:color w:val="000000"/>
                <w:sz w:val="20"/>
                <w:szCs w:val="20"/>
              </w:rPr>
            </w:pPr>
            <w:r w:rsidRPr="00C54511">
              <w:rPr>
                <w:rFonts w:ascii="Calibri" w:eastAsia="Times New Roman" w:hAnsi="Calibri" w:cs="Calibri"/>
                <w:color w:val="000000"/>
                <w:sz w:val="20"/>
                <w:szCs w:val="20"/>
              </w:rPr>
              <w:t>DUPILUMAB</w:t>
            </w:r>
          </w:p>
        </w:tc>
        <w:tc>
          <w:tcPr>
            <w:tcW w:w="1327" w:type="dxa"/>
            <w:tcBorders>
              <w:top w:val="nil"/>
              <w:left w:val="nil"/>
              <w:bottom w:val="single" w:sz="4" w:space="0" w:color="auto"/>
              <w:right w:val="single" w:sz="4" w:space="0" w:color="auto"/>
            </w:tcBorders>
            <w:shd w:val="clear" w:color="auto" w:fill="auto"/>
            <w:noWrap/>
            <w:vAlign w:val="bottom"/>
            <w:hideMark/>
          </w:tcPr>
          <w:p w14:paraId="25F9F6DE" w14:textId="5C076681" w:rsidR="00695716" w:rsidRPr="00C54511" w:rsidRDefault="00695716" w:rsidP="00532ADA">
            <w:pPr>
              <w:spacing w:after="0"/>
              <w:jc w:val="right"/>
              <w:rPr>
                <w:rFonts w:ascii="Calibri" w:eastAsia="Times New Roman" w:hAnsi="Calibri" w:cs="Calibri"/>
                <w:color w:val="000000"/>
                <w:sz w:val="20"/>
                <w:szCs w:val="20"/>
              </w:rPr>
            </w:pPr>
            <w:r w:rsidRPr="00C54511">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C54511">
              <w:rPr>
                <w:rFonts w:ascii="Calibri" w:eastAsia="Times New Roman" w:hAnsi="Calibri" w:cs="Calibri"/>
                <w:color w:val="000000"/>
                <w:sz w:val="20"/>
                <w:szCs w:val="20"/>
              </w:rPr>
              <w:t>101</w:t>
            </w:r>
          </w:p>
        </w:tc>
        <w:tc>
          <w:tcPr>
            <w:tcW w:w="1327" w:type="dxa"/>
            <w:tcBorders>
              <w:top w:val="nil"/>
              <w:left w:val="nil"/>
              <w:bottom w:val="single" w:sz="4" w:space="0" w:color="auto"/>
              <w:right w:val="single" w:sz="4" w:space="0" w:color="auto"/>
            </w:tcBorders>
            <w:shd w:val="clear" w:color="auto" w:fill="auto"/>
            <w:noWrap/>
            <w:vAlign w:val="bottom"/>
            <w:hideMark/>
          </w:tcPr>
          <w:p w14:paraId="01807C0B" w14:textId="7E789343" w:rsidR="00695716" w:rsidRPr="00C54511" w:rsidRDefault="00695716" w:rsidP="00532ADA">
            <w:pPr>
              <w:spacing w:after="0"/>
              <w:jc w:val="right"/>
              <w:rPr>
                <w:rFonts w:ascii="Calibri" w:eastAsia="Times New Roman" w:hAnsi="Calibri" w:cs="Calibri"/>
                <w:color w:val="000000"/>
                <w:sz w:val="20"/>
                <w:szCs w:val="20"/>
              </w:rPr>
            </w:pPr>
            <w:r w:rsidRPr="00C54511">
              <w:rPr>
                <w:rFonts w:ascii="Calibri" w:eastAsia="Times New Roman" w:hAnsi="Calibri" w:cs="Calibri"/>
                <w:color w:val="000000"/>
                <w:sz w:val="20"/>
                <w:szCs w:val="20"/>
              </w:rPr>
              <w:t>6</w:t>
            </w:r>
            <w:r>
              <w:rPr>
                <w:rFonts w:ascii="Calibri" w:eastAsia="Times New Roman" w:hAnsi="Calibri" w:cs="Calibri"/>
                <w:color w:val="000000"/>
                <w:sz w:val="20"/>
                <w:szCs w:val="20"/>
              </w:rPr>
              <w:t>.5</w:t>
            </w:r>
            <w:r w:rsidRPr="00C54511">
              <w:rPr>
                <w:rFonts w:ascii="Calibri" w:eastAsia="Times New Roman" w:hAnsi="Calibri" w:cs="Calibri"/>
                <w:color w:val="000000"/>
                <w:sz w:val="20"/>
                <w:szCs w:val="20"/>
              </w:rPr>
              <w:t>%</w:t>
            </w:r>
          </w:p>
        </w:tc>
        <w:tc>
          <w:tcPr>
            <w:tcW w:w="1327" w:type="dxa"/>
            <w:tcBorders>
              <w:top w:val="nil"/>
              <w:left w:val="nil"/>
              <w:bottom w:val="single" w:sz="4" w:space="0" w:color="auto"/>
              <w:right w:val="single" w:sz="4" w:space="0" w:color="auto"/>
            </w:tcBorders>
            <w:shd w:val="clear" w:color="auto" w:fill="auto"/>
            <w:noWrap/>
            <w:vAlign w:val="bottom"/>
            <w:hideMark/>
          </w:tcPr>
          <w:p w14:paraId="392359DC" w14:textId="1FD5CE97" w:rsidR="00695716" w:rsidRPr="00695716" w:rsidRDefault="00695716" w:rsidP="00532ADA">
            <w:pPr>
              <w:spacing w:after="0"/>
              <w:jc w:val="right"/>
              <w:rPr>
                <w:rFonts w:ascii="Calibri" w:eastAsia="Times New Roman" w:hAnsi="Calibri" w:cs="Calibri"/>
                <w:color w:val="000000"/>
                <w:sz w:val="20"/>
                <w:szCs w:val="20"/>
              </w:rPr>
            </w:pPr>
            <w:r w:rsidRPr="00695716">
              <w:rPr>
                <w:sz w:val="20"/>
                <w:szCs w:val="20"/>
              </w:rPr>
              <w:t>728</w:t>
            </w:r>
          </w:p>
        </w:tc>
        <w:tc>
          <w:tcPr>
            <w:tcW w:w="1328" w:type="dxa"/>
            <w:tcBorders>
              <w:top w:val="nil"/>
              <w:left w:val="nil"/>
              <w:bottom w:val="single" w:sz="4" w:space="0" w:color="auto"/>
              <w:right w:val="single" w:sz="4" w:space="0" w:color="auto"/>
            </w:tcBorders>
            <w:shd w:val="clear" w:color="auto" w:fill="auto"/>
            <w:noWrap/>
            <w:vAlign w:val="bottom"/>
            <w:hideMark/>
          </w:tcPr>
          <w:p w14:paraId="1C3B18AE" w14:textId="43F65B87" w:rsidR="00695716" w:rsidRPr="00695716" w:rsidRDefault="00695716" w:rsidP="00532ADA">
            <w:pPr>
              <w:spacing w:after="0"/>
              <w:jc w:val="right"/>
              <w:rPr>
                <w:rFonts w:ascii="Calibri" w:eastAsia="Times New Roman" w:hAnsi="Calibri" w:cs="Calibri"/>
                <w:color w:val="000000"/>
                <w:sz w:val="20"/>
                <w:szCs w:val="20"/>
              </w:rPr>
            </w:pPr>
            <w:r w:rsidRPr="00695716">
              <w:rPr>
                <w:sz w:val="20"/>
                <w:szCs w:val="20"/>
              </w:rPr>
              <w:t>4%</w:t>
            </w:r>
          </w:p>
        </w:tc>
      </w:tr>
      <w:tr w:rsidR="00695716" w:rsidRPr="00C54511" w14:paraId="7B70B2B1" w14:textId="77777777" w:rsidTr="00532ADA">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6C62FBBF" w14:textId="77777777" w:rsidR="00695716" w:rsidRPr="00C54511" w:rsidRDefault="00695716" w:rsidP="00695716">
            <w:pPr>
              <w:spacing w:after="0"/>
              <w:rPr>
                <w:rFonts w:ascii="Calibri" w:eastAsia="Times New Roman" w:hAnsi="Calibri" w:cs="Calibri"/>
                <w:color w:val="000000"/>
                <w:sz w:val="20"/>
                <w:szCs w:val="20"/>
              </w:rPr>
            </w:pPr>
            <w:r w:rsidRPr="00C54511">
              <w:rPr>
                <w:rFonts w:ascii="Calibri" w:eastAsia="Times New Roman" w:hAnsi="Calibri" w:cs="Calibri"/>
                <w:color w:val="000000"/>
                <w:sz w:val="20"/>
                <w:szCs w:val="20"/>
              </w:rPr>
              <w:t>DUPILUMAB &gt; CORTICOSTEROID</w:t>
            </w:r>
          </w:p>
        </w:tc>
        <w:tc>
          <w:tcPr>
            <w:tcW w:w="1327" w:type="dxa"/>
            <w:tcBorders>
              <w:top w:val="nil"/>
              <w:left w:val="nil"/>
              <w:bottom w:val="single" w:sz="4" w:space="0" w:color="auto"/>
              <w:right w:val="single" w:sz="4" w:space="0" w:color="auto"/>
            </w:tcBorders>
            <w:shd w:val="clear" w:color="auto" w:fill="auto"/>
            <w:noWrap/>
            <w:vAlign w:val="bottom"/>
            <w:hideMark/>
          </w:tcPr>
          <w:p w14:paraId="2C60B890" w14:textId="3222D8D8" w:rsidR="00695716" w:rsidRPr="00C54511" w:rsidRDefault="00695716" w:rsidP="00532ADA">
            <w:pPr>
              <w:spacing w:after="0"/>
              <w:jc w:val="right"/>
              <w:rPr>
                <w:rFonts w:ascii="Calibri" w:eastAsia="Times New Roman" w:hAnsi="Calibri" w:cs="Calibri"/>
                <w:color w:val="000000"/>
                <w:sz w:val="20"/>
                <w:szCs w:val="20"/>
              </w:rPr>
            </w:pPr>
            <w:r w:rsidRPr="00C54511">
              <w:rPr>
                <w:rFonts w:ascii="Calibri" w:eastAsia="Times New Roman" w:hAnsi="Calibri" w:cs="Calibri"/>
                <w:color w:val="000000"/>
                <w:sz w:val="20"/>
                <w:szCs w:val="20"/>
              </w:rPr>
              <w:t>19</w:t>
            </w:r>
            <w:r w:rsidR="00E142C7">
              <w:rPr>
                <w:rFonts w:ascii="Calibri" w:eastAsia="Times New Roman" w:hAnsi="Calibri" w:cs="Calibri"/>
                <w:color w:val="000000"/>
                <w:sz w:val="20"/>
                <w:szCs w:val="20"/>
              </w:rPr>
              <w:t>2</w:t>
            </w:r>
          </w:p>
        </w:tc>
        <w:tc>
          <w:tcPr>
            <w:tcW w:w="1327" w:type="dxa"/>
            <w:tcBorders>
              <w:top w:val="nil"/>
              <w:left w:val="nil"/>
              <w:bottom w:val="single" w:sz="4" w:space="0" w:color="auto"/>
              <w:right w:val="single" w:sz="4" w:space="0" w:color="auto"/>
            </w:tcBorders>
            <w:shd w:val="clear" w:color="auto" w:fill="auto"/>
            <w:noWrap/>
            <w:vAlign w:val="bottom"/>
            <w:hideMark/>
          </w:tcPr>
          <w:p w14:paraId="15952EA1" w14:textId="5C42D269" w:rsidR="00695716" w:rsidRPr="00C54511" w:rsidRDefault="00695716" w:rsidP="00532ADA">
            <w:pPr>
              <w:spacing w:after="0"/>
              <w:jc w:val="right"/>
              <w:rPr>
                <w:rFonts w:ascii="Calibri" w:eastAsia="Times New Roman" w:hAnsi="Calibri" w:cs="Calibri"/>
                <w:color w:val="000000"/>
                <w:sz w:val="20"/>
                <w:szCs w:val="20"/>
              </w:rPr>
            </w:pPr>
            <w:r w:rsidRPr="00C54511">
              <w:rPr>
                <w:rFonts w:ascii="Calibri" w:eastAsia="Times New Roman" w:hAnsi="Calibri" w:cs="Calibri"/>
                <w:color w:val="000000"/>
                <w:sz w:val="20"/>
                <w:szCs w:val="20"/>
              </w:rPr>
              <w:t>1</w:t>
            </w:r>
            <w:r>
              <w:rPr>
                <w:rFonts w:ascii="Calibri" w:eastAsia="Times New Roman" w:hAnsi="Calibri" w:cs="Calibri"/>
                <w:color w:val="000000"/>
                <w:sz w:val="20"/>
                <w:szCs w:val="20"/>
              </w:rPr>
              <w:t>.1</w:t>
            </w:r>
            <w:r w:rsidRPr="00C54511">
              <w:rPr>
                <w:rFonts w:ascii="Calibri" w:eastAsia="Times New Roman" w:hAnsi="Calibri" w:cs="Calibri"/>
                <w:color w:val="000000"/>
                <w:sz w:val="20"/>
                <w:szCs w:val="20"/>
              </w:rPr>
              <w:t>%</w:t>
            </w:r>
          </w:p>
        </w:tc>
        <w:tc>
          <w:tcPr>
            <w:tcW w:w="1327" w:type="dxa"/>
            <w:tcBorders>
              <w:top w:val="nil"/>
              <w:left w:val="nil"/>
              <w:bottom w:val="single" w:sz="4" w:space="0" w:color="auto"/>
              <w:right w:val="single" w:sz="4" w:space="0" w:color="auto"/>
            </w:tcBorders>
            <w:shd w:val="clear" w:color="auto" w:fill="auto"/>
            <w:noWrap/>
            <w:vAlign w:val="bottom"/>
            <w:hideMark/>
          </w:tcPr>
          <w:p w14:paraId="172A8073" w14:textId="0176EA66" w:rsidR="00695716" w:rsidRPr="00695716" w:rsidRDefault="00695716" w:rsidP="00532ADA">
            <w:pPr>
              <w:spacing w:after="0"/>
              <w:jc w:val="right"/>
              <w:rPr>
                <w:rFonts w:ascii="Calibri" w:eastAsia="Times New Roman" w:hAnsi="Calibri" w:cs="Calibri"/>
                <w:color w:val="000000"/>
                <w:sz w:val="20"/>
                <w:szCs w:val="20"/>
              </w:rPr>
            </w:pPr>
            <w:r w:rsidRPr="00695716">
              <w:rPr>
                <w:sz w:val="20"/>
                <w:szCs w:val="20"/>
              </w:rPr>
              <w:t>168</w:t>
            </w:r>
          </w:p>
        </w:tc>
        <w:tc>
          <w:tcPr>
            <w:tcW w:w="1328" w:type="dxa"/>
            <w:tcBorders>
              <w:top w:val="nil"/>
              <w:left w:val="nil"/>
              <w:bottom w:val="single" w:sz="4" w:space="0" w:color="auto"/>
              <w:right w:val="single" w:sz="4" w:space="0" w:color="auto"/>
            </w:tcBorders>
            <w:shd w:val="clear" w:color="auto" w:fill="auto"/>
            <w:noWrap/>
            <w:vAlign w:val="bottom"/>
            <w:hideMark/>
          </w:tcPr>
          <w:p w14:paraId="548E8AD3" w14:textId="055FE560" w:rsidR="00695716" w:rsidRPr="00695716" w:rsidRDefault="00695716" w:rsidP="00532ADA">
            <w:pPr>
              <w:spacing w:after="0"/>
              <w:jc w:val="right"/>
              <w:rPr>
                <w:rFonts w:ascii="Calibri" w:eastAsia="Times New Roman" w:hAnsi="Calibri" w:cs="Calibri"/>
                <w:color w:val="000000"/>
                <w:sz w:val="20"/>
                <w:szCs w:val="20"/>
              </w:rPr>
            </w:pPr>
            <w:r w:rsidRPr="00695716">
              <w:rPr>
                <w:sz w:val="20"/>
                <w:szCs w:val="20"/>
              </w:rPr>
              <w:t>1</w:t>
            </w:r>
            <w:r w:rsidR="00A05AE0">
              <w:rPr>
                <w:sz w:val="20"/>
                <w:szCs w:val="20"/>
              </w:rPr>
              <w:t>.3</w:t>
            </w:r>
            <w:r w:rsidRPr="00695716">
              <w:rPr>
                <w:sz w:val="20"/>
                <w:szCs w:val="20"/>
              </w:rPr>
              <w:t>%</w:t>
            </w:r>
          </w:p>
        </w:tc>
      </w:tr>
      <w:tr w:rsidR="00695716" w:rsidRPr="00C54511" w14:paraId="349DC7CF" w14:textId="77777777" w:rsidTr="00532ADA">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2D841BAD" w14:textId="77777777" w:rsidR="00695716" w:rsidRPr="00C54511" w:rsidRDefault="00695716" w:rsidP="00695716">
            <w:pPr>
              <w:spacing w:after="0"/>
              <w:rPr>
                <w:rFonts w:ascii="Calibri" w:eastAsia="Times New Roman" w:hAnsi="Calibri" w:cs="Calibri"/>
                <w:color w:val="000000"/>
                <w:sz w:val="20"/>
                <w:szCs w:val="20"/>
              </w:rPr>
            </w:pPr>
            <w:r w:rsidRPr="00C54511">
              <w:rPr>
                <w:rFonts w:ascii="Calibri" w:eastAsia="Times New Roman" w:hAnsi="Calibri" w:cs="Calibri"/>
                <w:color w:val="000000"/>
                <w:sz w:val="20"/>
                <w:szCs w:val="20"/>
              </w:rPr>
              <w:t>CORTICOSTEROID</w:t>
            </w:r>
          </w:p>
        </w:tc>
        <w:tc>
          <w:tcPr>
            <w:tcW w:w="1327" w:type="dxa"/>
            <w:tcBorders>
              <w:top w:val="nil"/>
              <w:left w:val="nil"/>
              <w:bottom w:val="single" w:sz="4" w:space="0" w:color="auto"/>
              <w:right w:val="single" w:sz="4" w:space="0" w:color="auto"/>
            </w:tcBorders>
            <w:shd w:val="clear" w:color="auto" w:fill="auto"/>
            <w:noWrap/>
            <w:vAlign w:val="bottom"/>
            <w:hideMark/>
          </w:tcPr>
          <w:p w14:paraId="40267A90" w14:textId="77777777" w:rsidR="00695716" w:rsidRPr="00C54511" w:rsidRDefault="00695716" w:rsidP="00532ADA">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1327" w:type="dxa"/>
            <w:tcBorders>
              <w:top w:val="nil"/>
              <w:left w:val="nil"/>
              <w:bottom w:val="single" w:sz="4" w:space="0" w:color="auto"/>
              <w:right w:val="single" w:sz="4" w:space="0" w:color="auto"/>
            </w:tcBorders>
            <w:shd w:val="clear" w:color="auto" w:fill="auto"/>
            <w:noWrap/>
            <w:vAlign w:val="bottom"/>
            <w:hideMark/>
          </w:tcPr>
          <w:p w14:paraId="1F38C16D" w14:textId="77777777" w:rsidR="00695716" w:rsidRPr="00C54511" w:rsidRDefault="00695716" w:rsidP="00532ADA">
            <w:pPr>
              <w:spacing w:after="0"/>
              <w:jc w:val="right"/>
              <w:rPr>
                <w:rFonts w:ascii="Calibri" w:eastAsia="Times New Roman" w:hAnsi="Calibri" w:cs="Calibri"/>
                <w:color w:val="000000"/>
                <w:sz w:val="20"/>
                <w:szCs w:val="20"/>
              </w:rPr>
            </w:pPr>
            <w:r w:rsidRPr="00C54511">
              <w:rPr>
                <w:rFonts w:ascii="Calibri" w:eastAsia="Times New Roman" w:hAnsi="Calibri" w:cs="Calibri"/>
                <w:color w:val="000000"/>
                <w:sz w:val="20"/>
                <w:szCs w:val="20"/>
              </w:rPr>
              <w:t> </w:t>
            </w:r>
          </w:p>
        </w:tc>
        <w:tc>
          <w:tcPr>
            <w:tcW w:w="1327" w:type="dxa"/>
            <w:tcBorders>
              <w:top w:val="nil"/>
              <w:left w:val="nil"/>
              <w:bottom w:val="single" w:sz="4" w:space="0" w:color="auto"/>
              <w:right w:val="single" w:sz="4" w:space="0" w:color="auto"/>
            </w:tcBorders>
            <w:shd w:val="clear" w:color="auto" w:fill="auto"/>
            <w:noWrap/>
            <w:vAlign w:val="bottom"/>
            <w:hideMark/>
          </w:tcPr>
          <w:p w14:paraId="5F6147A4" w14:textId="0475A011" w:rsidR="00695716" w:rsidRPr="00695716" w:rsidRDefault="00695716" w:rsidP="00532ADA">
            <w:pPr>
              <w:spacing w:after="0"/>
              <w:jc w:val="right"/>
              <w:rPr>
                <w:rFonts w:ascii="Calibri" w:eastAsia="Times New Roman" w:hAnsi="Calibri" w:cs="Calibri"/>
                <w:color w:val="000000"/>
                <w:sz w:val="20"/>
                <w:szCs w:val="20"/>
              </w:rPr>
            </w:pPr>
            <w:r w:rsidRPr="00695716">
              <w:rPr>
                <w:sz w:val="20"/>
                <w:szCs w:val="20"/>
              </w:rPr>
              <w:t>140</w:t>
            </w:r>
          </w:p>
        </w:tc>
        <w:tc>
          <w:tcPr>
            <w:tcW w:w="1328" w:type="dxa"/>
            <w:tcBorders>
              <w:top w:val="nil"/>
              <w:left w:val="nil"/>
              <w:bottom w:val="single" w:sz="4" w:space="0" w:color="auto"/>
              <w:right w:val="single" w:sz="4" w:space="0" w:color="auto"/>
            </w:tcBorders>
            <w:shd w:val="clear" w:color="auto" w:fill="auto"/>
            <w:noWrap/>
            <w:vAlign w:val="bottom"/>
            <w:hideMark/>
          </w:tcPr>
          <w:p w14:paraId="32063EA3" w14:textId="2BF0D68B" w:rsidR="00695716" w:rsidRPr="00695716" w:rsidRDefault="00A05AE0" w:rsidP="00532ADA">
            <w:pPr>
              <w:spacing w:after="0"/>
              <w:jc w:val="right"/>
              <w:rPr>
                <w:rFonts w:ascii="Calibri" w:eastAsia="Times New Roman" w:hAnsi="Calibri" w:cs="Calibri"/>
                <w:color w:val="000000"/>
                <w:sz w:val="20"/>
                <w:szCs w:val="20"/>
              </w:rPr>
            </w:pPr>
            <w:r>
              <w:rPr>
                <w:sz w:val="20"/>
                <w:szCs w:val="20"/>
              </w:rPr>
              <w:t>0.9</w:t>
            </w:r>
            <w:r w:rsidR="00695716" w:rsidRPr="00695716">
              <w:rPr>
                <w:sz w:val="20"/>
                <w:szCs w:val="20"/>
              </w:rPr>
              <w:t>%</w:t>
            </w:r>
          </w:p>
        </w:tc>
      </w:tr>
      <w:tr w:rsidR="00695716" w:rsidRPr="00C54511" w14:paraId="0E70E3CE" w14:textId="77777777" w:rsidTr="00532ADA">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24072CD0" w14:textId="77777777" w:rsidR="00695716" w:rsidRPr="00C54511" w:rsidRDefault="00695716" w:rsidP="00695716">
            <w:pPr>
              <w:spacing w:after="0"/>
              <w:rPr>
                <w:rFonts w:ascii="Calibri" w:eastAsia="Times New Roman" w:hAnsi="Calibri" w:cs="Calibri"/>
                <w:color w:val="000000"/>
                <w:sz w:val="20"/>
                <w:szCs w:val="20"/>
              </w:rPr>
            </w:pPr>
            <w:r w:rsidRPr="00C54511">
              <w:rPr>
                <w:rFonts w:ascii="Calibri" w:eastAsia="Times New Roman" w:hAnsi="Calibri" w:cs="Calibri"/>
                <w:color w:val="000000"/>
                <w:sz w:val="20"/>
                <w:szCs w:val="20"/>
              </w:rPr>
              <w:t> </w:t>
            </w:r>
          </w:p>
        </w:tc>
        <w:tc>
          <w:tcPr>
            <w:tcW w:w="1327" w:type="dxa"/>
            <w:tcBorders>
              <w:top w:val="nil"/>
              <w:left w:val="nil"/>
              <w:bottom w:val="single" w:sz="4" w:space="0" w:color="auto"/>
              <w:right w:val="single" w:sz="4" w:space="0" w:color="auto"/>
            </w:tcBorders>
            <w:shd w:val="clear" w:color="auto" w:fill="auto"/>
            <w:noWrap/>
            <w:vAlign w:val="bottom"/>
            <w:hideMark/>
          </w:tcPr>
          <w:p w14:paraId="424EEE85" w14:textId="6CFD5993" w:rsidR="00695716" w:rsidRPr="00C54511" w:rsidRDefault="00695716" w:rsidP="00532ADA">
            <w:pPr>
              <w:spacing w:after="0"/>
              <w:jc w:val="right"/>
              <w:rPr>
                <w:rFonts w:ascii="Calibri" w:eastAsia="Times New Roman" w:hAnsi="Calibri" w:cs="Calibri"/>
                <w:color w:val="000000"/>
                <w:sz w:val="20"/>
                <w:szCs w:val="20"/>
              </w:rPr>
            </w:pPr>
            <w:r w:rsidRPr="00C54511">
              <w:rPr>
                <w:rFonts w:ascii="Calibri" w:eastAsia="Times New Roman" w:hAnsi="Calibri" w:cs="Calibri"/>
                <w:color w:val="000000"/>
                <w:sz w:val="20"/>
                <w:szCs w:val="20"/>
              </w:rPr>
              <w:t>16</w:t>
            </w:r>
            <w:r>
              <w:rPr>
                <w:rFonts w:ascii="Calibri" w:eastAsia="Times New Roman" w:hAnsi="Calibri" w:cs="Calibri"/>
                <w:color w:val="000000"/>
                <w:sz w:val="20"/>
                <w:szCs w:val="20"/>
              </w:rPr>
              <w:t>,</w:t>
            </w:r>
            <w:r w:rsidRPr="00C54511">
              <w:rPr>
                <w:rFonts w:ascii="Calibri" w:eastAsia="Times New Roman" w:hAnsi="Calibri" w:cs="Calibri"/>
                <w:color w:val="000000"/>
                <w:sz w:val="20"/>
                <w:szCs w:val="20"/>
              </w:rPr>
              <w:t>99</w:t>
            </w:r>
            <w:r w:rsidR="00E142C7">
              <w:rPr>
                <w:rFonts w:ascii="Calibri" w:eastAsia="Times New Roman" w:hAnsi="Calibri" w:cs="Calibri"/>
                <w:color w:val="000000"/>
                <w:sz w:val="20"/>
                <w:szCs w:val="20"/>
              </w:rPr>
              <w:t>5</w:t>
            </w:r>
          </w:p>
        </w:tc>
        <w:tc>
          <w:tcPr>
            <w:tcW w:w="1327" w:type="dxa"/>
            <w:tcBorders>
              <w:top w:val="nil"/>
              <w:left w:val="nil"/>
              <w:bottom w:val="single" w:sz="4" w:space="0" w:color="auto"/>
              <w:right w:val="single" w:sz="4" w:space="0" w:color="auto"/>
            </w:tcBorders>
            <w:shd w:val="clear" w:color="auto" w:fill="auto"/>
            <w:noWrap/>
            <w:vAlign w:val="bottom"/>
            <w:hideMark/>
          </w:tcPr>
          <w:p w14:paraId="69213EAE" w14:textId="77777777" w:rsidR="00695716" w:rsidRPr="00C54511" w:rsidRDefault="00695716" w:rsidP="00532ADA">
            <w:pPr>
              <w:spacing w:after="0"/>
              <w:jc w:val="right"/>
              <w:rPr>
                <w:rFonts w:ascii="Calibri" w:eastAsia="Times New Roman" w:hAnsi="Calibri" w:cs="Calibri"/>
                <w:color w:val="000000"/>
                <w:sz w:val="20"/>
                <w:szCs w:val="20"/>
              </w:rPr>
            </w:pPr>
            <w:r w:rsidRPr="00C54511">
              <w:rPr>
                <w:rFonts w:ascii="Calibri" w:eastAsia="Times New Roman" w:hAnsi="Calibri" w:cs="Calibri"/>
                <w:color w:val="000000"/>
                <w:sz w:val="20"/>
                <w:szCs w:val="20"/>
              </w:rPr>
              <w:t> </w:t>
            </w:r>
          </w:p>
        </w:tc>
        <w:tc>
          <w:tcPr>
            <w:tcW w:w="1327" w:type="dxa"/>
            <w:tcBorders>
              <w:top w:val="nil"/>
              <w:left w:val="nil"/>
              <w:bottom w:val="single" w:sz="4" w:space="0" w:color="auto"/>
              <w:right w:val="single" w:sz="4" w:space="0" w:color="auto"/>
            </w:tcBorders>
            <w:shd w:val="clear" w:color="auto" w:fill="auto"/>
            <w:noWrap/>
            <w:vAlign w:val="bottom"/>
            <w:hideMark/>
          </w:tcPr>
          <w:p w14:paraId="3B6E754C" w14:textId="35AAE656" w:rsidR="00695716" w:rsidRPr="00695716" w:rsidRDefault="00695716" w:rsidP="00532ADA">
            <w:pPr>
              <w:spacing w:after="0"/>
              <w:jc w:val="right"/>
              <w:rPr>
                <w:rFonts w:ascii="Calibri" w:eastAsia="Times New Roman" w:hAnsi="Calibri" w:cs="Calibri"/>
                <w:color w:val="000000"/>
                <w:sz w:val="20"/>
                <w:szCs w:val="20"/>
              </w:rPr>
            </w:pPr>
            <w:r w:rsidRPr="00695716">
              <w:rPr>
                <w:sz w:val="20"/>
                <w:szCs w:val="20"/>
              </w:rPr>
              <w:t>16,367</w:t>
            </w:r>
          </w:p>
        </w:tc>
        <w:tc>
          <w:tcPr>
            <w:tcW w:w="1328" w:type="dxa"/>
            <w:tcBorders>
              <w:top w:val="nil"/>
              <w:left w:val="nil"/>
              <w:bottom w:val="single" w:sz="4" w:space="0" w:color="auto"/>
              <w:right w:val="single" w:sz="4" w:space="0" w:color="auto"/>
            </w:tcBorders>
            <w:shd w:val="clear" w:color="auto" w:fill="auto"/>
            <w:noWrap/>
            <w:vAlign w:val="bottom"/>
            <w:hideMark/>
          </w:tcPr>
          <w:p w14:paraId="1796C784" w14:textId="19ACA412" w:rsidR="00695716" w:rsidRPr="00695716" w:rsidRDefault="00695716" w:rsidP="00532ADA">
            <w:pPr>
              <w:spacing w:after="0"/>
              <w:jc w:val="right"/>
              <w:rPr>
                <w:rFonts w:ascii="Calibri" w:eastAsia="Times New Roman" w:hAnsi="Calibri" w:cs="Calibri"/>
                <w:color w:val="000000"/>
                <w:sz w:val="20"/>
                <w:szCs w:val="20"/>
              </w:rPr>
            </w:pPr>
          </w:p>
        </w:tc>
      </w:tr>
    </w:tbl>
    <w:p w14:paraId="1BE008F1" w14:textId="77777777" w:rsidR="00AD1C12" w:rsidRPr="00C54511" w:rsidRDefault="00AD1C12" w:rsidP="00AD1C12">
      <w:pPr>
        <w:pStyle w:val="Notes"/>
      </w:pPr>
      <w:r w:rsidRPr="00C54511">
        <w:t xml:space="preserve">Note: Uses prescriptions from 2017 of topical corticosteroids (creams, ointments and lotions) and </w:t>
      </w:r>
      <w:proofErr w:type="spellStart"/>
      <w:r w:rsidRPr="00C54511">
        <w:t>pimecrolimus</w:t>
      </w:r>
      <w:proofErr w:type="spellEnd"/>
      <w:r w:rsidRPr="00C54511">
        <w:t xml:space="preserve"> cream.</w:t>
      </w:r>
    </w:p>
    <w:p w14:paraId="5FAC69C6" w14:textId="2AE19B70" w:rsidR="005548A2" w:rsidRDefault="008F7BC8" w:rsidP="00AD1C12">
      <w:r>
        <w:t>Table 11</w:t>
      </w:r>
      <w:r w:rsidR="005548A2">
        <w:t xml:space="preserve"> shows the sequence of use of </w:t>
      </w:r>
      <w:r w:rsidR="00D80171" w:rsidRPr="00D80171">
        <w:t>topical</w:t>
      </w:r>
      <w:r w:rsidR="00D80171">
        <w:t xml:space="preserve"> therapies</w:t>
      </w:r>
      <w:r w:rsidR="00D80171" w:rsidRPr="00D80171">
        <w:t xml:space="preserve"> </w:t>
      </w:r>
      <w:r w:rsidR="008B20D8">
        <w:t>[</w:t>
      </w:r>
      <w:r w:rsidR="00D80171">
        <w:t xml:space="preserve">topical </w:t>
      </w:r>
      <w:r w:rsidR="00D80171" w:rsidRPr="00D80171">
        <w:t xml:space="preserve">corticosteroids (creams, ointments and lotions) and </w:t>
      </w:r>
      <w:proofErr w:type="spellStart"/>
      <w:r w:rsidR="00D80171" w:rsidRPr="00D80171">
        <w:t>pimecrolimus</w:t>
      </w:r>
      <w:proofErr w:type="spellEnd"/>
      <w:r w:rsidR="00D80171" w:rsidRPr="00D80171">
        <w:t xml:space="preserve"> cream</w:t>
      </w:r>
      <w:r w:rsidR="008B20D8">
        <w:t>]</w:t>
      </w:r>
      <w:r w:rsidR="00D80171">
        <w:t xml:space="preserve"> and dupilumab, using data from 1 January 2017.</w:t>
      </w:r>
      <w:r w:rsidR="00117B39">
        <w:t xml:space="preserve"> This analysis checks the sequence for patients supplied dupilumab under a PBS item code </w:t>
      </w:r>
      <w:r w:rsidR="00D60539">
        <w:t>and under an authority code for atopic dermatitis</w:t>
      </w:r>
      <w:r w:rsidR="008B0FE2">
        <w:t xml:space="preserve">. The proportion of patients who were supplied dupilumab without previously being supplied </w:t>
      </w:r>
      <w:r w:rsidR="00461DE5">
        <w:t xml:space="preserve">topical therapy was lower in patients when the </w:t>
      </w:r>
      <w:r w:rsidR="00461DE5" w:rsidRPr="00461DE5">
        <w:t>authority code</w:t>
      </w:r>
      <w:r w:rsidR="00461DE5">
        <w:t xml:space="preserve"> data is considered, </w:t>
      </w:r>
      <w:r w:rsidR="004269FD">
        <w:t>5.5</w:t>
      </w:r>
      <w:r w:rsidR="00D0439C">
        <w:t xml:space="preserve">% compared to </w:t>
      </w:r>
      <w:r w:rsidR="004269FD">
        <w:t>7.6</w:t>
      </w:r>
      <w:r w:rsidR="00D0439C">
        <w:t>%</w:t>
      </w:r>
      <w:r w:rsidR="00461DE5">
        <w:t>.</w:t>
      </w:r>
    </w:p>
    <w:p w14:paraId="7CC3B461" w14:textId="4B266E7C" w:rsidR="00AD1C12" w:rsidRDefault="00AD1C12" w:rsidP="00AD1C12">
      <w:pPr>
        <w:rPr>
          <w:highlight w:val="yellow"/>
        </w:rPr>
      </w:pPr>
      <w:r w:rsidRPr="00C54511">
        <w:t>As this analysis uses supplies of dupilumab for dermatitis item codes only, the 1</w:t>
      </w:r>
      <w:r w:rsidR="00FE186C">
        <w:t>40</w:t>
      </w:r>
      <w:r w:rsidRPr="00C54511">
        <w:t xml:space="preserve"> patients who appear to have been supplied a topical corticosteroid or calcineurin inhibitor</w:t>
      </w:r>
      <w:r w:rsidR="004269FD">
        <w:t xml:space="preserve"> and not supplied dupilumab </w:t>
      </w:r>
      <w:r w:rsidRPr="00C54511">
        <w:t>were supplied dupilumab under PBS item codes for asthma with authority codes for</w:t>
      </w:r>
      <w:r>
        <w:t xml:space="preserve"> dermatitis.</w:t>
      </w:r>
    </w:p>
    <w:p w14:paraId="6308A8AE" w14:textId="77777777" w:rsidR="002E5F17" w:rsidRDefault="002E5F17" w:rsidP="00A35800">
      <w:pPr>
        <w:rPr>
          <w:highlight w:val="yellow"/>
        </w:rPr>
      </w:pPr>
    </w:p>
    <w:p w14:paraId="354A7400" w14:textId="0C075179" w:rsidR="00B35AA7" w:rsidRPr="003C29D9" w:rsidRDefault="003C29D9" w:rsidP="003C29D9">
      <w:pPr>
        <w:pStyle w:val="Heading3"/>
        <w:keepNext/>
      </w:pPr>
      <w:r w:rsidRPr="003C29D9">
        <w:lastRenderedPageBreak/>
        <w:t>Duration and number of treatments</w:t>
      </w:r>
    </w:p>
    <w:p w14:paraId="5FF81F11" w14:textId="15692C8D" w:rsidR="00B35AA7" w:rsidRDefault="00397EE7" w:rsidP="00A35800">
      <w:pPr>
        <w:rPr>
          <w:highlight w:val="yellow"/>
        </w:rPr>
      </w:pPr>
      <w:r>
        <w:rPr>
          <w:noProof/>
        </w:rPr>
        <w:drawing>
          <wp:inline distT="0" distB="0" distL="0" distR="0" wp14:anchorId="7EDEE167" wp14:editId="59DE17BF">
            <wp:extent cx="5687695" cy="4191635"/>
            <wp:effectExtent l="0" t="0" r="8255" b="0"/>
            <wp:docPr id="13" name="Picture 13" descr="A Kaplan-Meier curve showing the length of treatment in years for dupilumab patients. At two years approximately 70% of patients were still being tre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Kaplan-Meier curve showing the length of treatment in years for dupilumab patients. At two years approximately 70% of patients were still being treated."/>
                    <pic:cNvPicPr/>
                  </pic:nvPicPr>
                  <pic:blipFill>
                    <a:blip r:embed="rId27"/>
                    <a:stretch>
                      <a:fillRect/>
                    </a:stretch>
                  </pic:blipFill>
                  <pic:spPr>
                    <a:xfrm>
                      <a:off x="0" y="0"/>
                      <a:ext cx="5687695" cy="4191635"/>
                    </a:xfrm>
                    <a:prstGeom prst="rect">
                      <a:avLst/>
                    </a:prstGeom>
                  </pic:spPr>
                </pic:pic>
              </a:graphicData>
            </a:graphic>
          </wp:inline>
        </w:drawing>
      </w:r>
    </w:p>
    <w:p w14:paraId="5D686798" w14:textId="6147CCA8" w:rsidR="009C7D53" w:rsidRPr="009C7D53" w:rsidRDefault="009C7D53" w:rsidP="009C7D53">
      <w:pPr>
        <w:pStyle w:val="Figuretitle"/>
      </w:pPr>
      <w:r w:rsidRPr="009C7D53">
        <w:t xml:space="preserve">Figure </w:t>
      </w:r>
      <w:r w:rsidR="00CD0E09">
        <w:t>9</w:t>
      </w:r>
      <w:r w:rsidRPr="009C7D53">
        <w:t xml:space="preserve">: Length of treatment </w:t>
      </w:r>
    </w:p>
    <w:p w14:paraId="08747701" w14:textId="77777777" w:rsidR="000931C7" w:rsidRDefault="000931C7" w:rsidP="00A35800"/>
    <w:p w14:paraId="351D3E33" w14:textId="7331B530" w:rsidR="00B35AA7" w:rsidRDefault="00B35AA7" w:rsidP="00A35800">
      <w:r w:rsidRPr="00B35AA7">
        <w:t>Of the 16</w:t>
      </w:r>
      <w:r w:rsidR="009C7D53">
        <w:t>,</w:t>
      </w:r>
      <w:r w:rsidRPr="00B35AA7">
        <w:t>99</w:t>
      </w:r>
      <w:r w:rsidR="00263B6D">
        <w:t>5</w:t>
      </w:r>
      <w:r w:rsidRPr="00B35AA7">
        <w:t xml:space="preserve"> patients who were supplied dupilumab under an item code for dermatitis, </w:t>
      </w:r>
      <w:r w:rsidRPr="003616B6">
        <w:t>78% (13,19</w:t>
      </w:r>
      <w:r w:rsidR="00FF54DB">
        <w:t>5</w:t>
      </w:r>
      <w:r w:rsidRPr="003616B6">
        <w:t>)</w:t>
      </w:r>
      <w:r w:rsidRPr="00B35AA7">
        <w:t xml:space="preserve"> were supplied a prescription within 84 days (3 </w:t>
      </w:r>
      <w:r w:rsidRPr="00B35AA7">
        <w:rPr>
          <w:rFonts w:cstheme="minorHAnsi"/>
        </w:rPr>
        <w:t>×</w:t>
      </w:r>
      <w:r w:rsidRPr="00B35AA7">
        <w:t xml:space="preserve"> median resupply of 28 days) </w:t>
      </w:r>
      <w:r w:rsidR="003616B6">
        <w:t xml:space="preserve">of the last date of extracted data (30 June 2023) </w:t>
      </w:r>
      <w:r w:rsidRPr="00B35AA7">
        <w:t>and were considered to be continuing treatment.</w:t>
      </w:r>
    </w:p>
    <w:p w14:paraId="183AA868" w14:textId="4D82B6B2" w:rsidR="00FE0B83" w:rsidRDefault="00975F72" w:rsidP="00A35800">
      <w:r>
        <w:t>Of these 16,99</w:t>
      </w:r>
      <w:r w:rsidR="00B33335">
        <w:t>5</w:t>
      </w:r>
      <w:r>
        <w:t xml:space="preserve"> patients, </w:t>
      </w:r>
      <w:r w:rsidR="00E93D0D">
        <w:t>16% (</w:t>
      </w:r>
      <w:r w:rsidR="00E270DD">
        <w:t xml:space="preserve">2,788) </w:t>
      </w:r>
      <w:r w:rsidR="00202BB2">
        <w:t>were considered to have had a break in therapy as the</w:t>
      </w:r>
      <w:r w:rsidR="007A7191">
        <w:t xml:space="preserve">re was more than </w:t>
      </w:r>
      <w:r w:rsidR="00E270DD">
        <w:t xml:space="preserve">84 days </w:t>
      </w:r>
      <w:r w:rsidR="002974E3">
        <w:t>between supplies of dupilumab</w:t>
      </w:r>
      <w:r w:rsidR="00202BB2">
        <w:t xml:space="preserve"> at least once </w:t>
      </w:r>
      <w:r w:rsidR="00E270DD">
        <w:t>during their course of treatment</w:t>
      </w:r>
      <w:r w:rsidR="001C2989">
        <w:t>, and</w:t>
      </w:r>
      <w:r w:rsidR="003F3164">
        <w:t xml:space="preserve"> 84% (</w:t>
      </w:r>
      <w:r w:rsidR="001C2989">
        <w:t>14,20</w:t>
      </w:r>
      <w:r w:rsidR="00F606EC">
        <w:t>7</w:t>
      </w:r>
      <w:r w:rsidR="001C2989">
        <w:t xml:space="preserve">) </w:t>
      </w:r>
      <w:r w:rsidR="003F3164">
        <w:t>did not</w:t>
      </w:r>
      <w:r w:rsidR="00E270DD">
        <w:t xml:space="preserve">. </w:t>
      </w:r>
      <w:r w:rsidR="0030159D">
        <w:t>There were 11,02</w:t>
      </w:r>
      <w:r w:rsidR="00C33BA4">
        <w:t>7</w:t>
      </w:r>
      <w:r w:rsidR="0030159D">
        <w:t xml:space="preserve"> patients</w:t>
      </w:r>
      <w:r w:rsidR="003F3164">
        <w:t xml:space="preserve"> (65%) who </w:t>
      </w:r>
      <w:r w:rsidR="00354011">
        <w:t>did</w:t>
      </w:r>
      <w:r w:rsidR="00D77A90">
        <w:t xml:space="preserve"> not </w:t>
      </w:r>
      <w:r w:rsidR="00354011">
        <w:t>have</w:t>
      </w:r>
      <w:r w:rsidR="00D77A90">
        <w:t xml:space="preserve"> a </w:t>
      </w:r>
      <w:r w:rsidR="001C2989">
        <w:t>break and were considered to be continuing treatment</w:t>
      </w:r>
      <w:r w:rsidR="007B7139">
        <w:t>.</w:t>
      </w:r>
    </w:p>
    <w:p w14:paraId="17C9CF7A" w14:textId="54B79371" w:rsidR="00602A22" w:rsidRDefault="00602A22" w:rsidP="00BF0F06">
      <w:r>
        <w:t xml:space="preserve">The data were too immature to assess the treatment duration with </w:t>
      </w:r>
      <w:r w:rsidR="00661772">
        <w:t>dupilumab</w:t>
      </w:r>
      <w:r>
        <w:t>, as the median time o</w:t>
      </w:r>
      <w:r w:rsidR="007B5880">
        <w:t>n</w:t>
      </w:r>
      <w:r>
        <w:t xml:space="preserve"> </w:t>
      </w:r>
      <w:r w:rsidRPr="004C17E1">
        <w:t xml:space="preserve">therapy </w:t>
      </w:r>
      <w:r w:rsidR="007B5880" w:rsidRPr="004C17E1">
        <w:t>could not be estimated</w:t>
      </w:r>
      <w:r w:rsidRPr="004C17E1">
        <w:t>.</w:t>
      </w:r>
      <w:r w:rsidR="00BF0F06" w:rsidRPr="004C17E1">
        <w:t xml:space="preserve"> Using data to the end of June 2023, the mean length of treatment was estimated to be </w:t>
      </w:r>
      <w:r w:rsidR="00036E07" w:rsidRPr="004C17E1">
        <w:t>1.</w:t>
      </w:r>
      <w:r w:rsidR="00EC2A47" w:rsidRPr="004C17E1">
        <w:t>72909</w:t>
      </w:r>
      <w:r w:rsidR="00BF0F06" w:rsidRPr="004C17E1">
        <w:t xml:space="preserve"> years with a standard error of </w:t>
      </w:r>
      <w:r w:rsidR="00036E07" w:rsidRPr="004C17E1">
        <w:t>0.</w:t>
      </w:r>
      <w:r w:rsidR="00EC2A47" w:rsidRPr="004C17E1">
        <w:t xml:space="preserve">00614 </w:t>
      </w:r>
      <w:r w:rsidR="00BF0F06" w:rsidRPr="004C17E1">
        <w:t>years</w:t>
      </w:r>
      <w:r w:rsidR="004C17E1" w:rsidRPr="004C17E1">
        <w:t>.</w:t>
      </w:r>
    </w:p>
    <w:p w14:paraId="546895B7" w14:textId="571FCA9F" w:rsidR="00FE0B83" w:rsidRDefault="00B11476" w:rsidP="004F0153">
      <w:pPr>
        <w:pStyle w:val="Tabletitle"/>
        <w:keepNext/>
      </w:pPr>
      <w:r w:rsidRPr="003767DB">
        <w:lastRenderedPageBreak/>
        <w:t xml:space="preserve">Table </w:t>
      </w:r>
      <w:r w:rsidR="00465265">
        <w:t>12</w:t>
      </w:r>
      <w:r w:rsidRPr="003767DB">
        <w:t>: Number of treatments</w:t>
      </w:r>
    </w:p>
    <w:tbl>
      <w:tblPr>
        <w:tblW w:w="5949" w:type="dxa"/>
        <w:tblInd w:w="113" w:type="dxa"/>
        <w:tblLayout w:type="fixed"/>
        <w:tblLook w:val="04A0" w:firstRow="1" w:lastRow="0" w:firstColumn="1" w:lastColumn="0" w:noHBand="0" w:noVBand="1"/>
      </w:tblPr>
      <w:tblGrid>
        <w:gridCol w:w="1487"/>
        <w:gridCol w:w="1487"/>
        <w:gridCol w:w="1487"/>
        <w:gridCol w:w="1488"/>
      </w:tblGrid>
      <w:tr w:rsidR="00363FE8" w:rsidRPr="00363FE8" w14:paraId="60AAFB87" w14:textId="77777777" w:rsidTr="009F42C8">
        <w:trPr>
          <w:trHeight w:val="300"/>
        </w:trPr>
        <w:tc>
          <w:tcPr>
            <w:tcW w:w="148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5792464" w14:textId="77777777" w:rsidR="00363FE8" w:rsidRPr="00363FE8" w:rsidRDefault="00363FE8" w:rsidP="004F0153">
            <w:pPr>
              <w:keepNext/>
              <w:spacing w:after="0"/>
              <w:rPr>
                <w:rFonts w:ascii="Calibri" w:eastAsia="Times New Roman" w:hAnsi="Calibri" w:cs="Calibri"/>
                <w:b/>
                <w:bCs/>
                <w:color w:val="000000"/>
                <w:sz w:val="20"/>
                <w:szCs w:val="20"/>
              </w:rPr>
            </w:pPr>
            <w:r w:rsidRPr="00363FE8">
              <w:rPr>
                <w:rFonts w:ascii="Calibri" w:eastAsia="Times New Roman" w:hAnsi="Calibri" w:cs="Calibri"/>
                <w:b/>
                <w:bCs/>
                <w:color w:val="000000"/>
                <w:sz w:val="20"/>
                <w:szCs w:val="20"/>
              </w:rPr>
              <w:t>Year of patient treatment</w:t>
            </w:r>
          </w:p>
        </w:tc>
        <w:tc>
          <w:tcPr>
            <w:tcW w:w="1487" w:type="dxa"/>
            <w:tcBorders>
              <w:top w:val="single" w:sz="4" w:space="0" w:color="auto"/>
              <w:left w:val="nil"/>
              <w:bottom w:val="single" w:sz="4" w:space="0" w:color="auto"/>
              <w:right w:val="single" w:sz="4" w:space="0" w:color="auto"/>
            </w:tcBorders>
            <w:shd w:val="clear" w:color="000000" w:fill="BFBFBF"/>
            <w:noWrap/>
            <w:vAlign w:val="bottom"/>
            <w:hideMark/>
          </w:tcPr>
          <w:p w14:paraId="5375DA48" w14:textId="77777777" w:rsidR="00363FE8" w:rsidRPr="00363FE8" w:rsidRDefault="00363FE8" w:rsidP="004F0153">
            <w:pPr>
              <w:keepNext/>
              <w:spacing w:after="0"/>
              <w:rPr>
                <w:rFonts w:ascii="Calibri" w:eastAsia="Times New Roman" w:hAnsi="Calibri" w:cs="Calibri"/>
                <w:b/>
                <w:bCs/>
                <w:color w:val="000000"/>
                <w:sz w:val="20"/>
                <w:szCs w:val="20"/>
              </w:rPr>
            </w:pPr>
            <w:r w:rsidRPr="00363FE8">
              <w:rPr>
                <w:rFonts w:ascii="Calibri" w:eastAsia="Times New Roman" w:hAnsi="Calibri" w:cs="Calibri"/>
                <w:b/>
                <w:bCs/>
                <w:color w:val="000000"/>
                <w:sz w:val="20"/>
                <w:szCs w:val="20"/>
              </w:rPr>
              <w:t>Number of patients</w:t>
            </w:r>
          </w:p>
        </w:tc>
        <w:tc>
          <w:tcPr>
            <w:tcW w:w="1487" w:type="dxa"/>
            <w:tcBorders>
              <w:top w:val="single" w:sz="4" w:space="0" w:color="auto"/>
              <w:left w:val="nil"/>
              <w:bottom w:val="single" w:sz="4" w:space="0" w:color="auto"/>
              <w:right w:val="single" w:sz="4" w:space="0" w:color="auto"/>
            </w:tcBorders>
            <w:shd w:val="clear" w:color="000000" w:fill="BFBFBF"/>
            <w:noWrap/>
            <w:vAlign w:val="bottom"/>
            <w:hideMark/>
          </w:tcPr>
          <w:p w14:paraId="6B43E0B5" w14:textId="77777777" w:rsidR="00363FE8" w:rsidRPr="00363FE8" w:rsidRDefault="00363FE8" w:rsidP="004F0153">
            <w:pPr>
              <w:keepNext/>
              <w:spacing w:after="0"/>
              <w:rPr>
                <w:rFonts w:ascii="Calibri" w:eastAsia="Times New Roman" w:hAnsi="Calibri" w:cs="Calibri"/>
                <w:b/>
                <w:bCs/>
                <w:color w:val="000000"/>
                <w:sz w:val="20"/>
                <w:szCs w:val="20"/>
              </w:rPr>
            </w:pPr>
            <w:r w:rsidRPr="00363FE8">
              <w:rPr>
                <w:rFonts w:ascii="Calibri" w:eastAsia="Times New Roman" w:hAnsi="Calibri" w:cs="Calibri"/>
                <w:b/>
                <w:bCs/>
                <w:color w:val="000000"/>
                <w:sz w:val="20"/>
                <w:szCs w:val="20"/>
              </w:rPr>
              <w:t>Mean</w:t>
            </w:r>
          </w:p>
        </w:tc>
        <w:tc>
          <w:tcPr>
            <w:tcW w:w="1488" w:type="dxa"/>
            <w:tcBorders>
              <w:top w:val="single" w:sz="4" w:space="0" w:color="auto"/>
              <w:left w:val="nil"/>
              <w:bottom w:val="single" w:sz="4" w:space="0" w:color="auto"/>
              <w:right w:val="single" w:sz="4" w:space="0" w:color="auto"/>
            </w:tcBorders>
            <w:shd w:val="clear" w:color="000000" w:fill="BFBFBF"/>
            <w:noWrap/>
            <w:vAlign w:val="bottom"/>
            <w:hideMark/>
          </w:tcPr>
          <w:p w14:paraId="261076D1" w14:textId="77777777" w:rsidR="00363FE8" w:rsidRPr="00363FE8" w:rsidRDefault="00363FE8" w:rsidP="004F0153">
            <w:pPr>
              <w:keepNext/>
              <w:spacing w:after="0"/>
              <w:rPr>
                <w:rFonts w:ascii="Calibri" w:eastAsia="Times New Roman" w:hAnsi="Calibri" w:cs="Calibri"/>
                <w:b/>
                <w:bCs/>
                <w:color w:val="000000"/>
                <w:sz w:val="20"/>
                <w:szCs w:val="20"/>
              </w:rPr>
            </w:pPr>
            <w:r w:rsidRPr="00363FE8">
              <w:rPr>
                <w:rFonts w:ascii="Calibri" w:eastAsia="Times New Roman" w:hAnsi="Calibri" w:cs="Calibri"/>
                <w:b/>
                <w:bCs/>
                <w:color w:val="000000"/>
                <w:sz w:val="20"/>
                <w:szCs w:val="20"/>
              </w:rPr>
              <w:t>Median</w:t>
            </w:r>
          </w:p>
        </w:tc>
      </w:tr>
      <w:tr w:rsidR="00363FE8" w:rsidRPr="00363FE8" w14:paraId="2232473C" w14:textId="77777777" w:rsidTr="009F42C8">
        <w:trPr>
          <w:trHeight w:val="300"/>
        </w:trPr>
        <w:tc>
          <w:tcPr>
            <w:tcW w:w="1487" w:type="dxa"/>
            <w:tcBorders>
              <w:top w:val="nil"/>
              <w:left w:val="single" w:sz="4" w:space="0" w:color="auto"/>
              <w:bottom w:val="single" w:sz="4" w:space="0" w:color="auto"/>
              <w:right w:val="single" w:sz="4" w:space="0" w:color="auto"/>
            </w:tcBorders>
            <w:shd w:val="clear" w:color="auto" w:fill="auto"/>
            <w:noWrap/>
            <w:vAlign w:val="bottom"/>
            <w:hideMark/>
          </w:tcPr>
          <w:p w14:paraId="1A804E73" w14:textId="77777777" w:rsidR="00363FE8" w:rsidRPr="00363FE8" w:rsidRDefault="00363FE8" w:rsidP="004F0153">
            <w:pPr>
              <w:keepNext/>
              <w:spacing w:after="0"/>
              <w:rPr>
                <w:rFonts w:ascii="Calibri" w:eastAsia="Times New Roman" w:hAnsi="Calibri" w:cs="Calibri"/>
                <w:color w:val="000000"/>
                <w:sz w:val="20"/>
                <w:szCs w:val="20"/>
              </w:rPr>
            </w:pPr>
            <w:r w:rsidRPr="00363FE8">
              <w:rPr>
                <w:rFonts w:ascii="Calibri" w:eastAsia="Times New Roman" w:hAnsi="Calibri" w:cs="Calibri"/>
                <w:color w:val="000000"/>
                <w:sz w:val="20"/>
                <w:szCs w:val="20"/>
              </w:rPr>
              <w:t>Year 1</w:t>
            </w:r>
          </w:p>
        </w:tc>
        <w:tc>
          <w:tcPr>
            <w:tcW w:w="1487" w:type="dxa"/>
            <w:tcBorders>
              <w:top w:val="nil"/>
              <w:left w:val="nil"/>
              <w:bottom w:val="single" w:sz="4" w:space="0" w:color="auto"/>
              <w:right w:val="single" w:sz="4" w:space="0" w:color="auto"/>
            </w:tcBorders>
            <w:shd w:val="clear" w:color="auto" w:fill="auto"/>
            <w:noWrap/>
            <w:vAlign w:val="bottom"/>
            <w:hideMark/>
          </w:tcPr>
          <w:p w14:paraId="474E548A" w14:textId="31E6D60B" w:rsidR="00363FE8" w:rsidRPr="00363FE8" w:rsidRDefault="00363FE8" w:rsidP="004F0153">
            <w:pPr>
              <w:keepNext/>
              <w:spacing w:after="0"/>
              <w:jc w:val="right"/>
              <w:rPr>
                <w:rFonts w:ascii="Calibri" w:eastAsia="Times New Roman" w:hAnsi="Calibri" w:cs="Calibri"/>
                <w:color w:val="000000"/>
                <w:sz w:val="20"/>
                <w:szCs w:val="20"/>
              </w:rPr>
            </w:pPr>
            <w:r w:rsidRPr="00363FE8">
              <w:rPr>
                <w:rFonts w:ascii="Calibri" w:eastAsia="Times New Roman" w:hAnsi="Calibri" w:cs="Calibri"/>
                <w:color w:val="000000"/>
                <w:sz w:val="20"/>
                <w:szCs w:val="20"/>
              </w:rPr>
              <w:t>16</w:t>
            </w:r>
            <w:r w:rsidR="009F42C8">
              <w:rPr>
                <w:rFonts w:ascii="Calibri" w:eastAsia="Times New Roman" w:hAnsi="Calibri" w:cs="Calibri"/>
                <w:color w:val="000000"/>
                <w:sz w:val="20"/>
                <w:szCs w:val="20"/>
              </w:rPr>
              <w:t>,</w:t>
            </w:r>
            <w:r w:rsidRPr="00363FE8">
              <w:rPr>
                <w:rFonts w:ascii="Calibri" w:eastAsia="Times New Roman" w:hAnsi="Calibri" w:cs="Calibri"/>
                <w:color w:val="000000"/>
                <w:sz w:val="20"/>
                <w:szCs w:val="20"/>
              </w:rPr>
              <w:t>99</w:t>
            </w:r>
            <w:r w:rsidR="00C33BA4">
              <w:rPr>
                <w:rFonts w:ascii="Calibri" w:eastAsia="Times New Roman" w:hAnsi="Calibri" w:cs="Calibri"/>
                <w:color w:val="000000"/>
                <w:sz w:val="20"/>
                <w:szCs w:val="20"/>
              </w:rPr>
              <w:t>5</w:t>
            </w:r>
          </w:p>
        </w:tc>
        <w:tc>
          <w:tcPr>
            <w:tcW w:w="1487" w:type="dxa"/>
            <w:tcBorders>
              <w:top w:val="nil"/>
              <w:left w:val="nil"/>
              <w:bottom w:val="single" w:sz="4" w:space="0" w:color="auto"/>
              <w:right w:val="single" w:sz="4" w:space="0" w:color="auto"/>
            </w:tcBorders>
            <w:shd w:val="clear" w:color="auto" w:fill="auto"/>
            <w:noWrap/>
            <w:vAlign w:val="bottom"/>
            <w:hideMark/>
          </w:tcPr>
          <w:p w14:paraId="230E05E8" w14:textId="2FD8A08D" w:rsidR="00363FE8" w:rsidRPr="00363FE8" w:rsidRDefault="00363FE8" w:rsidP="004F0153">
            <w:pPr>
              <w:keepNext/>
              <w:spacing w:after="0"/>
              <w:jc w:val="right"/>
              <w:rPr>
                <w:rFonts w:ascii="Calibri" w:eastAsia="Times New Roman" w:hAnsi="Calibri" w:cs="Calibri"/>
                <w:color w:val="000000"/>
                <w:sz w:val="20"/>
                <w:szCs w:val="20"/>
              </w:rPr>
            </w:pPr>
            <w:r w:rsidRPr="00363FE8">
              <w:rPr>
                <w:rFonts w:ascii="Calibri" w:eastAsia="Times New Roman" w:hAnsi="Calibri" w:cs="Calibri"/>
                <w:color w:val="000000"/>
                <w:sz w:val="20"/>
                <w:szCs w:val="20"/>
              </w:rPr>
              <w:t>9.33</w:t>
            </w:r>
          </w:p>
        </w:tc>
        <w:tc>
          <w:tcPr>
            <w:tcW w:w="1488" w:type="dxa"/>
            <w:tcBorders>
              <w:top w:val="nil"/>
              <w:left w:val="nil"/>
              <w:bottom w:val="single" w:sz="4" w:space="0" w:color="auto"/>
              <w:right w:val="single" w:sz="4" w:space="0" w:color="auto"/>
            </w:tcBorders>
            <w:shd w:val="clear" w:color="auto" w:fill="auto"/>
            <w:noWrap/>
            <w:vAlign w:val="bottom"/>
            <w:hideMark/>
          </w:tcPr>
          <w:p w14:paraId="6C054B9A" w14:textId="77777777" w:rsidR="00363FE8" w:rsidRPr="00363FE8" w:rsidRDefault="00363FE8" w:rsidP="004F0153">
            <w:pPr>
              <w:keepNext/>
              <w:spacing w:after="0"/>
              <w:jc w:val="right"/>
              <w:rPr>
                <w:rFonts w:ascii="Calibri" w:eastAsia="Times New Roman" w:hAnsi="Calibri" w:cs="Calibri"/>
                <w:color w:val="000000"/>
                <w:sz w:val="20"/>
                <w:szCs w:val="20"/>
              </w:rPr>
            </w:pPr>
            <w:r w:rsidRPr="00363FE8">
              <w:rPr>
                <w:rFonts w:ascii="Calibri" w:eastAsia="Times New Roman" w:hAnsi="Calibri" w:cs="Calibri"/>
                <w:color w:val="000000"/>
                <w:sz w:val="20"/>
                <w:szCs w:val="20"/>
              </w:rPr>
              <w:t>10</w:t>
            </w:r>
          </w:p>
        </w:tc>
      </w:tr>
      <w:tr w:rsidR="00363FE8" w:rsidRPr="00363FE8" w14:paraId="09E01CD8" w14:textId="77777777" w:rsidTr="009F42C8">
        <w:trPr>
          <w:trHeight w:val="300"/>
        </w:trPr>
        <w:tc>
          <w:tcPr>
            <w:tcW w:w="1487" w:type="dxa"/>
            <w:tcBorders>
              <w:top w:val="nil"/>
              <w:left w:val="single" w:sz="4" w:space="0" w:color="auto"/>
              <w:bottom w:val="single" w:sz="4" w:space="0" w:color="auto"/>
              <w:right w:val="single" w:sz="4" w:space="0" w:color="auto"/>
            </w:tcBorders>
            <w:shd w:val="clear" w:color="auto" w:fill="auto"/>
            <w:noWrap/>
            <w:vAlign w:val="bottom"/>
            <w:hideMark/>
          </w:tcPr>
          <w:p w14:paraId="7DE39F09" w14:textId="77777777" w:rsidR="00363FE8" w:rsidRPr="00363FE8" w:rsidRDefault="00363FE8" w:rsidP="004F0153">
            <w:pPr>
              <w:keepNext/>
              <w:spacing w:after="0"/>
              <w:rPr>
                <w:rFonts w:ascii="Calibri" w:eastAsia="Times New Roman" w:hAnsi="Calibri" w:cs="Calibri"/>
                <w:color w:val="000000"/>
                <w:sz w:val="20"/>
                <w:szCs w:val="20"/>
              </w:rPr>
            </w:pPr>
            <w:r w:rsidRPr="00363FE8">
              <w:rPr>
                <w:rFonts w:ascii="Calibri" w:eastAsia="Times New Roman" w:hAnsi="Calibri" w:cs="Calibri"/>
                <w:color w:val="000000"/>
                <w:sz w:val="20"/>
                <w:szCs w:val="20"/>
              </w:rPr>
              <w:t>Year 2</w:t>
            </w:r>
          </w:p>
        </w:tc>
        <w:tc>
          <w:tcPr>
            <w:tcW w:w="1487" w:type="dxa"/>
            <w:tcBorders>
              <w:top w:val="nil"/>
              <w:left w:val="nil"/>
              <w:bottom w:val="single" w:sz="4" w:space="0" w:color="auto"/>
              <w:right w:val="single" w:sz="4" w:space="0" w:color="auto"/>
            </w:tcBorders>
            <w:shd w:val="clear" w:color="auto" w:fill="auto"/>
            <w:noWrap/>
            <w:vAlign w:val="bottom"/>
            <w:hideMark/>
          </w:tcPr>
          <w:p w14:paraId="20591F19" w14:textId="27567C81" w:rsidR="00363FE8" w:rsidRPr="00363FE8" w:rsidRDefault="00363FE8" w:rsidP="004F0153">
            <w:pPr>
              <w:keepNext/>
              <w:spacing w:after="0"/>
              <w:jc w:val="right"/>
              <w:rPr>
                <w:rFonts w:ascii="Calibri" w:eastAsia="Times New Roman" w:hAnsi="Calibri" w:cs="Calibri"/>
                <w:color w:val="000000"/>
                <w:sz w:val="20"/>
                <w:szCs w:val="20"/>
              </w:rPr>
            </w:pPr>
            <w:r w:rsidRPr="00363FE8">
              <w:rPr>
                <w:rFonts w:ascii="Calibri" w:eastAsia="Times New Roman" w:hAnsi="Calibri" w:cs="Calibri"/>
                <w:color w:val="000000"/>
                <w:sz w:val="20"/>
                <w:szCs w:val="20"/>
              </w:rPr>
              <w:t>7</w:t>
            </w:r>
            <w:r w:rsidR="009F42C8">
              <w:rPr>
                <w:rFonts w:ascii="Calibri" w:eastAsia="Times New Roman" w:hAnsi="Calibri" w:cs="Calibri"/>
                <w:color w:val="000000"/>
                <w:sz w:val="20"/>
                <w:szCs w:val="20"/>
              </w:rPr>
              <w:t>,</w:t>
            </w:r>
            <w:r w:rsidRPr="00363FE8">
              <w:rPr>
                <w:rFonts w:ascii="Calibri" w:eastAsia="Times New Roman" w:hAnsi="Calibri" w:cs="Calibri"/>
                <w:color w:val="000000"/>
                <w:sz w:val="20"/>
                <w:szCs w:val="20"/>
              </w:rPr>
              <w:t>74</w:t>
            </w:r>
            <w:r w:rsidR="002D3C3F">
              <w:rPr>
                <w:rFonts w:ascii="Calibri" w:eastAsia="Times New Roman" w:hAnsi="Calibri" w:cs="Calibri"/>
                <w:color w:val="000000"/>
                <w:sz w:val="20"/>
                <w:szCs w:val="20"/>
              </w:rPr>
              <w:t>2</w:t>
            </w:r>
          </w:p>
        </w:tc>
        <w:tc>
          <w:tcPr>
            <w:tcW w:w="1487" w:type="dxa"/>
            <w:tcBorders>
              <w:top w:val="nil"/>
              <w:left w:val="nil"/>
              <w:bottom w:val="single" w:sz="4" w:space="0" w:color="auto"/>
              <w:right w:val="single" w:sz="4" w:space="0" w:color="auto"/>
            </w:tcBorders>
            <w:shd w:val="clear" w:color="auto" w:fill="auto"/>
            <w:noWrap/>
            <w:vAlign w:val="bottom"/>
            <w:hideMark/>
          </w:tcPr>
          <w:p w14:paraId="160ABB41" w14:textId="7E95FBD7" w:rsidR="00363FE8" w:rsidRPr="00363FE8" w:rsidRDefault="00363FE8" w:rsidP="004F0153">
            <w:pPr>
              <w:keepNext/>
              <w:spacing w:after="0"/>
              <w:jc w:val="right"/>
              <w:rPr>
                <w:rFonts w:ascii="Calibri" w:eastAsia="Times New Roman" w:hAnsi="Calibri" w:cs="Calibri"/>
                <w:color w:val="000000"/>
                <w:sz w:val="20"/>
                <w:szCs w:val="20"/>
              </w:rPr>
            </w:pPr>
            <w:r w:rsidRPr="00363FE8">
              <w:rPr>
                <w:rFonts w:ascii="Calibri" w:eastAsia="Times New Roman" w:hAnsi="Calibri" w:cs="Calibri"/>
                <w:color w:val="000000"/>
                <w:sz w:val="20"/>
                <w:szCs w:val="20"/>
              </w:rPr>
              <w:t>7.5</w:t>
            </w:r>
            <w:r w:rsidR="003E3742">
              <w:rPr>
                <w:rFonts w:ascii="Calibri" w:eastAsia="Times New Roman" w:hAnsi="Calibri" w:cs="Calibri"/>
                <w:color w:val="000000"/>
                <w:sz w:val="20"/>
                <w:szCs w:val="20"/>
              </w:rPr>
              <w:t>7</w:t>
            </w:r>
          </w:p>
        </w:tc>
        <w:tc>
          <w:tcPr>
            <w:tcW w:w="1488" w:type="dxa"/>
            <w:tcBorders>
              <w:top w:val="nil"/>
              <w:left w:val="nil"/>
              <w:bottom w:val="single" w:sz="4" w:space="0" w:color="auto"/>
              <w:right w:val="single" w:sz="4" w:space="0" w:color="auto"/>
            </w:tcBorders>
            <w:shd w:val="clear" w:color="auto" w:fill="auto"/>
            <w:noWrap/>
            <w:vAlign w:val="bottom"/>
            <w:hideMark/>
          </w:tcPr>
          <w:p w14:paraId="34BE76CB" w14:textId="77777777" w:rsidR="00363FE8" w:rsidRPr="00363FE8" w:rsidRDefault="00363FE8" w:rsidP="004F0153">
            <w:pPr>
              <w:keepNext/>
              <w:spacing w:after="0"/>
              <w:jc w:val="right"/>
              <w:rPr>
                <w:rFonts w:ascii="Calibri" w:eastAsia="Times New Roman" w:hAnsi="Calibri" w:cs="Calibri"/>
                <w:color w:val="000000"/>
                <w:sz w:val="20"/>
                <w:szCs w:val="20"/>
              </w:rPr>
            </w:pPr>
            <w:r w:rsidRPr="00363FE8">
              <w:rPr>
                <w:rFonts w:ascii="Calibri" w:eastAsia="Times New Roman" w:hAnsi="Calibri" w:cs="Calibri"/>
                <w:color w:val="000000"/>
                <w:sz w:val="20"/>
                <w:szCs w:val="20"/>
              </w:rPr>
              <w:t>8</w:t>
            </w:r>
          </w:p>
        </w:tc>
      </w:tr>
      <w:tr w:rsidR="00363FE8" w:rsidRPr="00363FE8" w14:paraId="5C45F32E" w14:textId="77777777" w:rsidTr="009F42C8">
        <w:trPr>
          <w:trHeight w:val="300"/>
        </w:trPr>
        <w:tc>
          <w:tcPr>
            <w:tcW w:w="1487" w:type="dxa"/>
            <w:tcBorders>
              <w:top w:val="nil"/>
              <w:left w:val="single" w:sz="4" w:space="0" w:color="auto"/>
              <w:bottom w:val="single" w:sz="4" w:space="0" w:color="auto"/>
              <w:right w:val="single" w:sz="4" w:space="0" w:color="auto"/>
            </w:tcBorders>
            <w:shd w:val="clear" w:color="auto" w:fill="auto"/>
            <w:noWrap/>
            <w:vAlign w:val="bottom"/>
            <w:hideMark/>
          </w:tcPr>
          <w:p w14:paraId="75BF4ECD" w14:textId="77777777" w:rsidR="00363FE8" w:rsidRPr="00363FE8" w:rsidRDefault="00363FE8" w:rsidP="00363FE8">
            <w:pPr>
              <w:spacing w:after="0"/>
              <w:rPr>
                <w:rFonts w:ascii="Calibri" w:eastAsia="Times New Roman" w:hAnsi="Calibri" w:cs="Calibri"/>
                <w:color w:val="000000"/>
                <w:sz w:val="20"/>
                <w:szCs w:val="20"/>
              </w:rPr>
            </w:pPr>
            <w:r w:rsidRPr="00363FE8">
              <w:rPr>
                <w:rFonts w:ascii="Calibri" w:eastAsia="Times New Roman" w:hAnsi="Calibri" w:cs="Calibri"/>
                <w:color w:val="000000"/>
                <w:sz w:val="20"/>
                <w:szCs w:val="20"/>
              </w:rPr>
              <w:t>Year 3</w:t>
            </w:r>
          </w:p>
        </w:tc>
        <w:tc>
          <w:tcPr>
            <w:tcW w:w="1487" w:type="dxa"/>
            <w:tcBorders>
              <w:top w:val="nil"/>
              <w:left w:val="nil"/>
              <w:bottom w:val="single" w:sz="4" w:space="0" w:color="auto"/>
              <w:right w:val="single" w:sz="4" w:space="0" w:color="auto"/>
            </w:tcBorders>
            <w:shd w:val="clear" w:color="auto" w:fill="auto"/>
            <w:noWrap/>
            <w:vAlign w:val="bottom"/>
            <w:hideMark/>
          </w:tcPr>
          <w:p w14:paraId="473F017D" w14:textId="0FE5869E" w:rsidR="00363FE8" w:rsidRPr="00363FE8" w:rsidRDefault="00363FE8" w:rsidP="00363FE8">
            <w:pPr>
              <w:spacing w:after="0"/>
              <w:jc w:val="right"/>
              <w:rPr>
                <w:rFonts w:ascii="Calibri" w:eastAsia="Times New Roman" w:hAnsi="Calibri" w:cs="Calibri"/>
                <w:color w:val="000000"/>
                <w:sz w:val="20"/>
                <w:szCs w:val="20"/>
              </w:rPr>
            </w:pPr>
            <w:r w:rsidRPr="00363FE8">
              <w:rPr>
                <w:rFonts w:ascii="Calibri" w:eastAsia="Times New Roman" w:hAnsi="Calibri" w:cs="Calibri"/>
                <w:color w:val="000000"/>
                <w:sz w:val="20"/>
                <w:szCs w:val="20"/>
              </w:rPr>
              <w:t>2</w:t>
            </w:r>
            <w:r w:rsidR="009F42C8">
              <w:rPr>
                <w:rFonts w:ascii="Calibri" w:eastAsia="Times New Roman" w:hAnsi="Calibri" w:cs="Calibri"/>
                <w:color w:val="000000"/>
                <w:sz w:val="20"/>
                <w:szCs w:val="20"/>
              </w:rPr>
              <w:t>,</w:t>
            </w:r>
            <w:r w:rsidRPr="00363FE8">
              <w:rPr>
                <w:rFonts w:ascii="Calibri" w:eastAsia="Times New Roman" w:hAnsi="Calibri" w:cs="Calibri"/>
                <w:color w:val="000000"/>
                <w:sz w:val="20"/>
                <w:szCs w:val="20"/>
              </w:rPr>
              <w:t>39</w:t>
            </w:r>
            <w:r w:rsidR="002D3C3F">
              <w:rPr>
                <w:rFonts w:ascii="Calibri" w:eastAsia="Times New Roman" w:hAnsi="Calibri" w:cs="Calibri"/>
                <w:color w:val="000000"/>
                <w:sz w:val="20"/>
                <w:szCs w:val="20"/>
              </w:rPr>
              <w:t>5</w:t>
            </w:r>
          </w:p>
        </w:tc>
        <w:tc>
          <w:tcPr>
            <w:tcW w:w="1487" w:type="dxa"/>
            <w:tcBorders>
              <w:top w:val="nil"/>
              <w:left w:val="nil"/>
              <w:bottom w:val="single" w:sz="4" w:space="0" w:color="auto"/>
              <w:right w:val="single" w:sz="4" w:space="0" w:color="auto"/>
            </w:tcBorders>
            <w:shd w:val="clear" w:color="auto" w:fill="auto"/>
            <w:noWrap/>
            <w:vAlign w:val="bottom"/>
            <w:hideMark/>
          </w:tcPr>
          <w:p w14:paraId="5728EB5B" w14:textId="5AEB6B6D" w:rsidR="00363FE8" w:rsidRPr="00363FE8" w:rsidRDefault="00363FE8" w:rsidP="00363FE8">
            <w:pPr>
              <w:spacing w:after="0"/>
              <w:jc w:val="right"/>
              <w:rPr>
                <w:rFonts w:ascii="Calibri" w:eastAsia="Times New Roman" w:hAnsi="Calibri" w:cs="Calibri"/>
                <w:color w:val="000000"/>
                <w:sz w:val="20"/>
                <w:szCs w:val="20"/>
              </w:rPr>
            </w:pPr>
            <w:r w:rsidRPr="00363FE8">
              <w:rPr>
                <w:rFonts w:ascii="Calibri" w:eastAsia="Times New Roman" w:hAnsi="Calibri" w:cs="Calibri"/>
                <w:color w:val="000000"/>
                <w:sz w:val="20"/>
                <w:szCs w:val="20"/>
              </w:rPr>
              <w:t>2.32</w:t>
            </w:r>
          </w:p>
        </w:tc>
        <w:tc>
          <w:tcPr>
            <w:tcW w:w="1488" w:type="dxa"/>
            <w:tcBorders>
              <w:top w:val="nil"/>
              <w:left w:val="nil"/>
              <w:bottom w:val="single" w:sz="4" w:space="0" w:color="auto"/>
              <w:right w:val="single" w:sz="4" w:space="0" w:color="auto"/>
            </w:tcBorders>
            <w:shd w:val="clear" w:color="auto" w:fill="auto"/>
            <w:noWrap/>
            <w:vAlign w:val="bottom"/>
            <w:hideMark/>
          </w:tcPr>
          <w:p w14:paraId="57D9DED2" w14:textId="77777777" w:rsidR="00363FE8" w:rsidRPr="00363FE8" w:rsidRDefault="00363FE8" w:rsidP="00363FE8">
            <w:pPr>
              <w:spacing w:after="0"/>
              <w:jc w:val="right"/>
              <w:rPr>
                <w:rFonts w:ascii="Calibri" w:eastAsia="Times New Roman" w:hAnsi="Calibri" w:cs="Calibri"/>
                <w:color w:val="000000"/>
                <w:sz w:val="20"/>
                <w:szCs w:val="20"/>
              </w:rPr>
            </w:pPr>
            <w:r w:rsidRPr="00363FE8">
              <w:rPr>
                <w:rFonts w:ascii="Calibri" w:eastAsia="Times New Roman" w:hAnsi="Calibri" w:cs="Calibri"/>
                <w:color w:val="000000"/>
                <w:sz w:val="20"/>
                <w:szCs w:val="20"/>
              </w:rPr>
              <w:t>2</w:t>
            </w:r>
          </w:p>
        </w:tc>
      </w:tr>
    </w:tbl>
    <w:p w14:paraId="04A9AD9D" w14:textId="77777777" w:rsidR="00B35AA7" w:rsidRDefault="00B35AA7" w:rsidP="00A35800">
      <w:pPr>
        <w:rPr>
          <w:highlight w:val="yellow"/>
        </w:rPr>
      </w:pPr>
    </w:p>
    <w:p w14:paraId="28D6D23A" w14:textId="6826DA78" w:rsidR="007C6146" w:rsidRPr="00B27A4C" w:rsidRDefault="007C6146" w:rsidP="00A35800">
      <w:r w:rsidRPr="00B27A4C">
        <w:t xml:space="preserve">Table </w:t>
      </w:r>
      <w:r w:rsidR="00465265">
        <w:t>12</w:t>
      </w:r>
      <w:r w:rsidRPr="00B27A4C">
        <w:t xml:space="preserve"> </w:t>
      </w:r>
      <w:r w:rsidR="00632610" w:rsidRPr="00B27A4C">
        <w:t xml:space="preserve">shows the mean and median number of supplies patients received in each year of treatment, from the date </w:t>
      </w:r>
      <w:r w:rsidR="00B27A4C" w:rsidRPr="00B27A4C">
        <w:t>the patient initiated.</w:t>
      </w:r>
      <w:r w:rsidRPr="00B27A4C">
        <w:t xml:space="preserve"> </w:t>
      </w:r>
      <w:r w:rsidR="00BA5F7C">
        <w:t xml:space="preserve">The data for year 3 is immature as the data extraction included </w:t>
      </w:r>
      <w:r w:rsidR="0005089F">
        <w:t>two years and three months of dupil</w:t>
      </w:r>
      <w:r w:rsidR="00354011">
        <w:t>u</w:t>
      </w:r>
      <w:r w:rsidR="0005089F">
        <w:t>mab</w:t>
      </w:r>
      <w:r w:rsidR="007421F6">
        <w:t xml:space="preserve"> prescriptions</w:t>
      </w:r>
      <w:r w:rsidR="0005089F">
        <w:t>.</w:t>
      </w:r>
    </w:p>
    <w:p w14:paraId="4F8723A6" w14:textId="3B792516" w:rsidR="00736041" w:rsidRPr="005E22C2" w:rsidRDefault="001B5D37" w:rsidP="00F73113">
      <w:pPr>
        <w:pStyle w:val="Heading2"/>
      </w:pPr>
      <w:r w:rsidRPr="005E22C2">
        <w:t xml:space="preserve">Analysis </w:t>
      </w:r>
      <w:r w:rsidR="00481108" w:rsidRPr="005E22C2">
        <w:t xml:space="preserve">of </w:t>
      </w:r>
      <w:r w:rsidR="0063631C">
        <w:t>e</w:t>
      </w:r>
      <w:r w:rsidR="00736041" w:rsidRPr="005E22C2">
        <w:t>xpenditure</w:t>
      </w:r>
    </w:p>
    <w:p w14:paraId="1A26E77C" w14:textId="04519816" w:rsidR="006C335A" w:rsidRPr="00F94A4D" w:rsidRDefault="009974FD" w:rsidP="00F94A4D">
      <w:pPr>
        <w:pStyle w:val="Tabletitle"/>
      </w:pPr>
      <w:r w:rsidRPr="00F94A4D">
        <w:t xml:space="preserve">Table </w:t>
      </w:r>
      <w:r w:rsidR="00465265">
        <w:t>13</w:t>
      </w:r>
      <w:r w:rsidRPr="00F94A4D">
        <w:t xml:space="preserve">: Expenditure by </w:t>
      </w:r>
      <w:r w:rsidR="00F94A4D" w:rsidRPr="00F94A4D">
        <w:t>quarter and year of supply</w:t>
      </w:r>
    </w:p>
    <w:tbl>
      <w:tblPr>
        <w:tblW w:w="4620" w:type="dxa"/>
        <w:tblInd w:w="113" w:type="dxa"/>
        <w:tblLook w:val="04A0" w:firstRow="1" w:lastRow="0" w:firstColumn="1" w:lastColumn="0" w:noHBand="0" w:noVBand="1"/>
      </w:tblPr>
      <w:tblGrid>
        <w:gridCol w:w="2020"/>
        <w:gridCol w:w="2600"/>
      </w:tblGrid>
      <w:tr w:rsidR="00E85133" w:rsidRPr="00E85133" w14:paraId="68C0D436" w14:textId="77777777" w:rsidTr="00E85133">
        <w:trPr>
          <w:trHeight w:val="300"/>
        </w:trPr>
        <w:tc>
          <w:tcPr>
            <w:tcW w:w="202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99D73A3" w14:textId="77777777" w:rsidR="00E85133" w:rsidRPr="00E85133" w:rsidRDefault="00E85133" w:rsidP="00E85133">
            <w:pPr>
              <w:spacing w:after="0"/>
              <w:rPr>
                <w:rFonts w:ascii="Calibri" w:eastAsia="Times New Roman" w:hAnsi="Calibri" w:cs="Calibri"/>
                <w:b/>
                <w:bCs/>
                <w:color w:val="000000"/>
                <w:sz w:val="20"/>
                <w:szCs w:val="20"/>
              </w:rPr>
            </w:pPr>
            <w:r w:rsidRPr="00E85133">
              <w:rPr>
                <w:rFonts w:ascii="Calibri" w:eastAsia="Times New Roman" w:hAnsi="Calibri" w:cs="Calibri"/>
                <w:b/>
                <w:bCs/>
                <w:color w:val="000000"/>
                <w:sz w:val="20"/>
                <w:szCs w:val="20"/>
              </w:rPr>
              <w:t>Supply quarter</w:t>
            </w:r>
          </w:p>
        </w:tc>
        <w:tc>
          <w:tcPr>
            <w:tcW w:w="2600" w:type="dxa"/>
            <w:tcBorders>
              <w:top w:val="single" w:sz="4" w:space="0" w:color="auto"/>
              <w:left w:val="nil"/>
              <w:bottom w:val="single" w:sz="4" w:space="0" w:color="auto"/>
              <w:right w:val="single" w:sz="4" w:space="0" w:color="auto"/>
            </w:tcBorders>
            <w:shd w:val="clear" w:color="000000" w:fill="BFBFBF"/>
            <w:noWrap/>
            <w:vAlign w:val="bottom"/>
            <w:hideMark/>
          </w:tcPr>
          <w:p w14:paraId="086A1553" w14:textId="77777777" w:rsidR="00E85133" w:rsidRPr="00E85133" w:rsidRDefault="00E85133" w:rsidP="00E85133">
            <w:pPr>
              <w:spacing w:after="0"/>
              <w:rPr>
                <w:rFonts w:ascii="Calibri" w:eastAsia="Times New Roman" w:hAnsi="Calibri" w:cs="Calibri"/>
                <w:b/>
                <w:bCs/>
                <w:color w:val="000000"/>
                <w:sz w:val="20"/>
                <w:szCs w:val="20"/>
              </w:rPr>
            </w:pPr>
            <w:r w:rsidRPr="00E85133">
              <w:rPr>
                <w:rFonts w:ascii="Calibri" w:eastAsia="Times New Roman" w:hAnsi="Calibri" w:cs="Calibri"/>
                <w:b/>
                <w:bCs/>
                <w:color w:val="000000"/>
                <w:sz w:val="20"/>
                <w:szCs w:val="20"/>
              </w:rPr>
              <w:t>Benefit paid</w:t>
            </w:r>
          </w:p>
        </w:tc>
      </w:tr>
      <w:tr w:rsidR="000C6D4A" w:rsidRPr="00E85133" w14:paraId="464304EC" w14:textId="77777777" w:rsidTr="000145B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489A0B43" w14:textId="656CDE50" w:rsidR="000C6D4A" w:rsidRPr="000C6D4A" w:rsidRDefault="000C6D4A" w:rsidP="000C6D4A">
            <w:pPr>
              <w:spacing w:after="0"/>
              <w:rPr>
                <w:rFonts w:ascii="Calibri" w:eastAsia="Times New Roman" w:hAnsi="Calibri" w:cs="Calibri"/>
                <w:color w:val="000000"/>
                <w:sz w:val="20"/>
                <w:szCs w:val="20"/>
              </w:rPr>
            </w:pPr>
            <w:r w:rsidRPr="000C6D4A">
              <w:rPr>
                <w:rFonts w:ascii="Calibri" w:hAnsi="Calibri" w:cs="Calibri"/>
                <w:color w:val="000000"/>
                <w:sz w:val="20"/>
                <w:szCs w:val="20"/>
              </w:rPr>
              <w:t>2021Q1</w:t>
            </w:r>
          </w:p>
        </w:tc>
        <w:tc>
          <w:tcPr>
            <w:tcW w:w="2600" w:type="dxa"/>
            <w:tcBorders>
              <w:top w:val="nil"/>
              <w:left w:val="nil"/>
              <w:bottom w:val="single" w:sz="4" w:space="0" w:color="auto"/>
              <w:right w:val="single" w:sz="4" w:space="0" w:color="auto"/>
            </w:tcBorders>
            <w:shd w:val="clear" w:color="auto" w:fill="auto"/>
            <w:noWrap/>
            <w:vAlign w:val="bottom"/>
            <w:hideMark/>
          </w:tcPr>
          <w:p w14:paraId="58AED58A" w14:textId="258042B8" w:rsidR="000C6D4A" w:rsidRPr="000C6D4A" w:rsidRDefault="000C6D4A" w:rsidP="000C6D4A">
            <w:pPr>
              <w:spacing w:after="0"/>
              <w:jc w:val="right"/>
              <w:rPr>
                <w:rFonts w:ascii="Calibri" w:eastAsia="Times New Roman" w:hAnsi="Calibri" w:cs="Calibri"/>
                <w:color w:val="000000"/>
                <w:sz w:val="20"/>
                <w:szCs w:val="20"/>
              </w:rPr>
            </w:pPr>
            <w:r w:rsidRPr="000C6D4A">
              <w:rPr>
                <w:rFonts w:ascii="Calibri" w:hAnsi="Calibri" w:cs="Calibri"/>
                <w:color w:val="000000"/>
                <w:sz w:val="20"/>
                <w:szCs w:val="20"/>
              </w:rPr>
              <w:t xml:space="preserve"> $ 3,052,160.59 </w:t>
            </w:r>
          </w:p>
        </w:tc>
      </w:tr>
      <w:tr w:rsidR="000C6D4A" w:rsidRPr="00E85133" w14:paraId="7AEA2C18" w14:textId="77777777" w:rsidTr="000145B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142099E5" w14:textId="63823868" w:rsidR="000C6D4A" w:rsidRPr="000C6D4A" w:rsidRDefault="000C6D4A" w:rsidP="000C6D4A">
            <w:pPr>
              <w:spacing w:after="0"/>
              <w:rPr>
                <w:rFonts w:ascii="Calibri" w:eastAsia="Times New Roman" w:hAnsi="Calibri" w:cs="Calibri"/>
                <w:color w:val="000000"/>
                <w:sz w:val="20"/>
                <w:szCs w:val="20"/>
              </w:rPr>
            </w:pPr>
            <w:r w:rsidRPr="000C6D4A">
              <w:rPr>
                <w:rFonts w:ascii="Calibri" w:hAnsi="Calibri" w:cs="Calibri"/>
                <w:color w:val="000000"/>
                <w:sz w:val="20"/>
                <w:szCs w:val="20"/>
              </w:rPr>
              <w:t>2021Q2</w:t>
            </w:r>
          </w:p>
        </w:tc>
        <w:tc>
          <w:tcPr>
            <w:tcW w:w="2600" w:type="dxa"/>
            <w:tcBorders>
              <w:top w:val="nil"/>
              <w:left w:val="nil"/>
              <w:bottom w:val="single" w:sz="4" w:space="0" w:color="auto"/>
              <w:right w:val="single" w:sz="4" w:space="0" w:color="auto"/>
            </w:tcBorders>
            <w:shd w:val="clear" w:color="auto" w:fill="auto"/>
            <w:noWrap/>
            <w:vAlign w:val="bottom"/>
            <w:hideMark/>
          </w:tcPr>
          <w:p w14:paraId="41BC9698" w14:textId="6590E6EF" w:rsidR="000C6D4A" w:rsidRPr="000C6D4A" w:rsidRDefault="000C6D4A" w:rsidP="000C6D4A">
            <w:pPr>
              <w:spacing w:after="0"/>
              <w:jc w:val="right"/>
              <w:rPr>
                <w:rFonts w:ascii="Calibri" w:eastAsia="Times New Roman" w:hAnsi="Calibri" w:cs="Calibri"/>
                <w:color w:val="000000"/>
                <w:sz w:val="20"/>
                <w:szCs w:val="20"/>
              </w:rPr>
            </w:pPr>
            <w:r w:rsidRPr="000C6D4A">
              <w:rPr>
                <w:rFonts w:ascii="Calibri" w:hAnsi="Calibri" w:cs="Calibri"/>
                <w:color w:val="000000"/>
                <w:sz w:val="20"/>
                <w:szCs w:val="20"/>
              </w:rPr>
              <w:t xml:space="preserve"> $ 18,528,742.88 </w:t>
            </w:r>
          </w:p>
        </w:tc>
      </w:tr>
      <w:tr w:rsidR="000C6D4A" w:rsidRPr="00E85133" w14:paraId="303F122D" w14:textId="77777777" w:rsidTr="000145B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04AA7D9F" w14:textId="7E889E96" w:rsidR="000C6D4A" w:rsidRPr="000C6D4A" w:rsidRDefault="000C6D4A" w:rsidP="000C6D4A">
            <w:pPr>
              <w:spacing w:after="0"/>
              <w:rPr>
                <w:rFonts w:ascii="Calibri" w:eastAsia="Times New Roman" w:hAnsi="Calibri" w:cs="Calibri"/>
                <w:color w:val="000000"/>
                <w:sz w:val="20"/>
                <w:szCs w:val="20"/>
              </w:rPr>
            </w:pPr>
            <w:r w:rsidRPr="000C6D4A">
              <w:rPr>
                <w:rFonts w:ascii="Calibri" w:hAnsi="Calibri" w:cs="Calibri"/>
                <w:color w:val="000000"/>
                <w:sz w:val="20"/>
                <w:szCs w:val="20"/>
              </w:rPr>
              <w:t>2021Q3</w:t>
            </w:r>
          </w:p>
        </w:tc>
        <w:tc>
          <w:tcPr>
            <w:tcW w:w="2600" w:type="dxa"/>
            <w:tcBorders>
              <w:top w:val="nil"/>
              <w:left w:val="nil"/>
              <w:bottom w:val="single" w:sz="4" w:space="0" w:color="auto"/>
              <w:right w:val="single" w:sz="4" w:space="0" w:color="auto"/>
            </w:tcBorders>
            <w:shd w:val="clear" w:color="auto" w:fill="auto"/>
            <w:noWrap/>
            <w:vAlign w:val="bottom"/>
            <w:hideMark/>
          </w:tcPr>
          <w:p w14:paraId="1BA1FBA1" w14:textId="42C1477A" w:rsidR="000C6D4A" w:rsidRPr="000C6D4A" w:rsidRDefault="000C6D4A" w:rsidP="000C6D4A">
            <w:pPr>
              <w:spacing w:after="0"/>
              <w:jc w:val="right"/>
              <w:rPr>
                <w:rFonts w:ascii="Calibri" w:eastAsia="Times New Roman" w:hAnsi="Calibri" w:cs="Calibri"/>
                <w:color w:val="000000"/>
                <w:sz w:val="20"/>
                <w:szCs w:val="20"/>
              </w:rPr>
            </w:pPr>
            <w:r w:rsidRPr="000C6D4A">
              <w:rPr>
                <w:rFonts w:ascii="Calibri" w:hAnsi="Calibri" w:cs="Calibri"/>
                <w:color w:val="000000"/>
                <w:sz w:val="20"/>
                <w:szCs w:val="20"/>
              </w:rPr>
              <w:t xml:space="preserve"> $ 27,160,444.04 </w:t>
            </w:r>
          </w:p>
        </w:tc>
      </w:tr>
      <w:tr w:rsidR="000C6D4A" w:rsidRPr="00E85133" w14:paraId="24D1DB97" w14:textId="77777777" w:rsidTr="000145B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7EA91525" w14:textId="1C380550" w:rsidR="000C6D4A" w:rsidRPr="000C6D4A" w:rsidRDefault="000C6D4A" w:rsidP="000C6D4A">
            <w:pPr>
              <w:spacing w:after="0"/>
              <w:rPr>
                <w:rFonts w:ascii="Calibri" w:eastAsia="Times New Roman" w:hAnsi="Calibri" w:cs="Calibri"/>
                <w:color w:val="000000"/>
                <w:sz w:val="20"/>
                <w:szCs w:val="20"/>
              </w:rPr>
            </w:pPr>
            <w:r w:rsidRPr="000C6D4A">
              <w:rPr>
                <w:rFonts w:ascii="Calibri" w:hAnsi="Calibri" w:cs="Calibri"/>
                <w:color w:val="000000"/>
                <w:sz w:val="20"/>
                <w:szCs w:val="20"/>
              </w:rPr>
              <w:t>2021Q4</w:t>
            </w:r>
          </w:p>
        </w:tc>
        <w:tc>
          <w:tcPr>
            <w:tcW w:w="2600" w:type="dxa"/>
            <w:tcBorders>
              <w:top w:val="nil"/>
              <w:left w:val="nil"/>
              <w:bottom w:val="single" w:sz="4" w:space="0" w:color="auto"/>
              <w:right w:val="single" w:sz="4" w:space="0" w:color="auto"/>
            </w:tcBorders>
            <w:shd w:val="clear" w:color="auto" w:fill="auto"/>
            <w:noWrap/>
            <w:vAlign w:val="bottom"/>
            <w:hideMark/>
          </w:tcPr>
          <w:p w14:paraId="379D339D" w14:textId="6CD0A52E" w:rsidR="000C6D4A" w:rsidRPr="000C6D4A" w:rsidRDefault="000C6D4A" w:rsidP="000C6D4A">
            <w:pPr>
              <w:spacing w:after="0"/>
              <w:jc w:val="right"/>
              <w:rPr>
                <w:rFonts w:ascii="Calibri" w:eastAsia="Times New Roman" w:hAnsi="Calibri" w:cs="Calibri"/>
                <w:color w:val="000000"/>
                <w:sz w:val="20"/>
                <w:szCs w:val="20"/>
              </w:rPr>
            </w:pPr>
            <w:r w:rsidRPr="000C6D4A">
              <w:rPr>
                <w:rFonts w:ascii="Calibri" w:hAnsi="Calibri" w:cs="Calibri"/>
                <w:color w:val="000000"/>
                <w:sz w:val="20"/>
                <w:szCs w:val="20"/>
              </w:rPr>
              <w:t xml:space="preserve"> $ 33,897,033.17 </w:t>
            </w:r>
          </w:p>
        </w:tc>
      </w:tr>
      <w:tr w:rsidR="000C6D4A" w:rsidRPr="000C6D4A" w14:paraId="0C2A61BA" w14:textId="77777777" w:rsidTr="000145B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21E1E342" w14:textId="50F9D285" w:rsidR="000C6D4A" w:rsidRPr="000C6D4A" w:rsidRDefault="000C6D4A" w:rsidP="000C6D4A">
            <w:pPr>
              <w:spacing w:after="0"/>
              <w:rPr>
                <w:rFonts w:ascii="Calibri" w:eastAsia="Times New Roman" w:hAnsi="Calibri" w:cs="Calibri"/>
                <w:b/>
                <w:bCs/>
                <w:color w:val="000000"/>
                <w:sz w:val="20"/>
                <w:szCs w:val="20"/>
              </w:rPr>
            </w:pPr>
            <w:r w:rsidRPr="000C6D4A">
              <w:rPr>
                <w:rFonts w:ascii="Calibri" w:hAnsi="Calibri" w:cs="Calibri"/>
                <w:b/>
                <w:bCs/>
                <w:color w:val="000000"/>
                <w:sz w:val="20"/>
                <w:szCs w:val="20"/>
              </w:rPr>
              <w:t>2021 total</w:t>
            </w:r>
          </w:p>
        </w:tc>
        <w:tc>
          <w:tcPr>
            <w:tcW w:w="2600" w:type="dxa"/>
            <w:tcBorders>
              <w:top w:val="nil"/>
              <w:left w:val="nil"/>
              <w:bottom w:val="single" w:sz="4" w:space="0" w:color="auto"/>
              <w:right w:val="single" w:sz="4" w:space="0" w:color="auto"/>
            </w:tcBorders>
            <w:shd w:val="clear" w:color="auto" w:fill="auto"/>
            <w:noWrap/>
            <w:vAlign w:val="bottom"/>
            <w:hideMark/>
          </w:tcPr>
          <w:p w14:paraId="71D825AD" w14:textId="3F6C5878" w:rsidR="000C6D4A" w:rsidRPr="000C6D4A" w:rsidRDefault="000C6D4A" w:rsidP="000C6D4A">
            <w:pPr>
              <w:spacing w:after="0"/>
              <w:jc w:val="right"/>
              <w:rPr>
                <w:rFonts w:ascii="Calibri" w:eastAsia="Times New Roman" w:hAnsi="Calibri" w:cs="Calibri"/>
                <w:b/>
                <w:bCs/>
                <w:color w:val="000000"/>
                <w:sz w:val="20"/>
                <w:szCs w:val="20"/>
              </w:rPr>
            </w:pPr>
            <w:r w:rsidRPr="000C6D4A">
              <w:rPr>
                <w:rFonts w:ascii="Calibri" w:hAnsi="Calibri" w:cs="Calibri"/>
                <w:b/>
                <w:bCs/>
                <w:color w:val="000000"/>
                <w:sz w:val="20"/>
                <w:szCs w:val="20"/>
              </w:rPr>
              <w:t xml:space="preserve"> $ 82,638,380.68 </w:t>
            </w:r>
          </w:p>
        </w:tc>
      </w:tr>
      <w:tr w:rsidR="000C6D4A" w:rsidRPr="00E85133" w14:paraId="6ECD93C9" w14:textId="77777777" w:rsidTr="000145B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50F3C40F" w14:textId="785269E2" w:rsidR="000C6D4A" w:rsidRPr="000C6D4A" w:rsidRDefault="000C6D4A" w:rsidP="000C6D4A">
            <w:pPr>
              <w:spacing w:after="0"/>
              <w:rPr>
                <w:rFonts w:ascii="Calibri" w:eastAsia="Times New Roman" w:hAnsi="Calibri" w:cs="Calibri"/>
                <w:color w:val="000000"/>
                <w:sz w:val="20"/>
                <w:szCs w:val="20"/>
              </w:rPr>
            </w:pPr>
            <w:r w:rsidRPr="000C6D4A">
              <w:rPr>
                <w:rFonts w:ascii="Calibri" w:hAnsi="Calibri" w:cs="Calibri"/>
                <w:color w:val="000000"/>
                <w:sz w:val="20"/>
                <w:szCs w:val="20"/>
              </w:rPr>
              <w:t>2022Q1</w:t>
            </w:r>
          </w:p>
        </w:tc>
        <w:tc>
          <w:tcPr>
            <w:tcW w:w="2600" w:type="dxa"/>
            <w:tcBorders>
              <w:top w:val="nil"/>
              <w:left w:val="nil"/>
              <w:bottom w:val="single" w:sz="4" w:space="0" w:color="auto"/>
              <w:right w:val="single" w:sz="4" w:space="0" w:color="auto"/>
            </w:tcBorders>
            <w:shd w:val="clear" w:color="auto" w:fill="auto"/>
            <w:noWrap/>
            <w:vAlign w:val="bottom"/>
            <w:hideMark/>
          </w:tcPr>
          <w:p w14:paraId="32B542B9" w14:textId="379AD9E2" w:rsidR="000C6D4A" w:rsidRPr="000C6D4A" w:rsidRDefault="000C6D4A" w:rsidP="000C6D4A">
            <w:pPr>
              <w:spacing w:after="0"/>
              <w:jc w:val="right"/>
              <w:rPr>
                <w:rFonts w:ascii="Calibri" w:eastAsia="Times New Roman" w:hAnsi="Calibri" w:cs="Calibri"/>
                <w:color w:val="000000"/>
                <w:sz w:val="20"/>
                <w:szCs w:val="20"/>
              </w:rPr>
            </w:pPr>
            <w:r w:rsidRPr="000C6D4A">
              <w:rPr>
                <w:rFonts w:ascii="Calibri" w:hAnsi="Calibri" w:cs="Calibri"/>
                <w:color w:val="000000"/>
                <w:sz w:val="20"/>
                <w:szCs w:val="20"/>
              </w:rPr>
              <w:t xml:space="preserve"> $ 36,014,602.76 </w:t>
            </w:r>
          </w:p>
        </w:tc>
      </w:tr>
      <w:tr w:rsidR="000C6D4A" w:rsidRPr="00E85133" w14:paraId="101A8F16" w14:textId="77777777" w:rsidTr="000145B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5FAB8B64" w14:textId="4D85FF0C" w:rsidR="000C6D4A" w:rsidRPr="000C6D4A" w:rsidRDefault="000C6D4A" w:rsidP="000C6D4A">
            <w:pPr>
              <w:spacing w:after="0"/>
              <w:rPr>
                <w:rFonts w:ascii="Calibri" w:eastAsia="Times New Roman" w:hAnsi="Calibri" w:cs="Calibri"/>
                <w:color w:val="000000"/>
                <w:sz w:val="20"/>
                <w:szCs w:val="20"/>
              </w:rPr>
            </w:pPr>
            <w:r w:rsidRPr="000C6D4A">
              <w:rPr>
                <w:rFonts w:ascii="Calibri" w:hAnsi="Calibri" w:cs="Calibri"/>
                <w:color w:val="000000"/>
                <w:sz w:val="20"/>
                <w:szCs w:val="20"/>
              </w:rPr>
              <w:t>2022Q2</w:t>
            </w:r>
          </w:p>
        </w:tc>
        <w:tc>
          <w:tcPr>
            <w:tcW w:w="2600" w:type="dxa"/>
            <w:tcBorders>
              <w:top w:val="nil"/>
              <w:left w:val="nil"/>
              <w:bottom w:val="single" w:sz="4" w:space="0" w:color="auto"/>
              <w:right w:val="single" w:sz="4" w:space="0" w:color="auto"/>
            </w:tcBorders>
            <w:shd w:val="clear" w:color="auto" w:fill="auto"/>
            <w:noWrap/>
            <w:vAlign w:val="bottom"/>
            <w:hideMark/>
          </w:tcPr>
          <w:p w14:paraId="530F6174" w14:textId="7B23296C" w:rsidR="000C6D4A" w:rsidRPr="000C6D4A" w:rsidRDefault="000C6D4A" w:rsidP="000C6D4A">
            <w:pPr>
              <w:spacing w:after="0"/>
              <w:jc w:val="right"/>
              <w:rPr>
                <w:rFonts w:ascii="Calibri" w:eastAsia="Times New Roman" w:hAnsi="Calibri" w:cs="Calibri"/>
                <w:color w:val="000000"/>
                <w:sz w:val="20"/>
                <w:szCs w:val="20"/>
              </w:rPr>
            </w:pPr>
            <w:r w:rsidRPr="000C6D4A">
              <w:rPr>
                <w:rFonts w:ascii="Calibri" w:hAnsi="Calibri" w:cs="Calibri"/>
                <w:color w:val="000000"/>
                <w:sz w:val="20"/>
                <w:szCs w:val="20"/>
              </w:rPr>
              <w:t xml:space="preserve"> $ 41,850,590.02 </w:t>
            </w:r>
          </w:p>
        </w:tc>
      </w:tr>
      <w:tr w:rsidR="000C6D4A" w:rsidRPr="00E85133" w14:paraId="1D071C52" w14:textId="77777777" w:rsidTr="000145B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65F000B4" w14:textId="4174D9DF" w:rsidR="000C6D4A" w:rsidRPr="000C6D4A" w:rsidRDefault="000C6D4A" w:rsidP="000C6D4A">
            <w:pPr>
              <w:spacing w:after="0"/>
              <w:rPr>
                <w:rFonts w:ascii="Calibri" w:eastAsia="Times New Roman" w:hAnsi="Calibri" w:cs="Calibri"/>
                <w:color w:val="000000"/>
                <w:sz w:val="20"/>
                <w:szCs w:val="20"/>
              </w:rPr>
            </w:pPr>
            <w:r w:rsidRPr="000C6D4A">
              <w:rPr>
                <w:rFonts w:ascii="Calibri" w:hAnsi="Calibri" w:cs="Calibri"/>
                <w:color w:val="000000"/>
                <w:sz w:val="20"/>
                <w:szCs w:val="20"/>
              </w:rPr>
              <w:t>2022Q3</w:t>
            </w:r>
          </w:p>
        </w:tc>
        <w:tc>
          <w:tcPr>
            <w:tcW w:w="2600" w:type="dxa"/>
            <w:tcBorders>
              <w:top w:val="nil"/>
              <w:left w:val="nil"/>
              <w:bottom w:val="single" w:sz="4" w:space="0" w:color="auto"/>
              <w:right w:val="single" w:sz="4" w:space="0" w:color="auto"/>
            </w:tcBorders>
            <w:shd w:val="clear" w:color="auto" w:fill="auto"/>
            <w:noWrap/>
            <w:vAlign w:val="bottom"/>
            <w:hideMark/>
          </w:tcPr>
          <w:p w14:paraId="4357DEB2" w14:textId="709AC0AB" w:rsidR="000C6D4A" w:rsidRPr="000C6D4A" w:rsidRDefault="000C6D4A" w:rsidP="000C6D4A">
            <w:pPr>
              <w:spacing w:after="0"/>
              <w:jc w:val="right"/>
              <w:rPr>
                <w:rFonts w:ascii="Calibri" w:eastAsia="Times New Roman" w:hAnsi="Calibri" w:cs="Calibri"/>
                <w:color w:val="000000"/>
                <w:sz w:val="20"/>
                <w:szCs w:val="20"/>
              </w:rPr>
            </w:pPr>
            <w:r w:rsidRPr="000C6D4A">
              <w:rPr>
                <w:rFonts w:ascii="Calibri" w:hAnsi="Calibri" w:cs="Calibri"/>
                <w:color w:val="000000"/>
                <w:sz w:val="20"/>
                <w:szCs w:val="20"/>
              </w:rPr>
              <w:t xml:space="preserve"> $ 48,033,485.13 </w:t>
            </w:r>
          </w:p>
        </w:tc>
      </w:tr>
      <w:tr w:rsidR="000C6D4A" w:rsidRPr="00E85133" w14:paraId="74053652" w14:textId="77777777" w:rsidTr="000145B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34D63E78" w14:textId="0530E397" w:rsidR="000C6D4A" w:rsidRPr="000C6D4A" w:rsidRDefault="000C6D4A" w:rsidP="000C6D4A">
            <w:pPr>
              <w:spacing w:after="0"/>
              <w:rPr>
                <w:rFonts w:ascii="Calibri" w:eastAsia="Times New Roman" w:hAnsi="Calibri" w:cs="Calibri"/>
                <w:color w:val="000000"/>
                <w:sz w:val="20"/>
                <w:szCs w:val="20"/>
              </w:rPr>
            </w:pPr>
            <w:r w:rsidRPr="000C6D4A">
              <w:rPr>
                <w:rFonts w:ascii="Calibri" w:hAnsi="Calibri" w:cs="Calibri"/>
                <w:color w:val="000000"/>
                <w:sz w:val="20"/>
                <w:szCs w:val="20"/>
              </w:rPr>
              <w:t>2022Q4</w:t>
            </w:r>
          </w:p>
        </w:tc>
        <w:tc>
          <w:tcPr>
            <w:tcW w:w="2600" w:type="dxa"/>
            <w:tcBorders>
              <w:top w:val="nil"/>
              <w:left w:val="nil"/>
              <w:bottom w:val="single" w:sz="4" w:space="0" w:color="auto"/>
              <w:right w:val="single" w:sz="4" w:space="0" w:color="auto"/>
            </w:tcBorders>
            <w:shd w:val="clear" w:color="auto" w:fill="auto"/>
            <w:noWrap/>
            <w:vAlign w:val="bottom"/>
            <w:hideMark/>
          </w:tcPr>
          <w:p w14:paraId="1A2762C7" w14:textId="3879E311" w:rsidR="000C6D4A" w:rsidRPr="000C6D4A" w:rsidRDefault="000C6D4A" w:rsidP="000C6D4A">
            <w:pPr>
              <w:spacing w:after="0"/>
              <w:jc w:val="right"/>
              <w:rPr>
                <w:rFonts w:ascii="Calibri" w:eastAsia="Times New Roman" w:hAnsi="Calibri" w:cs="Calibri"/>
                <w:color w:val="000000"/>
                <w:sz w:val="20"/>
                <w:szCs w:val="20"/>
              </w:rPr>
            </w:pPr>
            <w:r w:rsidRPr="000C6D4A">
              <w:rPr>
                <w:rFonts w:ascii="Calibri" w:hAnsi="Calibri" w:cs="Calibri"/>
                <w:color w:val="000000"/>
                <w:sz w:val="20"/>
                <w:szCs w:val="20"/>
              </w:rPr>
              <w:t xml:space="preserve"> $ 54,794,744.55 </w:t>
            </w:r>
          </w:p>
        </w:tc>
      </w:tr>
      <w:tr w:rsidR="000C6D4A" w:rsidRPr="000C6D4A" w14:paraId="6734EF59" w14:textId="77777777" w:rsidTr="000145B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0701D351" w14:textId="66419699" w:rsidR="000C6D4A" w:rsidRPr="000C6D4A" w:rsidRDefault="000C6D4A" w:rsidP="000C6D4A">
            <w:pPr>
              <w:spacing w:after="0"/>
              <w:rPr>
                <w:rFonts w:ascii="Calibri" w:eastAsia="Times New Roman" w:hAnsi="Calibri" w:cs="Calibri"/>
                <w:b/>
                <w:bCs/>
                <w:color w:val="000000"/>
                <w:sz w:val="20"/>
                <w:szCs w:val="20"/>
              </w:rPr>
            </w:pPr>
            <w:r w:rsidRPr="000C6D4A">
              <w:rPr>
                <w:rFonts w:ascii="Calibri" w:hAnsi="Calibri" w:cs="Calibri"/>
                <w:b/>
                <w:bCs/>
                <w:color w:val="000000"/>
                <w:sz w:val="20"/>
                <w:szCs w:val="20"/>
              </w:rPr>
              <w:t>2022 total</w:t>
            </w:r>
          </w:p>
        </w:tc>
        <w:tc>
          <w:tcPr>
            <w:tcW w:w="2600" w:type="dxa"/>
            <w:tcBorders>
              <w:top w:val="nil"/>
              <w:left w:val="nil"/>
              <w:bottom w:val="single" w:sz="4" w:space="0" w:color="auto"/>
              <w:right w:val="single" w:sz="4" w:space="0" w:color="auto"/>
            </w:tcBorders>
            <w:shd w:val="clear" w:color="auto" w:fill="auto"/>
            <w:noWrap/>
            <w:vAlign w:val="bottom"/>
            <w:hideMark/>
          </w:tcPr>
          <w:p w14:paraId="6C1470B6" w14:textId="5E99C00D" w:rsidR="000C6D4A" w:rsidRPr="000C6D4A" w:rsidRDefault="000C6D4A" w:rsidP="000C6D4A">
            <w:pPr>
              <w:spacing w:after="0"/>
              <w:jc w:val="right"/>
              <w:rPr>
                <w:rFonts w:ascii="Calibri" w:eastAsia="Times New Roman" w:hAnsi="Calibri" w:cs="Calibri"/>
                <w:b/>
                <w:bCs/>
                <w:color w:val="000000"/>
                <w:sz w:val="20"/>
                <w:szCs w:val="20"/>
              </w:rPr>
            </w:pPr>
            <w:r w:rsidRPr="000C6D4A">
              <w:rPr>
                <w:rFonts w:ascii="Calibri" w:hAnsi="Calibri" w:cs="Calibri"/>
                <w:b/>
                <w:bCs/>
                <w:color w:val="000000"/>
                <w:sz w:val="20"/>
                <w:szCs w:val="20"/>
              </w:rPr>
              <w:t xml:space="preserve"> $ 180,693,422.46 </w:t>
            </w:r>
          </w:p>
        </w:tc>
      </w:tr>
      <w:tr w:rsidR="000C6D4A" w:rsidRPr="00E85133" w14:paraId="420FCC47" w14:textId="77777777" w:rsidTr="000145B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74CF25A3" w14:textId="24C56968" w:rsidR="000C6D4A" w:rsidRPr="000C6D4A" w:rsidRDefault="000C6D4A" w:rsidP="000C6D4A">
            <w:pPr>
              <w:spacing w:after="0"/>
              <w:rPr>
                <w:rFonts w:ascii="Calibri" w:eastAsia="Times New Roman" w:hAnsi="Calibri" w:cs="Calibri"/>
                <w:color w:val="000000"/>
                <w:sz w:val="20"/>
                <w:szCs w:val="20"/>
              </w:rPr>
            </w:pPr>
            <w:r w:rsidRPr="000C6D4A">
              <w:rPr>
                <w:rFonts w:ascii="Calibri" w:hAnsi="Calibri" w:cs="Calibri"/>
                <w:color w:val="000000"/>
                <w:sz w:val="20"/>
                <w:szCs w:val="20"/>
              </w:rPr>
              <w:t>2023Q1</w:t>
            </w:r>
          </w:p>
        </w:tc>
        <w:tc>
          <w:tcPr>
            <w:tcW w:w="2600" w:type="dxa"/>
            <w:tcBorders>
              <w:top w:val="nil"/>
              <w:left w:val="nil"/>
              <w:bottom w:val="single" w:sz="4" w:space="0" w:color="auto"/>
              <w:right w:val="single" w:sz="4" w:space="0" w:color="auto"/>
            </w:tcBorders>
            <w:shd w:val="clear" w:color="auto" w:fill="auto"/>
            <w:noWrap/>
            <w:vAlign w:val="bottom"/>
            <w:hideMark/>
          </w:tcPr>
          <w:p w14:paraId="49E3C52B" w14:textId="1B67AB68" w:rsidR="000C6D4A" w:rsidRPr="000C6D4A" w:rsidRDefault="000C6D4A" w:rsidP="000C6D4A">
            <w:pPr>
              <w:spacing w:after="0"/>
              <w:jc w:val="right"/>
              <w:rPr>
                <w:rFonts w:ascii="Calibri" w:eastAsia="Times New Roman" w:hAnsi="Calibri" w:cs="Calibri"/>
                <w:color w:val="000000"/>
                <w:sz w:val="20"/>
                <w:szCs w:val="20"/>
              </w:rPr>
            </w:pPr>
            <w:r w:rsidRPr="000C6D4A">
              <w:rPr>
                <w:rFonts w:ascii="Calibri" w:hAnsi="Calibri" w:cs="Calibri"/>
                <w:color w:val="000000"/>
                <w:sz w:val="20"/>
                <w:szCs w:val="20"/>
              </w:rPr>
              <w:t xml:space="preserve"> $ 56,934,718.13 </w:t>
            </w:r>
          </w:p>
        </w:tc>
      </w:tr>
      <w:tr w:rsidR="000C6D4A" w:rsidRPr="00E85133" w14:paraId="79970E2E" w14:textId="77777777" w:rsidTr="000C6D4A">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731C8878" w14:textId="06124319" w:rsidR="000C6D4A" w:rsidRPr="000C6D4A" w:rsidRDefault="000C6D4A" w:rsidP="000C6D4A">
            <w:pPr>
              <w:spacing w:after="0"/>
              <w:rPr>
                <w:rFonts w:ascii="Calibri" w:eastAsia="Times New Roman" w:hAnsi="Calibri" w:cs="Calibri"/>
                <w:color w:val="000000"/>
                <w:sz w:val="20"/>
                <w:szCs w:val="20"/>
              </w:rPr>
            </w:pPr>
            <w:r w:rsidRPr="000C6D4A">
              <w:rPr>
                <w:rFonts w:ascii="Calibri" w:hAnsi="Calibri" w:cs="Calibri"/>
                <w:color w:val="000000"/>
                <w:sz w:val="20"/>
                <w:szCs w:val="20"/>
              </w:rPr>
              <w:t>2023Q2</w:t>
            </w:r>
          </w:p>
        </w:tc>
        <w:tc>
          <w:tcPr>
            <w:tcW w:w="2600" w:type="dxa"/>
            <w:tcBorders>
              <w:top w:val="nil"/>
              <w:left w:val="nil"/>
              <w:bottom w:val="single" w:sz="4" w:space="0" w:color="auto"/>
              <w:right w:val="single" w:sz="4" w:space="0" w:color="auto"/>
            </w:tcBorders>
            <w:shd w:val="clear" w:color="auto" w:fill="auto"/>
            <w:noWrap/>
            <w:vAlign w:val="bottom"/>
            <w:hideMark/>
          </w:tcPr>
          <w:p w14:paraId="28AC6B24" w14:textId="6DC8E658" w:rsidR="000C6D4A" w:rsidRPr="000C6D4A" w:rsidRDefault="000C6D4A" w:rsidP="000C6D4A">
            <w:pPr>
              <w:spacing w:after="0"/>
              <w:jc w:val="right"/>
              <w:rPr>
                <w:rFonts w:ascii="Calibri" w:eastAsia="Times New Roman" w:hAnsi="Calibri" w:cs="Calibri"/>
                <w:color w:val="000000"/>
                <w:sz w:val="20"/>
                <w:szCs w:val="20"/>
              </w:rPr>
            </w:pPr>
            <w:r w:rsidRPr="000C6D4A">
              <w:rPr>
                <w:rFonts w:ascii="Calibri" w:hAnsi="Calibri" w:cs="Calibri"/>
                <w:color w:val="000000"/>
                <w:sz w:val="20"/>
                <w:szCs w:val="20"/>
              </w:rPr>
              <w:t xml:space="preserve"> $ 63,865,613.43 </w:t>
            </w:r>
          </w:p>
        </w:tc>
      </w:tr>
      <w:tr w:rsidR="000C6D4A" w:rsidRPr="000C6D4A" w14:paraId="3D979E9C" w14:textId="77777777" w:rsidTr="000C6D4A">
        <w:trPr>
          <w:trHeight w:val="300"/>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7ED34" w14:textId="7DAC43BD" w:rsidR="000C6D4A" w:rsidRPr="000C6D4A" w:rsidRDefault="000C6D4A" w:rsidP="000C6D4A">
            <w:pPr>
              <w:spacing w:after="0"/>
              <w:rPr>
                <w:rFonts w:ascii="Calibri" w:eastAsia="Times New Roman" w:hAnsi="Calibri" w:cs="Calibri"/>
                <w:b/>
                <w:bCs/>
                <w:color w:val="000000"/>
                <w:sz w:val="20"/>
                <w:szCs w:val="20"/>
              </w:rPr>
            </w:pPr>
            <w:r w:rsidRPr="000C6D4A">
              <w:rPr>
                <w:rFonts w:ascii="Calibri" w:hAnsi="Calibri" w:cs="Calibri"/>
                <w:b/>
                <w:bCs/>
                <w:color w:val="000000"/>
                <w:sz w:val="20"/>
                <w:szCs w:val="20"/>
              </w:rPr>
              <w:t>2023 total</w:t>
            </w:r>
          </w:p>
        </w:tc>
        <w:tc>
          <w:tcPr>
            <w:tcW w:w="2600" w:type="dxa"/>
            <w:tcBorders>
              <w:top w:val="single" w:sz="4" w:space="0" w:color="auto"/>
              <w:left w:val="nil"/>
              <w:bottom w:val="single" w:sz="4" w:space="0" w:color="auto"/>
              <w:right w:val="single" w:sz="4" w:space="0" w:color="auto"/>
            </w:tcBorders>
            <w:shd w:val="clear" w:color="auto" w:fill="auto"/>
            <w:noWrap/>
            <w:vAlign w:val="bottom"/>
            <w:hideMark/>
          </w:tcPr>
          <w:p w14:paraId="5223AC58" w14:textId="3FB8B0FC" w:rsidR="000C6D4A" w:rsidRPr="000C6D4A" w:rsidRDefault="000C6D4A" w:rsidP="000C6D4A">
            <w:pPr>
              <w:spacing w:after="0"/>
              <w:jc w:val="right"/>
              <w:rPr>
                <w:rFonts w:ascii="Calibri" w:eastAsia="Times New Roman" w:hAnsi="Calibri" w:cs="Calibri"/>
                <w:b/>
                <w:bCs/>
                <w:color w:val="000000"/>
                <w:sz w:val="20"/>
                <w:szCs w:val="20"/>
              </w:rPr>
            </w:pPr>
            <w:r w:rsidRPr="000C6D4A">
              <w:rPr>
                <w:rFonts w:ascii="Calibri" w:hAnsi="Calibri" w:cs="Calibri"/>
                <w:b/>
                <w:bCs/>
                <w:color w:val="000000"/>
                <w:sz w:val="20"/>
                <w:szCs w:val="20"/>
              </w:rPr>
              <w:t xml:space="preserve"> $ 120,800,331.56 </w:t>
            </w:r>
          </w:p>
        </w:tc>
      </w:tr>
      <w:tr w:rsidR="000C6D4A" w:rsidRPr="000C6D4A" w14:paraId="585DFA6B" w14:textId="77777777" w:rsidTr="000C6D4A">
        <w:trPr>
          <w:trHeight w:val="300"/>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70F8F1" w14:textId="4BED82EA" w:rsidR="000C6D4A" w:rsidRPr="000C6D4A" w:rsidRDefault="000C6D4A" w:rsidP="000C6D4A">
            <w:pPr>
              <w:spacing w:after="0"/>
              <w:rPr>
                <w:rFonts w:ascii="Calibri" w:eastAsia="Times New Roman" w:hAnsi="Calibri" w:cs="Calibri"/>
                <w:b/>
                <w:bCs/>
                <w:color w:val="000000"/>
                <w:sz w:val="20"/>
                <w:szCs w:val="20"/>
              </w:rPr>
            </w:pPr>
            <w:r w:rsidRPr="000C6D4A">
              <w:rPr>
                <w:rFonts w:ascii="Calibri" w:hAnsi="Calibri" w:cs="Calibri"/>
                <w:b/>
                <w:bCs/>
                <w:color w:val="000000"/>
                <w:sz w:val="20"/>
                <w:szCs w:val="20"/>
              </w:rPr>
              <w:t>Total since listing</w:t>
            </w:r>
          </w:p>
        </w:tc>
        <w:tc>
          <w:tcPr>
            <w:tcW w:w="2600" w:type="dxa"/>
            <w:tcBorders>
              <w:top w:val="single" w:sz="4" w:space="0" w:color="auto"/>
              <w:left w:val="nil"/>
              <w:bottom w:val="single" w:sz="4" w:space="0" w:color="auto"/>
              <w:right w:val="single" w:sz="4" w:space="0" w:color="auto"/>
            </w:tcBorders>
            <w:shd w:val="clear" w:color="auto" w:fill="auto"/>
            <w:noWrap/>
            <w:vAlign w:val="bottom"/>
          </w:tcPr>
          <w:p w14:paraId="620AEE1F" w14:textId="574B6513" w:rsidR="000C6D4A" w:rsidRPr="000C6D4A" w:rsidRDefault="000C6D4A" w:rsidP="000C6D4A">
            <w:pPr>
              <w:spacing w:after="0"/>
              <w:jc w:val="right"/>
              <w:rPr>
                <w:rFonts w:ascii="Calibri" w:eastAsia="Times New Roman" w:hAnsi="Calibri" w:cs="Calibri"/>
                <w:b/>
                <w:bCs/>
                <w:color w:val="000000"/>
                <w:sz w:val="20"/>
                <w:szCs w:val="20"/>
              </w:rPr>
            </w:pPr>
            <w:r w:rsidRPr="000C6D4A">
              <w:rPr>
                <w:rFonts w:ascii="Calibri" w:hAnsi="Calibri" w:cs="Calibri"/>
                <w:b/>
                <w:bCs/>
                <w:color w:val="000000"/>
                <w:sz w:val="20"/>
                <w:szCs w:val="20"/>
              </w:rPr>
              <w:t xml:space="preserve"> $ 384,132,134.70 </w:t>
            </w:r>
          </w:p>
        </w:tc>
      </w:tr>
    </w:tbl>
    <w:p w14:paraId="36CE1020" w14:textId="75DAE761" w:rsidR="006C335A" w:rsidRDefault="00180D58" w:rsidP="00180D58">
      <w:pPr>
        <w:pStyle w:val="Notes"/>
        <w:rPr>
          <w:highlight w:val="yellow"/>
        </w:rPr>
      </w:pPr>
      <w:r w:rsidRPr="00DA39DC">
        <w:t xml:space="preserve">Note: </w:t>
      </w:r>
      <w:r w:rsidR="00DA39DC" w:rsidRPr="00DA39DC">
        <w:t>2023 includes January to June 2023</w:t>
      </w:r>
      <w:r w:rsidR="00DA39DC">
        <w:br/>
        <w:t>Benefits are based on the</w:t>
      </w:r>
      <w:r w:rsidRPr="00180D58">
        <w:t xml:space="preserve"> date of supply, there may be small differences between publicly available Medicare Australia date of processing data.</w:t>
      </w:r>
    </w:p>
    <w:p w14:paraId="26F6BB0B" w14:textId="12F22C88" w:rsidR="006C335A" w:rsidRPr="00057A20" w:rsidRDefault="0056353D" w:rsidP="00A35800">
      <w:r w:rsidRPr="00057A20">
        <w:t xml:space="preserve">The total benefit paid for dupilumab for atopic dermatitis since PBS listing to the end of June 2023 </w:t>
      </w:r>
      <w:r w:rsidR="00057A20" w:rsidRPr="00057A20">
        <w:t>is $384 million, based on published prices.</w:t>
      </w:r>
      <w:r w:rsidR="00DA39DC">
        <w:t xml:space="preserve"> </w:t>
      </w:r>
      <w:r w:rsidR="006736BC">
        <w:t>A special pricing arrangement is in place.</w:t>
      </w:r>
      <w:r w:rsidR="00DA39DC">
        <w:t xml:space="preserve"> </w:t>
      </w:r>
    </w:p>
    <w:p w14:paraId="528840E2" w14:textId="77777777" w:rsidR="006736BC" w:rsidRDefault="006736BC">
      <w:pPr>
        <w:spacing w:line="276" w:lineRule="auto"/>
        <w:rPr>
          <w:b/>
          <w:sz w:val="28"/>
        </w:rPr>
      </w:pPr>
      <w:r>
        <w:br w:type="page"/>
      </w:r>
    </w:p>
    <w:p w14:paraId="5F22B4D8" w14:textId="3E1BFB66" w:rsidR="00736041" w:rsidRPr="005E22C2" w:rsidRDefault="00D151EB" w:rsidP="00F73113">
      <w:pPr>
        <w:pStyle w:val="Heading2"/>
      </w:pPr>
      <w:r>
        <w:lastRenderedPageBreak/>
        <w:t xml:space="preserve">Analysis </w:t>
      </w:r>
      <w:r w:rsidR="00C0076F" w:rsidRPr="005E22C2">
        <w:t xml:space="preserve">of </w:t>
      </w:r>
      <w:r w:rsidR="0063631C">
        <w:t>a</w:t>
      </w:r>
      <w:r w:rsidR="00C0076F" w:rsidRPr="005E22C2">
        <w:t xml:space="preserve">ctual versus </w:t>
      </w:r>
      <w:r w:rsidR="0063631C">
        <w:t>p</w:t>
      </w:r>
      <w:r w:rsidR="00C0076F" w:rsidRPr="005E22C2">
        <w:t xml:space="preserve">redicted </w:t>
      </w:r>
      <w:r w:rsidR="0063631C">
        <w:t>u</w:t>
      </w:r>
      <w:r w:rsidR="00C0076F" w:rsidRPr="005E22C2">
        <w:t>tilisation</w:t>
      </w:r>
    </w:p>
    <w:p w14:paraId="0F231D4B" w14:textId="0D68C8C5" w:rsidR="00DA57F8" w:rsidRDefault="00530A50" w:rsidP="00A35800">
      <w:r w:rsidRPr="00753E70">
        <w:t>The submission used a prevalence</w:t>
      </w:r>
      <w:r w:rsidR="00767BB5">
        <w:t>-based</w:t>
      </w:r>
      <w:r w:rsidRPr="00753E70">
        <w:t xml:space="preserve"> approach to predict the use of dupilumab</w:t>
      </w:r>
      <w:r w:rsidR="00753E70" w:rsidRPr="00753E70">
        <w:t xml:space="preserve">. </w:t>
      </w:r>
      <w:r w:rsidR="00D35DC0">
        <w:t xml:space="preserve">The number of patients and prescriptions were underestimated, </w:t>
      </w:r>
      <w:r w:rsidR="00512ED5">
        <w:t xml:space="preserve">and the </w:t>
      </w:r>
      <w:r w:rsidR="00C66219">
        <w:t>difference between predicted and actual values</w:t>
      </w:r>
      <w:r w:rsidR="00512ED5">
        <w:t xml:space="preserve"> was higher in year 2 than year 1.</w:t>
      </w:r>
    </w:p>
    <w:p w14:paraId="6831AD13" w14:textId="27F3EF42" w:rsidR="003771E0" w:rsidRPr="00753E70" w:rsidRDefault="003771E0" w:rsidP="003771E0">
      <w:pPr>
        <w:pStyle w:val="Tabletitle"/>
      </w:pPr>
      <w:r>
        <w:t xml:space="preserve">Table </w:t>
      </w:r>
      <w:r w:rsidR="00465265">
        <w:t>14</w:t>
      </w:r>
      <w:r>
        <w:t>: A</w:t>
      </w:r>
      <w:r w:rsidRPr="003771E0">
        <w:t>ctual versus predicted utilisation</w:t>
      </w:r>
      <w:r w:rsidR="00FE0100">
        <w:t xml:space="preserve"> of dupilumab</w:t>
      </w:r>
    </w:p>
    <w:tbl>
      <w:tblPr>
        <w:tblW w:w="6639" w:type="dxa"/>
        <w:tblInd w:w="113" w:type="dxa"/>
        <w:tblLook w:val="04A0" w:firstRow="1" w:lastRow="0" w:firstColumn="1" w:lastColumn="0" w:noHBand="0" w:noVBand="1"/>
      </w:tblPr>
      <w:tblGrid>
        <w:gridCol w:w="1274"/>
        <w:gridCol w:w="2380"/>
        <w:gridCol w:w="1065"/>
        <w:gridCol w:w="960"/>
        <w:gridCol w:w="960"/>
      </w:tblGrid>
      <w:tr w:rsidR="00B2259D" w:rsidRPr="00B2259D" w14:paraId="12536F93" w14:textId="77777777" w:rsidTr="00CE546B">
        <w:trPr>
          <w:trHeight w:val="300"/>
        </w:trPr>
        <w:tc>
          <w:tcPr>
            <w:tcW w:w="127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3F3E0191" w14:textId="77777777" w:rsidR="00B2259D" w:rsidRPr="00B2259D" w:rsidRDefault="00B2259D" w:rsidP="00B2259D">
            <w:pPr>
              <w:spacing w:after="0"/>
              <w:rPr>
                <w:rFonts w:ascii="Calibri" w:eastAsia="Times New Roman" w:hAnsi="Calibri" w:cs="Calibri"/>
                <w:b/>
                <w:bCs/>
                <w:color w:val="000000"/>
                <w:sz w:val="20"/>
                <w:szCs w:val="20"/>
              </w:rPr>
            </w:pPr>
            <w:r w:rsidRPr="00B2259D">
              <w:rPr>
                <w:rFonts w:ascii="Calibri" w:eastAsia="Times New Roman" w:hAnsi="Calibri" w:cs="Calibri"/>
                <w:b/>
                <w:bCs/>
                <w:color w:val="000000"/>
                <w:sz w:val="20"/>
                <w:szCs w:val="20"/>
              </w:rPr>
              <w:t> </w:t>
            </w:r>
          </w:p>
        </w:tc>
        <w:tc>
          <w:tcPr>
            <w:tcW w:w="238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48CEFFC0" w14:textId="77777777" w:rsidR="00B2259D" w:rsidRPr="00B2259D" w:rsidRDefault="00B2259D" w:rsidP="00B2259D">
            <w:pPr>
              <w:spacing w:after="0"/>
              <w:rPr>
                <w:rFonts w:ascii="Calibri" w:eastAsia="Times New Roman" w:hAnsi="Calibri" w:cs="Calibri"/>
                <w:b/>
                <w:bCs/>
                <w:color w:val="000000"/>
                <w:sz w:val="20"/>
                <w:szCs w:val="20"/>
              </w:rPr>
            </w:pPr>
            <w:r w:rsidRPr="00B2259D">
              <w:rPr>
                <w:rFonts w:ascii="Calibri" w:eastAsia="Times New Roman" w:hAnsi="Calibri" w:cs="Calibri"/>
                <w:b/>
                <w:bCs/>
                <w:color w:val="000000"/>
                <w:sz w:val="20"/>
                <w:szCs w:val="20"/>
              </w:rPr>
              <w:t> </w:t>
            </w:r>
          </w:p>
        </w:tc>
        <w:tc>
          <w:tcPr>
            <w:tcW w:w="1065"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48364E0E" w14:textId="77777777" w:rsidR="00B2259D" w:rsidRPr="00B2259D" w:rsidRDefault="00B2259D" w:rsidP="00B2259D">
            <w:pPr>
              <w:spacing w:after="0"/>
              <w:rPr>
                <w:rFonts w:ascii="Calibri" w:eastAsia="Times New Roman" w:hAnsi="Calibri" w:cs="Calibri"/>
                <w:b/>
                <w:bCs/>
                <w:color w:val="000000"/>
                <w:sz w:val="20"/>
                <w:szCs w:val="20"/>
              </w:rPr>
            </w:pPr>
            <w:r w:rsidRPr="00B2259D">
              <w:rPr>
                <w:rFonts w:ascii="Calibri" w:eastAsia="Times New Roman" w:hAnsi="Calibri" w:cs="Calibri"/>
                <w:b/>
                <w:bCs/>
                <w:color w:val="000000"/>
                <w:sz w:val="20"/>
                <w:szCs w:val="20"/>
              </w:rPr>
              <w:t> </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665D38BD" w14:textId="77777777" w:rsidR="00B2259D" w:rsidRPr="00B2259D" w:rsidRDefault="00B2259D" w:rsidP="00B2259D">
            <w:pPr>
              <w:spacing w:after="0"/>
              <w:rPr>
                <w:rFonts w:ascii="Calibri" w:eastAsia="Times New Roman" w:hAnsi="Calibri" w:cs="Calibri"/>
                <w:b/>
                <w:bCs/>
                <w:color w:val="000000"/>
                <w:sz w:val="20"/>
                <w:szCs w:val="20"/>
              </w:rPr>
            </w:pPr>
            <w:r w:rsidRPr="00B2259D">
              <w:rPr>
                <w:rFonts w:ascii="Calibri" w:eastAsia="Times New Roman" w:hAnsi="Calibri" w:cs="Calibri"/>
                <w:b/>
                <w:bCs/>
                <w:color w:val="000000"/>
                <w:sz w:val="20"/>
                <w:szCs w:val="20"/>
              </w:rPr>
              <w:t>Year 1</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215699B5" w14:textId="77777777" w:rsidR="00B2259D" w:rsidRPr="00B2259D" w:rsidRDefault="00B2259D" w:rsidP="00B2259D">
            <w:pPr>
              <w:spacing w:after="0"/>
              <w:rPr>
                <w:rFonts w:ascii="Calibri" w:eastAsia="Times New Roman" w:hAnsi="Calibri" w:cs="Calibri"/>
                <w:b/>
                <w:bCs/>
                <w:color w:val="000000"/>
                <w:sz w:val="20"/>
                <w:szCs w:val="20"/>
              </w:rPr>
            </w:pPr>
            <w:r w:rsidRPr="00B2259D">
              <w:rPr>
                <w:rFonts w:ascii="Calibri" w:eastAsia="Times New Roman" w:hAnsi="Calibri" w:cs="Calibri"/>
                <w:b/>
                <w:bCs/>
                <w:color w:val="000000"/>
                <w:sz w:val="20"/>
                <w:szCs w:val="20"/>
              </w:rPr>
              <w:t>Year 2</w:t>
            </w:r>
          </w:p>
        </w:tc>
      </w:tr>
      <w:tr w:rsidR="00BE5F34" w:rsidRPr="00B2259D" w14:paraId="5FCD88EC" w14:textId="77777777" w:rsidTr="00DF2162">
        <w:trPr>
          <w:trHeight w:val="300"/>
        </w:trPr>
        <w:tc>
          <w:tcPr>
            <w:tcW w:w="1274" w:type="dxa"/>
            <w:vMerge w:val="restart"/>
            <w:tcBorders>
              <w:top w:val="nil"/>
              <w:left w:val="single" w:sz="4" w:space="0" w:color="auto"/>
              <w:right w:val="single" w:sz="4" w:space="0" w:color="auto"/>
            </w:tcBorders>
            <w:shd w:val="clear" w:color="auto" w:fill="auto"/>
            <w:noWrap/>
            <w:vAlign w:val="center"/>
            <w:hideMark/>
          </w:tcPr>
          <w:p w14:paraId="25EC246F" w14:textId="77777777" w:rsidR="00BE5F34" w:rsidRPr="00B2259D" w:rsidRDefault="00BE5F34" w:rsidP="00B2259D">
            <w:pPr>
              <w:spacing w:after="0"/>
              <w:rPr>
                <w:rFonts w:ascii="Calibri" w:eastAsia="Times New Roman" w:hAnsi="Calibri" w:cs="Calibri"/>
                <w:color w:val="000000"/>
                <w:sz w:val="20"/>
                <w:szCs w:val="20"/>
              </w:rPr>
            </w:pPr>
            <w:r w:rsidRPr="00B2259D">
              <w:rPr>
                <w:rFonts w:ascii="Calibri" w:eastAsia="Times New Roman" w:hAnsi="Calibri" w:cs="Calibri"/>
                <w:color w:val="000000"/>
                <w:sz w:val="20"/>
                <w:szCs w:val="20"/>
              </w:rPr>
              <w:t>Patients</w:t>
            </w:r>
          </w:p>
        </w:tc>
        <w:tc>
          <w:tcPr>
            <w:tcW w:w="2380" w:type="dxa"/>
            <w:tcBorders>
              <w:top w:val="nil"/>
              <w:left w:val="nil"/>
              <w:bottom w:val="single" w:sz="4" w:space="0" w:color="auto"/>
              <w:right w:val="single" w:sz="4" w:space="0" w:color="auto"/>
            </w:tcBorders>
            <w:shd w:val="clear" w:color="auto" w:fill="auto"/>
            <w:noWrap/>
            <w:vAlign w:val="center"/>
            <w:hideMark/>
          </w:tcPr>
          <w:p w14:paraId="6F3E7B7B" w14:textId="77777777" w:rsidR="00BE5F34" w:rsidRPr="00B2259D" w:rsidRDefault="00BE5F34" w:rsidP="00B2259D">
            <w:pPr>
              <w:spacing w:after="0"/>
              <w:rPr>
                <w:rFonts w:ascii="Calibri" w:eastAsia="Times New Roman" w:hAnsi="Calibri" w:cs="Calibri"/>
                <w:color w:val="000000"/>
                <w:sz w:val="20"/>
                <w:szCs w:val="20"/>
              </w:rPr>
            </w:pPr>
            <w:r w:rsidRPr="00B2259D">
              <w:rPr>
                <w:rFonts w:ascii="Calibri" w:eastAsia="Times New Roman" w:hAnsi="Calibri" w:cs="Calibri"/>
                <w:color w:val="000000"/>
                <w:sz w:val="20"/>
                <w:szCs w:val="20"/>
              </w:rPr>
              <w:t>Initiating</w:t>
            </w:r>
          </w:p>
        </w:tc>
        <w:tc>
          <w:tcPr>
            <w:tcW w:w="1065" w:type="dxa"/>
            <w:vMerge w:val="restart"/>
            <w:tcBorders>
              <w:top w:val="nil"/>
              <w:left w:val="nil"/>
              <w:right w:val="single" w:sz="4" w:space="0" w:color="auto"/>
            </w:tcBorders>
            <w:shd w:val="clear" w:color="auto" w:fill="auto"/>
            <w:noWrap/>
            <w:vAlign w:val="center"/>
            <w:hideMark/>
          </w:tcPr>
          <w:p w14:paraId="4B1410A0" w14:textId="77777777" w:rsidR="00BE5F34" w:rsidRPr="00B2259D" w:rsidRDefault="00BE5F34" w:rsidP="00B2259D">
            <w:pPr>
              <w:spacing w:after="0"/>
              <w:rPr>
                <w:rFonts w:ascii="Calibri" w:eastAsia="Times New Roman" w:hAnsi="Calibri" w:cs="Calibri"/>
                <w:color w:val="000000"/>
                <w:sz w:val="20"/>
                <w:szCs w:val="20"/>
              </w:rPr>
            </w:pPr>
            <w:r w:rsidRPr="00B2259D">
              <w:rPr>
                <w:rFonts w:ascii="Calibri" w:eastAsia="Times New Roman" w:hAnsi="Calibri" w:cs="Calibri"/>
                <w:color w:val="000000"/>
                <w:sz w:val="20"/>
                <w:szCs w:val="20"/>
              </w:rPr>
              <w:t>Predicted</w:t>
            </w:r>
          </w:p>
        </w:tc>
        <w:tc>
          <w:tcPr>
            <w:tcW w:w="960" w:type="dxa"/>
            <w:tcBorders>
              <w:top w:val="nil"/>
              <w:left w:val="nil"/>
              <w:bottom w:val="single" w:sz="4" w:space="0" w:color="auto"/>
              <w:right w:val="single" w:sz="4" w:space="0" w:color="auto"/>
            </w:tcBorders>
            <w:shd w:val="clear" w:color="auto" w:fill="auto"/>
            <w:noWrap/>
            <w:vAlign w:val="bottom"/>
            <w:hideMark/>
          </w:tcPr>
          <w:p w14:paraId="5BCE962D" w14:textId="21838E41" w:rsidR="00BE5F34" w:rsidRPr="004826CF" w:rsidRDefault="00FF7B7F" w:rsidP="00B2259D">
            <w:pPr>
              <w:spacing w:after="0"/>
              <w:jc w:val="right"/>
              <w:rPr>
                <w:rFonts w:ascii="Calibri" w:eastAsia="Times New Roman" w:hAnsi="Calibri" w:cs="Calibri"/>
                <w:color w:val="000000"/>
                <w:sz w:val="20"/>
                <w:szCs w:val="20"/>
                <w:highlight w:val="black"/>
              </w:rPr>
            </w:pPr>
            <w:proofErr w:type="spellStart"/>
            <w:r w:rsidRPr="004826CF">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1F642433" w14:textId="548345E5" w:rsidR="00BE5F34" w:rsidRPr="004826CF" w:rsidRDefault="00FF7B7F" w:rsidP="00B2259D">
            <w:pPr>
              <w:spacing w:after="0"/>
              <w:jc w:val="right"/>
              <w:rPr>
                <w:rFonts w:ascii="Calibri" w:eastAsia="Times New Roman" w:hAnsi="Calibri" w:cs="Calibri"/>
                <w:color w:val="000000"/>
                <w:sz w:val="20"/>
                <w:szCs w:val="20"/>
                <w:highlight w:val="black"/>
              </w:rPr>
            </w:pPr>
            <w:proofErr w:type="spellStart"/>
            <w:r w:rsidRPr="004826CF">
              <w:rPr>
                <w:rFonts w:ascii="Calibri" w:eastAsia="Times New Roman" w:hAnsi="Calibri" w:cs="Calibri"/>
                <w:color w:val="000000"/>
                <w:sz w:val="20"/>
                <w:szCs w:val="20"/>
                <w:highlight w:val="black"/>
              </w:rPr>
              <w:t>xxxx</w:t>
            </w:r>
            <w:proofErr w:type="spellEnd"/>
          </w:p>
        </w:tc>
      </w:tr>
      <w:tr w:rsidR="00FF7B7F" w:rsidRPr="00B2259D" w14:paraId="6FBE702A" w14:textId="77777777" w:rsidTr="00DF2162">
        <w:trPr>
          <w:trHeight w:val="300"/>
        </w:trPr>
        <w:tc>
          <w:tcPr>
            <w:tcW w:w="1274" w:type="dxa"/>
            <w:vMerge/>
            <w:tcBorders>
              <w:left w:val="single" w:sz="4" w:space="0" w:color="auto"/>
              <w:right w:val="single" w:sz="4" w:space="0" w:color="auto"/>
            </w:tcBorders>
            <w:shd w:val="clear" w:color="auto" w:fill="auto"/>
            <w:noWrap/>
            <w:vAlign w:val="center"/>
          </w:tcPr>
          <w:p w14:paraId="6B0AC21D" w14:textId="23F4E79A" w:rsidR="00FF7B7F" w:rsidRPr="00B2259D" w:rsidRDefault="00FF7B7F" w:rsidP="00FF7B7F">
            <w:pPr>
              <w:spacing w:after="0"/>
              <w:rPr>
                <w:rFonts w:ascii="Calibri" w:eastAsia="Times New Roman" w:hAnsi="Calibri" w:cs="Calibri"/>
                <w:color w:val="000000"/>
                <w:sz w:val="20"/>
                <w:szCs w:val="20"/>
              </w:rPr>
            </w:pPr>
          </w:p>
        </w:tc>
        <w:tc>
          <w:tcPr>
            <w:tcW w:w="2380" w:type="dxa"/>
            <w:tcBorders>
              <w:top w:val="nil"/>
              <w:left w:val="nil"/>
              <w:bottom w:val="single" w:sz="4" w:space="0" w:color="auto"/>
              <w:right w:val="single" w:sz="4" w:space="0" w:color="auto"/>
            </w:tcBorders>
            <w:shd w:val="clear" w:color="auto" w:fill="auto"/>
            <w:noWrap/>
            <w:vAlign w:val="center"/>
            <w:hideMark/>
          </w:tcPr>
          <w:p w14:paraId="16C5C075" w14:textId="77777777" w:rsidR="00FF7B7F" w:rsidRPr="00B2259D" w:rsidRDefault="00FF7B7F" w:rsidP="00FF7B7F">
            <w:pPr>
              <w:spacing w:after="0"/>
              <w:rPr>
                <w:rFonts w:ascii="Calibri" w:eastAsia="Times New Roman" w:hAnsi="Calibri" w:cs="Calibri"/>
                <w:color w:val="000000"/>
                <w:sz w:val="20"/>
                <w:szCs w:val="20"/>
              </w:rPr>
            </w:pPr>
            <w:r w:rsidRPr="00B2259D">
              <w:rPr>
                <w:rFonts w:ascii="Calibri" w:eastAsia="Times New Roman" w:hAnsi="Calibri" w:cs="Calibri"/>
                <w:color w:val="000000"/>
                <w:sz w:val="20"/>
                <w:szCs w:val="20"/>
              </w:rPr>
              <w:t>Continuing</w:t>
            </w:r>
          </w:p>
        </w:tc>
        <w:tc>
          <w:tcPr>
            <w:tcW w:w="1065" w:type="dxa"/>
            <w:vMerge/>
            <w:tcBorders>
              <w:left w:val="nil"/>
              <w:right w:val="single" w:sz="4" w:space="0" w:color="auto"/>
            </w:tcBorders>
            <w:shd w:val="clear" w:color="auto" w:fill="auto"/>
            <w:noWrap/>
            <w:vAlign w:val="center"/>
          </w:tcPr>
          <w:p w14:paraId="3B750DF7" w14:textId="042D3A41" w:rsidR="00FF7B7F" w:rsidRPr="00B2259D" w:rsidRDefault="00FF7B7F" w:rsidP="00FF7B7F">
            <w:pPr>
              <w:spacing w:after="0"/>
              <w:rPr>
                <w:rFonts w:ascii="Calibri" w:eastAsia="Times New Roman" w:hAnsi="Calibri" w:cs="Calibri"/>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4A57ED2" w14:textId="73FD797E" w:rsidR="00FF7B7F" w:rsidRPr="004826CF" w:rsidRDefault="00FF7B7F" w:rsidP="00FF7B7F">
            <w:pPr>
              <w:spacing w:after="0"/>
              <w:jc w:val="right"/>
              <w:rPr>
                <w:rFonts w:ascii="Calibri" w:eastAsia="Times New Roman" w:hAnsi="Calibri" w:cs="Calibri"/>
                <w:color w:val="000000"/>
                <w:sz w:val="20"/>
                <w:szCs w:val="20"/>
                <w:highlight w:val="black"/>
              </w:rPr>
            </w:pPr>
            <w:proofErr w:type="spellStart"/>
            <w:r w:rsidRPr="004826CF">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2BFEF9B5" w14:textId="2BF36D17" w:rsidR="00FF7B7F" w:rsidRPr="004826CF" w:rsidRDefault="00FF7B7F" w:rsidP="00FF7B7F">
            <w:pPr>
              <w:spacing w:after="0"/>
              <w:jc w:val="right"/>
              <w:rPr>
                <w:rFonts w:ascii="Calibri" w:eastAsia="Times New Roman" w:hAnsi="Calibri" w:cs="Calibri"/>
                <w:color w:val="000000"/>
                <w:sz w:val="20"/>
                <w:szCs w:val="20"/>
                <w:highlight w:val="black"/>
              </w:rPr>
            </w:pPr>
            <w:proofErr w:type="spellStart"/>
            <w:r w:rsidRPr="004826CF">
              <w:rPr>
                <w:rFonts w:ascii="Calibri" w:eastAsia="Times New Roman" w:hAnsi="Calibri" w:cs="Calibri"/>
                <w:color w:val="000000"/>
                <w:sz w:val="20"/>
                <w:szCs w:val="20"/>
                <w:highlight w:val="black"/>
              </w:rPr>
              <w:t>xxxx</w:t>
            </w:r>
            <w:proofErr w:type="spellEnd"/>
          </w:p>
        </w:tc>
      </w:tr>
      <w:tr w:rsidR="00FF7B7F" w:rsidRPr="00B2259D" w14:paraId="06E03FE9" w14:textId="77777777" w:rsidTr="00DF2162">
        <w:trPr>
          <w:trHeight w:val="300"/>
        </w:trPr>
        <w:tc>
          <w:tcPr>
            <w:tcW w:w="1274" w:type="dxa"/>
            <w:vMerge/>
            <w:tcBorders>
              <w:left w:val="single" w:sz="4" w:space="0" w:color="auto"/>
              <w:right w:val="single" w:sz="4" w:space="0" w:color="auto"/>
            </w:tcBorders>
            <w:shd w:val="clear" w:color="auto" w:fill="auto"/>
            <w:noWrap/>
            <w:vAlign w:val="center"/>
          </w:tcPr>
          <w:p w14:paraId="77E1EC2C" w14:textId="0565BB91" w:rsidR="00FF7B7F" w:rsidRPr="00B2259D" w:rsidRDefault="00FF7B7F" w:rsidP="00FF7B7F">
            <w:pPr>
              <w:spacing w:after="0"/>
              <w:rPr>
                <w:rFonts w:ascii="Calibri" w:eastAsia="Times New Roman" w:hAnsi="Calibri" w:cs="Calibri"/>
                <w:color w:val="000000"/>
                <w:sz w:val="20"/>
                <w:szCs w:val="20"/>
              </w:rPr>
            </w:pPr>
          </w:p>
        </w:tc>
        <w:tc>
          <w:tcPr>
            <w:tcW w:w="2380" w:type="dxa"/>
            <w:tcBorders>
              <w:top w:val="nil"/>
              <w:left w:val="nil"/>
              <w:bottom w:val="single" w:sz="4" w:space="0" w:color="auto"/>
              <w:right w:val="single" w:sz="4" w:space="0" w:color="auto"/>
            </w:tcBorders>
            <w:shd w:val="clear" w:color="auto" w:fill="auto"/>
            <w:noWrap/>
            <w:vAlign w:val="center"/>
            <w:hideMark/>
          </w:tcPr>
          <w:p w14:paraId="312E49FF" w14:textId="77777777" w:rsidR="00FF7B7F" w:rsidRPr="00B2259D" w:rsidRDefault="00FF7B7F" w:rsidP="00FF7B7F">
            <w:pPr>
              <w:spacing w:after="0"/>
              <w:rPr>
                <w:rFonts w:ascii="Calibri" w:eastAsia="Times New Roman" w:hAnsi="Calibri" w:cs="Calibri"/>
                <w:color w:val="000000"/>
                <w:sz w:val="20"/>
                <w:szCs w:val="20"/>
              </w:rPr>
            </w:pPr>
            <w:r w:rsidRPr="00B2259D">
              <w:rPr>
                <w:rFonts w:ascii="Calibri" w:eastAsia="Times New Roman" w:hAnsi="Calibri" w:cs="Calibri"/>
                <w:color w:val="000000"/>
                <w:sz w:val="20"/>
                <w:szCs w:val="20"/>
              </w:rPr>
              <w:t>Grandfathered continuing</w:t>
            </w:r>
          </w:p>
        </w:tc>
        <w:tc>
          <w:tcPr>
            <w:tcW w:w="1065" w:type="dxa"/>
            <w:vMerge/>
            <w:tcBorders>
              <w:left w:val="nil"/>
              <w:right w:val="single" w:sz="4" w:space="0" w:color="auto"/>
            </w:tcBorders>
            <w:shd w:val="clear" w:color="auto" w:fill="auto"/>
            <w:noWrap/>
            <w:vAlign w:val="center"/>
          </w:tcPr>
          <w:p w14:paraId="57D998C5" w14:textId="56209525" w:rsidR="00FF7B7F" w:rsidRPr="00B2259D" w:rsidRDefault="00FF7B7F" w:rsidP="00FF7B7F">
            <w:pPr>
              <w:spacing w:after="0"/>
              <w:rPr>
                <w:rFonts w:ascii="Calibri" w:eastAsia="Times New Roman" w:hAnsi="Calibri" w:cs="Calibri"/>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1C6B54D" w14:textId="64D0C424" w:rsidR="00FF7B7F" w:rsidRPr="004826CF" w:rsidRDefault="00FF7B7F" w:rsidP="00FF7B7F">
            <w:pPr>
              <w:spacing w:after="0"/>
              <w:jc w:val="right"/>
              <w:rPr>
                <w:rFonts w:ascii="Calibri" w:eastAsia="Times New Roman" w:hAnsi="Calibri" w:cs="Calibri"/>
                <w:color w:val="000000"/>
                <w:sz w:val="20"/>
                <w:szCs w:val="20"/>
                <w:highlight w:val="black"/>
              </w:rPr>
            </w:pPr>
            <w:proofErr w:type="spellStart"/>
            <w:r w:rsidRPr="004826CF">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4F262EDA" w14:textId="2C713E39" w:rsidR="00FF7B7F" w:rsidRPr="004826CF" w:rsidRDefault="00FF7B7F" w:rsidP="00FF7B7F">
            <w:pPr>
              <w:spacing w:after="0"/>
              <w:jc w:val="right"/>
              <w:rPr>
                <w:rFonts w:ascii="Calibri" w:eastAsia="Times New Roman" w:hAnsi="Calibri" w:cs="Calibri"/>
                <w:color w:val="000000"/>
                <w:sz w:val="20"/>
                <w:szCs w:val="20"/>
                <w:highlight w:val="black"/>
              </w:rPr>
            </w:pPr>
            <w:proofErr w:type="spellStart"/>
            <w:r w:rsidRPr="004826CF">
              <w:rPr>
                <w:rFonts w:ascii="Calibri" w:eastAsia="Times New Roman" w:hAnsi="Calibri" w:cs="Calibri"/>
                <w:color w:val="000000"/>
                <w:sz w:val="20"/>
                <w:szCs w:val="20"/>
                <w:highlight w:val="black"/>
              </w:rPr>
              <w:t>xxxx</w:t>
            </w:r>
            <w:proofErr w:type="spellEnd"/>
          </w:p>
        </w:tc>
      </w:tr>
      <w:tr w:rsidR="00FF7B7F" w:rsidRPr="00B2259D" w14:paraId="21ADC694" w14:textId="77777777" w:rsidTr="00DF2162">
        <w:trPr>
          <w:trHeight w:val="300"/>
        </w:trPr>
        <w:tc>
          <w:tcPr>
            <w:tcW w:w="1274" w:type="dxa"/>
            <w:vMerge/>
            <w:tcBorders>
              <w:left w:val="single" w:sz="4" w:space="0" w:color="auto"/>
              <w:right w:val="single" w:sz="4" w:space="0" w:color="auto"/>
            </w:tcBorders>
            <w:shd w:val="clear" w:color="auto" w:fill="auto"/>
            <w:noWrap/>
            <w:vAlign w:val="center"/>
          </w:tcPr>
          <w:p w14:paraId="64007189" w14:textId="2AD95B21" w:rsidR="00FF7B7F" w:rsidRPr="00B2259D" w:rsidRDefault="00FF7B7F" w:rsidP="00FF7B7F">
            <w:pPr>
              <w:spacing w:after="0"/>
              <w:rPr>
                <w:rFonts w:ascii="Calibri" w:eastAsia="Times New Roman" w:hAnsi="Calibri" w:cs="Calibri"/>
                <w:color w:val="000000"/>
                <w:sz w:val="20"/>
                <w:szCs w:val="20"/>
              </w:rPr>
            </w:pPr>
          </w:p>
        </w:tc>
        <w:tc>
          <w:tcPr>
            <w:tcW w:w="2380" w:type="dxa"/>
            <w:tcBorders>
              <w:top w:val="nil"/>
              <w:left w:val="nil"/>
              <w:bottom w:val="single" w:sz="4" w:space="0" w:color="auto"/>
              <w:right w:val="single" w:sz="4" w:space="0" w:color="auto"/>
            </w:tcBorders>
            <w:shd w:val="clear" w:color="auto" w:fill="auto"/>
            <w:noWrap/>
            <w:vAlign w:val="center"/>
            <w:hideMark/>
          </w:tcPr>
          <w:p w14:paraId="00106ED6" w14:textId="77777777" w:rsidR="00FF7B7F" w:rsidRPr="00B2259D" w:rsidRDefault="00FF7B7F" w:rsidP="00FF7B7F">
            <w:pPr>
              <w:spacing w:after="0"/>
              <w:rPr>
                <w:rFonts w:ascii="Calibri" w:eastAsia="Times New Roman" w:hAnsi="Calibri" w:cs="Calibri"/>
                <w:color w:val="000000"/>
                <w:sz w:val="20"/>
                <w:szCs w:val="20"/>
              </w:rPr>
            </w:pPr>
            <w:r w:rsidRPr="00B2259D">
              <w:rPr>
                <w:rFonts w:ascii="Calibri" w:eastAsia="Times New Roman" w:hAnsi="Calibri" w:cs="Calibri"/>
                <w:color w:val="000000"/>
                <w:sz w:val="20"/>
                <w:szCs w:val="20"/>
              </w:rPr>
              <w:t>Total</w:t>
            </w:r>
          </w:p>
        </w:tc>
        <w:tc>
          <w:tcPr>
            <w:tcW w:w="1065" w:type="dxa"/>
            <w:vMerge/>
            <w:tcBorders>
              <w:left w:val="nil"/>
              <w:bottom w:val="single" w:sz="4" w:space="0" w:color="auto"/>
              <w:right w:val="single" w:sz="4" w:space="0" w:color="auto"/>
            </w:tcBorders>
            <w:shd w:val="clear" w:color="auto" w:fill="auto"/>
            <w:noWrap/>
            <w:vAlign w:val="center"/>
          </w:tcPr>
          <w:p w14:paraId="1178C7F5" w14:textId="3B069BDC" w:rsidR="00FF7B7F" w:rsidRPr="00B2259D" w:rsidRDefault="00FF7B7F" w:rsidP="00FF7B7F">
            <w:pPr>
              <w:spacing w:after="0"/>
              <w:rPr>
                <w:rFonts w:ascii="Calibri" w:eastAsia="Times New Roman" w:hAnsi="Calibri" w:cs="Calibri"/>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19BCF08" w14:textId="5EAB82D5" w:rsidR="00FF7B7F" w:rsidRPr="004826CF" w:rsidRDefault="00FF7B7F" w:rsidP="00FF7B7F">
            <w:pPr>
              <w:spacing w:after="0"/>
              <w:jc w:val="right"/>
              <w:rPr>
                <w:rFonts w:ascii="Calibri" w:eastAsia="Times New Roman" w:hAnsi="Calibri" w:cs="Calibri"/>
                <w:color w:val="000000"/>
                <w:sz w:val="20"/>
                <w:szCs w:val="20"/>
                <w:highlight w:val="black"/>
              </w:rPr>
            </w:pPr>
            <w:proofErr w:type="spellStart"/>
            <w:r w:rsidRPr="004826CF">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316242EA" w14:textId="16220081" w:rsidR="00FF7B7F" w:rsidRPr="004826CF" w:rsidRDefault="00FF7B7F" w:rsidP="00FF7B7F">
            <w:pPr>
              <w:spacing w:after="0"/>
              <w:jc w:val="right"/>
              <w:rPr>
                <w:rFonts w:ascii="Calibri" w:eastAsia="Times New Roman" w:hAnsi="Calibri" w:cs="Calibri"/>
                <w:color w:val="000000"/>
                <w:sz w:val="20"/>
                <w:szCs w:val="20"/>
                <w:highlight w:val="black"/>
              </w:rPr>
            </w:pPr>
            <w:proofErr w:type="spellStart"/>
            <w:r w:rsidRPr="004826CF">
              <w:rPr>
                <w:rFonts w:ascii="Calibri" w:eastAsia="Times New Roman" w:hAnsi="Calibri" w:cs="Calibri"/>
                <w:color w:val="000000"/>
                <w:sz w:val="20"/>
                <w:szCs w:val="20"/>
                <w:highlight w:val="black"/>
              </w:rPr>
              <w:t>xxxx</w:t>
            </w:r>
            <w:proofErr w:type="spellEnd"/>
          </w:p>
        </w:tc>
      </w:tr>
      <w:tr w:rsidR="00FF7B7F" w:rsidRPr="00B2259D" w14:paraId="53BF52E8" w14:textId="77777777" w:rsidTr="00B2259D">
        <w:trPr>
          <w:trHeight w:val="300"/>
        </w:trPr>
        <w:tc>
          <w:tcPr>
            <w:tcW w:w="1274" w:type="dxa"/>
            <w:vMerge/>
            <w:tcBorders>
              <w:left w:val="single" w:sz="4" w:space="0" w:color="auto"/>
              <w:right w:val="single" w:sz="4" w:space="0" w:color="auto"/>
            </w:tcBorders>
            <w:shd w:val="clear" w:color="auto" w:fill="auto"/>
            <w:noWrap/>
            <w:vAlign w:val="center"/>
          </w:tcPr>
          <w:p w14:paraId="22A7DEC1" w14:textId="6F89D654" w:rsidR="00FF7B7F" w:rsidRPr="00B2259D" w:rsidRDefault="00FF7B7F" w:rsidP="00FF7B7F">
            <w:pPr>
              <w:spacing w:after="0"/>
              <w:rPr>
                <w:rFonts w:ascii="Calibri" w:eastAsia="Times New Roman" w:hAnsi="Calibri" w:cs="Calibri"/>
                <w:color w:val="000000"/>
                <w:sz w:val="20"/>
                <w:szCs w:val="20"/>
              </w:rPr>
            </w:pPr>
          </w:p>
        </w:tc>
        <w:tc>
          <w:tcPr>
            <w:tcW w:w="2380" w:type="dxa"/>
            <w:vMerge w:val="restart"/>
            <w:tcBorders>
              <w:top w:val="nil"/>
              <w:left w:val="nil"/>
              <w:right w:val="single" w:sz="4" w:space="0" w:color="auto"/>
            </w:tcBorders>
            <w:shd w:val="clear" w:color="auto" w:fill="auto"/>
            <w:noWrap/>
            <w:vAlign w:val="center"/>
          </w:tcPr>
          <w:p w14:paraId="1D19546D" w14:textId="45C82DA2" w:rsidR="00FF7B7F" w:rsidRPr="00B2259D" w:rsidRDefault="00FF7B7F" w:rsidP="00FF7B7F">
            <w:pPr>
              <w:spacing w:after="0"/>
              <w:rPr>
                <w:rFonts w:ascii="Calibri" w:eastAsia="Times New Roman" w:hAnsi="Calibri" w:cs="Calibri"/>
                <w:color w:val="000000"/>
                <w:sz w:val="20"/>
                <w:szCs w:val="20"/>
              </w:rPr>
            </w:pPr>
            <w:r w:rsidRPr="00B2259D">
              <w:rPr>
                <w:rFonts w:ascii="Calibri" w:eastAsia="Times New Roman" w:hAnsi="Calibri" w:cs="Calibri"/>
                <w:color w:val="000000"/>
                <w:sz w:val="20"/>
                <w:szCs w:val="20"/>
              </w:rPr>
              <w:t>Initiating</w:t>
            </w:r>
          </w:p>
        </w:tc>
        <w:tc>
          <w:tcPr>
            <w:tcW w:w="1065" w:type="dxa"/>
            <w:tcBorders>
              <w:top w:val="nil"/>
              <w:left w:val="nil"/>
              <w:bottom w:val="single" w:sz="4" w:space="0" w:color="auto"/>
              <w:right w:val="single" w:sz="4" w:space="0" w:color="auto"/>
            </w:tcBorders>
            <w:shd w:val="clear" w:color="auto" w:fill="auto"/>
            <w:noWrap/>
            <w:vAlign w:val="center"/>
            <w:hideMark/>
          </w:tcPr>
          <w:p w14:paraId="6FC8A9EB" w14:textId="77777777" w:rsidR="00FF7B7F" w:rsidRPr="00B2259D" w:rsidRDefault="00FF7B7F" w:rsidP="00FF7B7F">
            <w:pPr>
              <w:spacing w:after="0"/>
              <w:rPr>
                <w:rFonts w:ascii="Calibri" w:eastAsia="Times New Roman" w:hAnsi="Calibri" w:cs="Calibri"/>
                <w:color w:val="000000"/>
                <w:sz w:val="20"/>
                <w:szCs w:val="20"/>
              </w:rPr>
            </w:pPr>
            <w:r w:rsidRPr="00B2259D">
              <w:rPr>
                <w:rFonts w:ascii="Calibri" w:eastAsia="Times New Roman" w:hAnsi="Calibri" w:cs="Calibri"/>
                <w:color w:val="000000"/>
                <w:sz w:val="20"/>
                <w:szCs w:val="20"/>
              </w:rPr>
              <w:t>Predicted</w:t>
            </w:r>
          </w:p>
        </w:tc>
        <w:tc>
          <w:tcPr>
            <w:tcW w:w="960" w:type="dxa"/>
            <w:tcBorders>
              <w:top w:val="nil"/>
              <w:left w:val="nil"/>
              <w:bottom w:val="single" w:sz="4" w:space="0" w:color="auto"/>
              <w:right w:val="single" w:sz="4" w:space="0" w:color="auto"/>
            </w:tcBorders>
            <w:shd w:val="clear" w:color="auto" w:fill="auto"/>
            <w:noWrap/>
            <w:vAlign w:val="bottom"/>
            <w:hideMark/>
          </w:tcPr>
          <w:p w14:paraId="002B91CA" w14:textId="31E3C02D" w:rsidR="00FF7B7F" w:rsidRPr="004826CF" w:rsidRDefault="00FF7B7F" w:rsidP="00FF7B7F">
            <w:pPr>
              <w:spacing w:after="0"/>
              <w:jc w:val="right"/>
              <w:rPr>
                <w:rFonts w:ascii="Calibri" w:eastAsia="Times New Roman" w:hAnsi="Calibri" w:cs="Calibri"/>
                <w:color w:val="000000"/>
                <w:sz w:val="20"/>
                <w:szCs w:val="20"/>
                <w:highlight w:val="black"/>
              </w:rPr>
            </w:pPr>
            <w:proofErr w:type="spellStart"/>
            <w:r w:rsidRPr="004826CF">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228497C6" w14:textId="66EFE22A" w:rsidR="00FF7B7F" w:rsidRPr="004826CF" w:rsidRDefault="00FF7B7F" w:rsidP="00FF7B7F">
            <w:pPr>
              <w:spacing w:after="0"/>
              <w:jc w:val="right"/>
              <w:rPr>
                <w:rFonts w:ascii="Calibri" w:eastAsia="Times New Roman" w:hAnsi="Calibri" w:cs="Calibri"/>
                <w:color w:val="000000"/>
                <w:sz w:val="20"/>
                <w:szCs w:val="20"/>
                <w:highlight w:val="black"/>
              </w:rPr>
            </w:pPr>
            <w:proofErr w:type="spellStart"/>
            <w:r w:rsidRPr="004826CF">
              <w:rPr>
                <w:rFonts w:ascii="Calibri" w:eastAsia="Times New Roman" w:hAnsi="Calibri" w:cs="Calibri"/>
                <w:color w:val="000000"/>
                <w:sz w:val="20"/>
                <w:szCs w:val="20"/>
                <w:highlight w:val="black"/>
              </w:rPr>
              <w:t>xxxx</w:t>
            </w:r>
            <w:proofErr w:type="spellEnd"/>
          </w:p>
        </w:tc>
      </w:tr>
      <w:tr w:rsidR="00B2259D" w:rsidRPr="00B2259D" w14:paraId="752FDCF1" w14:textId="77777777" w:rsidTr="00B2259D">
        <w:trPr>
          <w:trHeight w:val="300"/>
        </w:trPr>
        <w:tc>
          <w:tcPr>
            <w:tcW w:w="1274" w:type="dxa"/>
            <w:vMerge/>
            <w:tcBorders>
              <w:left w:val="single" w:sz="4" w:space="0" w:color="auto"/>
              <w:right w:val="single" w:sz="4" w:space="0" w:color="auto"/>
            </w:tcBorders>
            <w:shd w:val="clear" w:color="auto" w:fill="auto"/>
            <w:noWrap/>
            <w:vAlign w:val="center"/>
          </w:tcPr>
          <w:p w14:paraId="6DDC7D8C" w14:textId="15F05073" w:rsidR="00B2259D" w:rsidRPr="00B2259D" w:rsidRDefault="00B2259D" w:rsidP="00B2259D">
            <w:pPr>
              <w:spacing w:after="0"/>
              <w:rPr>
                <w:rFonts w:ascii="Calibri" w:eastAsia="Times New Roman" w:hAnsi="Calibri" w:cs="Calibri"/>
                <w:color w:val="000000"/>
                <w:sz w:val="20"/>
                <w:szCs w:val="20"/>
              </w:rPr>
            </w:pPr>
          </w:p>
        </w:tc>
        <w:tc>
          <w:tcPr>
            <w:tcW w:w="2380" w:type="dxa"/>
            <w:vMerge/>
            <w:tcBorders>
              <w:left w:val="nil"/>
              <w:right w:val="single" w:sz="4" w:space="0" w:color="auto"/>
            </w:tcBorders>
            <w:shd w:val="clear" w:color="auto" w:fill="auto"/>
            <w:noWrap/>
            <w:vAlign w:val="center"/>
            <w:hideMark/>
          </w:tcPr>
          <w:p w14:paraId="3EC959F2" w14:textId="52E9D7F9" w:rsidR="00B2259D" w:rsidRPr="00B2259D" w:rsidRDefault="00B2259D" w:rsidP="00B2259D">
            <w:pPr>
              <w:spacing w:after="0"/>
              <w:rPr>
                <w:rFonts w:ascii="Calibri" w:eastAsia="Times New Roman" w:hAnsi="Calibri" w:cs="Calibri"/>
                <w:color w:val="000000"/>
                <w:sz w:val="20"/>
                <w:szCs w:val="20"/>
              </w:rPr>
            </w:pPr>
          </w:p>
        </w:tc>
        <w:tc>
          <w:tcPr>
            <w:tcW w:w="1065" w:type="dxa"/>
            <w:tcBorders>
              <w:top w:val="nil"/>
              <w:left w:val="nil"/>
              <w:bottom w:val="single" w:sz="4" w:space="0" w:color="auto"/>
              <w:right w:val="single" w:sz="4" w:space="0" w:color="auto"/>
            </w:tcBorders>
            <w:shd w:val="clear" w:color="auto" w:fill="auto"/>
            <w:noWrap/>
            <w:vAlign w:val="center"/>
            <w:hideMark/>
          </w:tcPr>
          <w:p w14:paraId="4D8C7CF1" w14:textId="77777777" w:rsidR="00B2259D" w:rsidRPr="00B2259D" w:rsidRDefault="00B2259D" w:rsidP="00B2259D">
            <w:pPr>
              <w:spacing w:after="0"/>
              <w:rPr>
                <w:rFonts w:ascii="Calibri" w:eastAsia="Times New Roman" w:hAnsi="Calibri" w:cs="Calibri"/>
                <w:color w:val="000000"/>
                <w:sz w:val="20"/>
                <w:szCs w:val="20"/>
              </w:rPr>
            </w:pPr>
            <w:r w:rsidRPr="00B2259D">
              <w:rPr>
                <w:rFonts w:ascii="Calibri" w:eastAsia="Times New Roman" w:hAnsi="Calibri" w:cs="Calibri"/>
                <w:color w:val="000000"/>
                <w:sz w:val="20"/>
                <w:szCs w:val="20"/>
              </w:rPr>
              <w:t>Actual</w:t>
            </w:r>
          </w:p>
        </w:tc>
        <w:tc>
          <w:tcPr>
            <w:tcW w:w="960" w:type="dxa"/>
            <w:tcBorders>
              <w:top w:val="nil"/>
              <w:left w:val="nil"/>
              <w:bottom w:val="single" w:sz="4" w:space="0" w:color="auto"/>
              <w:right w:val="single" w:sz="4" w:space="0" w:color="auto"/>
            </w:tcBorders>
            <w:shd w:val="clear" w:color="auto" w:fill="auto"/>
            <w:noWrap/>
            <w:vAlign w:val="bottom"/>
            <w:hideMark/>
          </w:tcPr>
          <w:p w14:paraId="21A21633" w14:textId="12C60C70" w:rsidR="00B2259D" w:rsidRPr="00B2259D" w:rsidRDefault="00B2259D" w:rsidP="00B2259D">
            <w:pPr>
              <w:spacing w:after="0"/>
              <w:jc w:val="right"/>
              <w:rPr>
                <w:rFonts w:ascii="Calibri" w:eastAsia="Times New Roman" w:hAnsi="Calibri" w:cs="Calibri"/>
                <w:color w:val="000000"/>
                <w:sz w:val="20"/>
                <w:szCs w:val="20"/>
              </w:rPr>
            </w:pPr>
            <w:r w:rsidRPr="00B2259D">
              <w:rPr>
                <w:rFonts w:ascii="Calibri" w:eastAsia="Times New Roman" w:hAnsi="Calibri" w:cs="Calibri"/>
                <w:color w:val="000000"/>
                <w:sz w:val="20"/>
                <w:szCs w:val="20"/>
              </w:rPr>
              <w:t>7</w:t>
            </w:r>
            <w:r>
              <w:rPr>
                <w:rFonts w:ascii="Calibri" w:eastAsia="Times New Roman" w:hAnsi="Calibri" w:cs="Calibri"/>
                <w:color w:val="000000"/>
                <w:sz w:val="20"/>
                <w:szCs w:val="20"/>
              </w:rPr>
              <w:t>,</w:t>
            </w:r>
            <w:r w:rsidRPr="00B2259D">
              <w:rPr>
                <w:rFonts w:ascii="Calibri" w:eastAsia="Times New Roman" w:hAnsi="Calibri" w:cs="Calibri"/>
                <w:color w:val="000000"/>
                <w:sz w:val="20"/>
                <w:szCs w:val="20"/>
              </w:rPr>
              <w:t>760</w:t>
            </w:r>
          </w:p>
        </w:tc>
        <w:tc>
          <w:tcPr>
            <w:tcW w:w="960" w:type="dxa"/>
            <w:tcBorders>
              <w:top w:val="nil"/>
              <w:left w:val="nil"/>
              <w:bottom w:val="single" w:sz="4" w:space="0" w:color="auto"/>
              <w:right w:val="single" w:sz="4" w:space="0" w:color="auto"/>
            </w:tcBorders>
            <w:shd w:val="clear" w:color="auto" w:fill="auto"/>
            <w:noWrap/>
            <w:vAlign w:val="bottom"/>
            <w:hideMark/>
          </w:tcPr>
          <w:p w14:paraId="623A648A" w14:textId="44A911AC" w:rsidR="00B2259D" w:rsidRPr="00B2259D" w:rsidRDefault="00B2259D" w:rsidP="00B2259D">
            <w:pPr>
              <w:spacing w:after="0"/>
              <w:jc w:val="right"/>
              <w:rPr>
                <w:rFonts w:ascii="Calibri" w:eastAsia="Times New Roman" w:hAnsi="Calibri" w:cs="Calibri"/>
                <w:color w:val="000000"/>
                <w:sz w:val="20"/>
                <w:szCs w:val="20"/>
              </w:rPr>
            </w:pPr>
            <w:r w:rsidRPr="00B2259D">
              <w:rPr>
                <w:rFonts w:ascii="Calibri" w:eastAsia="Times New Roman" w:hAnsi="Calibri" w:cs="Calibri"/>
                <w:color w:val="000000"/>
                <w:sz w:val="20"/>
                <w:szCs w:val="20"/>
              </w:rPr>
              <w:t>6</w:t>
            </w:r>
            <w:r>
              <w:rPr>
                <w:rFonts w:ascii="Calibri" w:eastAsia="Times New Roman" w:hAnsi="Calibri" w:cs="Calibri"/>
                <w:color w:val="000000"/>
                <w:sz w:val="20"/>
                <w:szCs w:val="20"/>
              </w:rPr>
              <w:t>,</w:t>
            </w:r>
            <w:r w:rsidRPr="00B2259D">
              <w:rPr>
                <w:rFonts w:ascii="Calibri" w:eastAsia="Times New Roman" w:hAnsi="Calibri" w:cs="Calibri"/>
                <w:color w:val="000000"/>
                <w:sz w:val="20"/>
                <w:szCs w:val="20"/>
              </w:rPr>
              <w:t>135</w:t>
            </w:r>
          </w:p>
        </w:tc>
      </w:tr>
      <w:tr w:rsidR="00FF7B7F" w:rsidRPr="00B2259D" w14:paraId="7B456CF0" w14:textId="77777777" w:rsidTr="00B2259D">
        <w:trPr>
          <w:trHeight w:val="300"/>
        </w:trPr>
        <w:tc>
          <w:tcPr>
            <w:tcW w:w="1274" w:type="dxa"/>
            <w:vMerge/>
            <w:tcBorders>
              <w:left w:val="single" w:sz="4" w:space="0" w:color="auto"/>
              <w:right w:val="single" w:sz="4" w:space="0" w:color="auto"/>
            </w:tcBorders>
            <w:shd w:val="clear" w:color="auto" w:fill="auto"/>
            <w:noWrap/>
            <w:vAlign w:val="center"/>
          </w:tcPr>
          <w:p w14:paraId="483C0F73" w14:textId="3F4B100A" w:rsidR="00FF7B7F" w:rsidRPr="00B2259D" w:rsidRDefault="00FF7B7F" w:rsidP="00FF7B7F">
            <w:pPr>
              <w:spacing w:after="0"/>
              <w:rPr>
                <w:rFonts w:ascii="Calibri" w:eastAsia="Times New Roman" w:hAnsi="Calibri" w:cs="Calibri"/>
                <w:color w:val="000000"/>
                <w:sz w:val="20"/>
                <w:szCs w:val="20"/>
              </w:rPr>
            </w:pPr>
          </w:p>
        </w:tc>
        <w:tc>
          <w:tcPr>
            <w:tcW w:w="2380" w:type="dxa"/>
            <w:vMerge/>
            <w:tcBorders>
              <w:left w:val="nil"/>
              <w:bottom w:val="single" w:sz="4" w:space="0" w:color="auto"/>
              <w:right w:val="single" w:sz="4" w:space="0" w:color="auto"/>
            </w:tcBorders>
            <w:shd w:val="clear" w:color="auto" w:fill="auto"/>
            <w:noWrap/>
            <w:vAlign w:val="center"/>
          </w:tcPr>
          <w:p w14:paraId="43297908" w14:textId="3482A14F" w:rsidR="00FF7B7F" w:rsidRPr="00B2259D" w:rsidRDefault="00FF7B7F" w:rsidP="00FF7B7F">
            <w:pPr>
              <w:spacing w:after="0"/>
              <w:rPr>
                <w:rFonts w:ascii="Calibri" w:eastAsia="Times New Roman" w:hAnsi="Calibri" w:cs="Calibri"/>
                <w:color w:val="000000"/>
                <w:sz w:val="20"/>
                <w:szCs w:val="20"/>
              </w:rPr>
            </w:pPr>
          </w:p>
        </w:tc>
        <w:tc>
          <w:tcPr>
            <w:tcW w:w="1065" w:type="dxa"/>
            <w:tcBorders>
              <w:top w:val="nil"/>
              <w:left w:val="nil"/>
              <w:bottom w:val="single" w:sz="4" w:space="0" w:color="auto"/>
              <w:right w:val="single" w:sz="4" w:space="0" w:color="auto"/>
            </w:tcBorders>
            <w:shd w:val="clear" w:color="auto" w:fill="auto"/>
            <w:noWrap/>
            <w:vAlign w:val="center"/>
            <w:hideMark/>
          </w:tcPr>
          <w:p w14:paraId="291501F9" w14:textId="77777777" w:rsidR="00FF7B7F" w:rsidRPr="00B2259D" w:rsidRDefault="00FF7B7F" w:rsidP="00FF7B7F">
            <w:pPr>
              <w:spacing w:after="0"/>
              <w:rPr>
                <w:rFonts w:ascii="Calibri" w:eastAsia="Times New Roman" w:hAnsi="Calibri" w:cs="Calibri"/>
                <w:color w:val="000000"/>
                <w:sz w:val="20"/>
                <w:szCs w:val="20"/>
              </w:rPr>
            </w:pPr>
            <w:r w:rsidRPr="00B2259D">
              <w:rPr>
                <w:rFonts w:ascii="Calibri" w:eastAsia="Times New Roman" w:hAnsi="Calibri" w:cs="Calibri"/>
                <w:color w:val="000000"/>
                <w:sz w:val="20"/>
                <w:szCs w:val="20"/>
              </w:rPr>
              <w:t>Difference</w:t>
            </w:r>
          </w:p>
        </w:tc>
        <w:tc>
          <w:tcPr>
            <w:tcW w:w="960" w:type="dxa"/>
            <w:tcBorders>
              <w:top w:val="nil"/>
              <w:left w:val="nil"/>
              <w:bottom w:val="single" w:sz="4" w:space="0" w:color="auto"/>
              <w:right w:val="single" w:sz="4" w:space="0" w:color="auto"/>
            </w:tcBorders>
            <w:shd w:val="clear" w:color="auto" w:fill="auto"/>
            <w:noWrap/>
            <w:vAlign w:val="bottom"/>
            <w:hideMark/>
          </w:tcPr>
          <w:p w14:paraId="25F96DAC" w14:textId="3104E858" w:rsidR="00FF7B7F" w:rsidRPr="004826CF" w:rsidRDefault="00FF7B7F" w:rsidP="00FF7B7F">
            <w:pPr>
              <w:spacing w:after="0"/>
              <w:jc w:val="right"/>
              <w:rPr>
                <w:rFonts w:ascii="Calibri" w:eastAsia="Times New Roman" w:hAnsi="Calibri" w:cs="Calibri"/>
                <w:color w:val="000000"/>
                <w:sz w:val="20"/>
                <w:szCs w:val="20"/>
                <w:highlight w:val="black"/>
              </w:rPr>
            </w:pPr>
            <w:proofErr w:type="spellStart"/>
            <w:r w:rsidRPr="004826CF">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CF12C82" w14:textId="04756B3F" w:rsidR="00FF7B7F" w:rsidRPr="004826CF" w:rsidRDefault="00FF7B7F" w:rsidP="00FF7B7F">
            <w:pPr>
              <w:spacing w:after="0"/>
              <w:jc w:val="right"/>
              <w:rPr>
                <w:rFonts w:ascii="Calibri" w:eastAsia="Times New Roman" w:hAnsi="Calibri" w:cs="Calibri"/>
                <w:color w:val="000000"/>
                <w:sz w:val="20"/>
                <w:szCs w:val="20"/>
                <w:highlight w:val="black"/>
              </w:rPr>
            </w:pPr>
            <w:proofErr w:type="spellStart"/>
            <w:r w:rsidRPr="004826CF">
              <w:rPr>
                <w:rFonts w:ascii="Calibri" w:eastAsia="Times New Roman" w:hAnsi="Calibri" w:cs="Calibri"/>
                <w:color w:val="000000"/>
                <w:sz w:val="20"/>
                <w:szCs w:val="20"/>
                <w:highlight w:val="black"/>
              </w:rPr>
              <w:t>xxxx</w:t>
            </w:r>
            <w:proofErr w:type="spellEnd"/>
          </w:p>
        </w:tc>
      </w:tr>
      <w:tr w:rsidR="00FF7B7F" w:rsidRPr="00B2259D" w14:paraId="5A7916A3" w14:textId="77777777" w:rsidTr="00B2259D">
        <w:trPr>
          <w:trHeight w:val="300"/>
        </w:trPr>
        <w:tc>
          <w:tcPr>
            <w:tcW w:w="1274" w:type="dxa"/>
            <w:vMerge/>
            <w:tcBorders>
              <w:left w:val="single" w:sz="4" w:space="0" w:color="auto"/>
              <w:right w:val="single" w:sz="4" w:space="0" w:color="auto"/>
            </w:tcBorders>
            <w:shd w:val="clear" w:color="auto" w:fill="auto"/>
            <w:noWrap/>
            <w:vAlign w:val="center"/>
          </w:tcPr>
          <w:p w14:paraId="31711AD1" w14:textId="3DB31551" w:rsidR="00FF7B7F" w:rsidRPr="00B2259D" w:rsidRDefault="00FF7B7F" w:rsidP="00FF7B7F">
            <w:pPr>
              <w:spacing w:after="0"/>
              <w:rPr>
                <w:rFonts w:ascii="Calibri" w:eastAsia="Times New Roman" w:hAnsi="Calibri" w:cs="Calibri"/>
                <w:color w:val="000000"/>
                <w:sz w:val="20"/>
                <w:szCs w:val="20"/>
              </w:rPr>
            </w:pPr>
          </w:p>
        </w:tc>
        <w:tc>
          <w:tcPr>
            <w:tcW w:w="2380" w:type="dxa"/>
            <w:vMerge w:val="restart"/>
            <w:tcBorders>
              <w:top w:val="nil"/>
              <w:left w:val="nil"/>
              <w:right w:val="single" w:sz="4" w:space="0" w:color="auto"/>
            </w:tcBorders>
            <w:shd w:val="clear" w:color="auto" w:fill="auto"/>
            <w:noWrap/>
            <w:vAlign w:val="center"/>
          </w:tcPr>
          <w:p w14:paraId="5B1E7F7E" w14:textId="6CCA2693" w:rsidR="00FF7B7F" w:rsidRPr="00B2259D" w:rsidRDefault="00FF7B7F" w:rsidP="00FF7B7F">
            <w:pPr>
              <w:spacing w:after="0"/>
              <w:rPr>
                <w:rFonts w:ascii="Calibri" w:eastAsia="Times New Roman" w:hAnsi="Calibri" w:cs="Calibri"/>
                <w:color w:val="000000"/>
                <w:sz w:val="20"/>
                <w:szCs w:val="20"/>
              </w:rPr>
            </w:pPr>
            <w:r w:rsidRPr="00B2259D">
              <w:rPr>
                <w:rFonts w:ascii="Calibri" w:eastAsia="Times New Roman" w:hAnsi="Calibri" w:cs="Calibri"/>
                <w:color w:val="000000"/>
                <w:sz w:val="20"/>
                <w:szCs w:val="20"/>
              </w:rPr>
              <w:t>Total treated</w:t>
            </w:r>
          </w:p>
        </w:tc>
        <w:tc>
          <w:tcPr>
            <w:tcW w:w="1065" w:type="dxa"/>
            <w:tcBorders>
              <w:top w:val="nil"/>
              <w:left w:val="nil"/>
              <w:bottom w:val="single" w:sz="4" w:space="0" w:color="auto"/>
              <w:right w:val="single" w:sz="4" w:space="0" w:color="auto"/>
            </w:tcBorders>
            <w:shd w:val="clear" w:color="auto" w:fill="auto"/>
            <w:noWrap/>
            <w:vAlign w:val="center"/>
            <w:hideMark/>
          </w:tcPr>
          <w:p w14:paraId="3C0DEE20" w14:textId="77777777" w:rsidR="00FF7B7F" w:rsidRPr="00B2259D" w:rsidRDefault="00FF7B7F" w:rsidP="00FF7B7F">
            <w:pPr>
              <w:spacing w:after="0"/>
              <w:rPr>
                <w:rFonts w:ascii="Calibri" w:eastAsia="Times New Roman" w:hAnsi="Calibri" w:cs="Calibri"/>
                <w:color w:val="000000"/>
                <w:sz w:val="20"/>
                <w:szCs w:val="20"/>
              </w:rPr>
            </w:pPr>
            <w:r w:rsidRPr="00B2259D">
              <w:rPr>
                <w:rFonts w:ascii="Calibri" w:eastAsia="Times New Roman" w:hAnsi="Calibri" w:cs="Calibri"/>
                <w:color w:val="000000"/>
                <w:sz w:val="20"/>
                <w:szCs w:val="20"/>
              </w:rPr>
              <w:t>Predicted</w:t>
            </w:r>
          </w:p>
        </w:tc>
        <w:tc>
          <w:tcPr>
            <w:tcW w:w="960" w:type="dxa"/>
            <w:tcBorders>
              <w:top w:val="nil"/>
              <w:left w:val="nil"/>
              <w:bottom w:val="single" w:sz="4" w:space="0" w:color="auto"/>
              <w:right w:val="single" w:sz="4" w:space="0" w:color="auto"/>
            </w:tcBorders>
            <w:shd w:val="clear" w:color="auto" w:fill="auto"/>
            <w:noWrap/>
            <w:vAlign w:val="bottom"/>
            <w:hideMark/>
          </w:tcPr>
          <w:p w14:paraId="7D7503EF" w14:textId="7C24E46F" w:rsidR="00FF7B7F" w:rsidRPr="004826CF" w:rsidRDefault="00FF7B7F" w:rsidP="00FF7B7F">
            <w:pPr>
              <w:spacing w:after="0"/>
              <w:jc w:val="right"/>
              <w:rPr>
                <w:rFonts w:ascii="Calibri" w:eastAsia="Times New Roman" w:hAnsi="Calibri" w:cs="Calibri"/>
                <w:color w:val="000000"/>
                <w:sz w:val="20"/>
                <w:szCs w:val="20"/>
                <w:highlight w:val="black"/>
              </w:rPr>
            </w:pPr>
            <w:proofErr w:type="spellStart"/>
            <w:r w:rsidRPr="004826CF">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0D24DE84" w14:textId="2BEB6E6A" w:rsidR="00FF7B7F" w:rsidRPr="004826CF" w:rsidRDefault="00FF7B7F" w:rsidP="00FF7B7F">
            <w:pPr>
              <w:spacing w:after="0"/>
              <w:jc w:val="right"/>
              <w:rPr>
                <w:rFonts w:ascii="Calibri" w:eastAsia="Times New Roman" w:hAnsi="Calibri" w:cs="Calibri"/>
                <w:color w:val="000000"/>
                <w:sz w:val="20"/>
                <w:szCs w:val="20"/>
                <w:highlight w:val="black"/>
              </w:rPr>
            </w:pPr>
            <w:proofErr w:type="spellStart"/>
            <w:r w:rsidRPr="004826CF">
              <w:rPr>
                <w:rFonts w:ascii="Calibri" w:eastAsia="Times New Roman" w:hAnsi="Calibri" w:cs="Calibri"/>
                <w:color w:val="000000"/>
                <w:sz w:val="20"/>
                <w:szCs w:val="20"/>
                <w:highlight w:val="black"/>
              </w:rPr>
              <w:t>xxxx</w:t>
            </w:r>
            <w:proofErr w:type="spellEnd"/>
          </w:p>
        </w:tc>
      </w:tr>
      <w:tr w:rsidR="00B2259D" w:rsidRPr="00B2259D" w14:paraId="3A96E5F3" w14:textId="77777777" w:rsidTr="00B2259D">
        <w:trPr>
          <w:trHeight w:val="300"/>
        </w:trPr>
        <w:tc>
          <w:tcPr>
            <w:tcW w:w="1274" w:type="dxa"/>
            <w:vMerge/>
            <w:tcBorders>
              <w:left w:val="single" w:sz="4" w:space="0" w:color="auto"/>
              <w:right w:val="single" w:sz="4" w:space="0" w:color="auto"/>
            </w:tcBorders>
            <w:shd w:val="clear" w:color="auto" w:fill="auto"/>
            <w:noWrap/>
            <w:vAlign w:val="center"/>
          </w:tcPr>
          <w:p w14:paraId="72665D41" w14:textId="1A459B6C" w:rsidR="00B2259D" w:rsidRPr="00B2259D" w:rsidRDefault="00B2259D" w:rsidP="00B2259D">
            <w:pPr>
              <w:spacing w:after="0"/>
              <w:rPr>
                <w:rFonts w:ascii="Calibri" w:eastAsia="Times New Roman" w:hAnsi="Calibri" w:cs="Calibri"/>
                <w:color w:val="000000"/>
                <w:sz w:val="20"/>
                <w:szCs w:val="20"/>
              </w:rPr>
            </w:pPr>
          </w:p>
        </w:tc>
        <w:tc>
          <w:tcPr>
            <w:tcW w:w="2380" w:type="dxa"/>
            <w:vMerge/>
            <w:tcBorders>
              <w:left w:val="nil"/>
              <w:right w:val="single" w:sz="4" w:space="0" w:color="auto"/>
            </w:tcBorders>
            <w:shd w:val="clear" w:color="auto" w:fill="auto"/>
            <w:noWrap/>
            <w:vAlign w:val="center"/>
            <w:hideMark/>
          </w:tcPr>
          <w:p w14:paraId="5C1471FC" w14:textId="14962943" w:rsidR="00B2259D" w:rsidRPr="00B2259D" w:rsidRDefault="00B2259D" w:rsidP="00B2259D">
            <w:pPr>
              <w:spacing w:after="0"/>
              <w:rPr>
                <w:rFonts w:ascii="Calibri" w:eastAsia="Times New Roman" w:hAnsi="Calibri" w:cs="Calibri"/>
                <w:color w:val="000000"/>
                <w:sz w:val="20"/>
                <w:szCs w:val="20"/>
              </w:rPr>
            </w:pPr>
          </w:p>
        </w:tc>
        <w:tc>
          <w:tcPr>
            <w:tcW w:w="1065" w:type="dxa"/>
            <w:tcBorders>
              <w:top w:val="nil"/>
              <w:left w:val="nil"/>
              <w:bottom w:val="single" w:sz="4" w:space="0" w:color="auto"/>
              <w:right w:val="single" w:sz="4" w:space="0" w:color="auto"/>
            </w:tcBorders>
            <w:shd w:val="clear" w:color="auto" w:fill="auto"/>
            <w:noWrap/>
            <w:vAlign w:val="center"/>
            <w:hideMark/>
          </w:tcPr>
          <w:p w14:paraId="1765B5A1" w14:textId="77777777" w:rsidR="00B2259D" w:rsidRPr="00B2259D" w:rsidRDefault="00B2259D" w:rsidP="00B2259D">
            <w:pPr>
              <w:spacing w:after="0"/>
              <w:rPr>
                <w:rFonts w:ascii="Calibri" w:eastAsia="Times New Roman" w:hAnsi="Calibri" w:cs="Calibri"/>
                <w:color w:val="000000"/>
                <w:sz w:val="20"/>
                <w:szCs w:val="20"/>
              </w:rPr>
            </w:pPr>
            <w:r w:rsidRPr="00B2259D">
              <w:rPr>
                <w:rFonts w:ascii="Calibri" w:eastAsia="Times New Roman" w:hAnsi="Calibri" w:cs="Calibri"/>
                <w:color w:val="000000"/>
                <w:sz w:val="20"/>
                <w:szCs w:val="20"/>
              </w:rPr>
              <w:t>Actual</w:t>
            </w:r>
          </w:p>
        </w:tc>
        <w:tc>
          <w:tcPr>
            <w:tcW w:w="960" w:type="dxa"/>
            <w:tcBorders>
              <w:top w:val="nil"/>
              <w:left w:val="nil"/>
              <w:bottom w:val="single" w:sz="4" w:space="0" w:color="auto"/>
              <w:right w:val="single" w:sz="4" w:space="0" w:color="auto"/>
            </w:tcBorders>
            <w:shd w:val="clear" w:color="auto" w:fill="auto"/>
            <w:noWrap/>
            <w:vAlign w:val="bottom"/>
            <w:hideMark/>
          </w:tcPr>
          <w:p w14:paraId="33F5963D" w14:textId="175D21A4" w:rsidR="00B2259D" w:rsidRPr="00B2259D" w:rsidRDefault="00B2259D" w:rsidP="00B2259D">
            <w:pPr>
              <w:spacing w:after="0"/>
              <w:jc w:val="right"/>
              <w:rPr>
                <w:rFonts w:ascii="Calibri" w:eastAsia="Times New Roman" w:hAnsi="Calibri" w:cs="Calibri"/>
                <w:color w:val="000000"/>
                <w:sz w:val="20"/>
                <w:szCs w:val="20"/>
              </w:rPr>
            </w:pPr>
            <w:r w:rsidRPr="00B2259D">
              <w:rPr>
                <w:rFonts w:ascii="Calibri" w:eastAsia="Times New Roman" w:hAnsi="Calibri" w:cs="Calibri"/>
                <w:color w:val="000000"/>
                <w:sz w:val="20"/>
                <w:szCs w:val="20"/>
              </w:rPr>
              <w:t>8</w:t>
            </w:r>
            <w:r>
              <w:rPr>
                <w:rFonts w:ascii="Calibri" w:eastAsia="Times New Roman" w:hAnsi="Calibri" w:cs="Calibri"/>
                <w:color w:val="000000"/>
                <w:sz w:val="20"/>
                <w:szCs w:val="20"/>
              </w:rPr>
              <w:t>,</w:t>
            </w:r>
            <w:r w:rsidRPr="00B2259D">
              <w:rPr>
                <w:rFonts w:ascii="Calibri" w:eastAsia="Times New Roman" w:hAnsi="Calibri" w:cs="Calibri"/>
                <w:color w:val="000000"/>
                <w:sz w:val="20"/>
                <w:szCs w:val="20"/>
              </w:rPr>
              <w:t>011</w:t>
            </w:r>
          </w:p>
        </w:tc>
        <w:tc>
          <w:tcPr>
            <w:tcW w:w="960" w:type="dxa"/>
            <w:tcBorders>
              <w:top w:val="nil"/>
              <w:left w:val="nil"/>
              <w:bottom w:val="single" w:sz="4" w:space="0" w:color="auto"/>
              <w:right w:val="single" w:sz="4" w:space="0" w:color="auto"/>
            </w:tcBorders>
            <w:shd w:val="clear" w:color="auto" w:fill="auto"/>
            <w:noWrap/>
            <w:vAlign w:val="bottom"/>
            <w:hideMark/>
          </w:tcPr>
          <w:p w14:paraId="6F917734" w14:textId="09F9BDA6" w:rsidR="00B2259D" w:rsidRPr="00B2259D" w:rsidRDefault="00B2259D" w:rsidP="00B2259D">
            <w:pPr>
              <w:spacing w:after="0"/>
              <w:jc w:val="right"/>
              <w:rPr>
                <w:rFonts w:ascii="Calibri" w:eastAsia="Times New Roman" w:hAnsi="Calibri" w:cs="Calibri"/>
                <w:color w:val="000000"/>
                <w:sz w:val="20"/>
                <w:szCs w:val="20"/>
              </w:rPr>
            </w:pPr>
            <w:r w:rsidRPr="00B2259D">
              <w:rPr>
                <w:rFonts w:ascii="Calibri" w:eastAsia="Times New Roman" w:hAnsi="Calibri" w:cs="Calibri"/>
                <w:color w:val="000000"/>
                <w:sz w:val="20"/>
                <w:szCs w:val="20"/>
              </w:rPr>
              <w:t>13</w:t>
            </w:r>
            <w:r>
              <w:rPr>
                <w:rFonts w:ascii="Calibri" w:eastAsia="Times New Roman" w:hAnsi="Calibri" w:cs="Calibri"/>
                <w:color w:val="000000"/>
                <w:sz w:val="20"/>
                <w:szCs w:val="20"/>
              </w:rPr>
              <w:t>,</w:t>
            </w:r>
            <w:r w:rsidRPr="00B2259D">
              <w:rPr>
                <w:rFonts w:ascii="Calibri" w:eastAsia="Times New Roman" w:hAnsi="Calibri" w:cs="Calibri"/>
                <w:color w:val="000000"/>
                <w:sz w:val="20"/>
                <w:szCs w:val="20"/>
              </w:rPr>
              <w:t>628</w:t>
            </w:r>
          </w:p>
        </w:tc>
      </w:tr>
      <w:tr w:rsidR="00FF7B7F" w:rsidRPr="00B2259D" w14:paraId="3304A424" w14:textId="77777777" w:rsidTr="00B2259D">
        <w:trPr>
          <w:trHeight w:val="300"/>
        </w:trPr>
        <w:tc>
          <w:tcPr>
            <w:tcW w:w="1274" w:type="dxa"/>
            <w:vMerge/>
            <w:tcBorders>
              <w:left w:val="single" w:sz="4" w:space="0" w:color="auto"/>
              <w:bottom w:val="single" w:sz="4" w:space="0" w:color="auto"/>
              <w:right w:val="single" w:sz="4" w:space="0" w:color="auto"/>
            </w:tcBorders>
            <w:shd w:val="clear" w:color="auto" w:fill="auto"/>
            <w:noWrap/>
            <w:vAlign w:val="center"/>
          </w:tcPr>
          <w:p w14:paraId="4A007005" w14:textId="7B682D49" w:rsidR="00FF7B7F" w:rsidRPr="00B2259D" w:rsidRDefault="00FF7B7F" w:rsidP="00FF7B7F">
            <w:pPr>
              <w:spacing w:after="0"/>
              <w:rPr>
                <w:rFonts w:ascii="Calibri" w:eastAsia="Times New Roman" w:hAnsi="Calibri" w:cs="Calibri"/>
                <w:color w:val="000000"/>
                <w:sz w:val="20"/>
                <w:szCs w:val="20"/>
              </w:rPr>
            </w:pPr>
          </w:p>
        </w:tc>
        <w:tc>
          <w:tcPr>
            <w:tcW w:w="2380" w:type="dxa"/>
            <w:vMerge/>
            <w:tcBorders>
              <w:left w:val="nil"/>
              <w:bottom w:val="single" w:sz="4" w:space="0" w:color="auto"/>
              <w:right w:val="single" w:sz="4" w:space="0" w:color="auto"/>
            </w:tcBorders>
            <w:shd w:val="clear" w:color="auto" w:fill="auto"/>
            <w:noWrap/>
            <w:vAlign w:val="center"/>
          </w:tcPr>
          <w:p w14:paraId="0DD65A5E" w14:textId="5559E567" w:rsidR="00FF7B7F" w:rsidRPr="00B2259D" w:rsidRDefault="00FF7B7F" w:rsidP="00FF7B7F">
            <w:pPr>
              <w:spacing w:after="0"/>
              <w:rPr>
                <w:rFonts w:ascii="Calibri" w:eastAsia="Times New Roman" w:hAnsi="Calibri" w:cs="Calibri"/>
                <w:color w:val="000000"/>
                <w:sz w:val="20"/>
                <w:szCs w:val="20"/>
              </w:rPr>
            </w:pPr>
          </w:p>
        </w:tc>
        <w:tc>
          <w:tcPr>
            <w:tcW w:w="1065" w:type="dxa"/>
            <w:tcBorders>
              <w:top w:val="nil"/>
              <w:left w:val="nil"/>
              <w:bottom w:val="single" w:sz="4" w:space="0" w:color="auto"/>
              <w:right w:val="single" w:sz="4" w:space="0" w:color="auto"/>
            </w:tcBorders>
            <w:shd w:val="clear" w:color="auto" w:fill="auto"/>
            <w:noWrap/>
            <w:vAlign w:val="center"/>
            <w:hideMark/>
          </w:tcPr>
          <w:p w14:paraId="735586DC" w14:textId="77777777" w:rsidR="00FF7B7F" w:rsidRPr="00B2259D" w:rsidRDefault="00FF7B7F" w:rsidP="00FF7B7F">
            <w:pPr>
              <w:spacing w:after="0"/>
              <w:rPr>
                <w:rFonts w:ascii="Calibri" w:eastAsia="Times New Roman" w:hAnsi="Calibri" w:cs="Calibri"/>
                <w:color w:val="000000"/>
                <w:sz w:val="20"/>
                <w:szCs w:val="20"/>
              </w:rPr>
            </w:pPr>
            <w:r w:rsidRPr="00B2259D">
              <w:rPr>
                <w:rFonts w:ascii="Calibri" w:eastAsia="Times New Roman" w:hAnsi="Calibri" w:cs="Calibri"/>
                <w:color w:val="000000"/>
                <w:sz w:val="20"/>
                <w:szCs w:val="20"/>
              </w:rPr>
              <w:t>Difference</w:t>
            </w:r>
          </w:p>
        </w:tc>
        <w:tc>
          <w:tcPr>
            <w:tcW w:w="960" w:type="dxa"/>
            <w:tcBorders>
              <w:top w:val="nil"/>
              <w:left w:val="nil"/>
              <w:bottom w:val="single" w:sz="4" w:space="0" w:color="auto"/>
              <w:right w:val="single" w:sz="4" w:space="0" w:color="auto"/>
            </w:tcBorders>
            <w:shd w:val="clear" w:color="auto" w:fill="auto"/>
            <w:noWrap/>
            <w:vAlign w:val="bottom"/>
            <w:hideMark/>
          </w:tcPr>
          <w:p w14:paraId="3323A766" w14:textId="2B0244AC" w:rsidR="00FF7B7F" w:rsidRPr="004826CF" w:rsidRDefault="00FF7B7F" w:rsidP="00FF7B7F">
            <w:pPr>
              <w:spacing w:after="0"/>
              <w:jc w:val="right"/>
              <w:rPr>
                <w:rFonts w:ascii="Calibri" w:eastAsia="Times New Roman" w:hAnsi="Calibri" w:cs="Calibri"/>
                <w:color w:val="000000"/>
                <w:sz w:val="20"/>
                <w:szCs w:val="20"/>
                <w:highlight w:val="black"/>
              </w:rPr>
            </w:pPr>
            <w:proofErr w:type="spellStart"/>
            <w:r w:rsidRPr="004826CF">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79D9C918" w14:textId="5D676DA8" w:rsidR="00FF7B7F" w:rsidRPr="004826CF" w:rsidRDefault="00FF7B7F" w:rsidP="00FF7B7F">
            <w:pPr>
              <w:spacing w:after="0"/>
              <w:jc w:val="right"/>
              <w:rPr>
                <w:rFonts w:ascii="Calibri" w:eastAsia="Times New Roman" w:hAnsi="Calibri" w:cs="Calibri"/>
                <w:color w:val="000000"/>
                <w:sz w:val="20"/>
                <w:szCs w:val="20"/>
                <w:highlight w:val="black"/>
              </w:rPr>
            </w:pPr>
            <w:proofErr w:type="spellStart"/>
            <w:r w:rsidRPr="004826CF">
              <w:rPr>
                <w:rFonts w:ascii="Calibri" w:eastAsia="Times New Roman" w:hAnsi="Calibri" w:cs="Calibri"/>
                <w:color w:val="000000"/>
                <w:sz w:val="20"/>
                <w:szCs w:val="20"/>
                <w:highlight w:val="black"/>
              </w:rPr>
              <w:t>xxxx</w:t>
            </w:r>
            <w:proofErr w:type="spellEnd"/>
          </w:p>
        </w:tc>
      </w:tr>
      <w:tr w:rsidR="00FF7B7F" w:rsidRPr="00B2259D" w14:paraId="2B975C8A" w14:textId="77777777" w:rsidTr="00B2259D">
        <w:trPr>
          <w:trHeight w:val="300"/>
        </w:trPr>
        <w:tc>
          <w:tcPr>
            <w:tcW w:w="3654" w:type="dxa"/>
            <w:gridSpan w:val="2"/>
            <w:vMerge w:val="restart"/>
            <w:tcBorders>
              <w:top w:val="nil"/>
              <w:left w:val="single" w:sz="4" w:space="0" w:color="auto"/>
              <w:right w:val="single" w:sz="4" w:space="0" w:color="auto"/>
            </w:tcBorders>
            <w:shd w:val="clear" w:color="auto" w:fill="auto"/>
            <w:noWrap/>
            <w:vAlign w:val="center"/>
            <w:hideMark/>
          </w:tcPr>
          <w:p w14:paraId="671BE847" w14:textId="56B27DAB" w:rsidR="00FF7B7F" w:rsidRPr="00B2259D" w:rsidRDefault="00FF7B7F" w:rsidP="00FF7B7F">
            <w:pPr>
              <w:spacing w:after="0"/>
              <w:rPr>
                <w:rFonts w:ascii="Calibri" w:eastAsia="Times New Roman" w:hAnsi="Calibri" w:cs="Calibri"/>
                <w:color w:val="000000"/>
                <w:sz w:val="20"/>
                <w:szCs w:val="20"/>
              </w:rPr>
            </w:pPr>
            <w:r w:rsidRPr="00B2259D">
              <w:rPr>
                <w:rFonts w:ascii="Calibri" w:eastAsia="Times New Roman" w:hAnsi="Calibri" w:cs="Calibri"/>
                <w:color w:val="000000"/>
                <w:sz w:val="20"/>
                <w:szCs w:val="20"/>
              </w:rPr>
              <w:t>Prescriptions</w:t>
            </w:r>
          </w:p>
        </w:tc>
        <w:tc>
          <w:tcPr>
            <w:tcW w:w="1065" w:type="dxa"/>
            <w:tcBorders>
              <w:top w:val="nil"/>
              <w:left w:val="nil"/>
              <w:bottom w:val="single" w:sz="4" w:space="0" w:color="auto"/>
              <w:right w:val="single" w:sz="4" w:space="0" w:color="auto"/>
            </w:tcBorders>
            <w:shd w:val="clear" w:color="auto" w:fill="auto"/>
            <w:noWrap/>
            <w:vAlign w:val="center"/>
            <w:hideMark/>
          </w:tcPr>
          <w:p w14:paraId="34AAEADF" w14:textId="39690D85" w:rsidR="00FF7B7F" w:rsidRPr="00B2259D" w:rsidRDefault="006400C1" w:rsidP="00FF7B7F">
            <w:pPr>
              <w:spacing w:after="0"/>
              <w:rPr>
                <w:rFonts w:ascii="Calibri" w:eastAsia="Times New Roman" w:hAnsi="Calibri" w:cs="Calibri"/>
                <w:color w:val="000000"/>
                <w:sz w:val="20"/>
                <w:szCs w:val="20"/>
              </w:rPr>
            </w:pPr>
            <w:r w:rsidRPr="006400C1">
              <w:rPr>
                <w:rFonts w:ascii="Calibri" w:eastAsia="Times New Roman" w:hAnsi="Calibri" w:cs="Calibri"/>
                <w:color w:val="000000"/>
                <w:sz w:val="20"/>
                <w:szCs w:val="20"/>
              </w:rPr>
              <w:t>Predicted</w:t>
            </w:r>
          </w:p>
        </w:tc>
        <w:tc>
          <w:tcPr>
            <w:tcW w:w="960" w:type="dxa"/>
            <w:tcBorders>
              <w:top w:val="nil"/>
              <w:left w:val="nil"/>
              <w:bottom w:val="single" w:sz="4" w:space="0" w:color="auto"/>
              <w:right w:val="single" w:sz="4" w:space="0" w:color="auto"/>
            </w:tcBorders>
            <w:shd w:val="clear" w:color="auto" w:fill="auto"/>
            <w:noWrap/>
            <w:vAlign w:val="bottom"/>
            <w:hideMark/>
          </w:tcPr>
          <w:p w14:paraId="1C014940" w14:textId="6A857280" w:rsidR="00FF7B7F" w:rsidRPr="004826CF" w:rsidRDefault="006400C1" w:rsidP="00FF7B7F">
            <w:pPr>
              <w:spacing w:after="0"/>
              <w:jc w:val="right"/>
              <w:rPr>
                <w:rFonts w:ascii="Calibri" w:eastAsia="Times New Roman" w:hAnsi="Calibri" w:cs="Calibri"/>
                <w:color w:val="000000"/>
                <w:sz w:val="20"/>
                <w:szCs w:val="20"/>
                <w:highlight w:val="black"/>
              </w:rPr>
            </w:pPr>
            <w:proofErr w:type="spellStart"/>
            <w:r w:rsidRPr="004826CF">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7863E6BA" w14:textId="21FD3AC5" w:rsidR="00FF7B7F" w:rsidRPr="004826CF" w:rsidRDefault="00FF7B7F" w:rsidP="00FF7B7F">
            <w:pPr>
              <w:spacing w:after="0"/>
              <w:jc w:val="right"/>
              <w:rPr>
                <w:rFonts w:ascii="Calibri" w:eastAsia="Times New Roman" w:hAnsi="Calibri" w:cs="Calibri"/>
                <w:color w:val="000000"/>
                <w:sz w:val="20"/>
                <w:szCs w:val="20"/>
                <w:highlight w:val="black"/>
              </w:rPr>
            </w:pPr>
            <w:proofErr w:type="spellStart"/>
            <w:r w:rsidRPr="004826CF">
              <w:rPr>
                <w:rFonts w:ascii="Calibri" w:eastAsia="Times New Roman" w:hAnsi="Calibri" w:cs="Calibri"/>
                <w:color w:val="000000"/>
                <w:sz w:val="20"/>
                <w:szCs w:val="20"/>
                <w:highlight w:val="black"/>
              </w:rPr>
              <w:t>xxxx</w:t>
            </w:r>
            <w:proofErr w:type="spellEnd"/>
          </w:p>
        </w:tc>
      </w:tr>
      <w:tr w:rsidR="00B2259D" w:rsidRPr="00B2259D" w14:paraId="7A6D3FF6" w14:textId="77777777" w:rsidTr="00B2259D">
        <w:trPr>
          <w:trHeight w:val="300"/>
        </w:trPr>
        <w:tc>
          <w:tcPr>
            <w:tcW w:w="3654" w:type="dxa"/>
            <w:gridSpan w:val="2"/>
            <w:vMerge/>
            <w:tcBorders>
              <w:left w:val="single" w:sz="4" w:space="0" w:color="auto"/>
              <w:right w:val="single" w:sz="4" w:space="0" w:color="auto"/>
            </w:tcBorders>
            <w:shd w:val="clear" w:color="auto" w:fill="auto"/>
            <w:noWrap/>
            <w:vAlign w:val="bottom"/>
          </w:tcPr>
          <w:p w14:paraId="0D3EA85B" w14:textId="1D9CD3DB" w:rsidR="00B2259D" w:rsidRPr="00B2259D" w:rsidRDefault="00B2259D" w:rsidP="00B2259D">
            <w:pPr>
              <w:spacing w:after="0"/>
              <w:rPr>
                <w:rFonts w:ascii="Calibri" w:eastAsia="Times New Roman" w:hAnsi="Calibri" w:cs="Calibri"/>
                <w:color w:val="000000"/>
                <w:sz w:val="20"/>
                <w:szCs w:val="20"/>
              </w:rPr>
            </w:pPr>
          </w:p>
        </w:tc>
        <w:tc>
          <w:tcPr>
            <w:tcW w:w="1065" w:type="dxa"/>
            <w:tcBorders>
              <w:top w:val="nil"/>
              <w:left w:val="nil"/>
              <w:bottom w:val="single" w:sz="4" w:space="0" w:color="auto"/>
              <w:right w:val="single" w:sz="4" w:space="0" w:color="auto"/>
            </w:tcBorders>
            <w:shd w:val="clear" w:color="auto" w:fill="auto"/>
            <w:noWrap/>
            <w:vAlign w:val="center"/>
            <w:hideMark/>
          </w:tcPr>
          <w:p w14:paraId="37CD6BB9" w14:textId="77777777" w:rsidR="00B2259D" w:rsidRPr="00B2259D" w:rsidRDefault="00B2259D" w:rsidP="00B2259D">
            <w:pPr>
              <w:spacing w:after="0"/>
              <w:rPr>
                <w:rFonts w:ascii="Calibri" w:eastAsia="Times New Roman" w:hAnsi="Calibri" w:cs="Calibri"/>
                <w:color w:val="000000"/>
                <w:sz w:val="20"/>
                <w:szCs w:val="20"/>
              </w:rPr>
            </w:pPr>
            <w:r w:rsidRPr="00B2259D">
              <w:rPr>
                <w:rFonts w:ascii="Calibri" w:eastAsia="Times New Roman" w:hAnsi="Calibri" w:cs="Calibri"/>
                <w:color w:val="000000"/>
                <w:sz w:val="20"/>
                <w:szCs w:val="20"/>
              </w:rPr>
              <w:t>Actual</w:t>
            </w:r>
          </w:p>
        </w:tc>
        <w:tc>
          <w:tcPr>
            <w:tcW w:w="960" w:type="dxa"/>
            <w:tcBorders>
              <w:top w:val="nil"/>
              <w:left w:val="nil"/>
              <w:bottom w:val="single" w:sz="4" w:space="0" w:color="auto"/>
              <w:right w:val="single" w:sz="4" w:space="0" w:color="auto"/>
            </w:tcBorders>
            <w:shd w:val="clear" w:color="auto" w:fill="auto"/>
            <w:noWrap/>
            <w:vAlign w:val="bottom"/>
            <w:hideMark/>
          </w:tcPr>
          <w:p w14:paraId="5EAA68AE" w14:textId="398E3406" w:rsidR="00B2259D" w:rsidRPr="00B2259D" w:rsidRDefault="00B2259D" w:rsidP="00B2259D">
            <w:pPr>
              <w:spacing w:after="0"/>
              <w:jc w:val="right"/>
              <w:rPr>
                <w:rFonts w:ascii="Calibri" w:eastAsia="Times New Roman" w:hAnsi="Calibri" w:cs="Calibri"/>
                <w:color w:val="000000"/>
                <w:sz w:val="20"/>
                <w:szCs w:val="20"/>
              </w:rPr>
            </w:pPr>
            <w:r w:rsidRPr="00B2259D">
              <w:rPr>
                <w:rFonts w:ascii="Calibri" w:eastAsia="Times New Roman" w:hAnsi="Calibri" w:cs="Calibri"/>
                <w:color w:val="000000"/>
                <w:sz w:val="20"/>
                <w:szCs w:val="20"/>
              </w:rPr>
              <w:t>61</w:t>
            </w:r>
            <w:r>
              <w:rPr>
                <w:rFonts w:ascii="Calibri" w:eastAsia="Times New Roman" w:hAnsi="Calibri" w:cs="Calibri"/>
                <w:color w:val="000000"/>
                <w:sz w:val="20"/>
                <w:szCs w:val="20"/>
              </w:rPr>
              <w:t>,</w:t>
            </w:r>
            <w:r w:rsidRPr="00B2259D">
              <w:rPr>
                <w:rFonts w:ascii="Calibri" w:eastAsia="Times New Roman" w:hAnsi="Calibri" w:cs="Calibri"/>
                <w:color w:val="000000"/>
                <w:sz w:val="20"/>
                <w:szCs w:val="20"/>
              </w:rPr>
              <w:t>113</w:t>
            </w:r>
          </w:p>
        </w:tc>
        <w:tc>
          <w:tcPr>
            <w:tcW w:w="960" w:type="dxa"/>
            <w:tcBorders>
              <w:top w:val="nil"/>
              <w:left w:val="nil"/>
              <w:bottom w:val="single" w:sz="4" w:space="0" w:color="auto"/>
              <w:right w:val="single" w:sz="4" w:space="0" w:color="auto"/>
            </w:tcBorders>
            <w:shd w:val="clear" w:color="auto" w:fill="auto"/>
            <w:noWrap/>
            <w:vAlign w:val="bottom"/>
            <w:hideMark/>
          </w:tcPr>
          <w:p w14:paraId="4A7EB832" w14:textId="1F6EA6DE" w:rsidR="00B2259D" w:rsidRPr="00B2259D" w:rsidRDefault="00B2259D" w:rsidP="00B2259D">
            <w:pPr>
              <w:spacing w:after="0"/>
              <w:jc w:val="right"/>
              <w:rPr>
                <w:rFonts w:ascii="Calibri" w:eastAsia="Times New Roman" w:hAnsi="Calibri" w:cs="Calibri"/>
                <w:color w:val="000000"/>
                <w:sz w:val="20"/>
                <w:szCs w:val="20"/>
              </w:rPr>
            </w:pPr>
            <w:r w:rsidRPr="00B2259D">
              <w:rPr>
                <w:rFonts w:ascii="Calibri" w:eastAsia="Times New Roman" w:hAnsi="Calibri" w:cs="Calibri"/>
                <w:color w:val="000000"/>
                <w:sz w:val="20"/>
                <w:szCs w:val="20"/>
              </w:rPr>
              <w:t>112</w:t>
            </w:r>
            <w:r>
              <w:rPr>
                <w:rFonts w:ascii="Calibri" w:eastAsia="Times New Roman" w:hAnsi="Calibri" w:cs="Calibri"/>
                <w:color w:val="000000"/>
                <w:sz w:val="20"/>
                <w:szCs w:val="20"/>
              </w:rPr>
              <w:t>,</w:t>
            </w:r>
            <w:r w:rsidRPr="00B2259D">
              <w:rPr>
                <w:rFonts w:ascii="Calibri" w:eastAsia="Times New Roman" w:hAnsi="Calibri" w:cs="Calibri"/>
                <w:color w:val="000000"/>
                <w:sz w:val="20"/>
                <w:szCs w:val="20"/>
              </w:rPr>
              <w:t>753</w:t>
            </w:r>
          </w:p>
        </w:tc>
      </w:tr>
      <w:tr w:rsidR="004826CF" w:rsidRPr="00B2259D" w14:paraId="02E7409E" w14:textId="77777777" w:rsidTr="00444C59">
        <w:trPr>
          <w:trHeight w:val="300"/>
        </w:trPr>
        <w:tc>
          <w:tcPr>
            <w:tcW w:w="3654" w:type="dxa"/>
            <w:gridSpan w:val="2"/>
            <w:vMerge/>
            <w:tcBorders>
              <w:left w:val="single" w:sz="4" w:space="0" w:color="auto"/>
              <w:bottom w:val="single" w:sz="4" w:space="0" w:color="auto"/>
              <w:right w:val="single" w:sz="4" w:space="0" w:color="auto"/>
            </w:tcBorders>
            <w:shd w:val="clear" w:color="auto" w:fill="auto"/>
            <w:noWrap/>
            <w:vAlign w:val="bottom"/>
          </w:tcPr>
          <w:p w14:paraId="28551572" w14:textId="247841D7" w:rsidR="004826CF" w:rsidRPr="00B2259D" w:rsidRDefault="004826CF" w:rsidP="004826CF">
            <w:pPr>
              <w:spacing w:after="0"/>
              <w:rPr>
                <w:rFonts w:ascii="Calibri" w:eastAsia="Times New Roman" w:hAnsi="Calibri" w:cs="Calibri"/>
                <w:color w:val="000000"/>
                <w:sz w:val="20"/>
                <w:szCs w:val="20"/>
              </w:rPr>
            </w:pPr>
          </w:p>
        </w:tc>
        <w:tc>
          <w:tcPr>
            <w:tcW w:w="1065" w:type="dxa"/>
            <w:tcBorders>
              <w:top w:val="nil"/>
              <w:left w:val="nil"/>
              <w:bottom w:val="single" w:sz="4" w:space="0" w:color="auto"/>
              <w:right w:val="single" w:sz="4" w:space="0" w:color="auto"/>
            </w:tcBorders>
            <w:shd w:val="clear" w:color="auto" w:fill="auto"/>
            <w:noWrap/>
            <w:vAlign w:val="center"/>
            <w:hideMark/>
          </w:tcPr>
          <w:p w14:paraId="63248EAE" w14:textId="77777777" w:rsidR="004826CF" w:rsidRPr="00B2259D" w:rsidRDefault="004826CF" w:rsidP="004826CF">
            <w:pPr>
              <w:spacing w:after="0"/>
              <w:rPr>
                <w:rFonts w:ascii="Calibri" w:eastAsia="Times New Roman" w:hAnsi="Calibri" w:cs="Calibri"/>
                <w:color w:val="000000"/>
                <w:sz w:val="20"/>
                <w:szCs w:val="20"/>
              </w:rPr>
            </w:pPr>
            <w:r w:rsidRPr="00B2259D">
              <w:rPr>
                <w:rFonts w:ascii="Calibri" w:eastAsia="Times New Roman" w:hAnsi="Calibri" w:cs="Calibri"/>
                <w:color w:val="000000"/>
                <w:sz w:val="20"/>
                <w:szCs w:val="20"/>
              </w:rPr>
              <w:t>Difference</w:t>
            </w:r>
          </w:p>
        </w:tc>
        <w:tc>
          <w:tcPr>
            <w:tcW w:w="960" w:type="dxa"/>
            <w:tcBorders>
              <w:top w:val="nil"/>
              <w:left w:val="nil"/>
              <w:bottom w:val="single" w:sz="4" w:space="0" w:color="auto"/>
              <w:right w:val="single" w:sz="4" w:space="0" w:color="auto"/>
            </w:tcBorders>
            <w:shd w:val="clear" w:color="auto" w:fill="auto"/>
            <w:noWrap/>
            <w:hideMark/>
          </w:tcPr>
          <w:p w14:paraId="0C828201" w14:textId="5F24B61E" w:rsidR="004826CF" w:rsidRPr="00EF016C" w:rsidRDefault="004826CF" w:rsidP="004826CF">
            <w:pPr>
              <w:spacing w:after="0"/>
              <w:jc w:val="right"/>
              <w:rPr>
                <w:rFonts w:ascii="Calibri" w:eastAsia="Times New Roman" w:hAnsi="Calibri" w:cs="Calibri"/>
                <w:color w:val="000000"/>
                <w:sz w:val="20"/>
                <w:szCs w:val="20"/>
                <w:highlight w:val="black"/>
              </w:rPr>
            </w:pPr>
            <w:proofErr w:type="spellStart"/>
            <w:r w:rsidRPr="00EF016C">
              <w:rPr>
                <w:sz w:val="20"/>
                <w:szCs w:val="20"/>
                <w:highlight w:val="black"/>
              </w:rPr>
              <w:t>x</w:t>
            </w:r>
            <w:r w:rsidR="00EF016C" w:rsidRPr="00EF016C">
              <w:rPr>
                <w:sz w:val="20"/>
                <w:szCs w:val="20"/>
                <w:highlight w:val="black"/>
              </w:rPr>
              <w:t>x</w:t>
            </w:r>
            <w:r w:rsidRPr="00EF016C">
              <w:rPr>
                <w:sz w:val="20"/>
                <w:szCs w:val="20"/>
                <w:highlight w:val="black"/>
              </w:rPr>
              <w:t>xx</w:t>
            </w:r>
            <w:proofErr w:type="spellEnd"/>
          </w:p>
        </w:tc>
        <w:tc>
          <w:tcPr>
            <w:tcW w:w="960" w:type="dxa"/>
            <w:tcBorders>
              <w:top w:val="nil"/>
              <w:left w:val="nil"/>
              <w:bottom w:val="single" w:sz="4" w:space="0" w:color="auto"/>
              <w:right w:val="single" w:sz="4" w:space="0" w:color="auto"/>
            </w:tcBorders>
            <w:shd w:val="clear" w:color="auto" w:fill="auto"/>
            <w:noWrap/>
            <w:hideMark/>
          </w:tcPr>
          <w:p w14:paraId="05C21D35" w14:textId="3776AF02" w:rsidR="004826CF" w:rsidRPr="00EF016C" w:rsidRDefault="004826CF" w:rsidP="004826CF">
            <w:pPr>
              <w:spacing w:after="0"/>
              <w:jc w:val="right"/>
              <w:rPr>
                <w:rFonts w:ascii="Calibri" w:eastAsia="Times New Roman" w:hAnsi="Calibri" w:cs="Calibri"/>
                <w:color w:val="000000"/>
                <w:sz w:val="20"/>
                <w:szCs w:val="20"/>
                <w:highlight w:val="black"/>
              </w:rPr>
            </w:pPr>
            <w:proofErr w:type="spellStart"/>
            <w:r w:rsidRPr="00EF016C">
              <w:rPr>
                <w:sz w:val="20"/>
                <w:szCs w:val="20"/>
                <w:highlight w:val="black"/>
              </w:rPr>
              <w:t>xx</w:t>
            </w:r>
            <w:r w:rsidR="00EF016C" w:rsidRPr="00EF016C">
              <w:rPr>
                <w:sz w:val="20"/>
                <w:szCs w:val="20"/>
                <w:highlight w:val="black"/>
              </w:rPr>
              <w:t>x</w:t>
            </w:r>
            <w:r w:rsidRPr="00EF016C">
              <w:rPr>
                <w:sz w:val="20"/>
                <w:szCs w:val="20"/>
                <w:highlight w:val="black"/>
              </w:rPr>
              <w:t>x</w:t>
            </w:r>
            <w:proofErr w:type="spellEnd"/>
          </w:p>
        </w:tc>
      </w:tr>
    </w:tbl>
    <w:p w14:paraId="2245CB0F" w14:textId="77777777" w:rsidR="00B2259D" w:rsidRDefault="00B2259D" w:rsidP="00A35800">
      <w:pPr>
        <w:rPr>
          <w:highlight w:val="cyan"/>
        </w:rPr>
      </w:pPr>
    </w:p>
    <w:p w14:paraId="20D51874" w14:textId="0EEA4F78" w:rsidR="00C66219" w:rsidRDefault="00187A9D" w:rsidP="00A35800">
      <w:r w:rsidRPr="00187A9D">
        <w:t xml:space="preserve">The submission </w:t>
      </w:r>
      <w:r>
        <w:t xml:space="preserve">estimated </w:t>
      </w:r>
      <w:proofErr w:type="spellStart"/>
      <w:r w:rsidR="006400C1" w:rsidRPr="00EF016C">
        <w:rPr>
          <w:highlight w:val="black"/>
        </w:rPr>
        <w:t>xxxxx</w:t>
      </w:r>
      <w:proofErr w:type="spellEnd"/>
      <w:r w:rsidR="009A3607">
        <w:t xml:space="preserve"> patients</w:t>
      </w:r>
      <w:r w:rsidR="00803075">
        <w:t xml:space="preserve"> would be eligible for treatment</w:t>
      </w:r>
      <w:r w:rsidR="009A3607">
        <w:t xml:space="preserve"> in year 1, and </w:t>
      </w:r>
      <w:proofErr w:type="spellStart"/>
      <w:r w:rsidR="006400C1" w:rsidRPr="00EF016C">
        <w:rPr>
          <w:highlight w:val="black"/>
        </w:rPr>
        <w:t>xxxxx</w:t>
      </w:r>
      <w:proofErr w:type="spellEnd"/>
      <w:r w:rsidR="006400C1" w:rsidRPr="006400C1">
        <w:t xml:space="preserve"> </w:t>
      </w:r>
      <w:r w:rsidR="00803075" w:rsidRPr="00803075">
        <w:t xml:space="preserve">would be eligible for treatment </w:t>
      </w:r>
      <w:r w:rsidR="009A3607">
        <w:t xml:space="preserve">in year 2. </w:t>
      </w:r>
      <w:r w:rsidR="00676783">
        <w:t xml:space="preserve">It is </w:t>
      </w:r>
      <w:r w:rsidR="00D222B2">
        <w:t>unknown whether</w:t>
      </w:r>
      <w:r w:rsidR="00676783">
        <w:t xml:space="preserve"> the </w:t>
      </w:r>
      <w:r w:rsidR="00D222B2">
        <w:t>epidemiological assumptions underestimated the number of eligible patients, whether the uptake assumptions were underestimated</w:t>
      </w:r>
      <w:r w:rsidR="00797D39">
        <w:t xml:space="preserve">, or due to a combination of both. </w:t>
      </w:r>
      <w:r w:rsidR="00F62CDA">
        <w:t xml:space="preserve">If the </w:t>
      </w:r>
      <w:r w:rsidR="00F62CDA" w:rsidRPr="00F62CDA">
        <w:t>epidemiological assumptions</w:t>
      </w:r>
      <w:r w:rsidR="00F62CDA">
        <w:t xml:space="preserve"> were correct</w:t>
      </w:r>
      <w:r w:rsidR="0079042D">
        <w:t xml:space="preserve"> then </w:t>
      </w:r>
      <w:r w:rsidR="00B025FD">
        <w:t>the uptake rates would have been 16% in year 1 and 25% in year 2</w:t>
      </w:r>
      <w:r w:rsidR="00542EA1">
        <w:t>, including initiating, continuing and grandfathered patients.</w:t>
      </w:r>
    </w:p>
    <w:p w14:paraId="70F550DD" w14:textId="47E79550" w:rsidR="00412B62" w:rsidRDefault="00412B62" w:rsidP="00A35800">
      <w:r>
        <w:t>As the submission estimated uptake of initial and continuing patients each year</w:t>
      </w:r>
      <w:r w:rsidR="00F64050">
        <w:t>, it did not predict duration of treatment, except in grandfathered patients</w:t>
      </w:r>
      <w:r w:rsidR="002B741F">
        <w:t xml:space="preserve"> where it predicted there </w:t>
      </w:r>
      <w:r w:rsidR="002B741F" w:rsidRPr="002B741F">
        <w:t xml:space="preserve">would be </w:t>
      </w:r>
      <w:r w:rsidR="005A5F26" w:rsidRPr="00EF016C">
        <w:rPr>
          <w:highlight w:val="black"/>
        </w:rPr>
        <w:t>xxx</w:t>
      </w:r>
      <w:r w:rsidR="002B741F" w:rsidRPr="002B741F">
        <w:t xml:space="preserve"> patients eligible for dupilumab </w:t>
      </w:r>
      <w:r w:rsidR="002B741F">
        <w:t xml:space="preserve">prior to listing </w:t>
      </w:r>
      <w:r w:rsidR="002B741F" w:rsidRPr="002B741F">
        <w:t>and that 83.2% of these (</w:t>
      </w:r>
      <w:r w:rsidR="005A5F26" w:rsidRPr="00EF016C">
        <w:rPr>
          <w:highlight w:val="black"/>
        </w:rPr>
        <w:t>xxx</w:t>
      </w:r>
      <w:r w:rsidR="002B741F" w:rsidRPr="002B741F">
        <w:t>) would be supplied PBS treatment in the first year of listing, with an additional 3.2% ceasing treatment in each subsequent year</w:t>
      </w:r>
      <w:r w:rsidR="00F62CDA">
        <w:t>.</w:t>
      </w:r>
    </w:p>
    <w:p w14:paraId="6C28E59B" w14:textId="77777777" w:rsidR="003771E0" w:rsidRDefault="003771E0" w:rsidP="00A35800"/>
    <w:p w14:paraId="6BE12CDD" w14:textId="491E8299" w:rsidR="003771E0" w:rsidRPr="00187A9D" w:rsidRDefault="003771E0" w:rsidP="00382D28">
      <w:pPr>
        <w:pStyle w:val="Tabletitle"/>
        <w:keepNext/>
      </w:pPr>
      <w:r w:rsidRPr="003771E0">
        <w:lastRenderedPageBreak/>
        <w:t xml:space="preserve">Table </w:t>
      </w:r>
      <w:r w:rsidR="00465265">
        <w:t>15</w:t>
      </w:r>
      <w:r w:rsidRPr="003771E0">
        <w:t>: Actual versus predicted utilisation</w:t>
      </w:r>
      <w:r w:rsidR="00FE0100">
        <w:t xml:space="preserve"> of dermatitis market</w:t>
      </w:r>
    </w:p>
    <w:tbl>
      <w:tblPr>
        <w:tblW w:w="6949" w:type="dxa"/>
        <w:tblLook w:val="04A0" w:firstRow="1" w:lastRow="0" w:firstColumn="1" w:lastColumn="0" w:noHBand="0" w:noVBand="1"/>
      </w:tblPr>
      <w:tblGrid>
        <w:gridCol w:w="1274"/>
        <w:gridCol w:w="2690"/>
        <w:gridCol w:w="1065"/>
        <w:gridCol w:w="960"/>
        <w:gridCol w:w="960"/>
      </w:tblGrid>
      <w:tr w:rsidR="00382D28" w:rsidRPr="00382D28" w14:paraId="32488CE3" w14:textId="77777777" w:rsidTr="005C5817">
        <w:trPr>
          <w:trHeight w:val="300"/>
        </w:trPr>
        <w:tc>
          <w:tcPr>
            <w:tcW w:w="127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081C8A7C" w14:textId="77777777" w:rsidR="00382D28" w:rsidRPr="00382D28" w:rsidRDefault="00382D28" w:rsidP="00382D28">
            <w:pPr>
              <w:keepNext/>
              <w:spacing w:after="0"/>
              <w:rPr>
                <w:rFonts w:ascii="Calibri" w:eastAsia="Times New Roman" w:hAnsi="Calibri" w:cs="Calibri"/>
                <w:b/>
                <w:bCs/>
                <w:color w:val="000000"/>
                <w:sz w:val="20"/>
                <w:szCs w:val="20"/>
              </w:rPr>
            </w:pPr>
            <w:r w:rsidRPr="00382D28">
              <w:rPr>
                <w:rFonts w:ascii="Calibri" w:eastAsia="Times New Roman" w:hAnsi="Calibri" w:cs="Calibri"/>
                <w:b/>
                <w:bCs/>
                <w:color w:val="000000"/>
                <w:sz w:val="20"/>
                <w:szCs w:val="20"/>
              </w:rPr>
              <w:t> </w:t>
            </w:r>
          </w:p>
        </w:tc>
        <w:tc>
          <w:tcPr>
            <w:tcW w:w="269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49F97816" w14:textId="77777777" w:rsidR="00382D28" w:rsidRPr="00382D28" w:rsidRDefault="00382D28" w:rsidP="00382D28">
            <w:pPr>
              <w:keepNext/>
              <w:spacing w:after="0"/>
              <w:rPr>
                <w:rFonts w:ascii="Calibri" w:eastAsia="Times New Roman" w:hAnsi="Calibri" w:cs="Calibri"/>
                <w:b/>
                <w:bCs/>
                <w:color w:val="000000"/>
                <w:sz w:val="20"/>
                <w:szCs w:val="20"/>
              </w:rPr>
            </w:pPr>
            <w:r w:rsidRPr="00382D28">
              <w:rPr>
                <w:rFonts w:ascii="Calibri" w:eastAsia="Times New Roman" w:hAnsi="Calibri" w:cs="Calibri"/>
                <w:b/>
                <w:bCs/>
                <w:color w:val="000000"/>
                <w:sz w:val="20"/>
                <w:szCs w:val="20"/>
              </w:rPr>
              <w:t> </w:t>
            </w:r>
          </w:p>
        </w:tc>
        <w:tc>
          <w:tcPr>
            <w:tcW w:w="1065"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0280B0F3" w14:textId="77777777" w:rsidR="00382D28" w:rsidRPr="00382D28" w:rsidRDefault="00382D28" w:rsidP="00382D28">
            <w:pPr>
              <w:keepNext/>
              <w:spacing w:after="0"/>
              <w:rPr>
                <w:rFonts w:ascii="Calibri" w:eastAsia="Times New Roman" w:hAnsi="Calibri" w:cs="Calibri"/>
                <w:b/>
                <w:bCs/>
                <w:color w:val="000000"/>
                <w:sz w:val="20"/>
                <w:szCs w:val="20"/>
              </w:rPr>
            </w:pPr>
            <w:r w:rsidRPr="00382D28">
              <w:rPr>
                <w:rFonts w:ascii="Calibri" w:eastAsia="Times New Roman" w:hAnsi="Calibri" w:cs="Calibri"/>
                <w:b/>
                <w:bCs/>
                <w:color w:val="000000"/>
                <w:sz w:val="20"/>
                <w:szCs w:val="20"/>
              </w:rPr>
              <w:t> </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1E10FC4C" w14:textId="77777777" w:rsidR="00382D28" w:rsidRPr="00382D28" w:rsidRDefault="00382D28" w:rsidP="00382D28">
            <w:pPr>
              <w:keepNext/>
              <w:spacing w:after="0"/>
              <w:rPr>
                <w:rFonts w:ascii="Calibri" w:eastAsia="Times New Roman" w:hAnsi="Calibri" w:cs="Calibri"/>
                <w:b/>
                <w:bCs/>
                <w:color w:val="000000"/>
                <w:sz w:val="20"/>
                <w:szCs w:val="20"/>
              </w:rPr>
            </w:pPr>
            <w:r w:rsidRPr="00382D28">
              <w:rPr>
                <w:rFonts w:ascii="Calibri" w:eastAsia="Times New Roman" w:hAnsi="Calibri" w:cs="Calibri"/>
                <w:b/>
                <w:bCs/>
                <w:color w:val="000000"/>
                <w:sz w:val="20"/>
                <w:szCs w:val="20"/>
              </w:rPr>
              <w:t>Year 1</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0CABB4ED" w14:textId="77777777" w:rsidR="00382D28" w:rsidRPr="00382D28" w:rsidRDefault="00382D28" w:rsidP="00382D28">
            <w:pPr>
              <w:keepNext/>
              <w:spacing w:after="0"/>
              <w:rPr>
                <w:rFonts w:ascii="Calibri" w:eastAsia="Times New Roman" w:hAnsi="Calibri" w:cs="Calibri"/>
                <w:b/>
                <w:bCs/>
                <w:color w:val="000000"/>
                <w:sz w:val="20"/>
                <w:szCs w:val="20"/>
              </w:rPr>
            </w:pPr>
            <w:r w:rsidRPr="00382D28">
              <w:rPr>
                <w:rFonts w:ascii="Calibri" w:eastAsia="Times New Roman" w:hAnsi="Calibri" w:cs="Calibri"/>
                <w:b/>
                <w:bCs/>
                <w:color w:val="000000"/>
                <w:sz w:val="20"/>
                <w:szCs w:val="20"/>
              </w:rPr>
              <w:t>Year 2</w:t>
            </w:r>
          </w:p>
        </w:tc>
      </w:tr>
      <w:tr w:rsidR="00EF016C" w:rsidRPr="00382D28" w14:paraId="4ECD8B54" w14:textId="77777777" w:rsidTr="005C5817">
        <w:trPr>
          <w:trHeight w:val="300"/>
        </w:trPr>
        <w:tc>
          <w:tcPr>
            <w:tcW w:w="1274" w:type="dxa"/>
            <w:vMerge w:val="restart"/>
            <w:tcBorders>
              <w:top w:val="nil"/>
              <w:left w:val="single" w:sz="4" w:space="0" w:color="auto"/>
              <w:right w:val="single" w:sz="4" w:space="0" w:color="auto"/>
            </w:tcBorders>
            <w:shd w:val="clear" w:color="auto" w:fill="auto"/>
            <w:noWrap/>
            <w:vAlign w:val="center"/>
            <w:hideMark/>
          </w:tcPr>
          <w:p w14:paraId="2451C16D" w14:textId="2327430C" w:rsidR="00EF016C" w:rsidRPr="00382D28" w:rsidRDefault="00EF016C" w:rsidP="00EF016C">
            <w:pPr>
              <w:keepNext/>
              <w:spacing w:after="0"/>
              <w:rPr>
                <w:rFonts w:ascii="Calibri" w:eastAsia="Times New Roman" w:hAnsi="Calibri" w:cs="Calibri"/>
                <w:color w:val="000000"/>
                <w:sz w:val="20"/>
                <w:szCs w:val="20"/>
              </w:rPr>
            </w:pPr>
            <w:r w:rsidRPr="00382D28">
              <w:rPr>
                <w:rFonts w:ascii="Calibri" w:eastAsia="Times New Roman" w:hAnsi="Calibri" w:cs="Calibri"/>
                <w:color w:val="000000"/>
                <w:sz w:val="20"/>
                <w:szCs w:val="20"/>
              </w:rPr>
              <w:t>Patient</w:t>
            </w:r>
            <w:r>
              <w:rPr>
                <w:rFonts w:ascii="Calibri" w:eastAsia="Times New Roman" w:hAnsi="Calibri" w:cs="Calibri"/>
                <w:color w:val="000000"/>
                <w:sz w:val="20"/>
                <w:szCs w:val="20"/>
              </w:rPr>
              <w:t>s</w:t>
            </w:r>
          </w:p>
        </w:tc>
        <w:tc>
          <w:tcPr>
            <w:tcW w:w="2690" w:type="dxa"/>
            <w:tcBorders>
              <w:top w:val="nil"/>
              <w:left w:val="nil"/>
              <w:bottom w:val="single" w:sz="4" w:space="0" w:color="auto"/>
              <w:right w:val="single" w:sz="4" w:space="0" w:color="auto"/>
            </w:tcBorders>
            <w:shd w:val="clear" w:color="auto" w:fill="auto"/>
            <w:noWrap/>
            <w:vAlign w:val="bottom"/>
            <w:hideMark/>
          </w:tcPr>
          <w:p w14:paraId="6F7627B8" w14:textId="77777777" w:rsidR="00EF016C" w:rsidRPr="00382D28" w:rsidRDefault="00EF016C" w:rsidP="00EF016C">
            <w:pPr>
              <w:keepNext/>
              <w:spacing w:after="0"/>
              <w:rPr>
                <w:rFonts w:ascii="Calibri" w:eastAsia="Times New Roman" w:hAnsi="Calibri" w:cs="Calibri"/>
                <w:color w:val="000000"/>
                <w:sz w:val="20"/>
                <w:szCs w:val="20"/>
              </w:rPr>
            </w:pPr>
            <w:r w:rsidRPr="00382D28">
              <w:rPr>
                <w:rFonts w:ascii="Calibri" w:eastAsia="Times New Roman" w:hAnsi="Calibri" w:cs="Calibri"/>
                <w:color w:val="000000"/>
                <w:sz w:val="20"/>
                <w:szCs w:val="20"/>
              </w:rPr>
              <w:t>Initiating</w:t>
            </w:r>
          </w:p>
        </w:tc>
        <w:tc>
          <w:tcPr>
            <w:tcW w:w="1065" w:type="dxa"/>
            <w:tcBorders>
              <w:top w:val="nil"/>
              <w:left w:val="nil"/>
              <w:bottom w:val="single" w:sz="4" w:space="0" w:color="auto"/>
              <w:right w:val="single" w:sz="4" w:space="0" w:color="auto"/>
            </w:tcBorders>
            <w:shd w:val="clear" w:color="auto" w:fill="auto"/>
            <w:noWrap/>
            <w:vAlign w:val="bottom"/>
            <w:hideMark/>
          </w:tcPr>
          <w:p w14:paraId="22DEB5BB" w14:textId="77777777" w:rsidR="00EF016C" w:rsidRPr="00382D28" w:rsidRDefault="00EF016C" w:rsidP="00EF016C">
            <w:pPr>
              <w:keepNext/>
              <w:spacing w:after="0"/>
              <w:rPr>
                <w:rFonts w:ascii="Calibri" w:eastAsia="Times New Roman" w:hAnsi="Calibri" w:cs="Calibri"/>
                <w:color w:val="000000"/>
                <w:sz w:val="20"/>
                <w:szCs w:val="20"/>
              </w:rPr>
            </w:pPr>
            <w:r w:rsidRPr="00382D28">
              <w:rPr>
                <w:rFonts w:ascii="Calibri" w:eastAsia="Times New Roman" w:hAnsi="Calibri" w:cs="Calibri"/>
                <w:color w:val="000000"/>
                <w:sz w:val="20"/>
                <w:szCs w:val="20"/>
              </w:rPr>
              <w:t>Predicted</w:t>
            </w:r>
          </w:p>
        </w:tc>
        <w:tc>
          <w:tcPr>
            <w:tcW w:w="960" w:type="dxa"/>
            <w:tcBorders>
              <w:top w:val="nil"/>
              <w:left w:val="nil"/>
              <w:bottom w:val="single" w:sz="4" w:space="0" w:color="auto"/>
              <w:right w:val="single" w:sz="4" w:space="0" w:color="auto"/>
            </w:tcBorders>
            <w:shd w:val="clear" w:color="auto" w:fill="auto"/>
            <w:noWrap/>
            <w:vAlign w:val="bottom"/>
            <w:hideMark/>
          </w:tcPr>
          <w:p w14:paraId="54EE9263" w14:textId="56ADB862" w:rsidR="00EF016C" w:rsidRPr="00382D28" w:rsidRDefault="00EF016C" w:rsidP="00EF016C">
            <w:pPr>
              <w:keepNext/>
              <w:spacing w:after="0"/>
              <w:jc w:val="right"/>
              <w:rPr>
                <w:rFonts w:ascii="Calibri" w:eastAsia="Times New Roman" w:hAnsi="Calibri" w:cs="Calibri"/>
                <w:color w:val="000000"/>
                <w:sz w:val="20"/>
                <w:szCs w:val="20"/>
              </w:rPr>
            </w:pPr>
            <w:proofErr w:type="spellStart"/>
            <w:r w:rsidRPr="004826CF">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5F72B66E" w14:textId="22B791F5" w:rsidR="00EF016C" w:rsidRPr="00382D28" w:rsidRDefault="00EF016C" w:rsidP="00EF016C">
            <w:pPr>
              <w:keepNext/>
              <w:spacing w:after="0"/>
              <w:jc w:val="right"/>
              <w:rPr>
                <w:rFonts w:ascii="Calibri" w:eastAsia="Times New Roman" w:hAnsi="Calibri" w:cs="Calibri"/>
                <w:color w:val="000000"/>
                <w:sz w:val="20"/>
                <w:szCs w:val="20"/>
              </w:rPr>
            </w:pPr>
            <w:proofErr w:type="spellStart"/>
            <w:r w:rsidRPr="004826CF">
              <w:rPr>
                <w:rFonts w:ascii="Calibri" w:eastAsia="Times New Roman" w:hAnsi="Calibri" w:cs="Calibri"/>
                <w:color w:val="000000"/>
                <w:sz w:val="20"/>
                <w:szCs w:val="20"/>
                <w:highlight w:val="black"/>
              </w:rPr>
              <w:t>xxxx</w:t>
            </w:r>
            <w:proofErr w:type="spellEnd"/>
          </w:p>
        </w:tc>
      </w:tr>
      <w:tr w:rsidR="00EF016C" w:rsidRPr="00382D28" w14:paraId="48F177A3" w14:textId="77777777" w:rsidTr="005C5817">
        <w:trPr>
          <w:trHeight w:val="300"/>
        </w:trPr>
        <w:tc>
          <w:tcPr>
            <w:tcW w:w="1274" w:type="dxa"/>
            <w:vMerge/>
            <w:tcBorders>
              <w:left w:val="single" w:sz="4" w:space="0" w:color="auto"/>
              <w:right w:val="single" w:sz="4" w:space="0" w:color="auto"/>
            </w:tcBorders>
            <w:shd w:val="clear" w:color="auto" w:fill="auto"/>
            <w:noWrap/>
            <w:vAlign w:val="bottom"/>
            <w:hideMark/>
          </w:tcPr>
          <w:p w14:paraId="3E66E889" w14:textId="71321224" w:rsidR="00EF016C" w:rsidRPr="00382D28" w:rsidRDefault="00EF016C" w:rsidP="00EF016C">
            <w:pPr>
              <w:keepNext/>
              <w:spacing w:after="0"/>
              <w:rPr>
                <w:rFonts w:ascii="Calibri" w:eastAsia="Times New Roman" w:hAnsi="Calibri" w:cs="Calibri"/>
                <w:color w:val="000000"/>
                <w:sz w:val="20"/>
                <w:szCs w:val="20"/>
              </w:rPr>
            </w:pPr>
          </w:p>
        </w:tc>
        <w:tc>
          <w:tcPr>
            <w:tcW w:w="2690" w:type="dxa"/>
            <w:tcBorders>
              <w:top w:val="nil"/>
              <w:left w:val="nil"/>
              <w:bottom w:val="single" w:sz="4" w:space="0" w:color="auto"/>
              <w:right w:val="single" w:sz="4" w:space="0" w:color="auto"/>
            </w:tcBorders>
            <w:shd w:val="clear" w:color="auto" w:fill="auto"/>
            <w:noWrap/>
            <w:vAlign w:val="bottom"/>
            <w:hideMark/>
          </w:tcPr>
          <w:p w14:paraId="0CF3B381" w14:textId="77777777" w:rsidR="00EF016C" w:rsidRPr="00382D28" w:rsidRDefault="00EF016C" w:rsidP="00EF016C">
            <w:pPr>
              <w:keepNext/>
              <w:spacing w:after="0"/>
              <w:rPr>
                <w:rFonts w:ascii="Calibri" w:eastAsia="Times New Roman" w:hAnsi="Calibri" w:cs="Calibri"/>
                <w:color w:val="000000"/>
                <w:sz w:val="20"/>
                <w:szCs w:val="20"/>
              </w:rPr>
            </w:pPr>
            <w:r w:rsidRPr="00382D28">
              <w:rPr>
                <w:rFonts w:ascii="Calibri" w:eastAsia="Times New Roman" w:hAnsi="Calibri" w:cs="Calibri"/>
                <w:color w:val="000000"/>
                <w:sz w:val="20"/>
                <w:szCs w:val="20"/>
              </w:rPr>
              <w:t>Continuing</w:t>
            </w:r>
          </w:p>
        </w:tc>
        <w:tc>
          <w:tcPr>
            <w:tcW w:w="1065" w:type="dxa"/>
            <w:tcBorders>
              <w:top w:val="nil"/>
              <w:left w:val="nil"/>
              <w:bottom w:val="single" w:sz="4" w:space="0" w:color="auto"/>
              <w:right w:val="single" w:sz="4" w:space="0" w:color="auto"/>
            </w:tcBorders>
            <w:shd w:val="clear" w:color="auto" w:fill="auto"/>
            <w:noWrap/>
            <w:vAlign w:val="bottom"/>
            <w:hideMark/>
          </w:tcPr>
          <w:p w14:paraId="7C3A0645" w14:textId="77777777" w:rsidR="00EF016C" w:rsidRPr="00382D28" w:rsidRDefault="00EF016C" w:rsidP="00EF016C">
            <w:pPr>
              <w:keepNext/>
              <w:spacing w:after="0"/>
              <w:rPr>
                <w:rFonts w:ascii="Calibri" w:eastAsia="Times New Roman" w:hAnsi="Calibri" w:cs="Calibri"/>
                <w:color w:val="000000"/>
                <w:sz w:val="20"/>
                <w:szCs w:val="20"/>
              </w:rPr>
            </w:pPr>
            <w:r w:rsidRPr="00382D28">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90F7DED" w14:textId="4A35ED42" w:rsidR="00EF016C" w:rsidRPr="00382D28" w:rsidRDefault="00EF016C" w:rsidP="00EF016C">
            <w:pPr>
              <w:keepNext/>
              <w:spacing w:after="0"/>
              <w:jc w:val="right"/>
              <w:rPr>
                <w:rFonts w:ascii="Calibri" w:eastAsia="Times New Roman" w:hAnsi="Calibri" w:cs="Calibri"/>
                <w:color w:val="000000"/>
                <w:sz w:val="20"/>
                <w:szCs w:val="20"/>
              </w:rPr>
            </w:pPr>
            <w:proofErr w:type="spellStart"/>
            <w:r w:rsidRPr="004826CF">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425EC67D" w14:textId="3B6ACEFA" w:rsidR="00EF016C" w:rsidRPr="00382D28" w:rsidRDefault="00EF016C" w:rsidP="00EF016C">
            <w:pPr>
              <w:keepNext/>
              <w:spacing w:after="0"/>
              <w:jc w:val="right"/>
              <w:rPr>
                <w:rFonts w:ascii="Calibri" w:eastAsia="Times New Roman" w:hAnsi="Calibri" w:cs="Calibri"/>
                <w:color w:val="000000"/>
                <w:sz w:val="20"/>
                <w:szCs w:val="20"/>
              </w:rPr>
            </w:pPr>
            <w:proofErr w:type="spellStart"/>
            <w:r w:rsidRPr="004826CF">
              <w:rPr>
                <w:rFonts w:ascii="Calibri" w:eastAsia="Times New Roman" w:hAnsi="Calibri" w:cs="Calibri"/>
                <w:color w:val="000000"/>
                <w:sz w:val="20"/>
                <w:szCs w:val="20"/>
                <w:highlight w:val="black"/>
              </w:rPr>
              <w:t>xxxx</w:t>
            </w:r>
            <w:proofErr w:type="spellEnd"/>
          </w:p>
        </w:tc>
      </w:tr>
      <w:tr w:rsidR="00EF016C" w:rsidRPr="00382D28" w14:paraId="375521F6" w14:textId="77777777" w:rsidTr="005C5817">
        <w:trPr>
          <w:trHeight w:val="300"/>
        </w:trPr>
        <w:tc>
          <w:tcPr>
            <w:tcW w:w="1274" w:type="dxa"/>
            <w:vMerge/>
            <w:tcBorders>
              <w:left w:val="single" w:sz="4" w:space="0" w:color="auto"/>
              <w:right w:val="single" w:sz="4" w:space="0" w:color="auto"/>
            </w:tcBorders>
            <w:shd w:val="clear" w:color="auto" w:fill="auto"/>
            <w:noWrap/>
            <w:vAlign w:val="bottom"/>
            <w:hideMark/>
          </w:tcPr>
          <w:p w14:paraId="728773F7" w14:textId="5E7379E1" w:rsidR="00EF016C" w:rsidRPr="00382D28" w:rsidRDefault="00EF016C" w:rsidP="00EF016C">
            <w:pPr>
              <w:keepNext/>
              <w:spacing w:after="0"/>
              <w:rPr>
                <w:rFonts w:ascii="Calibri" w:eastAsia="Times New Roman" w:hAnsi="Calibri" w:cs="Calibri"/>
                <w:color w:val="000000"/>
                <w:sz w:val="20"/>
                <w:szCs w:val="20"/>
              </w:rPr>
            </w:pPr>
          </w:p>
        </w:tc>
        <w:tc>
          <w:tcPr>
            <w:tcW w:w="2690" w:type="dxa"/>
            <w:tcBorders>
              <w:top w:val="nil"/>
              <w:left w:val="nil"/>
              <w:bottom w:val="single" w:sz="4" w:space="0" w:color="auto"/>
              <w:right w:val="single" w:sz="4" w:space="0" w:color="auto"/>
            </w:tcBorders>
            <w:shd w:val="clear" w:color="auto" w:fill="auto"/>
            <w:noWrap/>
            <w:vAlign w:val="bottom"/>
            <w:hideMark/>
          </w:tcPr>
          <w:p w14:paraId="5178BD12" w14:textId="77777777" w:rsidR="00EF016C" w:rsidRPr="00382D28" w:rsidRDefault="00EF016C" w:rsidP="00EF016C">
            <w:pPr>
              <w:keepNext/>
              <w:spacing w:after="0"/>
              <w:rPr>
                <w:rFonts w:ascii="Calibri" w:eastAsia="Times New Roman" w:hAnsi="Calibri" w:cs="Calibri"/>
                <w:color w:val="000000"/>
                <w:sz w:val="20"/>
                <w:szCs w:val="20"/>
              </w:rPr>
            </w:pPr>
            <w:r w:rsidRPr="00382D28">
              <w:rPr>
                <w:rFonts w:ascii="Calibri" w:eastAsia="Times New Roman" w:hAnsi="Calibri" w:cs="Calibri"/>
                <w:color w:val="000000"/>
                <w:sz w:val="20"/>
                <w:szCs w:val="20"/>
              </w:rPr>
              <w:t>Grandfathered continuing</w:t>
            </w:r>
          </w:p>
        </w:tc>
        <w:tc>
          <w:tcPr>
            <w:tcW w:w="1065" w:type="dxa"/>
            <w:tcBorders>
              <w:top w:val="nil"/>
              <w:left w:val="nil"/>
              <w:bottom w:val="single" w:sz="4" w:space="0" w:color="auto"/>
              <w:right w:val="single" w:sz="4" w:space="0" w:color="auto"/>
            </w:tcBorders>
            <w:shd w:val="clear" w:color="auto" w:fill="auto"/>
            <w:noWrap/>
            <w:vAlign w:val="bottom"/>
            <w:hideMark/>
          </w:tcPr>
          <w:p w14:paraId="1FFA3C93" w14:textId="77777777" w:rsidR="00EF016C" w:rsidRPr="00382D28" w:rsidRDefault="00EF016C" w:rsidP="00EF016C">
            <w:pPr>
              <w:keepNext/>
              <w:spacing w:after="0"/>
              <w:rPr>
                <w:rFonts w:ascii="Calibri" w:eastAsia="Times New Roman" w:hAnsi="Calibri" w:cs="Calibri"/>
                <w:color w:val="000000"/>
                <w:sz w:val="20"/>
                <w:szCs w:val="20"/>
              </w:rPr>
            </w:pPr>
            <w:r w:rsidRPr="00382D28">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DF28F7E" w14:textId="247BD2E2" w:rsidR="00EF016C" w:rsidRPr="00382D28" w:rsidRDefault="00EF016C" w:rsidP="00EF016C">
            <w:pPr>
              <w:keepNext/>
              <w:spacing w:after="0"/>
              <w:jc w:val="right"/>
              <w:rPr>
                <w:rFonts w:ascii="Calibri" w:eastAsia="Times New Roman" w:hAnsi="Calibri" w:cs="Calibri"/>
                <w:color w:val="000000"/>
                <w:sz w:val="20"/>
                <w:szCs w:val="20"/>
              </w:rPr>
            </w:pPr>
            <w:proofErr w:type="spellStart"/>
            <w:r w:rsidRPr="004826CF">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3D77C88A" w14:textId="2436F306" w:rsidR="00EF016C" w:rsidRPr="00382D28" w:rsidRDefault="00EF016C" w:rsidP="00EF016C">
            <w:pPr>
              <w:keepNext/>
              <w:spacing w:after="0"/>
              <w:jc w:val="right"/>
              <w:rPr>
                <w:rFonts w:ascii="Calibri" w:eastAsia="Times New Roman" w:hAnsi="Calibri" w:cs="Calibri"/>
                <w:color w:val="000000"/>
                <w:sz w:val="20"/>
                <w:szCs w:val="20"/>
              </w:rPr>
            </w:pPr>
            <w:proofErr w:type="spellStart"/>
            <w:r w:rsidRPr="004826CF">
              <w:rPr>
                <w:rFonts w:ascii="Calibri" w:eastAsia="Times New Roman" w:hAnsi="Calibri" w:cs="Calibri"/>
                <w:color w:val="000000"/>
                <w:sz w:val="20"/>
                <w:szCs w:val="20"/>
                <w:highlight w:val="black"/>
              </w:rPr>
              <w:t>xxxx</w:t>
            </w:r>
            <w:proofErr w:type="spellEnd"/>
          </w:p>
        </w:tc>
      </w:tr>
      <w:tr w:rsidR="00EF016C" w:rsidRPr="00382D28" w14:paraId="3A53AAAE" w14:textId="77777777" w:rsidTr="005C5817">
        <w:trPr>
          <w:trHeight w:val="300"/>
        </w:trPr>
        <w:tc>
          <w:tcPr>
            <w:tcW w:w="1274" w:type="dxa"/>
            <w:vMerge/>
            <w:tcBorders>
              <w:left w:val="single" w:sz="4" w:space="0" w:color="auto"/>
              <w:right w:val="single" w:sz="4" w:space="0" w:color="auto"/>
            </w:tcBorders>
            <w:shd w:val="clear" w:color="auto" w:fill="auto"/>
            <w:noWrap/>
            <w:vAlign w:val="bottom"/>
            <w:hideMark/>
          </w:tcPr>
          <w:p w14:paraId="5804AD50" w14:textId="1118C1A9" w:rsidR="00EF016C" w:rsidRPr="00382D28" w:rsidRDefault="00EF016C" w:rsidP="00EF016C">
            <w:pPr>
              <w:keepNext/>
              <w:spacing w:after="0"/>
              <w:rPr>
                <w:rFonts w:ascii="Calibri" w:eastAsia="Times New Roman" w:hAnsi="Calibri" w:cs="Calibri"/>
                <w:color w:val="000000"/>
                <w:sz w:val="20"/>
                <w:szCs w:val="20"/>
              </w:rPr>
            </w:pPr>
          </w:p>
        </w:tc>
        <w:tc>
          <w:tcPr>
            <w:tcW w:w="2690" w:type="dxa"/>
            <w:tcBorders>
              <w:top w:val="nil"/>
              <w:left w:val="nil"/>
              <w:bottom w:val="single" w:sz="4" w:space="0" w:color="auto"/>
              <w:right w:val="single" w:sz="4" w:space="0" w:color="auto"/>
            </w:tcBorders>
            <w:shd w:val="clear" w:color="auto" w:fill="auto"/>
            <w:noWrap/>
            <w:vAlign w:val="bottom"/>
            <w:hideMark/>
          </w:tcPr>
          <w:p w14:paraId="4679B2D3" w14:textId="77777777" w:rsidR="00EF016C" w:rsidRPr="00382D28" w:rsidRDefault="00EF016C" w:rsidP="00EF016C">
            <w:pPr>
              <w:keepNext/>
              <w:spacing w:after="0"/>
              <w:rPr>
                <w:rFonts w:ascii="Calibri" w:eastAsia="Times New Roman" w:hAnsi="Calibri" w:cs="Calibri"/>
                <w:color w:val="000000"/>
                <w:sz w:val="20"/>
                <w:szCs w:val="20"/>
              </w:rPr>
            </w:pPr>
            <w:r w:rsidRPr="00382D28">
              <w:rPr>
                <w:rFonts w:ascii="Calibri" w:eastAsia="Times New Roman" w:hAnsi="Calibri" w:cs="Calibri"/>
                <w:color w:val="000000"/>
                <w:sz w:val="20"/>
                <w:szCs w:val="20"/>
              </w:rPr>
              <w:t>Total</w:t>
            </w:r>
          </w:p>
        </w:tc>
        <w:tc>
          <w:tcPr>
            <w:tcW w:w="1065" w:type="dxa"/>
            <w:tcBorders>
              <w:top w:val="nil"/>
              <w:left w:val="nil"/>
              <w:bottom w:val="single" w:sz="4" w:space="0" w:color="auto"/>
              <w:right w:val="single" w:sz="4" w:space="0" w:color="auto"/>
            </w:tcBorders>
            <w:shd w:val="clear" w:color="auto" w:fill="auto"/>
            <w:noWrap/>
            <w:vAlign w:val="bottom"/>
            <w:hideMark/>
          </w:tcPr>
          <w:p w14:paraId="45CE1D8C" w14:textId="77777777" w:rsidR="00EF016C" w:rsidRPr="00382D28" w:rsidRDefault="00EF016C" w:rsidP="00EF016C">
            <w:pPr>
              <w:keepNext/>
              <w:spacing w:after="0"/>
              <w:rPr>
                <w:rFonts w:ascii="Calibri" w:eastAsia="Times New Roman" w:hAnsi="Calibri" w:cs="Calibri"/>
                <w:color w:val="000000"/>
                <w:sz w:val="20"/>
                <w:szCs w:val="20"/>
              </w:rPr>
            </w:pPr>
            <w:r w:rsidRPr="00382D28">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0F5055FC" w14:textId="4294907A" w:rsidR="00EF016C" w:rsidRPr="00382D28" w:rsidRDefault="00EF016C" w:rsidP="00EF016C">
            <w:pPr>
              <w:keepNext/>
              <w:spacing w:after="0"/>
              <w:jc w:val="right"/>
              <w:rPr>
                <w:rFonts w:ascii="Calibri" w:eastAsia="Times New Roman" w:hAnsi="Calibri" w:cs="Calibri"/>
                <w:color w:val="000000"/>
                <w:sz w:val="20"/>
                <w:szCs w:val="20"/>
              </w:rPr>
            </w:pPr>
            <w:proofErr w:type="spellStart"/>
            <w:r w:rsidRPr="004826CF">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17FF5B06" w14:textId="7A60552F" w:rsidR="00EF016C" w:rsidRPr="00382D28" w:rsidRDefault="00EF016C" w:rsidP="00EF016C">
            <w:pPr>
              <w:keepNext/>
              <w:spacing w:after="0"/>
              <w:jc w:val="right"/>
              <w:rPr>
                <w:rFonts w:ascii="Calibri" w:eastAsia="Times New Roman" w:hAnsi="Calibri" w:cs="Calibri"/>
                <w:color w:val="000000"/>
                <w:sz w:val="20"/>
                <w:szCs w:val="20"/>
              </w:rPr>
            </w:pPr>
            <w:proofErr w:type="spellStart"/>
            <w:r w:rsidRPr="004826CF">
              <w:rPr>
                <w:rFonts w:ascii="Calibri" w:eastAsia="Times New Roman" w:hAnsi="Calibri" w:cs="Calibri"/>
                <w:color w:val="000000"/>
                <w:sz w:val="20"/>
                <w:szCs w:val="20"/>
                <w:highlight w:val="black"/>
              </w:rPr>
              <w:t>xxxx</w:t>
            </w:r>
            <w:proofErr w:type="spellEnd"/>
          </w:p>
        </w:tc>
      </w:tr>
      <w:tr w:rsidR="00EF016C" w:rsidRPr="00382D28" w14:paraId="517F44D2" w14:textId="77777777" w:rsidTr="005C5817">
        <w:trPr>
          <w:trHeight w:val="300"/>
        </w:trPr>
        <w:tc>
          <w:tcPr>
            <w:tcW w:w="1274" w:type="dxa"/>
            <w:vMerge/>
            <w:tcBorders>
              <w:left w:val="single" w:sz="4" w:space="0" w:color="auto"/>
              <w:right w:val="single" w:sz="4" w:space="0" w:color="auto"/>
            </w:tcBorders>
            <w:shd w:val="clear" w:color="auto" w:fill="auto"/>
            <w:noWrap/>
            <w:vAlign w:val="bottom"/>
            <w:hideMark/>
          </w:tcPr>
          <w:p w14:paraId="36C7A336" w14:textId="2538F981" w:rsidR="00EF016C" w:rsidRPr="00382D28" w:rsidRDefault="00EF016C" w:rsidP="00EF016C">
            <w:pPr>
              <w:keepNext/>
              <w:spacing w:after="0"/>
              <w:rPr>
                <w:rFonts w:ascii="Calibri" w:eastAsia="Times New Roman" w:hAnsi="Calibri" w:cs="Calibri"/>
                <w:color w:val="000000"/>
                <w:sz w:val="20"/>
                <w:szCs w:val="20"/>
              </w:rPr>
            </w:pPr>
          </w:p>
        </w:tc>
        <w:tc>
          <w:tcPr>
            <w:tcW w:w="2690" w:type="dxa"/>
            <w:vMerge w:val="restart"/>
            <w:tcBorders>
              <w:top w:val="nil"/>
              <w:left w:val="nil"/>
              <w:right w:val="single" w:sz="4" w:space="0" w:color="auto"/>
            </w:tcBorders>
            <w:shd w:val="clear" w:color="auto" w:fill="auto"/>
            <w:noWrap/>
            <w:vAlign w:val="center"/>
            <w:hideMark/>
          </w:tcPr>
          <w:p w14:paraId="23CD2BD4" w14:textId="793FFC08" w:rsidR="00EF016C" w:rsidRPr="00382D28" w:rsidRDefault="00EF016C" w:rsidP="00EF016C">
            <w:pPr>
              <w:keepNext/>
              <w:spacing w:after="0"/>
              <w:rPr>
                <w:rFonts w:ascii="Calibri" w:eastAsia="Times New Roman" w:hAnsi="Calibri" w:cs="Calibri"/>
                <w:color w:val="000000"/>
                <w:sz w:val="20"/>
                <w:szCs w:val="20"/>
              </w:rPr>
            </w:pPr>
            <w:r w:rsidRPr="00382D28">
              <w:rPr>
                <w:rFonts w:ascii="Calibri" w:eastAsia="Times New Roman" w:hAnsi="Calibri" w:cs="Calibri"/>
                <w:color w:val="000000"/>
                <w:sz w:val="20"/>
                <w:szCs w:val="20"/>
              </w:rPr>
              <w:t>Initiating </w:t>
            </w:r>
          </w:p>
        </w:tc>
        <w:tc>
          <w:tcPr>
            <w:tcW w:w="1065" w:type="dxa"/>
            <w:tcBorders>
              <w:top w:val="nil"/>
              <w:left w:val="nil"/>
              <w:bottom w:val="single" w:sz="4" w:space="0" w:color="auto"/>
              <w:right w:val="single" w:sz="4" w:space="0" w:color="auto"/>
            </w:tcBorders>
            <w:shd w:val="clear" w:color="auto" w:fill="auto"/>
            <w:noWrap/>
            <w:vAlign w:val="bottom"/>
            <w:hideMark/>
          </w:tcPr>
          <w:p w14:paraId="11173C5C" w14:textId="77777777" w:rsidR="00EF016C" w:rsidRPr="00382D28" w:rsidRDefault="00EF016C" w:rsidP="00EF016C">
            <w:pPr>
              <w:keepNext/>
              <w:spacing w:after="0"/>
              <w:rPr>
                <w:rFonts w:ascii="Calibri" w:eastAsia="Times New Roman" w:hAnsi="Calibri" w:cs="Calibri"/>
                <w:color w:val="000000"/>
                <w:sz w:val="20"/>
                <w:szCs w:val="20"/>
              </w:rPr>
            </w:pPr>
            <w:r w:rsidRPr="00382D28">
              <w:rPr>
                <w:rFonts w:ascii="Calibri" w:eastAsia="Times New Roman" w:hAnsi="Calibri" w:cs="Calibri"/>
                <w:color w:val="000000"/>
                <w:sz w:val="20"/>
                <w:szCs w:val="20"/>
              </w:rPr>
              <w:t>Predicted</w:t>
            </w:r>
          </w:p>
        </w:tc>
        <w:tc>
          <w:tcPr>
            <w:tcW w:w="960" w:type="dxa"/>
            <w:tcBorders>
              <w:top w:val="nil"/>
              <w:left w:val="nil"/>
              <w:bottom w:val="single" w:sz="4" w:space="0" w:color="auto"/>
              <w:right w:val="single" w:sz="4" w:space="0" w:color="auto"/>
            </w:tcBorders>
            <w:shd w:val="clear" w:color="auto" w:fill="auto"/>
            <w:noWrap/>
            <w:vAlign w:val="bottom"/>
            <w:hideMark/>
          </w:tcPr>
          <w:p w14:paraId="43734ED1" w14:textId="60C4AB94" w:rsidR="00EF016C" w:rsidRPr="00382D28" w:rsidRDefault="00EF016C" w:rsidP="00EF016C">
            <w:pPr>
              <w:keepNext/>
              <w:spacing w:after="0"/>
              <w:jc w:val="right"/>
              <w:rPr>
                <w:rFonts w:ascii="Calibri" w:eastAsia="Times New Roman" w:hAnsi="Calibri" w:cs="Calibri"/>
                <w:color w:val="000000"/>
                <w:sz w:val="20"/>
                <w:szCs w:val="20"/>
              </w:rPr>
            </w:pPr>
            <w:proofErr w:type="spellStart"/>
            <w:r w:rsidRPr="004826CF">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39A38703" w14:textId="6EB895A3" w:rsidR="00EF016C" w:rsidRPr="00382D28" w:rsidRDefault="00EF016C" w:rsidP="00EF016C">
            <w:pPr>
              <w:keepNext/>
              <w:spacing w:after="0"/>
              <w:jc w:val="right"/>
              <w:rPr>
                <w:rFonts w:ascii="Calibri" w:eastAsia="Times New Roman" w:hAnsi="Calibri" w:cs="Calibri"/>
                <w:color w:val="000000"/>
                <w:sz w:val="20"/>
                <w:szCs w:val="20"/>
              </w:rPr>
            </w:pPr>
            <w:proofErr w:type="spellStart"/>
            <w:r w:rsidRPr="004826CF">
              <w:rPr>
                <w:rFonts w:ascii="Calibri" w:eastAsia="Times New Roman" w:hAnsi="Calibri" w:cs="Calibri"/>
                <w:color w:val="000000"/>
                <w:sz w:val="20"/>
                <w:szCs w:val="20"/>
                <w:highlight w:val="black"/>
              </w:rPr>
              <w:t>xxxx</w:t>
            </w:r>
            <w:proofErr w:type="spellEnd"/>
          </w:p>
        </w:tc>
      </w:tr>
      <w:tr w:rsidR="00A55505" w:rsidRPr="00382D28" w14:paraId="55AE971A" w14:textId="77777777" w:rsidTr="005C5817">
        <w:trPr>
          <w:trHeight w:val="300"/>
        </w:trPr>
        <w:tc>
          <w:tcPr>
            <w:tcW w:w="1274" w:type="dxa"/>
            <w:vMerge/>
            <w:tcBorders>
              <w:left w:val="single" w:sz="4" w:space="0" w:color="auto"/>
              <w:right w:val="single" w:sz="4" w:space="0" w:color="auto"/>
            </w:tcBorders>
            <w:shd w:val="clear" w:color="auto" w:fill="auto"/>
            <w:noWrap/>
            <w:vAlign w:val="bottom"/>
            <w:hideMark/>
          </w:tcPr>
          <w:p w14:paraId="1A80181D" w14:textId="51750312" w:rsidR="00A55505" w:rsidRPr="00382D28" w:rsidRDefault="00A55505" w:rsidP="00382D28">
            <w:pPr>
              <w:keepNext/>
              <w:spacing w:after="0"/>
              <w:rPr>
                <w:rFonts w:ascii="Calibri" w:eastAsia="Times New Roman" w:hAnsi="Calibri" w:cs="Calibri"/>
                <w:color w:val="000000"/>
                <w:sz w:val="20"/>
                <w:szCs w:val="20"/>
              </w:rPr>
            </w:pPr>
          </w:p>
        </w:tc>
        <w:tc>
          <w:tcPr>
            <w:tcW w:w="2690" w:type="dxa"/>
            <w:vMerge/>
            <w:tcBorders>
              <w:left w:val="nil"/>
              <w:right w:val="single" w:sz="4" w:space="0" w:color="auto"/>
            </w:tcBorders>
            <w:shd w:val="clear" w:color="auto" w:fill="auto"/>
            <w:noWrap/>
            <w:vAlign w:val="center"/>
            <w:hideMark/>
          </w:tcPr>
          <w:p w14:paraId="3F29D29F" w14:textId="1E0DF7FB" w:rsidR="00A55505" w:rsidRPr="00382D28" w:rsidRDefault="00A55505" w:rsidP="00A55505">
            <w:pPr>
              <w:keepNext/>
              <w:spacing w:after="0"/>
              <w:rPr>
                <w:rFonts w:ascii="Calibri" w:eastAsia="Times New Roman" w:hAnsi="Calibri" w:cs="Calibri"/>
                <w:color w:val="000000"/>
                <w:sz w:val="20"/>
                <w:szCs w:val="20"/>
              </w:rPr>
            </w:pPr>
          </w:p>
        </w:tc>
        <w:tc>
          <w:tcPr>
            <w:tcW w:w="1065" w:type="dxa"/>
            <w:tcBorders>
              <w:top w:val="nil"/>
              <w:left w:val="nil"/>
              <w:bottom w:val="single" w:sz="4" w:space="0" w:color="auto"/>
              <w:right w:val="single" w:sz="4" w:space="0" w:color="auto"/>
            </w:tcBorders>
            <w:shd w:val="clear" w:color="auto" w:fill="auto"/>
            <w:noWrap/>
            <w:vAlign w:val="bottom"/>
            <w:hideMark/>
          </w:tcPr>
          <w:p w14:paraId="4281FF8B" w14:textId="77777777" w:rsidR="00A55505" w:rsidRPr="00382D28" w:rsidRDefault="00A55505" w:rsidP="00382D28">
            <w:pPr>
              <w:keepNext/>
              <w:spacing w:after="0"/>
              <w:rPr>
                <w:rFonts w:ascii="Calibri" w:eastAsia="Times New Roman" w:hAnsi="Calibri" w:cs="Calibri"/>
                <w:color w:val="000000"/>
                <w:sz w:val="20"/>
                <w:szCs w:val="20"/>
              </w:rPr>
            </w:pPr>
            <w:r w:rsidRPr="00382D28">
              <w:rPr>
                <w:rFonts w:ascii="Calibri" w:eastAsia="Times New Roman" w:hAnsi="Calibri" w:cs="Calibri"/>
                <w:color w:val="000000"/>
                <w:sz w:val="20"/>
                <w:szCs w:val="20"/>
              </w:rPr>
              <w:t>Actual</w:t>
            </w:r>
          </w:p>
        </w:tc>
        <w:tc>
          <w:tcPr>
            <w:tcW w:w="960" w:type="dxa"/>
            <w:tcBorders>
              <w:top w:val="nil"/>
              <w:left w:val="nil"/>
              <w:bottom w:val="single" w:sz="4" w:space="0" w:color="auto"/>
              <w:right w:val="single" w:sz="4" w:space="0" w:color="auto"/>
            </w:tcBorders>
            <w:shd w:val="clear" w:color="auto" w:fill="auto"/>
            <w:noWrap/>
            <w:vAlign w:val="bottom"/>
            <w:hideMark/>
          </w:tcPr>
          <w:p w14:paraId="103552E9" w14:textId="6B529EA8" w:rsidR="00A55505" w:rsidRPr="00382D28" w:rsidRDefault="00A55505" w:rsidP="00382D28">
            <w:pPr>
              <w:keepNext/>
              <w:spacing w:after="0"/>
              <w:jc w:val="right"/>
              <w:rPr>
                <w:rFonts w:ascii="Calibri" w:eastAsia="Times New Roman" w:hAnsi="Calibri" w:cs="Calibri"/>
                <w:color w:val="000000"/>
                <w:sz w:val="20"/>
                <w:szCs w:val="20"/>
              </w:rPr>
            </w:pPr>
            <w:r w:rsidRPr="00382D28">
              <w:rPr>
                <w:rFonts w:ascii="Calibri" w:eastAsia="Times New Roman" w:hAnsi="Calibri" w:cs="Calibri"/>
                <w:color w:val="000000"/>
                <w:sz w:val="20"/>
                <w:szCs w:val="20"/>
              </w:rPr>
              <w:t>8</w:t>
            </w:r>
            <w:r>
              <w:rPr>
                <w:rFonts w:ascii="Calibri" w:eastAsia="Times New Roman" w:hAnsi="Calibri" w:cs="Calibri"/>
                <w:color w:val="000000"/>
                <w:sz w:val="20"/>
                <w:szCs w:val="20"/>
              </w:rPr>
              <w:t>,</w:t>
            </w:r>
            <w:r w:rsidRPr="00382D28">
              <w:rPr>
                <w:rFonts w:ascii="Calibri" w:eastAsia="Times New Roman" w:hAnsi="Calibri" w:cs="Calibri"/>
                <w:color w:val="000000"/>
                <w:sz w:val="20"/>
                <w:szCs w:val="20"/>
              </w:rPr>
              <w:t>137</w:t>
            </w:r>
          </w:p>
        </w:tc>
        <w:tc>
          <w:tcPr>
            <w:tcW w:w="960" w:type="dxa"/>
            <w:tcBorders>
              <w:top w:val="nil"/>
              <w:left w:val="nil"/>
              <w:bottom w:val="single" w:sz="4" w:space="0" w:color="auto"/>
              <w:right w:val="single" w:sz="4" w:space="0" w:color="auto"/>
            </w:tcBorders>
            <w:shd w:val="clear" w:color="auto" w:fill="auto"/>
            <w:noWrap/>
            <w:vAlign w:val="bottom"/>
            <w:hideMark/>
          </w:tcPr>
          <w:p w14:paraId="68BA7F32" w14:textId="490372B0" w:rsidR="00A55505" w:rsidRPr="00382D28" w:rsidRDefault="00A55505" w:rsidP="00382D28">
            <w:pPr>
              <w:keepNext/>
              <w:spacing w:after="0"/>
              <w:jc w:val="right"/>
              <w:rPr>
                <w:rFonts w:ascii="Calibri" w:eastAsia="Times New Roman" w:hAnsi="Calibri" w:cs="Calibri"/>
                <w:color w:val="000000"/>
                <w:sz w:val="20"/>
                <w:szCs w:val="20"/>
              </w:rPr>
            </w:pPr>
            <w:r w:rsidRPr="00382D28">
              <w:rPr>
                <w:rFonts w:ascii="Calibri" w:eastAsia="Times New Roman" w:hAnsi="Calibri" w:cs="Calibri"/>
                <w:color w:val="000000"/>
                <w:sz w:val="20"/>
                <w:szCs w:val="20"/>
              </w:rPr>
              <w:t>9</w:t>
            </w:r>
            <w:r>
              <w:rPr>
                <w:rFonts w:ascii="Calibri" w:eastAsia="Times New Roman" w:hAnsi="Calibri" w:cs="Calibri"/>
                <w:color w:val="000000"/>
                <w:sz w:val="20"/>
                <w:szCs w:val="20"/>
              </w:rPr>
              <w:t>,</w:t>
            </w:r>
            <w:r w:rsidRPr="00382D28">
              <w:rPr>
                <w:rFonts w:ascii="Calibri" w:eastAsia="Times New Roman" w:hAnsi="Calibri" w:cs="Calibri"/>
                <w:color w:val="000000"/>
                <w:sz w:val="20"/>
                <w:szCs w:val="20"/>
              </w:rPr>
              <w:t>193</w:t>
            </w:r>
          </w:p>
        </w:tc>
      </w:tr>
      <w:tr w:rsidR="00EF016C" w:rsidRPr="00382D28" w14:paraId="4CB85557" w14:textId="77777777" w:rsidTr="005C5817">
        <w:trPr>
          <w:trHeight w:val="300"/>
        </w:trPr>
        <w:tc>
          <w:tcPr>
            <w:tcW w:w="1274" w:type="dxa"/>
            <w:vMerge/>
            <w:tcBorders>
              <w:left w:val="single" w:sz="4" w:space="0" w:color="auto"/>
              <w:right w:val="single" w:sz="4" w:space="0" w:color="auto"/>
            </w:tcBorders>
            <w:shd w:val="clear" w:color="auto" w:fill="auto"/>
            <w:noWrap/>
            <w:vAlign w:val="bottom"/>
            <w:hideMark/>
          </w:tcPr>
          <w:p w14:paraId="25E7968A" w14:textId="1D947ABE" w:rsidR="00EF016C" w:rsidRPr="00382D28" w:rsidRDefault="00EF016C" w:rsidP="00EF016C">
            <w:pPr>
              <w:keepNext/>
              <w:spacing w:after="0"/>
              <w:rPr>
                <w:rFonts w:ascii="Calibri" w:eastAsia="Times New Roman" w:hAnsi="Calibri" w:cs="Calibri"/>
                <w:color w:val="000000"/>
                <w:sz w:val="20"/>
                <w:szCs w:val="20"/>
              </w:rPr>
            </w:pPr>
          </w:p>
        </w:tc>
        <w:tc>
          <w:tcPr>
            <w:tcW w:w="2690" w:type="dxa"/>
            <w:vMerge/>
            <w:tcBorders>
              <w:left w:val="nil"/>
              <w:bottom w:val="single" w:sz="4" w:space="0" w:color="auto"/>
              <w:right w:val="single" w:sz="4" w:space="0" w:color="auto"/>
            </w:tcBorders>
            <w:shd w:val="clear" w:color="auto" w:fill="auto"/>
            <w:noWrap/>
            <w:vAlign w:val="center"/>
            <w:hideMark/>
          </w:tcPr>
          <w:p w14:paraId="4086FAA8" w14:textId="063A17C4" w:rsidR="00EF016C" w:rsidRPr="00382D28" w:rsidRDefault="00EF016C" w:rsidP="00EF016C">
            <w:pPr>
              <w:keepNext/>
              <w:spacing w:after="0"/>
              <w:rPr>
                <w:rFonts w:ascii="Calibri" w:eastAsia="Times New Roman" w:hAnsi="Calibri" w:cs="Calibri"/>
                <w:color w:val="000000"/>
                <w:sz w:val="20"/>
                <w:szCs w:val="20"/>
              </w:rPr>
            </w:pPr>
          </w:p>
        </w:tc>
        <w:tc>
          <w:tcPr>
            <w:tcW w:w="1065" w:type="dxa"/>
            <w:tcBorders>
              <w:top w:val="nil"/>
              <w:left w:val="nil"/>
              <w:bottom w:val="single" w:sz="4" w:space="0" w:color="auto"/>
              <w:right w:val="single" w:sz="4" w:space="0" w:color="auto"/>
            </w:tcBorders>
            <w:shd w:val="clear" w:color="auto" w:fill="auto"/>
            <w:noWrap/>
            <w:vAlign w:val="bottom"/>
            <w:hideMark/>
          </w:tcPr>
          <w:p w14:paraId="154AE6A9" w14:textId="77777777" w:rsidR="00EF016C" w:rsidRPr="00382D28" w:rsidRDefault="00EF016C" w:rsidP="00EF016C">
            <w:pPr>
              <w:keepNext/>
              <w:spacing w:after="0"/>
              <w:rPr>
                <w:rFonts w:ascii="Calibri" w:eastAsia="Times New Roman" w:hAnsi="Calibri" w:cs="Calibri"/>
                <w:color w:val="000000"/>
                <w:sz w:val="20"/>
                <w:szCs w:val="20"/>
              </w:rPr>
            </w:pPr>
            <w:r w:rsidRPr="00382D28">
              <w:rPr>
                <w:rFonts w:ascii="Calibri" w:eastAsia="Times New Roman" w:hAnsi="Calibri" w:cs="Calibri"/>
                <w:color w:val="000000"/>
                <w:sz w:val="20"/>
                <w:szCs w:val="20"/>
              </w:rPr>
              <w:t>Difference</w:t>
            </w:r>
          </w:p>
        </w:tc>
        <w:tc>
          <w:tcPr>
            <w:tcW w:w="960" w:type="dxa"/>
            <w:tcBorders>
              <w:top w:val="nil"/>
              <w:left w:val="nil"/>
              <w:bottom w:val="single" w:sz="4" w:space="0" w:color="auto"/>
              <w:right w:val="single" w:sz="4" w:space="0" w:color="auto"/>
            </w:tcBorders>
            <w:shd w:val="clear" w:color="auto" w:fill="auto"/>
            <w:noWrap/>
            <w:vAlign w:val="bottom"/>
            <w:hideMark/>
          </w:tcPr>
          <w:p w14:paraId="757F9CE2" w14:textId="0C02B928" w:rsidR="00EF016C" w:rsidRPr="00382D28" w:rsidRDefault="00EF016C" w:rsidP="00EF016C">
            <w:pPr>
              <w:keepNext/>
              <w:spacing w:after="0"/>
              <w:jc w:val="right"/>
              <w:rPr>
                <w:rFonts w:ascii="Calibri" w:eastAsia="Times New Roman" w:hAnsi="Calibri" w:cs="Calibri"/>
                <w:color w:val="000000"/>
                <w:sz w:val="20"/>
                <w:szCs w:val="20"/>
              </w:rPr>
            </w:pPr>
            <w:proofErr w:type="spellStart"/>
            <w:r w:rsidRPr="004826CF">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3BB292D9" w14:textId="2F41064C" w:rsidR="00EF016C" w:rsidRPr="00382D28" w:rsidRDefault="00EF016C" w:rsidP="00EF016C">
            <w:pPr>
              <w:keepNext/>
              <w:spacing w:after="0"/>
              <w:jc w:val="right"/>
              <w:rPr>
                <w:rFonts w:ascii="Calibri" w:eastAsia="Times New Roman" w:hAnsi="Calibri" w:cs="Calibri"/>
                <w:color w:val="000000"/>
                <w:sz w:val="20"/>
                <w:szCs w:val="20"/>
              </w:rPr>
            </w:pPr>
            <w:proofErr w:type="spellStart"/>
            <w:r w:rsidRPr="004826CF">
              <w:rPr>
                <w:rFonts w:ascii="Calibri" w:eastAsia="Times New Roman" w:hAnsi="Calibri" w:cs="Calibri"/>
                <w:color w:val="000000"/>
                <w:sz w:val="20"/>
                <w:szCs w:val="20"/>
                <w:highlight w:val="black"/>
              </w:rPr>
              <w:t>xxxx</w:t>
            </w:r>
            <w:proofErr w:type="spellEnd"/>
          </w:p>
        </w:tc>
      </w:tr>
      <w:tr w:rsidR="00EF016C" w:rsidRPr="00382D28" w14:paraId="65535931" w14:textId="77777777" w:rsidTr="005C5817">
        <w:trPr>
          <w:trHeight w:val="300"/>
        </w:trPr>
        <w:tc>
          <w:tcPr>
            <w:tcW w:w="1274" w:type="dxa"/>
            <w:vMerge/>
            <w:tcBorders>
              <w:left w:val="single" w:sz="4" w:space="0" w:color="auto"/>
              <w:right w:val="single" w:sz="4" w:space="0" w:color="auto"/>
            </w:tcBorders>
            <w:shd w:val="clear" w:color="auto" w:fill="auto"/>
            <w:noWrap/>
            <w:vAlign w:val="bottom"/>
            <w:hideMark/>
          </w:tcPr>
          <w:p w14:paraId="56AEC185" w14:textId="73E028E9" w:rsidR="00EF016C" w:rsidRPr="00382D28" w:rsidRDefault="00EF016C" w:rsidP="00EF016C">
            <w:pPr>
              <w:keepNext/>
              <w:spacing w:after="0"/>
              <w:rPr>
                <w:rFonts w:ascii="Calibri" w:eastAsia="Times New Roman" w:hAnsi="Calibri" w:cs="Calibri"/>
                <w:color w:val="000000"/>
                <w:sz w:val="20"/>
                <w:szCs w:val="20"/>
              </w:rPr>
            </w:pPr>
          </w:p>
        </w:tc>
        <w:tc>
          <w:tcPr>
            <w:tcW w:w="2690" w:type="dxa"/>
            <w:vMerge w:val="restart"/>
            <w:tcBorders>
              <w:top w:val="nil"/>
              <w:left w:val="nil"/>
              <w:right w:val="single" w:sz="4" w:space="0" w:color="auto"/>
            </w:tcBorders>
            <w:shd w:val="clear" w:color="auto" w:fill="auto"/>
            <w:noWrap/>
            <w:vAlign w:val="center"/>
            <w:hideMark/>
          </w:tcPr>
          <w:p w14:paraId="09430022" w14:textId="254569F3" w:rsidR="00EF016C" w:rsidRPr="00382D28" w:rsidRDefault="00EF016C" w:rsidP="00EF016C">
            <w:pPr>
              <w:keepNext/>
              <w:spacing w:after="0"/>
              <w:rPr>
                <w:rFonts w:ascii="Calibri" w:eastAsia="Times New Roman" w:hAnsi="Calibri" w:cs="Calibri"/>
                <w:color w:val="000000"/>
                <w:sz w:val="20"/>
                <w:szCs w:val="20"/>
              </w:rPr>
            </w:pPr>
            <w:r w:rsidRPr="00382D28">
              <w:rPr>
                <w:rFonts w:ascii="Calibri" w:eastAsia="Times New Roman" w:hAnsi="Calibri" w:cs="Calibri"/>
                <w:color w:val="000000"/>
                <w:sz w:val="20"/>
                <w:szCs w:val="20"/>
              </w:rPr>
              <w:t>Total treated</w:t>
            </w:r>
          </w:p>
        </w:tc>
        <w:tc>
          <w:tcPr>
            <w:tcW w:w="1065" w:type="dxa"/>
            <w:tcBorders>
              <w:top w:val="nil"/>
              <w:left w:val="nil"/>
              <w:bottom w:val="single" w:sz="4" w:space="0" w:color="auto"/>
              <w:right w:val="single" w:sz="4" w:space="0" w:color="auto"/>
            </w:tcBorders>
            <w:shd w:val="clear" w:color="auto" w:fill="auto"/>
            <w:noWrap/>
            <w:vAlign w:val="bottom"/>
            <w:hideMark/>
          </w:tcPr>
          <w:p w14:paraId="6A68D2A5" w14:textId="77777777" w:rsidR="00EF016C" w:rsidRPr="00382D28" w:rsidRDefault="00EF016C" w:rsidP="00EF016C">
            <w:pPr>
              <w:keepNext/>
              <w:spacing w:after="0"/>
              <w:rPr>
                <w:rFonts w:ascii="Calibri" w:eastAsia="Times New Roman" w:hAnsi="Calibri" w:cs="Calibri"/>
                <w:color w:val="000000"/>
                <w:sz w:val="20"/>
                <w:szCs w:val="20"/>
              </w:rPr>
            </w:pPr>
            <w:r w:rsidRPr="00382D28">
              <w:rPr>
                <w:rFonts w:ascii="Calibri" w:eastAsia="Times New Roman" w:hAnsi="Calibri" w:cs="Calibri"/>
                <w:color w:val="000000"/>
                <w:sz w:val="20"/>
                <w:szCs w:val="20"/>
              </w:rPr>
              <w:t>Predicted</w:t>
            </w:r>
          </w:p>
        </w:tc>
        <w:tc>
          <w:tcPr>
            <w:tcW w:w="960" w:type="dxa"/>
            <w:tcBorders>
              <w:top w:val="nil"/>
              <w:left w:val="nil"/>
              <w:bottom w:val="single" w:sz="4" w:space="0" w:color="auto"/>
              <w:right w:val="single" w:sz="4" w:space="0" w:color="auto"/>
            </w:tcBorders>
            <w:shd w:val="clear" w:color="auto" w:fill="auto"/>
            <w:noWrap/>
            <w:vAlign w:val="bottom"/>
            <w:hideMark/>
          </w:tcPr>
          <w:p w14:paraId="5265E9EB" w14:textId="688734D1" w:rsidR="00EF016C" w:rsidRPr="00382D28" w:rsidRDefault="00EF016C" w:rsidP="00EF016C">
            <w:pPr>
              <w:keepNext/>
              <w:spacing w:after="0"/>
              <w:jc w:val="right"/>
              <w:rPr>
                <w:rFonts w:ascii="Calibri" w:eastAsia="Times New Roman" w:hAnsi="Calibri" w:cs="Calibri"/>
                <w:color w:val="000000"/>
                <w:sz w:val="20"/>
                <w:szCs w:val="20"/>
              </w:rPr>
            </w:pPr>
            <w:proofErr w:type="spellStart"/>
            <w:r w:rsidRPr="004826CF">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2ACBBE61" w14:textId="3C9E9046" w:rsidR="00EF016C" w:rsidRPr="00382D28" w:rsidRDefault="00EF016C" w:rsidP="00EF016C">
            <w:pPr>
              <w:keepNext/>
              <w:spacing w:after="0"/>
              <w:jc w:val="right"/>
              <w:rPr>
                <w:rFonts w:ascii="Calibri" w:eastAsia="Times New Roman" w:hAnsi="Calibri" w:cs="Calibri"/>
                <w:color w:val="000000"/>
                <w:sz w:val="20"/>
                <w:szCs w:val="20"/>
              </w:rPr>
            </w:pPr>
            <w:proofErr w:type="spellStart"/>
            <w:r w:rsidRPr="004826CF">
              <w:rPr>
                <w:rFonts w:ascii="Calibri" w:eastAsia="Times New Roman" w:hAnsi="Calibri" w:cs="Calibri"/>
                <w:color w:val="000000"/>
                <w:sz w:val="20"/>
                <w:szCs w:val="20"/>
                <w:highlight w:val="black"/>
              </w:rPr>
              <w:t>xxxx</w:t>
            </w:r>
            <w:proofErr w:type="spellEnd"/>
          </w:p>
        </w:tc>
      </w:tr>
      <w:tr w:rsidR="00A55505" w:rsidRPr="00382D28" w14:paraId="708D6A9A" w14:textId="77777777" w:rsidTr="005C5817">
        <w:trPr>
          <w:trHeight w:val="300"/>
        </w:trPr>
        <w:tc>
          <w:tcPr>
            <w:tcW w:w="1274" w:type="dxa"/>
            <w:vMerge/>
            <w:tcBorders>
              <w:left w:val="single" w:sz="4" w:space="0" w:color="auto"/>
              <w:right w:val="single" w:sz="4" w:space="0" w:color="auto"/>
            </w:tcBorders>
            <w:shd w:val="clear" w:color="auto" w:fill="auto"/>
            <w:noWrap/>
            <w:vAlign w:val="bottom"/>
            <w:hideMark/>
          </w:tcPr>
          <w:p w14:paraId="4991915B" w14:textId="3BCF65D7" w:rsidR="00A55505" w:rsidRPr="00382D28" w:rsidRDefault="00A55505" w:rsidP="00382D28">
            <w:pPr>
              <w:keepNext/>
              <w:spacing w:after="0"/>
              <w:rPr>
                <w:rFonts w:ascii="Calibri" w:eastAsia="Times New Roman" w:hAnsi="Calibri" w:cs="Calibri"/>
                <w:color w:val="000000"/>
                <w:sz w:val="20"/>
                <w:szCs w:val="20"/>
              </w:rPr>
            </w:pPr>
          </w:p>
        </w:tc>
        <w:tc>
          <w:tcPr>
            <w:tcW w:w="2690" w:type="dxa"/>
            <w:vMerge/>
            <w:tcBorders>
              <w:left w:val="nil"/>
              <w:right w:val="single" w:sz="4" w:space="0" w:color="auto"/>
            </w:tcBorders>
            <w:shd w:val="clear" w:color="auto" w:fill="auto"/>
            <w:noWrap/>
            <w:vAlign w:val="bottom"/>
            <w:hideMark/>
          </w:tcPr>
          <w:p w14:paraId="708220C1" w14:textId="635E6DBC" w:rsidR="00A55505" w:rsidRPr="00382D28" w:rsidRDefault="00A55505" w:rsidP="00382D28">
            <w:pPr>
              <w:keepNext/>
              <w:spacing w:after="0"/>
              <w:rPr>
                <w:rFonts w:ascii="Calibri" w:eastAsia="Times New Roman" w:hAnsi="Calibri" w:cs="Calibri"/>
                <w:color w:val="000000"/>
                <w:sz w:val="20"/>
                <w:szCs w:val="20"/>
              </w:rPr>
            </w:pPr>
          </w:p>
        </w:tc>
        <w:tc>
          <w:tcPr>
            <w:tcW w:w="1065" w:type="dxa"/>
            <w:tcBorders>
              <w:top w:val="nil"/>
              <w:left w:val="nil"/>
              <w:bottom w:val="single" w:sz="4" w:space="0" w:color="auto"/>
              <w:right w:val="single" w:sz="4" w:space="0" w:color="auto"/>
            </w:tcBorders>
            <w:shd w:val="clear" w:color="auto" w:fill="auto"/>
            <w:noWrap/>
            <w:vAlign w:val="bottom"/>
            <w:hideMark/>
          </w:tcPr>
          <w:p w14:paraId="4B2F7E01" w14:textId="77777777" w:rsidR="00A55505" w:rsidRPr="00382D28" w:rsidRDefault="00A55505" w:rsidP="00382D28">
            <w:pPr>
              <w:keepNext/>
              <w:spacing w:after="0"/>
              <w:rPr>
                <w:rFonts w:ascii="Calibri" w:eastAsia="Times New Roman" w:hAnsi="Calibri" w:cs="Calibri"/>
                <w:color w:val="000000"/>
                <w:sz w:val="20"/>
                <w:szCs w:val="20"/>
              </w:rPr>
            </w:pPr>
            <w:r w:rsidRPr="00382D28">
              <w:rPr>
                <w:rFonts w:ascii="Calibri" w:eastAsia="Times New Roman" w:hAnsi="Calibri" w:cs="Calibri"/>
                <w:color w:val="000000"/>
                <w:sz w:val="20"/>
                <w:szCs w:val="20"/>
              </w:rPr>
              <w:t>Actual</w:t>
            </w:r>
          </w:p>
        </w:tc>
        <w:tc>
          <w:tcPr>
            <w:tcW w:w="960" w:type="dxa"/>
            <w:tcBorders>
              <w:top w:val="nil"/>
              <w:left w:val="nil"/>
              <w:bottom w:val="single" w:sz="4" w:space="0" w:color="auto"/>
              <w:right w:val="single" w:sz="4" w:space="0" w:color="auto"/>
            </w:tcBorders>
            <w:shd w:val="clear" w:color="auto" w:fill="auto"/>
            <w:noWrap/>
            <w:vAlign w:val="bottom"/>
            <w:hideMark/>
          </w:tcPr>
          <w:p w14:paraId="7801C9CC" w14:textId="2B67FF50" w:rsidR="00A55505" w:rsidRPr="00382D28" w:rsidRDefault="00A55505" w:rsidP="00382D28">
            <w:pPr>
              <w:keepNext/>
              <w:spacing w:after="0"/>
              <w:jc w:val="right"/>
              <w:rPr>
                <w:rFonts w:ascii="Calibri" w:eastAsia="Times New Roman" w:hAnsi="Calibri" w:cs="Calibri"/>
                <w:color w:val="000000"/>
                <w:sz w:val="20"/>
                <w:szCs w:val="20"/>
              </w:rPr>
            </w:pPr>
            <w:r w:rsidRPr="00382D28">
              <w:rPr>
                <w:rFonts w:ascii="Calibri" w:eastAsia="Times New Roman" w:hAnsi="Calibri" w:cs="Calibri"/>
                <w:color w:val="000000"/>
                <w:sz w:val="20"/>
                <w:szCs w:val="20"/>
              </w:rPr>
              <w:t>8</w:t>
            </w:r>
            <w:r>
              <w:rPr>
                <w:rFonts w:ascii="Calibri" w:eastAsia="Times New Roman" w:hAnsi="Calibri" w:cs="Calibri"/>
                <w:color w:val="000000"/>
                <w:sz w:val="20"/>
                <w:szCs w:val="20"/>
              </w:rPr>
              <w:t>,</w:t>
            </w:r>
            <w:r w:rsidRPr="00382D28">
              <w:rPr>
                <w:rFonts w:ascii="Calibri" w:eastAsia="Times New Roman" w:hAnsi="Calibri" w:cs="Calibri"/>
                <w:color w:val="000000"/>
                <w:sz w:val="20"/>
                <w:szCs w:val="20"/>
              </w:rPr>
              <w:t>137</w:t>
            </w:r>
          </w:p>
        </w:tc>
        <w:tc>
          <w:tcPr>
            <w:tcW w:w="960" w:type="dxa"/>
            <w:tcBorders>
              <w:top w:val="nil"/>
              <w:left w:val="nil"/>
              <w:bottom w:val="single" w:sz="4" w:space="0" w:color="auto"/>
              <w:right w:val="single" w:sz="4" w:space="0" w:color="auto"/>
            </w:tcBorders>
            <w:shd w:val="clear" w:color="auto" w:fill="auto"/>
            <w:noWrap/>
            <w:vAlign w:val="bottom"/>
            <w:hideMark/>
          </w:tcPr>
          <w:p w14:paraId="77A7845A" w14:textId="0E24B775" w:rsidR="00A55505" w:rsidRPr="00382D28" w:rsidRDefault="00A55505" w:rsidP="00382D28">
            <w:pPr>
              <w:keepNext/>
              <w:spacing w:after="0"/>
              <w:jc w:val="right"/>
              <w:rPr>
                <w:rFonts w:ascii="Calibri" w:eastAsia="Times New Roman" w:hAnsi="Calibri" w:cs="Calibri"/>
                <w:color w:val="000000"/>
                <w:sz w:val="20"/>
                <w:szCs w:val="20"/>
              </w:rPr>
            </w:pPr>
            <w:r w:rsidRPr="00382D28">
              <w:rPr>
                <w:rFonts w:ascii="Calibri" w:eastAsia="Times New Roman" w:hAnsi="Calibri" w:cs="Calibri"/>
                <w:color w:val="000000"/>
                <w:sz w:val="20"/>
                <w:szCs w:val="20"/>
              </w:rPr>
              <w:t>16</w:t>
            </w:r>
            <w:r>
              <w:rPr>
                <w:rFonts w:ascii="Calibri" w:eastAsia="Times New Roman" w:hAnsi="Calibri" w:cs="Calibri"/>
                <w:color w:val="000000"/>
                <w:sz w:val="20"/>
                <w:szCs w:val="20"/>
              </w:rPr>
              <w:t>,</w:t>
            </w:r>
            <w:r w:rsidRPr="00382D28">
              <w:rPr>
                <w:rFonts w:ascii="Calibri" w:eastAsia="Times New Roman" w:hAnsi="Calibri" w:cs="Calibri"/>
                <w:color w:val="000000"/>
                <w:sz w:val="20"/>
                <w:szCs w:val="20"/>
              </w:rPr>
              <w:t>691</w:t>
            </w:r>
          </w:p>
        </w:tc>
      </w:tr>
      <w:tr w:rsidR="00EF016C" w:rsidRPr="00382D28" w14:paraId="74604C35" w14:textId="77777777" w:rsidTr="005C5817">
        <w:trPr>
          <w:trHeight w:val="300"/>
        </w:trPr>
        <w:tc>
          <w:tcPr>
            <w:tcW w:w="1274" w:type="dxa"/>
            <w:vMerge/>
            <w:tcBorders>
              <w:left w:val="single" w:sz="4" w:space="0" w:color="auto"/>
              <w:bottom w:val="single" w:sz="4" w:space="0" w:color="auto"/>
              <w:right w:val="single" w:sz="4" w:space="0" w:color="auto"/>
            </w:tcBorders>
            <w:shd w:val="clear" w:color="auto" w:fill="auto"/>
            <w:noWrap/>
            <w:vAlign w:val="bottom"/>
            <w:hideMark/>
          </w:tcPr>
          <w:p w14:paraId="7C3F8429" w14:textId="39A151DB" w:rsidR="00EF016C" w:rsidRPr="00382D28" w:rsidRDefault="00EF016C" w:rsidP="00EF016C">
            <w:pPr>
              <w:keepNext/>
              <w:spacing w:after="0"/>
              <w:rPr>
                <w:rFonts w:ascii="Calibri" w:eastAsia="Times New Roman" w:hAnsi="Calibri" w:cs="Calibri"/>
                <w:color w:val="000000"/>
                <w:sz w:val="20"/>
                <w:szCs w:val="20"/>
              </w:rPr>
            </w:pPr>
          </w:p>
        </w:tc>
        <w:tc>
          <w:tcPr>
            <w:tcW w:w="2690" w:type="dxa"/>
            <w:vMerge/>
            <w:tcBorders>
              <w:left w:val="nil"/>
              <w:bottom w:val="single" w:sz="4" w:space="0" w:color="auto"/>
              <w:right w:val="single" w:sz="4" w:space="0" w:color="auto"/>
            </w:tcBorders>
            <w:shd w:val="clear" w:color="auto" w:fill="auto"/>
            <w:noWrap/>
            <w:vAlign w:val="bottom"/>
            <w:hideMark/>
          </w:tcPr>
          <w:p w14:paraId="2BBE2097" w14:textId="44C99E70" w:rsidR="00EF016C" w:rsidRPr="00382D28" w:rsidRDefault="00EF016C" w:rsidP="00EF016C">
            <w:pPr>
              <w:keepNext/>
              <w:spacing w:after="0"/>
              <w:rPr>
                <w:rFonts w:ascii="Calibri" w:eastAsia="Times New Roman" w:hAnsi="Calibri" w:cs="Calibri"/>
                <w:color w:val="000000"/>
                <w:sz w:val="20"/>
                <w:szCs w:val="20"/>
              </w:rPr>
            </w:pPr>
          </w:p>
        </w:tc>
        <w:tc>
          <w:tcPr>
            <w:tcW w:w="1065" w:type="dxa"/>
            <w:tcBorders>
              <w:top w:val="nil"/>
              <w:left w:val="nil"/>
              <w:bottom w:val="single" w:sz="4" w:space="0" w:color="auto"/>
              <w:right w:val="single" w:sz="4" w:space="0" w:color="auto"/>
            </w:tcBorders>
            <w:shd w:val="clear" w:color="auto" w:fill="auto"/>
            <w:noWrap/>
            <w:vAlign w:val="bottom"/>
            <w:hideMark/>
          </w:tcPr>
          <w:p w14:paraId="37F518E6" w14:textId="77777777" w:rsidR="00EF016C" w:rsidRPr="00382D28" w:rsidRDefault="00EF016C" w:rsidP="00EF016C">
            <w:pPr>
              <w:keepNext/>
              <w:spacing w:after="0"/>
              <w:rPr>
                <w:rFonts w:ascii="Calibri" w:eastAsia="Times New Roman" w:hAnsi="Calibri" w:cs="Calibri"/>
                <w:color w:val="000000"/>
                <w:sz w:val="20"/>
                <w:szCs w:val="20"/>
              </w:rPr>
            </w:pPr>
            <w:r w:rsidRPr="00382D28">
              <w:rPr>
                <w:rFonts w:ascii="Calibri" w:eastAsia="Times New Roman" w:hAnsi="Calibri" w:cs="Calibri"/>
                <w:color w:val="000000"/>
                <w:sz w:val="20"/>
                <w:szCs w:val="20"/>
              </w:rPr>
              <w:t>Difference</w:t>
            </w:r>
          </w:p>
        </w:tc>
        <w:tc>
          <w:tcPr>
            <w:tcW w:w="960" w:type="dxa"/>
            <w:tcBorders>
              <w:top w:val="nil"/>
              <w:left w:val="nil"/>
              <w:bottom w:val="single" w:sz="4" w:space="0" w:color="auto"/>
              <w:right w:val="single" w:sz="4" w:space="0" w:color="auto"/>
            </w:tcBorders>
            <w:shd w:val="clear" w:color="auto" w:fill="auto"/>
            <w:noWrap/>
            <w:vAlign w:val="bottom"/>
            <w:hideMark/>
          </w:tcPr>
          <w:p w14:paraId="50C8F370" w14:textId="40B9AF9A" w:rsidR="00EF016C" w:rsidRPr="00382D28" w:rsidRDefault="00EF016C" w:rsidP="00EF016C">
            <w:pPr>
              <w:keepNext/>
              <w:spacing w:after="0"/>
              <w:jc w:val="right"/>
              <w:rPr>
                <w:rFonts w:ascii="Calibri" w:eastAsia="Times New Roman" w:hAnsi="Calibri" w:cs="Calibri"/>
                <w:color w:val="000000"/>
                <w:sz w:val="20"/>
                <w:szCs w:val="20"/>
              </w:rPr>
            </w:pPr>
            <w:proofErr w:type="spellStart"/>
            <w:r w:rsidRPr="004826CF">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482FFF41" w14:textId="4366A795" w:rsidR="00EF016C" w:rsidRPr="00382D28" w:rsidRDefault="00EF016C" w:rsidP="00EF016C">
            <w:pPr>
              <w:keepNext/>
              <w:spacing w:after="0"/>
              <w:jc w:val="right"/>
              <w:rPr>
                <w:rFonts w:ascii="Calibri" w:eastAsia="Times New Roman" w:hAnsi="Calibri" w:cs="Calibri"/>
                <w:color w:val="000000"/>
                <w:sz w:val="20"/>
                <w:szCs w:val="20"/>
              </w:rPr>
            </w:pPr>
            <w:proofErr w:type="spellStart"/>
            <w:r w:rsidRPr="004826CF">
              <w:rPr>
                <w:rFonts w:ascii="Calibri" w:eastAsia="Times New Roman" w:hAnsi="Calibri" w:cs="Calibri"/>
                <w:color w:val="000000"/>
                <w:sz w:val="20"/>
                <w:szCs w:val="20"/>
                <w:highlight w:val="black"/>
              </w:rPr>
              <w:t>xxxx</w:t>
            </w:r>
            <w:proofErr w:type="spellEnd"/>
          </w:p>
        </w:tc>
      </w:tr>
      <w:tr w:rsidR="00EF016C" w:rsidRPr="00382D28" w14:paraId="1079D2E9" w14:textId="77777777" w:rsidTr="00180745">
        <w:trPr>
          <w:trHeight w:val="300"/>
        </w:trPr>
        <w:tc>
          <w:tcPr>
            <w:tcW w:w="3964" w:type="dxa"/>
            <w:gridSpan w:val="2"/>
            <w:vMerge w:val="restart"/>
            <w:tcBorders>
              <w:top w:val="nil"/>
              <w:left w:val="single" w:sz="4" w:space="0" w:color="auto"/>
              <w:right w:val="single" w:sz="4" w:space="0" w:color="auto"/>
            </w:tcBorders>
            <w:shd w:val="clear" w:color="auto" w:fill="auto"/>
            <w:noWrap/>
            <w:vAlign w:val="center"/>
            <w:hideMark/>
          </w:tcPr>
          <w:p w14:paraId="3A9735E5" w14:textId="77622772" w:rsidR="00EF016C" w:rsidRPr="00382D28" w:rsidRDefault="00EF016C" w:rsidP="00EF016C">
            <w:pPr>
              <w:keepNext/>
              <w:spacing w:after="0"/>
              <w:rPr>
                <w:rFonts w:ascii="Calibri" w:eastAsia="Times New Roman" w:hAnsi="Calibri" w:cs="Calibri"/>
                <w:color w:val="000000"/>
                <w:sz w:val="20"/>
                <w:szCs w:val="20"/>
              </w:rPr>
            </w:pPr>
            <w:r w:rsidRPr="00382D28">
              <w:rPr>
                <w:rFonts w:ascii="Calibri" w:eastAsia="Times New Roman" w:hAnsi="Calibri" w:cs="Calibri"/>
                <w:color w:val="000000"/>
                <w:sz w:val="20"/>
                <w:szCs w:val="20"/>
              </w:rPr>
              <w:t>Prescription</w:t>
            </w:r>
            <w:r>
              <w:rPr>
                <w:rFonts w:ascii="Calibri" w:eastAsia="Times New Roman" w:hAnsi="Calibri" w:cs="Calibri"/>
                <w:color w:val="000000"/>
                <w:sz w:val="20"/>
                <w:szCs w:val="20"/>
              </w:rPr>
              <w:t>s</w:t>
            </w:r>
          </w:p>
        </w:tc>
        <w:tc>
          <w:tcPr>
            <w:tcW w:w="1065" w:type="dxa"/>
            <w:tcBorders>
              <w:top w:val="nil"/>
              <w:left w:val="nil"/>
              <w:bottom w:val="single" w:sz="4" w:space="0" w:color="auto"/>
              <w:right w:val="single" w:sz="4" w:space="0" w:color="auto"/>
            </w:tcBorders>
            <w:shd w:val="clear" w:color="auto" w:fill="auto"/>
            <w:noWrap/>
            <w:vAlign w:val="bottom"/>
            <w:hideMark/>
          </w:tcPr>
          <w:p w14:paraId="55FB7027" w14:textId="47595D86" w:rsidR="00EF016C" w:rsidRPr="00382D28" w:rsidRDefault="00EF016C" w:rsidP="00EF016C">
            <w:pPr>
              <w:keepNext/>
              <w:spacing w:after="0"/>
              <w:rPr>
                <w:rFonts w:ascii="Calibri" w:eastAsia="Times New Roman" w:hAnsi="Calibri" w:cs="Calibri"/>
                <w:color w:val="000000"/>
                <w:sz w:val="20"/>
                <w:szCs w:val="20"/>
              </w:rPr>
            </w:pPr>
            <w:r>
              <w:rPr>
                <w:rFonts w:ascii="Calibri" w:eastAsia="Times New Roman" w:hAnsi="Calibri" w:cs="Calibri"/>
                <w:color w:val="000000"/>
                <w:sz w:val="20"/>
                <w:szCs w:val="20"/>
              </w:rPr>
              <w:t>Predicted</w:t>
            </w:r>
          </w:p>
        </w:tc>
        <w:tc>
          <w:tcPr>
            <w:tcW w:w="960" w:type="dxa"/>
            <w:tcBorders>
              <w:top w:val="nil"/>
              <w:left w:val="nil"/>
              <w:bottom w:val="single" w:sz="4" w:space="0" w:color="auto"/>
              <w:right w:val="single" w:sz="4" w:space="0" w:color="auto"/>
            </w:tcBorders>
            <w:shd w:val="clear" w:color="auto" w:fill="auto"/>
            <w:noWrap/>
            <w:vAlign w:val="bottom"/>
            <w:hideMark/>
          </w:tcPr>
          <w:p w14:paraId="2A0A5978" w14:textId="2B7DD01C" w:rsidR="00EF016C" w:rsidRPr="00382D28" w:rsidRDefault="00EF016C" w:rsidP="00EF016C">
            <w:pPr>
              <w:keepNext/>
              <w:spacing w:after="0"/>
              <w:jc w:val="right"/>
              <w:rPr>
                <w:rFonts w:ascii="Calibri" w:eastAsia="Times New Roman" w:hAnsi="Calibri" w:cs="Calibri"/>
                <w:color w:val="000000"/>
                <w:sz w:val="20"/>
                <w:szCs w:val="20"/>
              </w:rPr>
            </w:pPr>
            <w:proofErr w:type="spellStart"/>
            <w:r w:rsidRPr="004826CF">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A170724" w14:textId="2F060048" w:rsidR="00EF016C" w:rsidRPr="00382D28" w:rsidRDefault="00EF016C" w:rsidP="00EF016C">
            <w:pPr>
              <w:keepNext/>
              <w:spacing w:after="0"/>
              <w:jc w:val="right"/>
              <w:rPr>
                <w:rFonts w:ascii="Calibri" w:eastAsia="Times New Roman" w:hAnsi="Calibri" w:cs="Calibri"/>
                <w:color w:val="000000"/>
                <w:sz w:val="20"/>
                <w:szCs w:val="20"/>
              </w:rPr>
            </w:pPr>
            <w:proofErr w:type="spellStart"/>
            <w:r w:rsidRPr="004826CF">
              <w:rPr>
                <w:rFonts w:ascii="Calibri" w:eastAsia="Times New Roman" w:hAnsi="Calibri" w:cs="Calibri"/>
                <w:color w:val="000000"/>
                <w:sz w:val="20"/>
                <w:szCs w:val="20"/>
                <w:highlight w:val="black"/>
              </w:rPr>
              <w:t>xxxx</w:t>
            </w:r>
            <w:proofErr w:type="spellEnd"/>
          </w:p>
        </w:tc>
      </w:tr>
      <w:tr w:rsidR="00EF016C" w:rsidRPr="00382D28" w14:paraId="1897C2BB" w14:textId="77777777" w:rsidTr="00180745">
        <w:trPr>
          <w:trHeight w:val="300"/>
        </w:trPr>
        <w:tc>
          <w:tcPr>
            <w:tcW w:w="3964" w:type="dxa"/>
            <w:gridSpan w:val="2"/>
            <w:vMerge/>
            <w:tcBorders>
              <w:left w:val="single" w:sz="4" w:space="0" w:color="auto"/>
              <w:right w:val="single" w:sz="4" w:space="0" w:color="auto"/>
            </w:tcBorders>
            <w:shd w:val="clear" w:color="auto" w:fill="auto"/>
            <w:noWrap/>
            <w:vAlign w:val="bottom"/>
            <w:hideMark/>
          </w:tcPr>
          <w:p w14:paraId="1DDD3844" w14:textId="76FA3367" w:rsidR="00EF016C" w:rsidRPr="00382D28" w:rsidRDefault="00EF016C" w:rsidP="00EF016C">
            <w:pPr>
              <w:spacing w:after="0"/>
              <w:rPr>
                <w:rFonts w:ascii="Calibri" w:eastAsia="Times New Roman" w:hAnsi="Calibri" w:cs="Calibri"/>
                <w:color w:val="000000"/>
                <w:sz w:val="20"/>
                <w:szCs w:val="20"/>
              </w:rPr>
            </w:pPr>
          </w:p>
        </w:tc>
        <w:tc>
          <w:tcPr>
            <w:tcW w:w="1065" w:type="dxa"/>
            <w:tcBorders>
              <w:top w:val="nil"/>
              <w:left w:val="nil"/>
              <w:bottom w:val="single" w:sz="4" w:space="0" w:color="auto"/>
              <w:right w:val="single" w:sz="4" w:space="0" w:color="auto"/>
            </w:tcBorders>
            <w:shd w:val="clear" w:color="auto" w:fill="auto"/>
            <w:noWrap/>
            <w:vAlign w:val="bottom"/>
            <w:hideMark/>
          </w:tcPr>
          <w:p w14:paraId="4AC45D86" w14:textId="77777777" w:rsidR="00EF016C" w:rsidRPr="00382D28" w:rsidRDefault="00EF016C" w:rsidP="00EF016C">
            <w:pPr>
              <w:keepNext/>
              <w:spacing w:after="0"/>
              <w:rPr>
                <w:rFonts w:ascii="Calibri" w:eastAsia="Times New Roman" w:hAnsi="Calibri" w:cs="Calibri"/>
                <w:color w:val="000000"/>
                <w:sz w:val="20"/>
                <w:szCs w:val="20"/>
              </w:rPr>
            </w:pPr>
            <w:r w:rsidRPr="00382D28">
              <w:rPr>
                <w:rFonts w:ascii="Calibri" w:eastAsia="Times New Roman" w:hAnsi="Calibri" w:cs="Calibri"/>
                <w:color w:val="000000"/>
                <w:sz w:val="20"/>
                <w:szCs w:val="20"/>
              </w:rPr>
              <w:t>Actual</w:t>
            </w:r>
          </w:p>
        </w:tc>
        <w:tc>
          <w:tcPr>
            <w:tcW w:w="960" w:type="dxa"/>
            <w:tcBorders>
              <w:top w:val="nil"/>
              <w:left w:val="nil"/>
              <w:bottom w:val="single" w:sz="4" w:space="0" w:color="auto"/>
              <w:right w:val="single" w:sz="4" w:space="0" w:color="auto"/>
            </w:tcBorders>
            <w:shd w:val="clear" w:color="auto" w:fill="auto"/>
            <w:noWrap/>
            <w:vAlign w:val="bottom"/>
            <w:hideMark/>
          </w:tcPr>
          <w:p w14:paraId="6A44A8D5" w14:textId="63AEF2D0" w:rsidR="00EF016C" w:rsidRPr="00382D28" w:rsidRDefault="00EF016C" w:rsidP="00EF016C">
            <w:pPr>
              <w:keepNext/>
              <w:spacing w:after="0"/>
              <w:jc w:val="right"/>
              <w:rPr>
                <w:rFonts w:ascii="Calibri" w:eastAsia="Times New Roman" w:hAnsi="Calibri" w:cs="Calibri"/>
                <w:color w:val="000000"/>
                <w:sz w:val="20"/>
                <w:szCs w:val="20"/>
              </w:rPr>
            </w:pPr>
            <w:r w:rsidRPr="00382D28">
              <w:rPr>
                <w:rFonts w:ascii="Calibri" w:eastAsia="Times New Roman" w:hAnsi="Calibri" w:cs="Calibri"/>
                <w:color w:val="000000"/>
                <w:sz w:val="20"/>
                <w:szCs w:val="20"/>
              </w:rPr>
              <w:t>61</w:t>
            </w:r>
            <w:r>
              <w:rPr>
                <w:rFonts w:ascii="Calibri" w:eastAsia="Times New Roman" w:hAnsi="Calibri" w:cs="Calibri"/>
                <w:color w:val="000000"/>
                <w:sz w:val="20"/>
                <w:szCs w:val="20"/>
              </w:rPr>
              <w:t>,</w:t>
            </w:r>
            <w:r w:rsidRPr="00382D28">
              <w:rPr>
                <w:rFonts w:ascii="Calibri" w:eastAsia="Times New Roman" w:hAnsi="Calibri" w:cs="Calibri"/>
                <w:color w:val="000000"/>
                <w:sz w:val="20"/>
                <w:szCs w:val="20"/>
              </w:rPr>
              <w:t>320</w:t>
            </w:r>
          </w:p>
        </w:tc>
        <w:tc>
          <w:tcPr>
            <w:tcW w:w="960" w:type="dxa"/>
            <w:tcBorders>
              <w:top w:val="nil"/>
              <w:left w:val="nil"/>
              <w:bottom w:val="single" w:sz="4" w:space="0" w:color="auto"/>
              <w:right w:val="single" w:sz="4" w:space="0" w:color="auto"/>
            </w:tcBorders>
            <w:shd w:val="clear" w:color="auto" w:fill="auto"/>
            <w:noWrap/>
            <w:vAlign w:val="bottom"/>
            <w:hideMark/>
          </w:tcPr>
          <w:p w14:paraId="670DD456" w14:textId="0DAA9201" w:rsidR="00EF016C" w:rsidRPr="00382D28" w:rsidRDefault="00EF016C" w:rsidP="00EF016C">
            <w:pPr>
              <w:keepNext/>
              <w:spacing w:after="0"/>
              <w:jc w:val="right"/>
              <w:rPr>
                <w:rFonts w:ascii="Calibri" w:eastAsia="Times New Roman" w:hAnsi="Calibri" w:cs="Calibri"/>
                <w:color w:val="000000"/>
                <w:sz w:val="20"/>
                <w:szCs w:val="20"/>
              </w:rPr>
            </w:pPr>
            <w:r w:rsidRPr="00382D28">
              <w:rPr>
                <w:rFonts w:ascii="Calibri" w:eastAsia="Times New Roman" w:hAnsi="Calibri" w:cs="Calibri"/>
                <w:color w:val="000000"/>
                <w:sz w:val="20"/>
                <w:szCs w:val="20"/>
              </w:rPr>
              <w:t>131</w:t>
            </w:r>
            <w:r>
              <w:rPr>
                <w:rFonts w:ascii="Calibri" w:eastAsia="Times New Roman" w:hAnsi="Calibri" w:cs="Calibri"/>
                <w:color w:val="000000"/>
                <w:sz w:val="20"/>
                <w:szCs w:val="20"/>
              </w:rPr>
              <w:t>,</w:t>
            </w:r>
            <w:r w:rsidRPr="00382D28">
              <w:rPr>
                <w:rFonts w:ascii="Calibri" w:eastAsia="Times New Roman" w:hAnsi="Calibri" w:cs="Calibri"/>
                <w:color w:val="000000"/>
                <w:sz w:val="20"/>
                <w:szCs w:val="20"/>
              </w:rPr>
              <w:t>909</w:t>
            </w:r>
          </w:p>
        </w:tc>
      </w:tr>
      <w:tr w:rsidR="00EF016C" w:rsidRPr="00382D28" w14:paraId="7F3776B1" w14:textId="77777777" w:rsidTr="00180745">
        <w:trPr>
          <w:trHeight w:val="300"/>
        </w:trPr>
        <w:tc>
          <w:tcPr>
            <w:tcW w:w="3964" w:type="dxa"/>
            <w:gridSpan w:val="2"/>
            <w:vMerge/>
            <w:tcBorders>
              <w:left w:val="single" w:sz="4" w:space="0" w:color="auto"/>
              <w:bottom w:val="single" w:sz="4" w:space="0" w:color="auto"/>
              <w:right w:val="single" w:sz="4" w:space="0" w:color="auto"/>
            </w:tcBorders>
            <w:shd w:val="clear" w:color="auto" w:fill="auto"/>
            <w:noWrap/>
            <w:vAlign w:val="bottom"/>
            <w:hideMark/>
          </w:tcPr>
          <w:p w14:paraId="203FC0F5" w14:textId="77999823" w:rsidR="00EF016C" w:rsidRPr="00382D28" w:rsidRDefault="00EF016C" w:rsidP="00EF016C">
            <w:pPr>
              <w:spacing w:after="0"/>
              <w:rPr>
                <w:rFonts w:ascii="Calibri" w:eastAsia="Times New Roman" w:hAnsi="Calibri" w:cs="Calibri"/>
                <w:color w:val="000000"/>
                <w:sz w:val="20"/>
                <w:szCs w:val="20"/>
              </w:rPr>
            </w:pPr>
          </w:p>
        </w:tc>
        <w:tc>
          <w:tcPr>
            <w:tcW w:w="1065" w:type="dxa"/>
            <w:tcBorders>
              <w:top w:val="nil"/>
              <w:left w:val="nil"/>
              <w:bottom w:val="single" w:sz="4" w:space="0" w:color="auto"/>
              <w:right w:val="single" w:sz="4" w:space="0" w:color="auto"/>
            </w:tcBorders>
            <w:shd w:val="clear" w:color="auto" w:fill="auto"/>
            <w:noWrap/>
            <w:vAlign w:val="bottom"/>
            <w:hideMark/>
          </w:tcPr>
          <w:p w14:paraId="48DA4D79" w14:textId="77777777" w:rsidR="00EF016C" w:rsidRPr="00382D28" w:rsidRDefault="00EF016C" w:rsidP="00EF016C">
            <w:pPr>
              <w:spacing w:after="0"/>
              <w:rPr>
                <w:rFonts w:ascii="Calibri" w:eastAsia="Times New Roman" w:hAnsi="Calibri" w:cs="Calibri"/>
                <w:color w:val="000000"/>
                <w:sz w:val="20"/>
                <w:szCs w:val="20"/>
              </w:rPr>
            </w:pPr>
            <w:r w:rsidRPr="00382D28">
              <w:rPr>
                <w:rFonts w:ascii="Calibri" w:eastAsia="Times New Roman" w:hAnsi="Calibri" w:cs="Calibri"/>
                <w:color w:val="000000"/>
                <w:sz w:val="20"/>
                <w:szCs w:val="20"/>
              </w:rPr>
              <w:t>Difference</w:t>
            </w:r>
          </w:p>
        </w:tc>
        <w:tc>
          <w:tcPr>
            <w:tcW w:w="960" w:type="dxa"/>
            <w:tcBorders>
              <w:top w:val="nil"/>
              <w:left w:val="nil"/>
              <w:bottom w:val="single" w:sz="4" w:space="0" w:color="auto"/>
              <w:right w:val="single" w:sz="4" w:space="0" w:color="auto"/>
            </w:tcBorders>
            <w:shd w:val="clear" w:color="auto" w:fill="auto"/>
            <w:noWrap/>
            <w:vAlign w:val="bottom"/>
            <w:hideMark/>
          </w:tcPr>
          <w:p w14:paraId="79DAE5F5" w14:textId="00A0E375" w:rsidR="00EF016C" w:rsidRPr="00382D28" w:rsidRDefault="00EF016C" w:rsidP="00EF016C">
            <w:pPr>
              <w:spacing w:after="0"/>
              <w:jc w:val="right"/>
              <w:rPr>
                <w:rFonts w:ascii="Calibri" w:eastAsia="Times New Roman" w:hAnsi="Calibri" w:cs="Calibri"/>
                <w:color w:val="000000"/>
                <w:sz w:val="20"/>
                <w:szCs w:val="20"/>
              </w:rPr>
            </w:pPr>
            <w:proofErr w:type="spellStart"/>
            <w:r w:rsidRPr="004826CF">
              <w:rPr>
                <w:rFonts w:ascii="Calibri" w:eastAsia="Times New Roman" w:hAnsi="Calibri" w:cs="Calibri"/>
                <w:color w:val="000000"/>
                <w:sz w:val="20"/>
                <w:szCs w:val="20"/>
                <w:highlight w:val="black"/>
              </w:rPr>
              <w:t>xxxx</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5DB4E163" w14:textId="11D3DBA6" w:rsidR="00EF016C" w:rsidRPr="00382D28" w:rsidRDefault="00EF016C" w:rsidP="00EF016C">
            <w:pPr>
              <w:spacing w:after="0"/>
              <w:jc w:val="right"/>
              <w:rPr>
                <w:rFonts w:ascii="Calibri" w:eastAsia="Times New Roman" w:hAnsi="Calibri" w:cs="Calibri"/>
                <w:color w:val="000000"/>
                <w:sz w:val="20"/>
                <w:szCs w:val="20"/>
              </w:rPr>
            </w:pPr>
            <w:proofErr w:type="spellStart"/>
            <w:r w:rsidRPr="004826CF">
              <w:rPr>
                <w:rFonts w:ascii="Calibri" w:eastAsia="Times New Roman" w:hAnsi="Calibri" w:cs="Calibri"/>
                <w:color w:val="000000"/>
                <w:sz w:val="20"/>
                <w:szCs w:val="20"/>
                <w:highlight w:val="black"/>
              </w:rPr>
              <w:t>xxxx</w:t>
            </w:r>
            <w:proofErr w:type="spellEnd"/>
          </w:p>
        </w:tc>
      </w:tr>
    </w:tbl>
    <w:p w14:paraId="6E2C7896" w14:textId="77777777" w:rsidR="00C66219" w:rsidRDefault="00C66219" w:rsidP="00A35800">
      <w:pPr>
        <w:rPr>
          <w:highlight w:val="cyan"/>
        </w:rPr>
      </w:pPr>
    </w:p>
    <w:p w14:paraId="0A64DA95" w14:textId="692FB11C" w:rsidR="003574E4" w:rsidRDefault="003574E4" w:rsidP="00A35800">
      <w:r>
        <w:t xml:space="preserve">Table </w:t>
      </w:r>
      <w:r w:rsidR="00032C10">
        <w:t>15</w:t>
      </w:r>
      <w:r>
        <w:t xml:space="preserve"> compares the estimated use of </w:t>
      </w:r>
      <w:r w:rsidR="0003485A">
        <w:t>dupilumab to the market for atopic dermatitis, including dupilu</w:t>
      </w:r>
      <w:r w:rsidR="00FE3934">
        <w:t xml:space="preserve">mab and </w:t>
      </w:r>
      <w:proofErr w:type="spellStart"/>
      <w:r w:rsidR="00FE3934">
        <w:t>upadacitinib</w:t>
      </w:r>
      <w:proofErr w:type="spellEnd"/>
      <w:r w:rsidR="00FE3934">
        <w:t>.</w:t>
      </w:r>
      <w:r w:rsidR="00C37505">
        <w:t xml:space="preserve"> </w:t>
      </w:r>
      <w:r w:rsidR="00595948">
        <w:t xml:space="preserve">When </w:t>
      </w:r>
      <w:proofErr w:type="spellStart"/>
      <w:r w:rsidR="00595948">
        <w:t>upadacitinib</w:t>
      </w:r>
      <w:proofErr w:type="spellEnd"/>
      <w:r w:rsidR="00595948">
        <w:t xml:space="preserve"> is included in the actual use, the </w:t>
      </w:r>
      <w:r w:rsidR="00FD457A">
        <w:t xml:space="preserve">utilisation </w:t>
      </w:r>
      <w:r w:rsidR="002D265D">
        <w:t xml:space="preserve">beyond expectations </w:t>
      </w:r>
      <w:r w:rsidR="00FD457A">
        <w:t xml:space="preserve">in </w:t>
      </w:r>
      <w:r w:rsidR="002D265D">
        <w:t>terms</w:t>
      </w:r>
      <w:r w:rsidR="00FD457A">
        <w:t xml:space="preserve"> </w:t>
      </w:r>
      <w:r w:rsidR="0072518F">
        <w:t xml:space="preserve">of the </w:t>
      </w:r>
      <w:r w:rsidR="005A7EDA" w:rsidRPr="005A7EDA">
        <w:t xml:space="preserve">number of patients and prescriptions </w:t>
      </w:r>
      <w:r w:rsidR="0072518F">
        <w:t>increases further</w:t>
      </w:r>
      <w:r w:rsidR="005A7EDA">
        <w:t>.</w:t>
      </w:r>
    </w:p>
    <w:p w14:paraId="3555DFBA" w14:textId="60E8E761" w:rsidR="00591512" w:rsidRDefault="00AB3733" w:rsidP="00F73113">
      <w:pPr>
        <w:pStyle w:val="Heading1"/>
      </w:pPr>
      <w:r>
        <w:t>D</w:t>
      </w:r>
      <w:r w:rsidR="007346C7" w:rsidRPr="005E22C2">
        <w:t>iscussion</w:t>
      </w:r>
    </w:p>
    <w:p w14:paraId="01A8FC0C" w14:textId="41F0A741" w:rsidR="0052044F" w:rsidRDefault="00916352" w:rsidP="00F1132C">
      <w:r>
        <w:t xml:space="preserve">The use of dupilumab for </w:t>
      </w:r>
      <w:r w:rsidR="000F709C">
        <w:t xml:space="preserve">atopic dermatitis has been </w:t>
      </w:r>
      <w:r w:rsidR="000F709C" w:rsidRPr="00651871">
        <w:t>higher than</w:t>
      </w:r>
      <w:r w:rsidR="000F709C">
        <w:t xml:space="preserve"> predicted</w:t>
      </w:r>
      <w:r w:rsidR="003743D8">
        <w:t xml:space="preserve">. </w:t>
      </w:r>
      <w:r w:rsidR="00286739">
        <w:t xml:space="preserve">The number of treated patients </w:t>
      </w:r>
      <w:r w:rsidR="00A30BD7" w:rsidRPr="00A30BD7">
        <w:t xml:space="preserve">and supplied prescriptions </w:t>
      </w:r>
      <w:r w:rsidR="00A30BD7">
        <w:t xml:space="preserve">per quarter </w:t>
      </w:r>
      <w:r w:rsidR="00A30BD7" w:rsidRPr="00A30BD7">
        <w:t>have increased every quarter since listing, and the rate of growth does not appear to be decreasing</w:t>
      </w:r>
      <w:r w:rsidR="00C96D34">
        <w:t>.</w:t>
      </w:r>
      <w:r w:rsidR="00A30BD7" w:rsidRPr="00A30BD7">
        <w:t xml:space="preserve"> </w:t>
      </w:r>
      <w:r w:rsidR="003743D8">
        <w:t>The number of treated patients wa</w:t>
      </w:r>
      <w:r w:rsidR="0052044F">
        <w:t xml:space="preserve">s within </w:t>
      </w:r>
      <w:r w:rsidR="003743D8">
        <w:t xml:space="preserve">the estimate of </w:t>
      </w:r>
      <w:r w:rsidR="0052044F">
        <w:t xml:space="preserve">eligible </w:t>
      </w:r>
      <w:proofErr w:type="gramStart"/>
      <w:r w:rsidR="0052044F">
        <w:t>patients</w:t>
      </w:r>
      <w:r w:rsidR="003743D8">
        <w:t>,</w:t>
      </w:r>
      <w:proofErr w:type="gramEnd"/>
      <w:r w:rsidR="003743D8">
        <w:t xml:space="preserve"> however it is unknown whether the higher use is due to higher uptake than predicted or use outside the restriction</w:t>
      </w:r>
      <w:r w:rsidR="00604ACA">
        <w:t xml:space="preserve"> in patients with mild to moderate disease</w:t>
      </w:r>
      <w:r w:rsidR="00744497">
        <w:t>.</w:t>
      </w:r>
    </w:p>
    <w:p w14:paraId="67525799" w14:textId="148C298D" w:rsidR="00E71DDE" w:rsidRDefault="00302C8E" w:rsidP="00F1132C">
      <w:r>
        <w:t>It is o</w:t>
      </w:r>
      <w:r w:rsidR="00E71DDE">
        <w:t xml:space="preserve">ften </w:t>
      </w:r>
      <w:r w:rsidR="00E7352B">
        <w:t>noted</w:t>
      </w:r>
      <w:r w:rsidR="00E71DDE">
        <w:t xml:space="preserve"> that medicines that require needles to </w:t>
      </w:r>
      <w:r>
        <w:t xml:space="preserve">be </w:t>
      </w:r>
      <w:r w:rsidR="00054EBF">
        <w:t>administer</w:t>
      </w:r>
      <w:r>
        <w:t>ed</w:t>
      </w:r>
      <w:r w:rsidR="00054EBF">
        <w:t xml:space="preserve"> </w:t>
      </w:r>
      <w:r w:rsidR="00CF1815">
        <w:t>are likely to have</w:t>
      </w:r>
      <w:r w:rsidR="00054EBF">
        <w:t xml:space="preserve"> lower uptake </w:t>
      </w:r>
      <w:r>
        <w:t xml:space="preserve">than oral medicines, however </w:t>
      </w:r>
      <w:r w:rsidR="00F339DE">
        <w:t>the method of administration</w:t>
      </w:r>
      <w:r w:rsidR="00054EBF">
        <w:t xml:space="preserve"> does not appear </w:t>
      </w:r>
      <w:r w:rsidR="00F339DE">
        <w:t>to have affected the uptake of</w:t>
      </w:r>
      <w:r w:rsidR="00054EBF">
        <w:t xml:space="preserve"> dupilumab.</w:t>
      </w:r>
      <w:r w:rsidR="00765AF5">
        <w:t xml:space="preserve"> </w:t>
      </w:r>
      <w:r w:rsidR="00C8633F">
        <w:t xml:space="preserve">Upadacitinib is an oral alternative to dupilumab, </w:t>
      </w:r>
      <w:r w:rsidR="002B35F9">
        <w:t>listed February 2022. T</w:t>
      </w:r>
      <w:r w:rsidR="00765AF5">
        <w:t xml:space="preserve">he uptake of </w:t>
      </w:r>
      <w:proofErr w:type="spellStart"/>
      <w:r w:rsidR="00765AF5">
        <w:t>upadacitinib</w:t>
      </w:r>
      <w:proofErr w:type="spellEnd"/>
      <w:r w:rsidR="00765AF5">
        <w:t xml:space="preserve"> </w:t>
      </w:r>
      <w:r w:rsidR="000A5E3C">
        <w:t>has been</w:t>
      </w:r>
      <w:r w:rsidR="00592FC5">
        <w:t xml:space="preserve"> reasonably small in the context of the market, with </w:t>
      </w:r>
      <w:r w:rsidR="00BF148F">
        <w:t xml:space="preserve">2.8 times more patients initiating therapy to </w:t>
      </w:r>
      <w:r w:rsidR="000F2AE1">
        <w:t xml:space="preserve">dupilumab </w:t>
      </w:r>
      <w:r w:rsidR="000F2AE1" w:rsidRPr="000F2AE1">
        <w:t xml:space="preserve">than </w:t>
      </w:r>
      <w:proofErr w:type="spellStart"/>
      <w:r w:rsidR="000F2AE1" w:rsidRPr="000F2AE1">
        <w:t>upadacitinib</w:t>
      </w:r>
      <w:proofErr w:type="spellEnd"/>
      <w:r w:rsidR="000F2AE1" w:rsidRPr="000F2AE1">
        <w:t xml:space="preserve"> </w:t>
      </w:r>
      <w:r w:rsidR="000F2AE1">
        <w:t xml:space="preserve">and more than </w:t>
      </w:r>
      <w:r w:rsidR="00592FC5">
        <w:t xml:space="preserve">five times as many prescriptions supplied for dupilumab than </w:t>
      </w:r>
      <w:proofErr w:type="spellStart"/>
      <w:r w:rsidR="00592FC5" w:rsidRPr="00592FC5">
        <w:t>upadacitinib</w:t>
      </w:r>
      <w:proofErr w:type="spellEnd"/>
      <w:r w:rsidR="00592FC5">
        <w:t xml:space="preserve"> </w:t>
      </w:r>
      <w:r w:rsidR="00B26FE7">
        <w:t xml:space="preserve">between </w:t>
      </w:r>
      <w:r w:rsidR="00592FC5">
        <w:t xml:space="preserve">July 2022 </w:t>
      </w:r>
      <w:r w:rsidR="00B26FE7">
        <w:t>and</w:t>
      </w:r>
      <w:r w:rsidR="00592FC5">
        <w:t xml:space="preserve"> June 2023.</w:t>
      </w:r>
    </w:p>
    <w:p w14:paraId="6353A70F" w14:textId="213DD8FC" w:rsidR="00A81109" w:rsidRDefault="00A81109" w:rsidP="00B85F53">
      <w:r>
        <w:t xml:space="preserve">The clinical criteria </w:t>
      </w:r>
      <w:r w:rsidR="00A6038A">
        <w:t>in t</w:t>
      </w:r>
      <w:r w:rsidR="00B85F53">
        <w:t xml:space="preserve">he PBS restriction state that the patient must have </w:t>
      </w:r>
      <w:r w:rsidR="000C18DA" w:rsidRPr="000C18DA">
        <w:t>a Physicians Global Assessment (PGA) (5-point scale) baseline score of at least 4</w:t>
      </w:r>
      <w:r w:rsidR="000C18DA">
        <w:t>,</w:t>
      </w:r>
      <w:r w:rsidR="000C18DA" w:rsidRPr="000C18DA">
        <w:t xml:space="preserve"> </w:t>
      </w:r>
      <w:r w:rsidR="00B85F53">
        <w:t>an Eczema Area and Severity Index (EASI) baseline score of at least 20</w:t>
      </w:r>
      <w:r w:rsidR="006B7FE5">
        <w:t xml:space="preserve">, </w:t>
      </w:r>
      <w:r w:rsidR="00B85F53">
        <w:t>an</w:t>
      </w:r>
      <w:r w:rsidR="000C18DA">
        <w:t>d an</w:t>
      </w:r>
      <w:r w:rsidR="00B85F53">
        <w:t xml:space="preserve"> </w:t>
      </w:r>
      <w:proofErr w:type="gramStart"/>
      <w:r w:rsidR="00B85F53">
        <w:t>age appropriate</w:t>
      </w:r>
      <w:proofErr w:type="gramEnd"/>
      <w:r w:rsidR="00B85F53">
        <w:t xml:space="preserve"> Dermatology Life Quality Index (DLQI) baseline score </w:t>
      </w:r>
      <w:r w:rsidR="000857B3" w:rsidRPr="000857B3">
        <w:t>despite treatment with daily topical therapy, for at least 28 days</w:t>
      </w:r>
      <w:r w:rsidR="00B93437">
        <w:t xml:space="preserve">. </w:t>
      </w:r>
      <w:r w:rsidR="002C46A2">
        <w:t xml:space="preserve">The majority of </w:t>
      </w:r>
      <w:r w:rsidR="002C46A2" w:rsidRPr="002C46A2">
        <w:t xml:space="preserve">patients </w:t>
      </w:r>
      <w:r w:rsidR="003F59F3">
        <w:t xml:space="preserve">supplied dupilumab </w:t>
      </w:r>
      <w:r w:rsidR="00A54978">
        <w:t>(92%) were supplied</w:t>
      </w:r>
      <w:r w:rsidR="002C46A2" w:rsidRPr="002C46A2">
        <w:t xml:space="preserve"> prior topical therapy </w:t>
      </w:r>
      <w:r w:rsidR="00A54978">
        <w:t>through the PBS</w:t>
      </w:r>
      <w:r w:rsidR="003F59F3">
        <w:t>,</w:t>
      </w:r>
      <w:r w:rsidR="00A54978">
        <w:t xml:space="preserve"> </w:t>
      </w:r>
      <w:r w:rsidR="002C46A2" w:rsidRPr="002C46A2">
        <w:t>consistent with the restriction</w:t>
      </w:r>
      <w:r w:rsidR="005345B4">
        <w:t>.</w:t>
      </w:r>
    </w:p>
    <w:p w14:paraId="0F5AE378" w14:textId="38BDF63E" w:rsidR="00014851" w:rsidRDefault="00817883" w:rsidP="00113CDD">
      <w:r>
        <w:lastRenderedPageBreak/>
        <w:t xml:space="preserve">The treatment criteria in the PBS restriction state that </w:t>
      </w:r>
      <w:r w:rsidR="00113CDD">
        <w:t xml:space="preserve">the patient must be treated by a dermatologist or a clinical immunologist. </w:t>
      </w:r>
      <w:r w:rsidR="009C752C">
        <w:t xml:space="preserve">It appears the majority of prescribers </w:t>
      </w:r>
      <w:r w:rsidR="00851805">
        <w:t>have met</w:t>
      </w:r>
      <w:r w:rsidR="009C752C">
        <w:t xml:space="preserve"> </w:t>
      </w:r>
      <w:proofErr w:type="gramStart"/>
      <w:r w:rsidR="009C752C">
        <w:t>this criteria</w:t>
      </w:r>
      <w:proofErr w:type="gramEnd"/>
      <w:r w:rsidR="009C752C">
        <w:t xml:space="preserve"> as </w:t>
      </w:r>
      <w:r w:rsidR="00790C1F" w:rsidRPr="00790C1F">
        <w:t xml:space="preserve">87% of initiating patients and supplied prescriptions </w:t>
      </w:r>
      <w:r w:rsidR="009C752C">
        <w:t xml:space="preserve">were </w:t>
      </w:r>
      <w:r w:rsidR="00790C1F" w:rsidRPr="00790C1F">
        <w:t>prescribed by dermatology or immunology and allergy specialists</w:t>
      </w:r>
      <w:r w:rsidR="000A2E6E">
        <w:t>.</w:t>
      </w:r>
      <w:r w:rsidR="00790C1F" w:rsidRPr="00790C1F">
        <w:t xml:space="preserve"> </w:t>
      </w:r>
      <w:r w:rsidR="000558CD">
        <w:t xml:space="preserve">The </w:t>
      </w:r>
      <w:r w:rsidR="00255A81" w:rsidRPr="00255A81">
        <w:t>Northern Territory had the lowest number of initiating patients and the lowest standardised number of initiating patients</w:t>
      </w:r>
      <w:r w:rsidR="000558CD">
        <w:t xml:space="preserve"> which may reflect access issues </w:t>
      </w:r>
      <w:r w:rsidR="00DF6A60">
        <w:t>to dermatologists and immunologists</w:t>
      </w:r>
      <w:r w:rsidR="000558CD">
        <w:t xml:space="preserve"> </w:t>
      </w:r>
      <w:r w:rsidR="00255A81">
        <w:t xml:space="preserve">in rural </w:t>
      </w:r>
      <w:r>
        <w:t xml:space="preserve">and </w:t>
      </w:r>
      <w:r w:rsidR="00255A81">
        <w:t>remote areas</w:t>
      </w:r>
      <w:r>
        <w:t>.</w:t>
      </w:r>
    </w:p>
    <w:p w14:paraId="7B15BBAD" w14:textId="77777777" w:rsidR="004D413F" w:rsidRPr="004D413F" w:rsidRDefault="007749B5" w:rsidP="009E072E">
      <w:pPr>
        <w:rPr>
          <w:b/>
          <w:bCs/>
        </w:rPr>
      </w:pPr>
      <w:r w:rsidRPr="004D413F">
        <w:t>The July 2022 submission noted th</w:t>
      </w:r>
      <w:r w:rsidR="00177011" w:rsidRPr="004D413F">
        <w:t>a</w:t>
      </w:r>
      <w:r w:rsidRPr="004D413F">
        <w:t>t</w:t>
      </w:r>
      <w:r w:rsidR="00967755" w:rsidRPr="004D413F">
        <w:t xml:space="preserve"> </w:t>
      </w:r>
      <w:r w:rsidR="00192443" w:rsidRPr="004D413F">
        <w:t xml:space="preserve">the utilisation estimates did not account for patients with severe face and/or hand atopic dermatitis who would not otherwise meet the criteria for severe atopic dermatitis. </w:t>
      </w:r>
      <w:r w:rsidR="00815AE4" w:rsidRPr="004D413F">
        <w:t xml:space="preserve">The proportion of use </w:t>
      </w:r>
      <w:r w:rsidR="000E515F" w:rsidRPr="004D413F">
        <w:t xml:space="preserve">to treat the face and/or hands appears to be increasing and accounted for </w:t>
      </w:r>
      <w:r w:rsidR="00815AE4" w:rsidRPr="004D413F">
        <w:t>16% of prescriptions supplied</w:t>
      </w:r>
      <w:r w:rsidR="000E515F" w:rsidRPr="004D413F">
        <w:t xml:space="preserve"> in 2022 and </w:t>
      </w:r>
      <w:r w:rsidR="002A0663" w:rsidRPr="004D413F">
        <w:t>18% of prescriptions supplied in from January to June 2023.</w:t>
      </w:r>
    </w:p>
    <w:p w14:paraId="2E6B380A" w14:textId="77777777" w:rsidR="001A5BBA" w:rsidRDefault="001A5BBA" w:rsidP="001A5BBA">
      <w:pPr>
        <w:pStyle w:val="Heading1"/>
      </w:pPr>
      <w:r>
        <w:t>DUSC consideration</w:t>
      </w:r>
    </w:p>
    <w:p w14:paraId="29142B4F" w14:textId="77777777" w:rsidR="00541D13" w:rsidRDefault="00541D13" w:rsidP="00541D13">
      <w:r>
        <w:t>DUSC noted the analyses of data quality between PBS item codes and authority codes showed that errors in coding are very small, and considered there was no issue with dermatitis and asthma markets overlapping, although patients could have both atopic dermatitis and asthma. DUSC considered that it was not necessary to be concerned about dupilumab being dispensed under the wrong item code.</w:t>
      </w:r>
    </w:p>
    <w:p w14:paraId="5527A5D1" w14:textId="77777777" w:rsidR="00541D13" w:rsidRDefault="00541D13" w:rsidP="00541D13">
      <w:r>
        <w:t xml:space="preserve">DUSC noted that dupilumab has the majority of the market share over </w:t>
      </w:r>
      <w:proofErr w:type="spellStart"/>
      <w:r>
        <w:t>upadacitinib</w:t>
      </w:r>
      <w:proofErr w:type="spellEnd"/>
      <w:r>
        <w:t xml:space="preserve">, and that dupilumab has more initiating patients in the recent time period since </w:t>
      </w:r>
      <w:proofErr w:type="spellStart"/>
      <w:r>
        <w:t>upadacitinib</w:t>
      </w:r>
      <w:proofErr w:type="spellEnd"/>
      <w:r>
        <w:t xml:space="preserve"> was PBS listed. DUSC noted only a small proportion (5%) of patients have switched between therapies, and commented that the black box warning on </w:t>
      </w:r>
      <w:proofErr w:type="spellStart"/>
      <w:r>
        <w:t>upadacitinib</w:t>
      </w:r>
      <w:proofErr w:type="spellEnd"/>
      <w:r>
        <w:t xml:space="preserve"> may have reduced its attractiveness as an oral therapy. DUSC suggested it is likely that dupilumab will continue to have the majority market share in the future. DUSC commented that the number of treated patients is increasing over time which suggests patients are staying on treatment and not ceasing. DUSC noted that the median length of treatment could not be estimated and commented that this confirms patients are remaining on treatment.</w:t>
      </w:r>
    </w:p>
    <w:p w14:paraId="43448B7D" w14:textId="77777777" w:rsidR="00541D13" w:rsidRDefault="00541D13" w:rsidP="00541D13">
      <w:r>
        <w:t xml:space="preserve">DUSC noted that the </w:t>
      </w:r>
      <w:proofErr w:type="gramStart"/>
      <w:r>
        <w:t>five year</w:t>
      </w:r>
      <w:proofErr w:type="gramEnd"/>
      <w:r>
        <w:t xml:space="preserve"> age group with the highest number of initiating patients was those aged 20 to 24 years old. DUSC considered this may impact the use of dupilumab in the future if younger patients are likely to remain on treatment for many years. </w:t>
      </w:r>
    </w:p>
    <w:p w14:paraId="46DB6463" w14:textId="02CD89DE" w:rsidR="00541D13" w:rsidRDefault="00541D13" w:rsidP="00541D13">
      <w:r>
        <w:t xml:space="preserve">DUSC noted that the Northern Territory (NT) had the lowest number of initiating patients and the lowest standardised number of initiating patients. DUSC noted the response from Eczema Support Australia commented that for most people, dermatitis is generally made worse by cold dry climates. DUSC agreed with the response that the low use of dupilumab in the NT may reflect an access issue and that there may be lower prevalence in the NT due to the climate. DUSC noted that the standardised number of initiating patients was highest in Tasmania and noted the response from Eczema Support Australia commented that there was </w:t>
      </w:r>
      <w:r w:rsidR="002C5A4D">
        <w:t xml:space="preserve">compassionate </w:t>
      </w:r>
      <w:r>
        <w:t xml:space="preserve">access </w:t>
      </w:r>
      <w:r w:rsidR="002C5A4D">
        <w:t xml:space="preserve">available </w:t>
      </w:r>
      <w:r w:rsidR="00190F7F">
        <w:t xml:space="preserve">for dupilumab </w:t>
      </w:r>
      <w:r w:rsidR="002C5A4D">
        <w:t>i</w:t>
      </w:r>
      <w:r>
        <w:t>n Tasmania</w:t>
      </w:r>
      <w:r w:rsidR="00190F7F">
        <w:t>.</w:t>
      </w:r>
      <w:r>
        <w:t xml:space="preserve"> </w:t>
      </w:r>
    </w:p>
    <w:p w14:paraId="46B44E3C" w14:textId="77777777" w:rsidR="00541D13" w:rsidRDefault="00541D13" w:rsidP="00541D13">
      <w:r>
        <w:t xml:space="preserve">DUSC noted the sequence of use of dupilumab and topical therapy showed that 92% of patients were supplied prior use of topical corticosteroids or </w:t>
      </w:r>
      <w:proofErr w:type="spellStart"/>
      <w:r>
        <w:t>pimecrolimus</w:t>
      </w:r>
      <w:proofErr w:type="spellEnd"/>
      <w:r>
        <w:t xml:space="preserve"> cream under the </w:t>
      </w:r>
      <w:r>
        <w:lastRenderedPageBreak/>
        <w:t xml:space="preserve">PBS. DUSC commented that topical treatment can be supplied over the counter, but considered patients with severe atopic dermatitis should be on high dose topical treatment which does require a prescription. </w:t>
      </w:r>
    </w:p>
    <w:p w14:paraId="00B2F415" w14:textId="77777777" w:rsidR="00541D13" w:rsidRDefault="00541D13" w:rsidP="00541D13">
      <w:r>
        <w:t xml:space="preserve">DUSC noted the analysis of predicted versus actual utilisation showed that the use of dupilumab was underestimated, and further underestimated when compared to the market use of dupilumab and </w:t>
      </w:r>
      <w:proofErr w:type="spellStart"/>
      <w:r>
        <w:t>upadacitinib</w:t>
      </w:r>
      <w:proofErr w:type="spellEnd"/>
      <w:r>
        <w:t xml:space="preserve">. DUSC noted that there were more initiating patients than predicted, and that these patients were treated for longer than predicted. DUSC commented that topical treatments can be time consuming to apply for patients with severe disease and the injection appears to be well tolerated by patients. DUSC noted that it cannot be determined from the PBS supply data whether patients are being treated outside of the restriction, and considered that there may or may not be use of dupilumab in patients with mild to moderate disease. </w:t>
      </w:r>
    </w:p>
    <w:p w14:paraId="03042B96" w14:textId="77777777" w:rsidR="00541D13" w:rsidRDefault="00541D13" w:rsidP="00541D13">
      <w:r>
        <w:t xml:space="preserve">DUSC commented that dermatitis can be a seasonal disease, and patients may use varying amounts of topical treatment through a year. However, patients may choose to stay on dupilumab rather than being treated seasonally. DUSC commented that patients do not rebound when dupilumab is stopped, but considered it may have taken time for patients to access a specialist prescriber and they may be concerned about getting back into a specialist if treatment is ceased. DUSC considered that given the young age of initiating patients and the potential for treatment to become lifelong, there may need to be consideration given to discontinuing patients from dupilumab during periods of less severe disease, without restricting future access. </w:t>
      </w:r>
    </w:p>
    <w:p w14:paraId="6E9A3419" w14:textId="77777777" w:rsidR="001A5BBA" w:rsidRDefault="001A5BBA" w:rsidP="001A5BBA">
      <w:pPr>
        <w:pStyle w:val="Heading1"/>
      </w:pPr>
      <w:r>
        <w:t>DUSC actions</w:t>
      </w:r>
    </w:p>
    <w:p w14:paraId="2CCD9965" w14:textId="4D8B5E08" w:rsidR="001A5BBA" w:rsidRPr="00832324" w:rsidRDefault="00346436" w:rsidP="001A5BBA">
      <w:pPr>
        <w:rPr>
          <w:highlight w:val="yellow"/>
        </w:rPr>
      </w:pPr>
      <w:r>
        <w:t xml:space="preserve">DUSC requested that the report be provided to the PBAC for consideration. </w:t>
      </w:r>
    </w:p>
    <w:p w14:paraId="66828A56" w14:textId="77777777" w:rsidR="001A5BBA" w:rsidRDefault="001A5BBA" w:rsidP="001A5BBA">
      <w:pPr>
        <w:pStyle w:val="Heading1"/>
      </w:pPr>
      <w:r w:rsidRPr="0092516A">
        <w:t>Context for analysis</w:t>
      </w:r>
    </w:p>
    <w:p w14:paraId="3901EC7E" w14:textId="77777777" w:rsidR="001A5BBA" w:rsidRDefault="001A5BBA" w:rsidP="001A5BBA">
      <w:r>
        <w:t>The DUSC is a Sub Committee of the Pharmaceutical Benefits Advisory Committee (PBAC). The DUSC assesses estimates on projected usage and financial cost of medicines.</w:t>
      </w:r>
    </w:p>
    <w:p w14:paraId="19DA8327" w14:textId="77777777" w:rsidR="001A5BBA" w:rsidRDefault="001A5BBA" w:rsidP="001A5BBA">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6EE63FCA" w14:textId="77777777" w:rsidR="001A5BBA" w:rsidRDefault="001A5BBA" w:rsidP="001A5BBA">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122A134F" w14:textId="77777777" w:rsidR="001A5BBA" w:rsidRDefault="001A5BBA" w:rsidP="001A5BBA">
      <w:r>
        <w:t>The utilisation analysis report was provided to the pharmaceutical sponsors of each drug and comments on the report were provided to DUSC prior to its consideration of the analysis.</w:t>
      </w:r>
    </w:p>
    <w:p w14:paraId="733378F7" w14:textId="77777777" w:rsidR="001A5BBA" w:rsidRDefault="001A5BBA" w:rsidP="001A5BBA">
      <w:pPr>
        <w:pStyle w:val="Heading1"/>
      </w:pPr>
      <w:r>
        <w:lastRenderedPageBreak/>
        <w:t>Sponsor</w:t>
      </w:r>
      <w:r w:rsidRPr="0092516A">
        <w:t>s</w:t>
      </w:r>
      <w:r>
        <w:t>’</w:t>
      </w:r>
      <w:r w:rsidRPr="0092516A">
        <w:t xml:space="preserve"> comments</w:t>
      </w:r>
    </w:p>
    <w:p w14:paraId="0038E117" w14:textId="5DDDD9EE" w:rsidR="007A0FDE" w:rsidRDefault="006D2300" w:rsidP="001A5BBA">
      <w:r w:rsidRPr="006D2300">
        <w:t xml:space="preserve">Sanofi welcomes the findings of the DUSC report which confirms that the use of </w:t>
      </w:r>
      <w:r w:rsidR="007A0FDE">
        <w:t>d</w:t>
      </w:r>
      <w:r w:rsidRPr="006D2300">
        <w:t xml:space="preserve">upilumab is higher than initially anticipated and that the majority of patients met the restriction criteria in terms of prior therapies.   </w:t>
      </w:r>
    </w:p>
    <w:p w14:paraId="18B48F93" w14:textId="0C320F62" w:rsidR="001A5BBA" w:rsidRDefault="007A0FDE" w:rsidP="001A5BBA">
      <w:r>
        <w:t>AbbVie: The sponsor has no comment.</w:t>
      </w:r>
      <w:r w:rsidRPr="007A0FDE">
        <w:t xml:space="preserve">  </w:t>
      </w:r>
    </w:p>
    <w:p w14:paraId="61F4A6FC" w14:textId="77777777" w:rsidR="001A5BBA" w:rsidRDefault="001A5BBA" w:rsidP="001A5BBA">
      <w:pPr>
        <w:pStyle w:val="Heading1"/>
      </w:pPr>
      <w:r w:rsidRPr="00A4020E">
        <w:t>Disclaimer</w:t>
      </w:r>
    </w:p>
    <w:p w14:paraId="01B6EE50" w14:textId="7475B888" w:rsidR="001A5BBA" w:rsidRDefault="001A5BBA" w:rsidP="001A5BBA">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61E12197" w14:textId="63352C58" w:rsidR="001A5BBA" w:rsidRDefault="001A5BBA" w:rsidP="001A5BBA">
      <w:r>
        <w:t>The Department of Health and Aged Care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14:paraId="14D29658" w14:textId="77777777" w:rsidR="001A5BBA" w:rsidRDefault="001A5BBA" w:rsidP="001A5BBA">
      <w:r>
        <w:t xml:space="preserve">To the extent provided by law, the Department of Health and Aged Care makes no warranties or representations as to accuracy or completeness of information contained in this report. </w:t>
      </w:r>
    </w:p>
    <w:p w14:paraId="6DDE7B71" w14:textId="77777777" w:rsidR="001A5BBA" w:rsidRDefault="001A5BBA" w:rsidP="001A5BBA">
      <w:r>
        <w:t>To the fullest extent permitted by law, neither the Department of Health and Aged Care nor any Department of Health and Aged Care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25D65B04" w14:textId="21A066C2" w:rsidR="00FE645A" w:rsidRDefault="00FE645A">
      <w:pPr>
        <w:spacing w:line="276" w:lineRule="auto"/>
      </w:pPr>
    </w:p>
    <w:sectPr w:rsidR="00FE645A" w:rsidSect="00DD188C">
      <w:headerReference w:type="even" r:id="rId28"/>
      <w:headerReference w:type="default" r:id="rId29"/>
      <w:footerReference w:type="even" r:id="rId30"/>
      <w:footerReference w:type="default" r:id="rId31"/>
      <w:headerReference w:type="first" r:id="rId32"/>
      <w:footerReference w:type="first" r:id="rId33"/>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BDC72" w14:textId="77777777" w:rsidR="009C5C3D" w:rsidRDefault="009C5C3D" w:rsidP="00A35800">
      <w:r>
        <w:separator/>
      </w:r>
    </w:p>
  </w:endnote>
  <w:endnote w:type="continuationSeparator" w:id="0">
    <w:p w14:paraId="5613680B" w14:textId="77777777" w:rsidR="009C5C3D" w:rsidRDefault="009C5C3D"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9D5E5" w14:textId="77777777" w:rsidR="00214013" w:rsidRDefault="00214013"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214013" w:rsidRDefault="00214013"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733839"/>
      <w:docPartObj>
        <w:docPartGallery w:val="Page Numbers (Bottom of Page)"/>
        <w:docPartUnique/>
      </w:docPartObj>
    </w:sdtPr>
    <w:sdtContent>
      <w:sdt>
        <w:sdtPr>
          <w:id w:val="-1669238322"/>
          <w:docPartObj>
            <w:docPartGallery w:val="Page Numbers (Top of Page)"/>
            <w:docPartUnique/>
          </w:docPartObj>
        </w:sdtPr>
        <w:sdtContent>
          <w:p w14:paraId="697258CE" w14:textId="77777777" w:rsidR="00595ABF" w:rsidRDefault="0005112B" w:rsidP="000E72C6">
            <w:pPr>
              <w:pStyle w:val="Footer"/>
              <w:jc w:val="center"/>
              <w:rPr>
                <w:i/>
                <w:sz w:val="20"/>
              </w:rPr>
            </w:pPr>
            <w:r w:rsidRPr="0005112B">
              <w:rPr>
                <w:i/>
                <w:sz w:val="20"/>
              </w:rPr>
              <w:t xml:space="preserve">Public Release Document, </w:t>
            </w:r>
            <w:r>
              <w:rPr>
                <w:i/>
                <w:sz w:val="20"/>
              </w:rPr>
              <w:t>September 2023</w:t>
            </w:r>
            <w:r w:rsidRPr="0005112B">
              <w:rPr>
                <w:i/>
                <w:sz w:val="20"/>
              </w:rPr>
              <w:t xml:space="preserve"> DUSC Meeting</w:t>
            </w:r>
          </w:p>
          <w:p w14:paraId="10292A9A" w14:textId="5A47E7D6" w:rsidR="00214013" w:rsidRDefault="00595ABF" w:rsidP="000E72C6">
            <w:pPr>
              <w:pStyle w:val="Footer"/>
              <w:jc w:val="center"/>
              <w:rPr>
                <w:rStyle w:val="PageNumber"/>
              </w:rPr>
            </w:pPr>
            <w:r>
              <w:rPr>
                <w:i/>
                <w:sz w:val="20"/>
              </w:rPr>
              <w:t>P</w:t>
            </w:r>
            <w:r w:rsidR="00DD188C" w:rsidRPr="00DD188C">
              <w:rPr>
                <w:i/>
                <w:sz w:val="20"/>
              </w:rPr>
              <w:t xml:space="preserve">age </w:t>
            </w:r>
            <w:r w:rsidR="00DD188C" w:rsidRPr="00DD188C">
              <w:rPr>
                <w:bCs/>
                <w:i/>
                <w:sz w:val="20"/>
              </w:rPr>
              <w:fldChar w:fldCharType="begin"/>
            </w:r>
            <w:r w:rsidR="00DD188C" w:rsidRPr="00DD188C">
              <w:rPr>
                <w:bCs/>
                <w:i/>
                <w:sz w:val="20"/>
              </w:rPr>
              <w:instrText xml:space="preserve"> PAGE </w:instrText>
            </w:r>
            <w:r w:rsidR="00DD188C" w:rsidRPr="00DD188C">
              <w:rPr>
                <w:bCs/>
                <w:i/>
                <w:sz w:val="20"/>
              </w:rPr>
              <w:fldChar w:fldCharType="separate"/>
            </w:r>
            <w:r w:rsidR="001F0A4E">
              <w:rPr>
                <w:bCs/>
                <w:i/>
                <w:noProof/>
                <w:sz w:val="20"/>
              </w:rPr>
              <w:t>3</w:t>
            </w:r>
            <w:r w:rsidR="00DD188C" w:rsidRPr="00DD188C">
              <w:rPr>
                <w:bCs/>
                <w:i/>
                <w:sz w:val="20"/>
              </w:rPr>
              <w:fldChar w:fldCharType="end"/>
            </w:r>
            <w:r w:rsidR="00DD188C" w:rsidRPr="00DD188C">
              <w:rPr>
                <w:i/>
                <w:sz w:val="20"/>
              </w:rPr>
              <w:t xml:space="preserve"> of </w:t>
            </w:r>
            <w:r w:rsidR="00DD188C" w:rsidRPr="00DD188C">
              <w:rPr>
                <w:bCs/>
                <w:i/>
                <w:sz w:val="20"/>
              </w:rPr>
              <w:fldChar w:fldCharType="begin"/>
            </w:r>
            <w:r w:rsidR="00DD188C" w:rsidRPr="00DD188C">
              <w:rPr>
                <w:bCs/>
                <w:i/>
                <w:sz w:val="20"/>
              </w:rPr>
              <w:instrText xml:space="preserve"> NUMPAGES  </w:instrText>
            </w:r>
            <w:r w:rsidR="00DD188C" w:rsidRPr="00DD188C">
              <w:rPr>
                <w:bCs/>
                <w:i/>
                <w:sz w:val="20"/>
              </w:rPr>
              <w:fldChar w:fldCharType="separate"/>
            </w:r>
            <w:r w:rsidR="001F0A4E">
              <w:rPr>
                <w:bCs/>
                <w:i/>
                <w:noProof/>
                <w:sz w:val="20"/>
              </w:rPr>
              <w:t>13</w:t>
            </w:r>
            <w:r w:rsidR="00DD188C"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22E1F" w14:textId="77777777" w:rsidR="007A5733" w:rsidRDefault="007A5733" w:rsidP="007A5733">
    <w:pPr>
      <w:pStyle w:val="Footer"/>
      <w:jc w:val="center"/>
      <w:rPr>
        <w:rStyle w:val="PageNumber"/>
      </w:rPr>
    </w:pPr>
    <w:r>
      <w:rPr>
        <w:rStyle w:val="PageNumber"/>
      </w:rPr>
      <w:t>Committee-in-Confidence</w:t>
    </w:r>
  </w:p>
  <w:p w14:paraId="3CE6880B" w14:textId="77777777" w:rsidR="00DD188C" w:rsidRDefault="00DD188C"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66B37" w14:textId="77777777" w:rsidR="009C5C3D" w:rsidRDefault="009C5C3D" w:rsidP="00A35800">
      <w:r>
        <w:separator/>
      </w:r>
    </w:p>
  </w:footnote>
  <w:footnote w:type="continuationSeparator" w:id="0">
    <w:p w14:paraId="1056D5A8" w14:textId="77777777" w:rsidR="009C5C3D" w:rsidRDefault="009C5C3D" w:rsidP="00A35800">
      <w:r>
        <w:continuationSeparator/>
      </w:r>
    </w:p>
  </w:footnote>
  <w:footnote w:id="1">
    <w:p w14:paraId="2DEC3073" w14:textId="237AA39A" w:rsidR="006A1195" w:rsidRDefault="006A1195">
      <w:pPr>
        <w:pStyle w:val="FootnoteText"/>
      </w:pPr>
      <w:r>
        <w:rPr>
          <w:rStyle w:val="FootnoteReference"/>
        </w:rPr>
        <w:footnoteRef/>
      </w:r>
      <w:r>
        <w:t xml:space="preserve"> </w:t>
      </w:r>
      <w:r w:rsidRPr="006A1195">
        <w:t xml:space="preserve">Australasian Society of Clinical Immunology and Allergy . Eczema (Atopic Dermatitis). (Accessed </w:t>
      </w:r>
      <w:r>
        <w:t>27 July 2023</w:t>
      </w:r>
      <w:r w:rsidRPr="006A1195">
        <w:t>); Available from</w:t>
      </w:r>
      <w:r>
        <w:t xml:space="preserve"> </w:t>
      </w:r>
      <w:hyperlink r:id="rId1" w:history="1">
        <w:r w:rsidRPr="006D111E">
          <w:rPr>
            <w:rStyle w:val="Hyperlink"/>
          </w:rPr>
          <w:t>https://www.allergy.org.au/patients/skin-allergy/eczema</w:t>
        </w:r>
      </w:hyperlink>
      <w:r>
        <w:t xml:space="preserve"> </w:t>
      </w:r>
    </w:p>
  </w:footnote>
  <w:footnote w:id="2">
    <w:p w14:paraId="09B769CC" w14:textId="23FFEE7E" w:rsidR="00457B28" w:rsidRDefault="00457B28">
      <w:pPr>
        <w:pStyle w:val="FootnoteText"/>
      </w:pPr>
      <w:r>
        <w:rPr>
          <w:rStyle w:val="FootnoteReference"/>
        </w:rPr>
        <w:footnoteRef/>
      </w:r>
      <w:r>
        <w:t xml:space="preserve"> </w:t>
      </w:r>
      <w:r w:rsidRPr="00457B28">
        <w:t xml:space="preserve">Li Z, </w:t>
      </w:r>
      <w:proofErr w:type="spellStart"/>
      <w:r w:rsidRPr="00457B28">
        <w:t>Radin</w:t>
      </w:r>
      <w:proofErr w:type="spellEnd"/>
      <w:r w:rsidRPr="00457B28">
        <w:t xml:space="preserve"> A, Li M, Hamilton JD, </w:t>
      </w:r>
      <w:proofErr w:type="spellStart"/>
      <w:r w:rsidRPr="00457B28">
        <w:t>Kajiwara</w:t>
      </w:r>
      <w:proofErr w:type="spellEnd"/>
      <w:r w:rsidRPr="00457B28">
        <w:t xml:space="preserve"> M, Davis JD, </w:t>
      </w:r>
      <w:r w:rsidR="00CE04A0">
        <w:t>et al</w:t>
      </w:r>
      <w:r w:rsidRPr="00457B28">
        <w:t xml:space="preserve">. Pharmacokinetics, Pharmacodynamics, Safety, and Tolerability of Dupilumab in Healthy Adult Subjects. Clin </w:t>
      </w:r>
      <w:proofErr w:type="spellStart"/>
      <w:r w:rsidRPr="00457B28">
        <w:t>Pharmacol</w:t>
      </w:r>
      <w:proofErr w:type="spellEnd"/>
      <w:r w:rsidRPr="00457B28">
        <w:t xml:space="preserve"> Drug Dev. 2020 Aug;9(6):742-755. </w:t>
      </w:r>
      <w:proofErr w:type="spellStart"/>
      <w:r w:rsidRPr="00457B28">
        <w:t>doi</w:t>
      </w:r>
      <w:proofErr w:type="spellEnd"/>
      <w:r w:rsidRPr="00457B28">
        <w:t xml:space="preserve">: 10.1002/cpdd.798. </w:t>
      </w:r>
      <w:proofErr w:type="spellStart"/>
      <w:r w:rsidRPr="00457B28">
        <w:t>Epub</w:t>
      </w:r>
      <w:proofErr w:type="spellEnd"/>
      <w:r w:rsidRPr="00457B28">
        <w:t xml:space="preserve"> 2020 Apr 29. PMID: 32348036; PMCID: PMC7496261.</w:t>
      </w:r>
    </w:p>
  </w:footnote>
  <w:footnote w:id="3">
    <w:p w14:paraId="361E0966" w14:textId="77777777" w:rsidR="00CE04A0" w:rsidRPr="008142B4" w:rsidRDefault="00CE04A0" w:rsidP="00CE04A0">
      <w:pPr>
        <w:pStyle w:val="FootnoteText"/>
        <w:rPr>
          <w:szCs w:val="18"/>
        </w:rPr>
      </w:pPr>
      <w:r w:rsidRPr="008142B4">
        <w:rPr>
          <w:rStyle w:val="FootnoteReference"/>
          <w:szCs w:val="18"/>
        </w:rPr>
        <w:footnoteRef/>
      </w:r>
      <w:r w:rsidRPr="008142B4">
        <w:rPr>
          <w:szCs w:val="18"/>
        </w:rPr>
        <w:t xml:space="preserve"> </w:t>
      </w:r>
      <w:r>
        <w:rPr>
          <w:szCs w:val="18"/>
        </w:rPr>
        <w:t xml:space="preserve">Dupixent (dupilumab). Australian Approved Product Information. </w:t>
      </w:r>
      <w:r w:rsidRPr="007E7A9B">
        <w:rPr>
          <w:szCs w:val="18"/>
        </w:rPr>
        <w:t>Macquarie Park NSW</w:t>
      </w:r>
      <w:r>
        <w:rPr>
          <w:szCs w:val="18"/>
        </w:rPr>
        <w:t xml:space="preserve">: Sanofi Aventis. Approved 24 January 2018, updated 29 June 2022. Available from </w:t>
      </w:r>
      <w:hyperlink r:id="rId2" w:history="1">
        <w:r w:rsidRPr="0073469C">
          <w:rPr>
            <w:rStyle w:val="Hyperlink"/>
            <w:szCs w:val="18"/>
          </w:rPr>
          <w:t>https://www.ebs.tga.gov.au/ebs/picmi/picmirepository.nsf/pdf?OpenAgent&amp;id=CP-2018-PI-01199-1</w:t>
        </w:r>
      </w:hyperlink>
      <w:r>
        <w:rPr>
          <w:szCs w:val="18"/>
        </w:rPr>
        <w:t xml:space="preserve"> </w:t>
      </w:r>
    </w:p>
  </w:footnote>
  <w:footnote w:id="4">
    <w:p w14:paraId="56359B41" w14:textId="2ABD58E5" w:rsidR="00A20077" w:rsidRDefault="00A20077">
      <w:pPr>
        <w:pStyle w:val="FootnoteText"/>
      </w:pPr>
      <w:r>
        <w:rPr>
          <w:rStyle w:val="FootnoteReference"/>
        </w:rPr>
        <w:footnoteRef/>
      </w:r>
      <w:r>
        <w:t xml:space="preserve"> </w:t>
      </w:r>
      <w:r w:rsidR="00B65274">
        <w:t xml:space="preserve">PBAC Outcomes from the July 2023 meeting </w:t>
      </w:r>
      <w:hyperlink r:id="rId3" w:history="1">
        <w:r w:rsidR="00B65274" w:rsidRPr="00346D3C">
          <w:rPr>
            <w:rStyle w:val="Hyperlink"/>
          </w:rPr>
          <w:t>https://www.pbs.gov.au/industry/listing/elements/pbac-meetings/pbac-outcomes/2023-07/pbac-web-outcomes-07-2023.pdf</w:t>
        </w:r>
      </w:hyperlink>
      <w:r w:rsidR="00B65274">
        <w:t xml:space="preserve"> </w:t>
      </w:r>
    </w:p>
  </w:footnote>
  <w:footnote w:id="5">
    <w:p w14:paraId="0A4DD767" w14:textId="6B3A91EE" w:rsidR="00576B18" w:rsidRPr="00BC5AE2" w:rsidRDefault="00576B18" w:rsidP="00576B18">
      <w:pPr>
        <w:pStyle w:val="FootnoteText"/>
        <w:rPr>
          <w:sz w:val="20"/>
        </w:rPr>
      </w:pPr>
      <w:r w:rsidRPr="00BC5AE2">
        <w:rPr>
          <w:rStyle w:val="FootnoteReference"/>
          <w:sz w:val="20"/>
        </w:rPr>
        <w:footnoteRef/>
      </w:r>
      <w:r w:rsidRPr="00BC5AE2">
        <w:rPr>
          <w:sz w:val="20"/>
        </w:rPr>
        <w:t xml:space="preserve"> PBS statistics</w:t>
      </w:r>
      <w:r>
        <w:rPr>
          <w:sz w:val="20"/>
        </w:rPr>
        <w:t xml:space="preserve">. Australian Government </w:t>
      </w:r>
      <w:r w:rsidR="006804E0" w:rsidRPr="006804E0">
        <w:rPr>
          <w:sz w:val="20"/>
        </w:rPr>
        <w:t>Services Australia</w:t>
      </w:r>
      <w:r>
        <w:rPr>
          <w:sz w:val="20"/>
        </w:rPr>
        <w:t>. Canberra. Available from &lt;</w:t>
      </w:r>
      <w:hyperlink r:id="rId4" w:history="1">
        <w:r>
          <w:rPr>
            <w:rStyle w:val="Hyperlink"/>
            <w:sz w:val="20"/>
          </w:rPr>
          <w:t>http://www.medicareaustralia.gov.au/provider/pbs/stats.jsp</w:t>
        </w:r>
      </w:hyperlink>
      <w:r>
        <w:rPr>
          <w:sz w:val="20"/>
        </w:rP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3F878" w14:textId="77777777" w:rsidR="00DD188C" w:rsidRDefault="00DD18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6F15D" w14:textId="77777777" w:rsidR="00FB77FA" w:rsidRDefault="00FB77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87C54" w14:textId="77777777" w:rsidR="00DD188C" w:rsidRDefault="00DD18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26331"/>
    <w:multiLevelType w:val="hybridMultilevel"/>
    <w:tmpl w:val="2D380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915320"/>
    <w:multiLevelType w:val="hybridMultilevel"/>
    <w:tmpl w:val="7E74A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FD6C4D"/>
    <w:multiLevelType w:val="hybridMultilevel"/>
    <w:tmpl w:val="466AA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457BD4"/>
    <w:multiLevelType w:val="hybridMultilevel"/>
    <w:tmpl w:val="EE5E50CA"/>
    <w:lvl w:ilvl="0" w:tplc="0C090001">
      <w:start w:val="1"/>
      <w:numFmt w:val="bullet"/>
      <w:lvlText w:val=""/>
      <w:lvlJc w:val="left"/>
      <w:pPr>
        <w:ind w:left="720" w:hanging="360"/>
      </w:pPr>
      <w:rPr>
        <w:rFonts w:ascii="Symbol" w:hAnsi="Symbol" w:hint="default"/>
      </w:rPr>
    </w:lvl>
    <w:lvl w:ilvl="1" w:tplc="D472AA98">
      <w:numFmt w:val="bullet"/>
      <w:lvlText w:val="•"/>
      <w:lvlJc w:val="left"/>
      <w:pPr>
        <w:ind w:left="1440" w:hanging="360"/>
      </w:pPr>
      <w:rPr>
        <w:rFonts w:ascii="Calibri" w:eastAsiaTheme="minorEastAsia"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D173A39"/>
    <w:multiLevelType w:val="hybridMultilevel"/>
    <w:tmpl w:val="CE181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D31212C"/>
    <w:multiLevelType w:val="hybridMultilevel"/>
    <w:tmpl w:val="7618D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11315038">
    <w:abstractNumId w:val="8"/>
  </w:num>
  <w:num w:numId="2" w16cid:durableId="1971207539">
    <w:abstractNumId w:val="7"/>
  </w:num>
  <w:num w:numId="3" w16cid:durableId="1543010043">
    <w:abstractNumId w:val="4"/>
  </w:num>
  <w:num w:numId="4" w16cid:durableId="1282348112">
    <w:abstractNumId w:val="3"/>
  </w:num>
  <w:num w:numId="5" w16cid:durableId="494566319">
    <w:abstractNumId w:val="2"/>
  </w:num>
  <w:num w:numId="6" w16cid:durableId="613711088">
    <w:abstractNumId w:val="1"/>
  </w:num>
  <w:num w:numId="7" w16cid:durableId="1180504655">
    <w:abstractNumId w:val="0"/>
  </w:num>
  <w:num w:numId="8" w16cid:durableId="508376402">
    <w:abstractNumId w:val="6"/>
  </w:num>
  <w:num w:numId="9" w16cid:durableId="15567451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041"/>
    <w:rsid w:val="000022DE"/>
    <w:rsid w:val="00007E85"/>
    <w:rsid w:val="00013465"/>
    <w:rsid w:val="000145BF"/>
    <w:rsid w:val="00014851"/>
    <w:rsid w:val="00020FD0"/>
    <w:rsid w:val="00021984"/>
    <w:rsid w:val="000226B3"/>
    <w:rsid w:val="00024440"/>
    <w:rsid w:val="00024549"/>
    <w:rsid w:val="0002519C"/>
    <w:rsid w:val="000262E3"/>
    <w:rsid w:val="000302B8"/>
    <w:rsid w:val="00032ABF"/>
    <w:rsid w:val="00032C10"/>
    <w:rsid w:val="0003485A"/>
    <w:rsid w:val="00036E07"/>
    <w:rsid w:val="00043D4E"/>
    <w:rsid w:val="00046CAA"/>
    <w:rsid w:val="0005089F"/>
    <w:rsid w:val="0005112B"/>
    <w:rsid w:val="00051329"/>
    <w:rsid w:val="00052A75"/>
    <w:rsid w:val="000544B6"/>
    <w:rsid w:val="00054A72"/>
    <w:rsid w:val="00054EBF"/>
    <w:rsid w:val="000558CD"/>
    <w:rsid w:val="00055D02"/>
    <w:rsid w:val="0005779E"/>
    <w:rsid w:val="00057A20"/>
    <w:rsid w:val="000604AF"/>
    <w:rsid w:val="00060E36"/>
    <w:rsid w:val="00064055"/>
    <w:rsid w:val="000650FC"/>
    <w:rsid w:val="000678FC"/>
    <w:rsid w:val="000764C1"/>
    <w:rsid w:val="0007670A"/>
    <w:rsid w:val="00083CEB"/>
    <w:rsid w:val="00084B14"/>
    <w:rsid w:val="000857B3"/>
    <w:rsid w:val="00086C11"/>
    <w:rsid w:val="00087627"/>
    <w:rsid w:val="000931C7"/>
    <w:rsid w:val="00094DCF"/>
    <w:rsid w:val="00095484"/>
    <w:rsid w:val="000A00BD"/>
    <w:rsid w:val="000A2E6E"/>
    <w:rsid w:val="000A5E3C"/>
    <w:rsid w:val="000A6CFD"/>
    <w:rsid w:val="000B0982"/>
    <w:rsid w:val="000B5682"/>
    <w:rsid w:val="000B70CA"/>
    <w:rsid w:val="000B796C"/>
    <w:rsid w:val="000C0CB6"/>
    <w:rsid w:val="000C18DA"/>
    <w:rsid w:val="000C215E"/>
    <w:rsid w:val="000C46BB"/>
    <w:rsid w:val="000C4D9D"/>
    <w:rsid w:val="000C643D"/>
    <w:rsid w:val="000C6D4A"/>
    <w:rsid w:val="000C7C4B"/>
    <w:rsid w:val="000C7D8B"/>
    <w:rsid w:val="000D17D0"/>
    <w:rsid w:val="000D3232"/>
    <w:rsid w:val="000D5C39"/>
    <w:rsid w:val="000E310C"/>
    <w:rsid w:val="000E485D"/>
    <w:rsid w:val="000E515F"/>
    <w:rsid w:val="000E72C6"/>
    <w:rsid w:val="000F1893"/>
    <w:rsid w:val="000F2AE1"/>
    <w:rsid w:val="000F2F51"/>
    <w:rsid w:val="000F5E54"/>
    <w:rsid w:val="000F709C"/>
    <w:rsid w:val="000F7D8A"/>
    <w:rsid w:val="0010272B"/>
    <w:rsid w:val="001036C3"/>
    <w:rsid w:val="0010463D"/>
    <w:rsid w:val="00107E85"/>
    <w:rsid w:val="0011070B"/>
    <w:rsid w:val="00113A3C"/>
    <w:rsid w:val="00113CDD"/>
    <w:rsid w:val="00113CF8"/>
    <w:rsid w:val="00113D74"/>
    <w:rsid w:val="001150A0"/>
    <w:rsid w:val="001159E6"/>
    <w:rsid w:val="00117B39"/>
    <w:rsid w:val="00117C5C"/>
    <w:rsid w:val="001217D0"/>
    <w:rsid w:val="00122911"/>
    <w:rsid w:val="001245C8"/>
    <w:rsid w:val="00125E0F"/>
    <w:rsid w:val="001310AE"/>
    <w:rsid w:val="00131F03"/>
    <w:rsid w:val="00134ECB"/>
    <w:rsid w:val="001420B3"/>
    <w:rsid w:val="00142263"/>
    <w:rsid w:val="0014232C"/>
    <w:rsid w:val="00144B8A"/>
    <w:rsid w:val="001460C4"/>
    <w:rsid w:val="001512F7"/>
    <w:rsid w:val="00156276"/>
    <w:rsid w:val="0015691C"/>
    <w:rsid w:val="00157472"/>
    <w:rsid w:val="00157611"/>
    <w:rsid w:val="001621F7"/>
    <w:rsid w:val="001624D7"/>
    <w:rsid w:val="00162A62"/>
    <w:rsid w:val="001630D5"/>
    <w:rsid w:val="0016417F"/>
    <w:rsid w:val="00164289"/>
    <w:rsid w:val="00167DA6"/>
    <w:rsid w:val="00177011"/>
    <w:rsid w:val="00177B86"/>
    <w:rsid w:val="00180D58"/>
    <w:rsid w:val="00182585"/>
    <w:rsid w:val="001831AC"/>
    <w:rsid w:val="00187A9D"/>
    <w:rsid w:val="00187D0B"/>
    <w:rsid w:val="00187F0B"/>
    <w:rsid w:val="00190F7F"/>
    <w:rsid w:val="00191182"/>
    <w:rsid w:val="00192443"/>
    <w:rsid w:val="0019561E"/>
    <w:rsid w:val="0019664D"/>
    <w:rsid w:val="00197EA9"/>
    <w:rsid w:val="001A1E17"/>
    <w:rsid w:val="001A5BBA"/>
    <w:rsid w:val="001A6103"/>
    <w:rsid w:val="001B33CA"/>
    <w:rsid w:val="001B5D37"/>
    <w:rsid w:val="001B72AD"/>
    <w:rsid w:val="001C23C6"/>
    <w:rsid w:val="001C2940"/>
    <w:rsid w:val="001C2989"/>
    <w:rsid w:val="001C3B3C"/>
    <w:rsid w:val="001C4016"/>
    <w:rsid w:val="001C548D"/>
    <w:rsid w:val="001C6A5D"/>
    <w:rsid w:val="001D4C53"/>
    <w:rsid w:val="001D5017"/>
    <w:rsid w:val="001E1325"/>
    <w:rsid w:val="001E2DAC"/>
    <w:rsid w:val="001E31A6"/>
    <w:rsid w:val="001E42C7"/>
    <w:rsid w:val="001E4CAB"/>
    <w:rsid w:val="001E5C38"/>
    <w:rsid w:val="001E7A4D"/>
    <w:rsid w:val="001F0A4E"/>
    <w:rsid w:val="001F2F3E"/>
    <w:rsid w:val="001F4906"/>
    <w:rsid w:val="001F5228"/>
    <w:rsid w:val="001F6A10"/>
    <w:rsid w:val="001F7C4A"/>
    <w:rsid w:val="0020068C"/>
    <w:rsid w:val="00202BB2"/>
    <w:rsid w:val="002030EA"/>
    <w:rsid w:val="0020460A"/>
    <w:rsid w:val="0020578A"/>
    <w:rsid w:val="00207631"/>
    <w:rsid w:val="00214013"/>
    <w:rsid w:val="00220FC1"/>
    <w:rsid w:val="00222E9A"/>
    <w:rsid w:val="002234E4"/>
    <w:rsid w:val="00223FD5"/>
    <w:rsid w:val="00224552"/>
    <w:rsid w:val="0023179D"/>
    <w:rsid w:val="002328E1"/>
    <w:rsid w:val="00241EA0"/>
    <w:rsid w:val="00250525"/>
    <w:rsid w:val="00250A85"/>
    <w:rsid w:val="0025389D"/>
    <w:rsid w:val="00254BAD"/>
    <w:rsid w:val="00254E02"/>
    <w:rsid w:val="00254ECA"/>
    <w:rsid w:val="00255A81"/>
    <w:rsid w:val="00257BEB"/>
    <w:rsid w:val="0026265F"/>
    <w:rsid w:val="00262B6D"/>
    <w:rsid w:val="0026335D"/>
    <w:rsid w:val="00263B6D"/>
    <w:rsid w:val="00264B90"/>
    <w:rsid w:val="002743A1"/>
    <w:rsid w:val="00280D3A"/>
    <w:rsid w:val="0028514E"/>
    <w:rsid w:val="002857FF"/>
    <w:rsid w:val="00286739"/>
    <w:rsid w:val="00286C3A"/>
    <w:rsid w:val="002878CF"/>
    <w:rsid w:val="00292EED"/>
    <w:rsid w:val="002930F5"/>
    <w:rsid w:val="0029378F"/>
    <w:rsid w:val="00295DB3"/>
    <w:rsid w:val="00297369"/>
    <w:rsid w:val="002974E3"/>
    <w:rsid w:val="002A0663"/>
    <w:rsid w:val="002A06B7"/>
    <w:rsid w:val="002A5C4E"/>
    <w:rsid w:val="002B1796"/>
    <w:rsid w:val="002B35F9"/>
    <w:rsid w:val="002B44AF"/>
    <w:rsid w:val="002B54F2"/>
    <w:rsid w:val="002B741F"/>
    <w:rsid w:val="002C0079"/>
    <w:rsid w:val="002C066C"/>
    <w:rsid w:val="002C46A2"/>
    <w:rsid w:val="002C5A4D"/>
    <w:rsid w:val="002C6E0C"/>
    <w:rsid w:val="002D07F2"/>
    <w:rsid w:val="002D0AEB"/>
    <w:rsid w:val="002D144A"/>
    <w:rsid w:val="002D265D"/>
    <w:rsid w:val="002D3C3F"/>
    <w:rsid w:val="002D48D3"/>
    <w:rsid w:val="002D7D74"/>
    <w:rsid w:val="002E19A3"/>
    <w:rsid w:val="002E1ACA"/>
    <w:rsid w:val="002E212B"/>
    <w:rsid w:val="002E2C97"/>
    <w:rsid w:val="002E3337"/>
    <w:rsid w:val="002E4E84"/>
    <w:rsid w:val="002E5F17"/>
    <w:rsid w:val="002E6C08"/>
    <w:rsid w:val="002E6D03"/>
    <w:rsid w:val="002E7077"/>
    <w:rsid w:val="002F0CBF"/>
    <w:rsid w:val="002F49A8"/>
    <w:rsid w:val="002F5E66"/>
    <w:rsid w:val="002F61CA"/>
    <w:rsid w:val="0030010D"/>
    <w:rsid w:val="0030159D"/>
    <w:rsid w:val="00301F6F"/>
    <w:rsid w:val="00302A5A"/>
    <w:rsid w:val="00302C8E"/>
    <w:rsid w:val="003054D0"/>
    <w:rsid w:val="003056F9"/>
    <w:rsid w:val="00315B36"/>
    <w:rsid w:val="0032171B"/>
    <w:rsid w:val="00322BD5"/>
    <w:rsid w:val="0032451B"/>
    <w:rsid w:val="00327C4D"/>
    <w:rsid w:val="003306F2"/>
    <w:rsid w:val="0033504C"/>
    <w:rsid w:val="00336816"/>
    <w:rsid w:val="003370D0"/>
    <w:rsid w:val="00337355"/>
    <w:rsid w:val="003402E4"/>
    <w:rsid w:val="00340F95"/>
    <w:rsid w:val="00345F0D"/>
    <w:rsid w:val="00346436"/>
    <w:rsid w:val="003531ED"/>
    <w:rsid w:val="00354011"/>
    <w:rsid w:val="0035419E"/>
    <w:rsid w:val="003574E4"/>
    <w:rsid w:val="00357FB6"/>
    <w:rsid w:val="00360B9A"/>
    <w:rsid w:val="003616B6"/>
    <w:rsid w:val="0036262B"/>
    <w:rsid w:val="00363FE8"/>
    <w:rsid w:val="003743D8"/>
    <w:rsid w:val="00374B5F"/>
    <w:rsid w:val="003767DB"/>
    <w:rsid w:val="003771E0"/>
    <w:rsid w:val="00381F4B"/>
    <w:rsid w:val="00382D28"/>
    <w:rsid w:val="0039017F"/>
    <w:rsid w:val="0039087B"/>
    <w:rsid w:val="00392E45"/>
    <w:rsid w:val="00393AD6"/>
    <w:rsid w:val="00394AEE"/>
    <w:rsid w:val="00395363"/>
    <w:rsid w:val="00397AA3"/>
    <w:rsid w:val="00397EE7"/>
    <w:rsid w:val="003B09D2"/>
    <w:rsid w:val="003B4406"/>
    <w:rsid w:val="003C24BC"/>
    <w:rsid w:val="003C29D9"/>
    <w:rsid w:val="003C2D98"/>
    <w:rsid w:val="003C3C78"/>
    <w:rsid w:val="003C6352"/>
    <w:rsid w:val="003D1D6E"/>
    <w:rsid w:val="003D3A96"/>
    <w:rsid w:val="003D3B9C"/>
    <w:rsid w:val="003D4F69"/>
    <w:rsid w:val="003D4F83"/>
    <w:rsid w:val="003D6095"/>
    <w:rsid w:val="003D7A9E"/>
    <w:rsid w:val="003E21AF"/>
    <w:rsid w:val="003E33CC"/>
    <w:rsid w:val="003E3742"/>
    <w:rsid w:val="003F0D11"/>
    <w:rsid w:val="003F3164"/>
    <w:rsid w:val="003F59F3"/>
    <w:rsid w:val="003F70A3"/>
    <w:rsid w:val="0040229C"/>
    <w:rsid w:val="00404F03"/>
    <w:rsid w:val="00412051"/>
    <w:rsid w:val="00412588"/>
    <w:rsid w:val="00412B62"/>
    <w:rsid w:val="004156C7"/>
    <w:rsid w:val="00420161"/>
    <w:rsid w:val="00420FDD"/>
    <w:rsid w:val="00421C4C"/>
    <w:rsid w:val="00423B94"/>
    <w:rsid w:val="00425919"/>
    <w:rsid w:val="004269FD"/>
    <w:rsid w:val="004314FD"/>
    <w:rsid w:val="004318F8"/>
    <w:rsid w:val="00434889"/>
    <w:rsid w:val="00436285"/>
    <w:rsid w:val="00436493"/>
    <w:rsid w:val="00437013"/>
    <w:rsid w:val="00437CFB"/>
    <w:rsid w:val="004424DC"/>
    <w:rsid w:val="004510A8"/>
    <w:rsid w:val="0045523E"/>
    <w:rsid w:val="00455A55"/>
    <w:rsid w:val="00457A24"/>
    <w:rsid w:val="00457B28"/>
    <w:rsid w:val="00461DE5"/>
    <w:rsid w:val="00463731"/>
    <w:rsid w:val="00463CE9"/>
    <w:rsid w:val="0046400A"/>
    <w:rsid w:val="00465265"/>
    <w:rsid w:val="004676EC"/>
    <w:rsid w:val="00467816"/>
    <w:rsid w:val="00467B25"/>
    <w:rsid w:val="00472EB8"/>
    <w:rsid w:val="0047404D"/>
    <w:rsid w:val="00474E55"/>
    <w:rsid w:val="00475F07"/>
    <w:rsid w:val="00481108"/>
    <w:rsid w:val="004821B5"/>
    <w:rsid w:val="004826CF"/>
    <w:rsid w:val="004861E9"/>
    <w:rsid w:val="0049042B"/>
    <w:rsid w:val="00492037"/>
    <w:rsid w:val="00495473"/>
    <w:rsid w:val="004A2D9D"/>
    <w:rsid w:val="004A458E"/>
    <w:rsid w:val="004B0221"/>
    <w:rsid w:val="004B23E7"/>
    <w:rsid w:val="004B306F"/>
    <w:rsid w:val="004C17E1"/>
    <w:rsid w:val="004C2D84"/>
    <w:rsid w:val="004C3186"/>
    <w:rsid w:val="004C5042"/>
    <w:rsid w:val="004C5A3B"/>
    <w:rsid w:val="004C7CCD"/>
    <w:rsid w:val="004D1056"/>
    <w:rsid w:val="004D1205"/>
    <w:rsid w:val="004D265A"/>
    <w:rsid w:val="004D413F"/>
    <w:rsid w:val="004D4654"/>
    <w:rsid w:val="004E348D"/>
    <w:rsid w:val="004E4422"/>
    <w:rsid w:val="004E4D62"/>
    <w:rsid w:val="004E5FDD"/>
    <w:rsid w:val="004E764D"/>
    <w:rsid w:val="004F0153"/>
    <w:rsid w:val="004F1125"/>
    <w:rsid w:val="004F4182"/>
    <w:rsid w:val="004F756B"/>
    <w:rsid w:val="004F7814"/>
    <w:rsid w:val="00503998"/>
    <w:rsid w:val="005047ED"/>
    <w:rsid w:val="0050623B"/>
    <w:rsid w:val="005070BA"/>
    <w:rsid w:val="00510A7C"/>
    <w:rsid w:val="00510F6C"/>
    <w:rsid w:val="00511607"/>
    <w:rsid w:val="00512ED5"/>
    <w:rsid w:val="00513E55"/>
    <w:rsid w:val="005164E2"/>
    <w:rsid w:val="00516922"/>
    <w:rsid w:val="005175AD"/>
    <w:rsid w:val="0052044F"/>
    <w:rsid w:val="00520521"/>
    <w:rsid w:val="00523181"/>
    <w:rsid w:val="00523A47"/>
    <w:rsid w:val="00524D13"/>
    <w:rsid w:val="00525193"/>
    <w:rsid w:val="0052578A"/>
    <w:rsid w:val="005269D6"/>
    <w:rsid w:val="00530A50"/>
    <w:rsid w:val="00530C2E"/>
    <w:rsid w:val="00531F26"/>
    <w:rsid w:val="00532ADA"/>
    <w:rsid w:val="005339F6"/>
    <w:rsid w:val="005345B4"/>
    <w:rsid w:val="00536B77"/>
    <w:rsid w:val="00541A01"/>
    <w:rsid w:val="00541D13"/>
    <w:rsid w:val="005424B8"/>
    <w:rsid w:val="00542EA1"/>
    <w:rsid w:val="00545476"/>
    <w:rsid w:val="0055343E"/>
    <w:rsid w:val="005546B1"/>
    <w:rsid w:val="005548A2"/>
    <w:rsid w:val="00557651"/>
    <w:rsid w:val="0056353D"/>
    <w:rsid w:val="00572A7E"/>
    <w:rsid w:val="00573F3C"/>
    <w:rsid w:val="00576B18"/>
    <w:rsid w:val="005805C0"/>
    <w:rsid w:val="00584B99"/>
    <w:rsid w:val="00586E38"/>
    <w:rsid w:val="00587724"/>
    <w:rsid w:val="00591512"/>
    <w:rsid w:val="00592FC5"/>
    <w:rsid w:val="005940BF"/>
    <w:rsid w:val="00595948"/>
    <w:rsid w:val="00595ABF"/>
    <w:rsid w:val="005A5F26"/>
    <w:rsid w:val="005A7EDA"/>
    <w:rsid w:val="005B2D91"/>
    <w:rsid w:val="005B39E9"/>
    <w:rsid w:val="005B48B4"/>
    <w:rsid w:val="005C3BFC"/>
    <w:rsid w:val="005C4AB4"/>
    <w:rsid w:val="005C5817"/>
    <w:rsid w:val="005C6152"/>
    <w:rsid w:val="005C6661"/>
    <w:rsid w:val="005C6E3B"/>
    <w:rsid w:val="005D1B93"/>
    <w:rsid w:val="005D1EDE"/>
    <w:rsid w:val="005D474B"/>
    <w:rsid w:val="005D5665"/>
    <w:rsid w:val="005E085C"/>
    <w:rsid w:val="005E147D"/>
    <w:rsid w:val="005E22C2"/>
    <w:rsid w:val="005E57BB"/>
    <w:rsid w:val="005E61B1"/>
    <w:rsid w:val="005F0017"/>
    <w:rsid w:val="005F3A93"/>
    <w:rsid w:val="005F40E1"/>
    <w:rsid w:val="005F528F"/>
    <w:rsid w:val="00600198"/>
    <w:rsid w:val="006014F1"/>
    <w:rsid w:val="0060158A"/>
    <w:rsid w:val="00602A22"/>
    <w:rsid w:val="00603162"/>
    <w:rsid w:val="00604ACA"/>
    <w:rsid w:val="006121B3"/>
    <w:rsid w:val="0061357B"/>
    <w:rsid w:val="00614A7D"/>
    <w:rsid w:val="00615601"/>
    <w:rsid w:val="00622F43"/>
    <w:rsid w:val="0062551E"/>
    <w:rsid w:val="00625DAB"/>
    <w:rsid w:val="00632610"/>
    <w:rsid w:val="0063631C"/>
    <w:rsid w:val="006370AC"/>
    <w:rsid w:val="00637236"/>
    <w:rsid w:val="006373D9"/>
    <w:rsid w:val="0063757B"/>
    <w:rsid w:val="006377CE"/>
    <w:rsid w:val="006400C1"/>
    <w:rsid w:val="00642A7D"/>
    <w:rsid w:val="006502D5"/>
    <w:rsid w:val="00651871"/>
    <w:rsid w:val="006537D9"/>
    <w:rsid w:val="00661772"/>
    <w:rsid w:val="00664A48"/>
    <w:rsid w:val="00665DEF"/>
    <w:rsid w:val="00667C89"/>
    <w:rsid w:val="00667CB7"/>
    <w:rsid w:val="006714CF"/>
    <w:rsid w:val="0067227B"/>
    <w:rsid w:val="00672A7E"/>
    <w:rsid w:val="006736BC"/>
    <w:rsid w:val="00675BB1"/>
    <w:rsid w:val="00676783"/>
    <w:rsid w:val="006775F1"/>
    <w:rsid w:val="006804E0"/>
    <w:rsid w:val="00680717"/>
    <w:rsid w:val="006814AA"/>
    <w:rsid w:val="006870E8"/>
    <w:rsid w:val="00687182"/>
    <w:rsid w:val="00687D8C"/>
    <w:rsid w:val="00692AA7"/>
    <w:rsid w:val="00695716"/>
    <w:rsid w:val="00697FEC"/>
    <w:rsid w:val="006A1195"/>
    <w:rsid w:val="006A175F"/>
    <w:rsid w:val="006A330B"/>
    <w:rsid w:val="006A44F5"/>
    <w:rsid w:val="006A4985"/>
    <w:rsid w:val="006A4A4F"/>
    <w:rsid w:val="006A5DC2"/>
    <w:rsid w:val="006B3954"/>
    <w:rsid w:val="006B4537"/>
    <w:rsid w:val="006B554F"/>
    <w:rsid w:val="006B5633"/>
    <w:rsid w:val="006B5F85"/>
    <w:rsid w:val="006B6929"/>
    <w:rsid w:val="006B709B"/>
    <w:rsid w:val="006B7FE5"/>
    <w:rsid w:val="006C335A"/>
    <w:rsid w:val="006C4300"/>
    <w:rsid w:val="006C54AF"/>
    <w:rsid w:val="006C693B"/>
    <w:rsid w:val="006C7FAB"/>
    <w:rsid w:val="006D2300"/>
    <w:rsid w:val="006D783A"/>
    <w:rsid w:val="006E0181"/>
    <w:rsid w:val="006E41D4"/>
    <w:rsid w:val="006E7364"/>
    <w:rsid w:val="006F3B26"/>
    <w:rsid w:val="006F4A0D"/>
    <w:rsid w:val="006F541C"/>
    <w:rsid w:val="006F60BB"/>
    <w:rsid w:val="00700BBF"/>
    <w:rsid w:val="00700C0E"/>
    <w:rsid w:val="00701091"/>
    <w:rsid w:val="00705DAD"/>
    <w:rsid w:val="00707FE2"/>
    <w:rsid w:val="0071790E"/>
    <w:rsid w:val="007247B9"/>
    <w:rsid w:val="0072518F"/>
    <w:rsid w:val="0072698A"/>
    <w:rsid w:val="00727876"/>
    <w:rsid w:val="00727D85"/>
    <w:rsid w:val="007346C7"/>
    <w:rsid w:val="00736041"/>
    <w:rsid w:val="007374EB"/>
    <w:rsid w:val="007408C7"/>
    <w:rsid w:val="00740FD6"/>
    <w:rsid w:val="007421F6"/>
    <w:rsid w:val="00744497"/>
    <w:rsid w:val="00745555"/>
    <w:rsid w:val="00746451"/>
    <w:rsid w:val="007465DA"/>
    <w:rsid w:val="00750453"/>
    <w:rsid w:val="0075094F"/>
    <w:rsid w:val="00751245"/>
    <w:rsid w:val="00752C7F"/>
    <w:rsid w:val="00753E70"/>
    <w:rsid w:val="00765AF5"/>
    <w:rsid w:val="00766055"/>
    <w:rsid w:val="00767BB5"/>
    <w:rsid w:val="00772E4C"/>
    <w:rsid w:val="007749B5"/>
    <w:rsid w:val="00776598"/>
    <w:rsid w:val="00780359"/>
    <w:rsid w:val="00787F47"/>
    <w:rsid w:val="0079042D"/>
    <w:rsid w:val="00790C1F"/>
    <w:rsid w:val="0079288C"/>
    <w:rsid w:val="00792948"/>
    <w:rsid w:val="00792D00"/>
    <w:rsid w:val="00796E84"/>
    <w:rsid w:val="007972BE"/>
    <w:rsid w:val="00797D39"/>
    <w:rsid w:val="007A0FDE"/>
    <w:rsid w:val="007A17C2"/>
    <w:rsid w:val="007A2209"/>
    <w:rsid w:val="007A3ADE"/>
    <w:rsid w:val="007A3DA2"/>
    <w:rsid w:val="007A5733"/>
    <w:rsid w:val="007A5774"/>
    <w:rsid w:val="007A7191"/>
    <w:rsid w:val="007A7777"/>
    <w:rsid w:val="007B5880"/>
    <w:rsid w:val="007B7139"/>
    <w:rsid w:val="007B7926"/>
    <w:rsid w:val="007C0A0B"/>
    <w:rsid w:val="007C3D55"/>
    <w:rsid w:val="007C6146"/>
    <w:rsid w:val="007D0172"/>
    <w:rsid w:val="007D6A71"/>
    <w:rsid w:val="007E2D87"/>
    <w:rsid w:val="007E7A9B"/>
    <w:rsid w:val="007F1293"/>
    <w:rsid w:val="00800F62"/>
    <w:rsid w:val="00801E74"/>
    <w:rsid w:val="00803075"/>
    <w:rsid w:val="0080485E"/>
    <w:rsid w:val="00806DC7"/>
    <w:rsid w:val="00807AA1"/>
    <w:rsid w:val="008142B4"/>
    <w:rsid w:val="00815AE4"/>
    <w:rsid w:val="00817408"/>
    <w:rsid w:val="00817883"/>
    <w:rsid w:val="00821D9C"/>
    <w:rsid w:val="00821F79"/>
    <w:rsid w:val="00823DFB"/>
    <w:rsid w:val="00827959"/>
    <w:rsid w:val="00832324"/>
    <w:rsid w:val="00832392"/>
    <w:rsid w:val="00832B57"/>
    <w:rsid w:val="00835337"/>
    <w:rsid w:val="0084062F"/>
    <w:rsid w:val="00845507"/>
    <w:rsid w:val="00845537"/>
    <w:rsid w:val="00845A93"/>
    <w:rsid w:val="00846962"/>
    <w:rsid w:val="00846DCD"/>
    <w:rsid w:val="0085169A"/>
    <w:rsid w:val="00851805"/>
    <w:rsid w:val="00851D85"/>
    <w:rsid w:val="00852DAF"/>
    <w:rsid w:val="00853C60"/>
    <w:rsid w:val="00857781"/>
    <w:rsid w:val="00860CCB"/>
    <w:rsid w:val="0086463F"/>
    <w:rsid w:val="00872858"/>
    <w:rsid w:val="00873B34"/>
    <w:rsid w:val="008740A3"/>
    <w:rsid w:val="008755B0"/>
    <w:rsid w:val="008761B9"/>
    <w:rsid w:val="008810D0"/>
    <w:rsid w:val="008820F7"/>
    <w:rsid w:val="00884EB9"/>
    <w:rsid w:val="00885022"/>
    <w:rsid w:val="0089297B"/>
    <w:rsid w:val="008966DA"/>
    <w:rsid w:val="008A0874"/>
    <w:rsid w:val="008A5E9C"/>
    <w:rsid w:val="008A78CF"/>
    <w:rsid w:val="008B0FE2"/>
    <w:rsid w:val="008B10D0"/>
    <w:rsid w:val="008B20D8"/>
    <w:rsid w:val="008B2337"/>
    <w:rsid w:val="008B7D6F"/>
    <w:rsid w:val="008C08E1"/>
    <w:rsid w:val="008C238C"/>
    <w:rsid w:val="008C36CA"/>
    <w:rsid w:val="008C7A88"/>
    <w:rsid w:val="008D5D44"/>
    <w:rsid w:val="008D654B"/>
    <w:rsid w:val="008E3F8C"/>
    <w:rsid w:val="008E61F9"/>
    <w:rsid w:val="008F7BC8"/>
    <w:rsid w:val="008F7FB1"/>
    <w:rsid w:val="00902FD0"/>
    <w:rsid w:val="009053D3"/>
    <w:rsid w:val="0090691F"/>
    <w:rsid w:val="00906A27"/>
    <w:rsid w:val="00910C90"/>
    <w:rsid w:val="00912616"/>
    <w:rsid w:val="00913C54"/>
    <w:rsid w:val="00914B47"/>
    <w:rsid w:val="00916352"/>
    <w:rsid w:val="00920BE6"/>
    <w:rsid w:val="009247E4"/>
    <w:rsid w:val="00925A2E"/>
    <w:rsid w:val="0093111F"/>
    <w:rsid w:val="00933FB8"/>
    <w:rsid w:val="00935689"/>
    <w:rsid w:val="00935C4C"/>
    <w:rsid w:val="009438A0"/>
    <w:rsid w:val="0095303B"/>
    <w:rsid w:val="009538F4"/>
    <w:rsid w:val="009632AE"/>
    <w:rsid w:val="009663B6"/>
    <w:rsid w:val="00966BCE"/>
    <w:rsid w:val="00967755"/>
    <w:rsid w:val="009744A7"/>
    <w:rsid w:val="00974A47"/>
    <w:rsid w:val="009756EC"/>
    <w:rsid w:val="00975F72"/>
    <w:rsid w:val="00980286"/>
    <w:rsid w:val="009829FB"/>
    <w:rsid w:val="00983CE9"/>
    <w:rsid w:val="00986450"/>
    <w:rsid w:val="00990DCF"/>
    <w:rsid w:val="0099210A"/>
    <w:rsid w:val="009974FD"/>
    <w:rsid w:val="009A2201"/>
    <w:rsid w:val="009A3607"/>
    <w:rsid w:val="009A364D"/>
    <w:rsid w:val="009A4CD6"/>
    <w:rsid w:val="009A537C"/>
    <w:rsid w:val="009B02A1"/>
    <w:rsid w:val="009B794D"/>
    <w:rsid w:val="009C0886"/>
    <w:rsid w:val="009C19EE"/>
    <w:rsid w:val="009C28D0"/>
    <w:rsid w:val="009C35F2"/>
    <w:rsid w:val="009C3BF4"/>
    <w:rsid w:val="009C5562"/>
    <w:rsid w:val="009C5C3D"/>
    <w:rsid w:val="009C752C"/>
    <w:rsid w:val="009C7782"/>
    <w:rsid w:val="009C7D53"/>
    <w:rsid w:val="009D1ED5"/>
    <w:rsid w:val="009D4733"/>
    <w:rsid w:val="009D4C13"/>
    <w:rsid w:val="009E072E"/>
    <w:rsid w:val="009E21A7"/>
    <w:rsid w:val="009E22BA"/>
    <w:rsid w:val="009E2593"/>
    <w:rsid w:val="009F42C8"/>
    <w:rsid w:val="009F6024"/>
    <w:rsid w:val="009F67DE"/>
    <w:rsid w:val="009F77BD"/>
    <w:rsid w:val="00A00BEA"/>
    <w:rsid w:val="00A01456"/>
    <w:rsid w:val="00A053FF"/>
    <w:rsid w:val="00A05AE0"/>
    <w:rsid w:val="00A076E9"/>
    <w:rsid w:val="00A103ED"/>
    <w:rsid w:val="00A10DC0"/>
    <w:rsid w:val="00A1120C"/>
    <w:rsid w:val="00A126FF"/>
    <w:rsid w:val="00A13C60"/>
    <w:rsid w:val="00A14819"/>
    <w:rsid w:val="00A15134"/>
    <w:rsid w:val="00A20077"/>
    <w:rsid w:val="00A217ED"/>
    <w:rsid w:val="00A238A1"/>
    <w:rsid w:val="00A30BD7"/>
    <w:rsid w:val="00A341A3"/>
    <w:rsid w:val="00A35800"/>
    <w:rsid w:val="00A362A3"/>
    <w:rsid w:val="00A362FD"/>
    <w:rsid w:val="00A368EF"/>
    <w:rsid w:val="00A464D1"/>
    <w:rsid w:val="00A5254C"/>
    <w:rsid w:val="00A52918"/>
    <w:rsid w:val="00A547B3"/>
    <w:rsid w:val="00A54978"/>
    <w:rsid w:val="00A55505"/>
    <w:rsid w:val="00A6038A"/>
    <w:rsid w:val="00A61247"/>
    <w:rsid w:val="00A637B7"/>
    <w:rsid w:val="00A63871"/>
    <w:rsid w:val="00A665BF"/>
    <w:rsid w:val="00A669F2"/>
    <w:rsid w:val="00A66FF2"/>
    <w:rsid w:val="00A70E82"/>
    <w:rsid w:val="00A7423D"/>
    <w:rsid w:val="00A74F87"/>
    <w:rsid w:val="00A761A4"/>
    <w:rsid w:val="00A81109"/>
    <w:rsid w:val="00A84CAD"/>
    <w:rsid w:val="00A86095"/>
    <w:rsid w:val="00A90CA0"/>
    <w:rsid w:val="00A90E50"/>
    <w:rsid w:val="00A90F8E"/>
    <w:rsid w:val="00A91A37"/>
    <w:rsid w:val="00A9250F"/>
    <w:rsid w:val="00A92D5A"/>
    <w:rsid w:val="00A95FA5"/>
    <w:rsid w:val="00A965B4"/>
    <w:rsid w:val="00A96D92"/>
    <w:rsid w:val="00AA0687"/>
    <w:rsid w:val="00AA12AB"/>
    <w:rsid w:val="00AA1635"/>
    <w:rsid w:val="00AA22CD"/>
    <w:rsid w:val="00AA744A"/>
    <w:rsid w:val="00AB199C"/>
    <w:rsid w:val="00AB3733"/>
    <w:rsid w:val="00AB46F5"/>
    <w:rsid w:val="00AB588C"/>
    <w:rsid w:val="00AB6563"/>
    <w:rsid w:val="00AB7897"/>
    <w:rsid w:val="00AB7F34"/>
    <w:rsid w:val="00AC2BB5"/>
    <w:rsid w:val="00AC2BC8"/>
    <w:rsid w:val="00AC5054"/>
    <w:rsid w:val="00AC7FF0"/>
    <w:rsid w:val="00AD1C12"/>
    <w:rsid w:val="00AD6902"/>
    <w:rsid w:val="00AE06CE"/>
    <w:rsid w:val="00AE4BAC"/>
    <w:rsid w:val="00AE5A00"/>
    <w:rsid w:val="00AE66D5"/>
    <w:rsid w:val="00AF0E29"/>
    <w:rsid w:val="00AF353A"/>
    <w:rsid w:val="00AF5617"/>
    <w:rsid w:val="00B025FD"/>
    <w:rsid w:val="00B034FC"/>
    <w:rsid w:val="00B05310"/>
    <w:rsid w:val="00B05F73"/>
    <w:rsid w:val="00B076DA"/>
    <w:rsid w:val="00B0791D"/>
    <w:rsid w:val="00B10A0B"/>
    <w:rsid w:val="00B11476"/>
    <w:rsid w:val="00B13C63"/>
    <w:rsid w:val="00B14570"/>
    <w:rsid w:val="00B214BC"/>
    <w:rsid w:val="00B2259D"/>
    <w:rsid w:val="00B26FE7"/>
    <w:rsid w:val="00B27A4C"/>
    <w:rsid w:val="00B30D85"/>
    <w:rsid w:val="00B33335"/>
    <w:rsid w:val="00B3528D"/>
    <w:rsid w:val="00B35A4A"/>
    <w:rsid w:val="00B35AA7"/>
    <w:rsid w:val="00B37AD5"/>
    <w:rsid w:val="00B40D10"/>
    <w:rsid w:val="00B432EA"/>
    <w:rsid w:val="00B43358"/>
    <w:rsid w:val="00B43ED0"/>
    <w:rsid w:val="00B453CF"/>
    <w:rsid w:val="00B505C5"/>
    <w:rsid w:val="00B56F9A"/>
    <w:rsid w:val="00B63FD7"/>
    <w:rsid w:val="00B65274"/>
    <w:rsid w:val="00B66909"/>
    <w:rsid w:val="00B66C57"/>
    <w:rsid w:val="00B71CD0"/>
    <w:rsid w:val="00B7543A"/>
    <w:rsid w:val="00B760A5"/>
    <w:rsid w:val="00B816D9"/>
    <w:rsid w:val="00B85F53"/>
    <w:rsid w:val="00B90D50"/>
    <w:rsid w:val="00B9120F"/>
    <w:rsid w:val="00B91E7F"/>
    <w:rsid w:val="00B9216C"/>
    <w:rsid w:val="00B924A4"/>
    <w:rsid w:val="00B92EA4"/>
    <w:rsid w:val="00B93437"/>
    <w:rsid w:val="00BA156B"/>
    <w:rsid w:val="00BA5F7C"/>
    <w:rsid w:val="00BA6022"/>
    <w:rsid w:val="00BB0D1A"/>
    <w:rsid w:val="00BB1D3B"/>
    <w:rsid w:val="00BB243C"/>
    <w:rsid w:val="00BB6CFF"/>
    <w:rsid w:val="00BC1CFB"/>
    <w:rsid w:val="00BC35ED"/>
    <w:rsid w:val="00BC4ACA"/>
    <w:rsid w:val="00BD1AA0"/>
    <w:rsid w:val="00BD2CB1"/>
    <w:rsid w:val="00BD35D2"/>
    <w:rsid w:val="00BD6538"/>
    <w:rsid w:val="00BE08B9"/>
    <w:rsid w:val="00BE205A"/>
    <w:rsid w:val="00BE3802"/>
    <w:rsid w:val="00BE4224"/>
    <w:rsid w:val="00BE5F34"/>
    <w:rsid w:val="00BF0F06"/>
    <w:rsid w:val="00BF148F"/>
    <w:rsid w:val="00BF238E"/>
    <w:rsid w:val="00BF2F4A"/>
    <w:rsid w:val="00BF544D"/>
    <w:rsid w:val="00C0076F"/>
    <w:rsid w:val="00C023C0"/>
    <w:rsid w:val="00C0301C"/>
    <w:rsid w:val="00C050B6"/>
    <w:rsid w:val="00C0583F"/>
    <w:rsid w:val="00C10F12"/>
    <w:rsid w:val="00C226C3"/>
    <w:rsid w:val="00C227DE"/>
    <w:rsid w:val="00C2377B"/>
    <w:rsid w:val="00C245EA"/>
    <w:rsid w:val="00C2479E"/>
    <w:rsid w:val="00C256F6"/>
    <w:rsid w:val="00C304D1"/>
    <w:rsid w:val="00C3097E"/>
    <w:rsid w:val="00C31F6D"/>
    <w:rsid w:val="00C33BA4"/>
    <w:rsid w:val="00C352BB"/>
    <w:rsid w:val="00C35ECC"/>
    <w:rsid w:val="00C361A8"/>
    <w:rsid w:val="00C37505"/>
    <w:rsid w:val="00C41246"/>
    <w:rsid w:val="00C414D8"/>
    <w:rsid w:val="00C45E5F"/>
    <w:rsid w:val="00C46291"/>
    <w:rsid w:val="00C46527"/>
    <w:rsid w:val="00C473F5"/>
    <w:rsid w:val="00C517A5"/>
    <w:rsid w:val="00C54511"/>
    <w:rsid w:val="00C5655F"/>
    <w:rsid w:val="00C60B63"/>
    <w:rsid w:val="00C63412"/>
    <w:rsid w:val="00C63644"/>
    <w:rsid w:val="00C66219"/>
    <w:rsid w:val="00C676BF"/>
    <w:rsid w:val="00C67B97"/>
    <w:rsid w:val="00C67DEB"/>
    <w:rsid w:val="00C714D0"/>
    <w:rsid w:val="00C722DC"/>
    <w:rsid w:val="00C72833"/>
    <w:rsid w:val="00C814FA"/>
    <w:rsid w:val="00C81878"/>
    <w:rsid w:val="00C8569B"/>
    <w:rsid w:val="00C8633F"/>
    <w:rsid w:val="00C87B1F"/>
    <w:rsid w:val="00C9013B"/>
    <w:rsid w:val="00C90EF4"/>
    <w:rsid w:val="00C92D80"/>
    <w:rsid w:val="00C94988"/>
    <w:rsid w:val="00C96889"/>
    <w:rsid w:val="00C96D34"/>
    <w:rsid w:val="00CA015A"/>
    <w:rsid w:val="00CA32A5"/>
    <w:rsid w:val="00CA4A3A"/>
    <w:rsid w:val="00CB0A87"/>
    <w:rsid w:val="00CB20D5"/>
    <w:rsid w:val="00CB60AC"/>
    <w:rsid w:val="00CB680E"/>
    <w:rsid w:val="00CC003D"/>
    <w:rsid w:val="00CC1AA3"/>
    <w:rsid w:val="00CC24F5"/>
    <w:rsid w:val="00CC3294"/>
    <w:rsid w:val="00CD0E09"/>
    <w:rsid w:val="00CD28EB"/>
    <w:rsid w:val="00CD4486"/>
    <w:rsid w:val="00CD6C91"/>
    <w:rsid w:val="00CD73CA"/>
    <w:rsid w:val="00CE04A0"/>
    <w:rsid w:val="00CE546B"/>
    <w:rsid w:val="00CF0C95"/>
    <w:rsid w:val="00CF1815"/>
    <w:rsid w:val="00CF5E22"/>
    <w:rsid w:val="00D00D31"/>
    <w:rsid w:val="00D0439C"/>
    <w:rsid w:val="00D04E8E"/>
    <w:rsid w:val="00D06A44"/>
    <w:rsid w:val="00D06C14"/>
    <w:rsid w:val="00D1314D"/>
    <w:rsid w:val="00D13FC8"/>
    <w:rsid w:val="00D151EB"/>
    <w:rsid w:val="00D15498"/>
    <w:rsid w:val="00D222B2"/>
    <w:rsid w:val="00D239DE"/>
    <w:rsid w:val="00D25BA4"/>
    <w:rsid w:val="00D300E0"/>
    <w:rsid w:val="00D353E7"/>
    <w:rsid w:val="00D35DC0"/>
    <w:rsid w:val="00D374CD"/>
    <w:rsid w:val="00D40CDB"/>
    <w:rsid w:val="00D51118"/>
    <w:rsid w:val="00D5576A"/>
    <w:rsid w:val="00D5744B"/>
    <w:rsid w:val="00D60539"/>
    <w:rsid w:val="00D61365"/>
    <w:rsid w:val="00D61B79"/>
    <w:rsid w:val="00D650CE"/>
    <w:rsid w:val="00D658C6"/>
    <w:rsid w:val="00D71719"/>
    <w:rsid w:val="00D747E1"/>
    <w:rsid w:val="00D776DA"/>
    <w:rsid w:val="00D77A90"/>
    <w:rsid w:val="00D77C3E"/>
    <w:rsid w:val="00D80171"/>
    <w:rsid w:val="00D82CE4"/>
    <w:rsid w:val="00D83C87"/>
    <w:rsid w:val="00D86211"/>
    <w:rsid w:val="00D86286"/>
    <w:rsid w:val="00D8758B"/>
    <w:rsid w:val="00D91056"/>
    <w:rsid w:val="00D91EEF"/>
    <w:rsid w:val="00D92B42"/>
    <w:rsid w:val="00D942B3"/>
    <w:rsid w:val="00D94416"/>
    <w:rsid w:val="00D94572"/>
    <w:rsid w:val="00D94863"/>
    <w:rsid w:val="00D95ED8"/>
    <w:rsid w:val="00D96BAA"/>
    <w:rsid w:val="00DA39DC"/>
    <w:rsid w:val="00DA4379"/>
    <w:rsid w:val="00DA4566"/>
    <w:rsid w:val="00DA57F8"/>
    <w:rsid w:val="00DA6662"/>
    <w:rsid w:val="00DA7D09"/>
    <w:rsid w:val="00DB1C04"/>
    <w:rsid w:val="00DB2DB6"/>
    <w:rsid w:val="00DC035B"/>
    <w:rsid w:val="00DC2630"/>
    <w:rsid w:val="00DC273E"/>
    <w:rsid w:val="00DC49E9"/>
    <w:rsid w:val="00DC55E4"/>
    <w:rsid w:val="00DC7D71"/>
    <w:rsid w:val="00DD188C"/>
    <w:rsid w:val="00DD29A3"/>
    <w:rsid w:val="00DD3421"/>
    <w:rsid w:val="00DD3C7B"/>
    <w:rsid w:val="00DD48EE"/>
    <w:rsid w:val="00DD4F17"/>
    <w:rsid w:val="00DD6A89"/>
    <w:rsid w:val="00DE0B96"/>
    <w:rsid w:val="00DE10B9"/>
    <w:rsid w:val="00DF0B13"/>
    <w:rsid w:val="00DF2EB8"/>
    <w:rsid w:val="00DF3675"/>
    <w:rsid w:val="00DF4A94"/>
    <w:rsid w:val="00DF6003"/>
    <w:rsid w:val="00DF6A60"/>
    <w:rsid w:val="00DF75BB"/>
    <w:rsid w:val="00DF7B37"/>
    <w:rsid w:val="00E00095"/>
    <w:rsid w:val="00E00B5B"/>
    <w:rsid w:val="00E066C3"/>
    <w:rsid w:val="00E07520"/>
    <w:rsid w:val="00E10D8C"/>
    <w:rsid w:val="00E10E7F"/>
    <w:rsid w:val="00E12DF6"/>
    <w:rsid w:val="00E1353A"/>
    <w:rsid w:val="00E142C7"/>
    <w:rsid w:val="00E151F4"/>
    <w:rsid w:val="00E1564B"/>
    <w:rsid w:val="00E1733D"/>
    <w:rsid w:val="00E17A32"/>
    <w:rsid w:val="00E17F00"/>
    <w:rsid w:val="00E208A0"/>
    <w:rsid w:val="00E2294A"/>
    <w:rsid w:val="00E231CF"/>
    <w:rsid w:val="00E25066"/>
    <w:rsid w:val="00E25B49"/>
    <w:rsid w:val="00E25E15"/>
    <w:rsid w:val="00E270DD"/>
    <w:rsid w:val="00E30082"/>
    <w:rsid w:val="00E350AA"/>
    <w:rsid w:val="00E371EA"/>
    <w:rsid w:val="00E423AD"/>
    <w:rsid w:val="00E446E7"/>
    <w:rsid w:val="00E45303"/>
    <w:rsid w:val="00E47D18"/>
    <w:rsid w:val="00E52113"/>
    <w:rsid w:val="00E54A21"/>
    <w:rsid w:val="00E6255C"/>
    <w:rsid w:val="00E63D79"/>
    <w:rsid w:val="00E64429"/>
    <w:rsid w:val="00E677DD"/>
    <w:rsid w:val="00E7129A"/>
    <w:rsid w:val="00E71949"/>
    <w:rsid w:val="00E71DDE"/>
    <w:rsid w:val="00E72F82"/>
    <w:rsid w:val="00E7352B"/>
    <w:rsid w:val="00E74A95"/>
    <w:rsid w:val="00E7594B"/>
    <w:rsid w:val="00E7724E"/>
    <w:rsid w:val="00E77A6E"/>
    <w:rsid w:val="00E85133"/>
    <w:rsid w:val="00E85AF5"/>
    <w:rsid w:val="00E91C49"/>
    <w:rsid w:val="00E93D0D"/>
    <w:rsid w:val="00EA0444"/>
    <w:rsid w:val="00EA5BFD"/>
    <w:rsid w:val="00EA609E"/>
    <w:rsid w:val="00EA7D2D"/>
    <w:rsid w:val="00EB03BC"/>
    <w:rsid w:val="00EB104D"/>
    <w:rsid w:val="00EB4688"/>
    <w:rsid w:val="00EB6C07"/>
    <w:rsid w:val="00EB7D13"/>
    <w:rsid w:val="00EC028D"/>
    <w:rsid w:val="00EC2A47"/>
    <w:rsid w:val="00EC31B5"/>
    <w:rsid w:val="00EC3661"/>
    <w:rsid w:val="00EC44EF"/>
    <w:rsid w:val="00EC5820"/>
    <w:rsid w:val="00EC59B8"/>
    <w:rsid w:val="00EC5F19"/>
    <w:rsid w:val="00EC70D7"/>
    <w:rsid w:val="00EC763D"/>
    <w:rsid w:val="00ED5149"/>
    <w:rsid w:val="00ED633B"/>
    <w:rsid w:val="00ED7E10"/>
    <w:rsid w:val="00EE2BBB"/>
    <w:rsid w:val="00EE478C"/>
    <w:rsid w:val="00EF016C"/>
    <w:rsid w:val="00EF37B8"/>
    <w:rsid w:val="00EF7648"/>
    <w:rsid w:val="00F0155E"/>
    <w:rsid w:val="00F0447B"/>
    <w:rsid w:val="00F0464B"/>
    <w:rsid w:val="00F06479"/>
    <w:rsid w:val="00F1132C"/>
    <w:rsid w:val="00F15DD5"/>
    <w:rsid w:val="00F17D4B"/>
    <w:rsid w:val="00F21A21"/>
    <w:rsid w:val="00F23139"/>
    <w:rsid w:val="00F25070"/>
    <w:rsid w:val="00F26328"/>
    <w:rsid w:val="00F307D4"/>
    <w:rsid w:val="00F33278"/>
    <w:rsid w:val="00F339DE"/>
    <w:rsid w:val="00F34855"/>
    <w:rsid w:val="00F34EA0"/>
    <w:rsid w:val="00F35742"/>
    <w:rsid w:val="00F4184B"/>
    <w:rsid w:val="00F42027"/>
    <w:rsid w:val="00F44E00"/>
    <w:rsid w:val="00F45610"/>
    <w:rsid w:val="00F46631"/>
    <w:rsid w:val="00F50942"/>
    <w:rsid w:val="00F52C14"/>
    <w:rsid w:val="00F539CC"/>
    <w:rsid w:val="00F557F0"/>
    <w:rsid w:val="00F55EB5"/>
    <w:rsid w:val="00F606EC"/>
    <w:rsid w:val="00F62CDA"/>
    <w:rsid w:val="00F64050"/>
    <w:rsid w:val="00F66CD5"/>
    <w:rsid w:val="00F67A9A"/>
    <w:rsid w:val="00F70F4E"/>
    <w:rsid w:val="00F73113"/>
    <w:rsid w:val="00F73FA5"/>
    <w:rsid w:val="00F75FC4"/>
    <w:rsid w:val="00F7697B"/>
    <w:rsid w:val="00F82C44"/>
    <w:rsid w:val="00F8416E"/>
    <w:rsid w:val="00F85981"/>
    <w:rsid w:val="00F87263"/>
    <w:rsid w:val="00F906E8"/>
    <w:rsid w:val="00F91961"/>
    <w:rsid w:val="00F92C27"/>
    <w:rsid w:val="00F93725"/>
    <w:rsid w:val="00F94A4D"/>
    <w:rsid w:val="00F95099"/>
    <w:rsid w:val="00F97C1F"/>
    <w:rsid w:val="00FA0BC9"/>
    <w:rsid w:val="00FA4890"/>
    <w:rsid w:val="00FA4B1A"/>
    <w:rsid w:val="00FB008D"/>
    <w:rsid w:val="00FB1217"/>
    <w:rsid w:val="00FB399A"/>
    <w:rsid w:val="00FB4103"/>
    <w:rsid w:val="00FB67DD"/>
    <w:rsid w:val="00FB77FA"/>
    <w:rsid w:val="00FC2213"/>
    <w:rsid w:val="00FC2B32"/>
    <w:rsid w:val="00FC3C70"/>
    <w:rsid w:val="00FC452B"/>
    <w:rsid w:val="00FC4A73"/>
    <w:rsid w:val="00FC559C"/>
    <w:rsid w:val="00FC7F0D"/>
    <w:rsid w:val="00FD1109"/>
    <w:rsid w:val="00FD1376"/>
    <w:rsid w:val="00FD25C6"/>
    <w:rsid w:val="00FD457A"/>
    <w:rsid w:val="00FE0100"/>
    <w:rsid w:val="00FE0B83"/>
    <w:rsid w:val="00FE186C"/>
    <w:rsid w:val="00FE1897"/>
    <w:rsid w:val="00FE2151"/>
    <w:rsid w:val="00FE3934"/>
    <w:rsid w:val="00FE4EC3"/>
    <w:rsid w:val="00FE645A"/>
    <w:rsid w:val="00FF3BAD"/>
    <w:rsid w:val="00FF54DB"/>
    <w:rsid w:val="00FF598E"/>
    <w:rsid w:val="00FF6102"/>
    <w:rsid w:val="00FF7B7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C01F9B"/>
  <w15:docId w15:val="{4818A57B-B8F8-455B-AC2C-E7149B911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65A"/>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character" w:styleId="UnresolvedMention">
    <w:name w:val="Unresolved Mention"/>
    <w:basedOn w:val="DefaultParagraphFont"/>
    <w:uiPriority w:val="99"/>
    <w:semiHidden/>
    <w:unhideWhenUsed/>
    <w:rsid w:val="007E7A9B"/>
    <w:rPr>
      <w:color w:val="605E5C"/>
      <w:shd w:val="clear" w:color="auto" w:fill="E1DFDD"/>
    </w:rPr>
  </w:style>
  <w:style w:type="paragraph" w:styleId="Revision">
    <w:name w:val="Revision"/>
    <w:hidden/>
    <w:uiPriority w:val="99"/>
    <w:semiHidden/>
    <w:rsid w:val="00CA32A5"/>
    <w:pPr>
      <w:spacing w:after="0" w:line="240" w:lineRule="auto"/>
    </w:pPr>
    <w:rPr>
      <w:sz w:val="24"/>
      <w:szCs w:val="24"/>
    </w:rPr>
  </w:style>
  <w:style w:type="character" w:styleId="FollowedHyperlink">
    <w:name w:val="FollowedHyperlink"/>
    <w:basedOn w:val="DefaultParagraphFont"/>
    <w:uiPriority w:val="99"/>
    <w:semiHidden/>
    <w:unhideWhenUsed/>
    <w:rsid w:val="003D4F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2550">
      <w:bodyDiv w:val="1"/>
      <w:marLeft w:val="0"/>
      <w:marRight w:val="0"/>
      <w:marTop w:val="0"/>
      <w:marBottom w:val="0"/>
      <w:divBdr>
        <w:top w:val="none" w:sz="0" w:space="0" w:color="auto"/>
        <w:left w:val="none" w:sz="0" w:space="0" w:color="auto"/>
        <w:bottom w:val="none" w:sz="0" w:space="0" w:color="auto"/>
        <w:right w:val="none" w:sz="0" w:space="0" w:color="auto"/>
      </w:divBdr>
    </w:div>
    <w:div w:id="72549830">
      <w:bodyDiv w:val="1"/>
      <w:marLeft w:val="0"/>
      <w:marRight w:val="0"/>
      <w:marTop w:val="0"/>
      <w:marBottom w:val="0"/>
      <w:divBdr>
        <w:top w:val="none" w:sz="0" w:space="0" w:color="auto"/>
        <w:left w:val="none" w:sz="0" w:space="0" w:color="auto"/>
        <w:bottom w:val="none" w:sz="0" w:space="0" w:color="auto"/>
        <w:right w:val="none" w:sz="0" w:space="0" w:color="auto"/>
      </w:divBdr>
    </w:div>
    <w:div w:id="77093965">
      <w:bodyDiv w:val="1"/>
      <w:marLeft w:val="0"/>
      <w:marRight w:val="0"/>
      <w:marTop w:val="0"/>
      <w:marBottom w:val="0"/>
      <w:divBdr>
        <w:top w:val="none" w:sz="0" w:space="0" w:color="auto"/>
        <w:left w:val="none" w:sz="0" w:space="0" w:color="auto"/>
        <w:bottom w:val="none" w:sz="0" w:space="0" w:color="auto"/>
        <w:right w:val="none" w:sz="0" w:space="0" w:color="auto"/>
      </w:divBdr>
    </w:div>
    <w:div w:id="126165467">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410735138">
      <w:bodyDiv w:val="1"/>
      <w:marLeft w:val="0"/>
      <w:marRight w:val="0"/>
      <w:marTop w:val="0"/>
      <w:marBottom w:val="0"/>
      <w:divBdr>
        <w:top w:val="none" w:sz="0" w:space="0" w:color="auto"/>
        <w:left w:val="none" w:sz="0" w:space="0" w:color="auto"/>
        <w:bottom w:val="none" w:sz="0" w:space="0" w:color="auto"/>
        <w:right w:val="none" w:sz="0" w:space="0" w:color="auto"/>
      </w:divBdr>
    </w:div>
    <w:div w:id="425003682">
      <w:bodyDiv w:val="1"/>
      <w:marLeft w:val="0"/>
      <w:marRight w:val="0"/>
      <w:marTop w:val="0"/>
      <w:marBottom w:val="0"/>
      <w:divBdr>
        <w:top w:val="none" w:sz="0" w:space="0" w:color="auto"/>
        <w:left w:val="none" w:sz="0" w:space="0" w:color="auto"/>
        <w:bottom w:val="none" w:sz="0" w:space="0" w:color="auto"/>
        <w:right w:val="none" w:sz="0" w:space="0" w:color="auto"/>
      </w:divBdr>
    </w:div>
    <w:div w:id="452359081">
      <w:bodyDiv w:val="1"/>
      <w:marLeft w:val="0"/>
      <w:marRight w:val="0"/>
      <w:marTop w:val="0"/>
      <w:marBottom w:val="0"/>
      <w:divBdr>
        <w:top w:val="none" w:sz="0" w:space="0" w:color="auto"/>
        <w:left w:val="none" w:sz="0" w:space="0" w:color="auto"/>
        <w:bottom w:val="none" w:sz="0" w:space="0" w:color="auto"/>
        <w:right w:val="none" w:sz="0" w:space="0" w:color="auto"/>
      </w:divBdr>
    </w:div>
    <w:div w:id="529535763">
      <w:bodyDiv w:val="1"/>
      <w:marLeft w:val="0"/>
      <w:marRight w:val="0"/>
      <w:marTop w:val="0"/>
      <w:marBottom w:val="0"/>
      <w:divBdr>
        <w:top w:val="none" w:sz="0" w:space="0" w:color="auto"/>
        <w:left w:val="none" w:sz="0" w:space="0" w:color="auto"/>
        <w:bottom w:val="none" w:sz="0" w:space="0" w:color="auto"/>
        <w:right w:val="none" w:sz="0" w:space="0" w:color="auto"/>
      </w:divBdr>
    </w:div>
    <w:div w:id="579750568">
      <w:bodyDiv w:val="1"/>
      <w:marLeft w:val="0"/>
      <w:marRight w:val="0"/>
      <w:marTop w:val="0"/>
      <w:marBottom w:val="0"/>
      <w:divBdr>
        <w:top w:val="none" w:sz="0" w:space="0" w:color="auto"/>
        <w:left w:val="none" w:sz="0" w:space="0" w:color="auto"/>
        <w:bottom w:val="none" w:sz="0" w:space="0" w:color="auto"/>
        <w:right w:val="none" w:sz="0" w:space="0" w:color="auto"/>
      </w:divBdr>
    </w:div>
    <w:div w:id="619605947">
      <w:bodyDiv w:val="1"/>
      <w:marLeft w:val="0"/>
      <w:marRight w:val="0"/>
      <w:marTop w:val="0"/>
      <w:marBottom w:val="0"/>
      <w:divBdr>
        <w:top w:val="none" w:sz="0" w:space="0" w:color="auto"/>
        <w:left w:val="none" w:sz="0" w:space="0" w:color="auto"/>
        <w:bottom w:val="none" w:sz="0" w:space="0" w:color="auto"/>
        <w:right w:val="none" w:sz="0" w:space="0" w:color="auto"/>
      </w:divBdr>
    </w:div>
    <w:div w:id="674310465">
      <w:bodyDiv w:val="1"/>
      <w:marLeft w:val="0"/>
      <w:marRight w:val="0"/>
      <w:marTop w:val="0"/>
      <w:marBottom w:val="0"/>
      <w:divBdr>
        <w:top w:val="none" w:sz="0" w:space="0" w:color="auto"/>
        <w:left w:val="none" w:sz="0" w:space="0" w:color="auto"/>
        <w:bottom w:val="none" w:sz="0" w:space="0" w:color="auto"/>
        <w:right w:val="none" w:sz="0" w:space="0" w:color="auto"/>
      </w:divBdr>
    </w:div>
    <w:div w:id="802893329">
      <w:bodyDiv w:val="1"/>
      <w:marLeft w:val="0"/>
      <w:marRight w:val="0"/>
      <w:marTop w:val="0"/>
      <w:marBottom w:val="0"/>
      <w:divBdr>
        <w:top w:val="none" w:sz="0" w:space="0" w:color="auto"/>
        <w:left w:val="none" w:sz="0" w:space="0" w:color="auto"/>
        <w:bottom w:val="none" w:sz="0" w:space="0" w:color="auto"/>
        <w:right w:val="none" w:sz="0" w:space="0" w:color="auto"/>
      </w:divBdr>
    </w:div>
    <w:div w:id="906499692">
      <w:bodyDiv w:val="1"/>
      <w:marLeft w:val="0"/>
      <w:marRight w:val="0"/>
      <w:marTop w:val="0"/>
      <w:marBottom w:val="0"/>
      <w:divBdr>
        <w:top w:val="none" w:sz="0" w:space="0" w:color="auto"/>
        <w:left w:val="none" w:sz="0" w:space="0" w:color="auto"/>
        <w:bottom w:val="none" w:sz="0" w:space="0" w:color="auto"/>
        <w:right w:val="none" w:sz="0" w:space="0" w:color="auto"/>
      </w:divBdr>
    </w:div>
    <w:div w:id="914512880">
      <w:bodyDiv w:val="1"/>
      <w:marLeft w:val="0"/>
      <w:marRight w:val="0"/>
      <w:marTop w:val="0"/>
      <w:marBottom w:val="0"/>
      <w:divBdr>
        <w:top w:val="none" w:sz="0" w:space="0" w:color="auto"/>
        <w:left w:val="none" w:sz="0" w:space="0" w:color="auto"/>
        <w:bottom w:val="none" w:sz="0" w:space="0" w:color="auto"/>
        <w:right w:val="none" w:sz="0" w:space="0" w:color="auto"/>
      </w:divBdr>
    </w:div>
    <w:div w:id="1052389231">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118572128">
      <w:bodyDiv w:val="1"/>
      <w:marLeft w:val="0"/>
      <w:marRight w:val="0"/>
      <w:marTop w:val="0"/>
      <w:marBottom w:val="0"/>
      <w:divBdr>
        <w:top w:val="none" w:sz="0" w:space="0" w:color="auto"/>
        <w:left w:val="none" w:sz="0" w:space="0" w:color="auto"/>
        <w:bottom w:val="none" w:sz="0" w:space="0" w:color="auto"/>
        <w:right w:val="none" w:sz="0" w:space="0" w:color="auto"/>
      </w:divBdr>
    </w:div>
    <w:div w:id="1224754830">
      <w:bodyDiv w:val="1"/>
      <w:marLeft w:val="0"/>
      <w:marRight w:val="0"/>
      <w:marTop w:val="0"/>
      <w:marBottom w:val="0"/>
      <w:divBdr>
        <w:top w:val="none" w:sz="0" w:space="0" w:color="auto"/>
        <w:left w:val="none" w:sz="0" w:space="0" w:color="auto"/>
        <w:bottom w:val="none" w:sz="0" w:space="0" w:color="auto"/>
        <w:right w:val="none" w:sz="0" w:space="0" w:color="auto"/>
      </w:divBdr>
    </w:div>
    <w:div w:id="1224875648">
      <w:bodyDiv w:val="1"/>
      <w:marLeft w:val="0"/>
      <w:marRight w:val="0"/>
      <w:marTop w:val="0"/>
      <w:marBottom w:val="0"/>
      <w:divBdr>
        <w:top w:val="none" w:sz="0" w:space="0" w:color="auto"/>
        <w:left w:val="none" w:sz="0" w:space="0" w:color="auto"/>
        <w:bottom w:val="none" w:sz="0" w:space="0" w:color="auto"/>
        <w:right w:val="none" w:sz="0" w:space="0" w:color="auto"/>
      </w:divBdr>
    </w:div>
    <w:div w:id="1359695413">
      <w:bodyDiv w:val="1"/>
      <w:marLeft w:val="0"/>
      <w:marRight w:val="0"/>
      <w:marTop w:val="0"/>
      <w:marBottom w:val="0"/>
      <w:divBdr>
        <w:top w:val="none" w:sz="0" w:space="0" w:color="auto"/>
        <w:left w:val="none" w:sz="0" w:space="0" w:color="auto"/>
        <w:bottom w:val="none" w:sz="0" w:space="0" w:color="auto"/>
        <w:right w:val="none" w:sz="0" w:space="0" w:color="auto"/>
      </w:divBdr>
    </w:div>
    <w:div w:id="1428424241">
      <w:bodyDiv w:val="1"/>
      <w:marLeft w:val="0"/>
      <w:marRight w:val="0"/>
      <w:marTop w:val="0"/>
      <w:marBottom w:val="0"/>
      <w:divBdr>
        <w:top w:val="none" w:sz="0" w:space="0" w:color="auto"/>
        <w:left w:val="none" w:sz="0" w:space="0" w:color="auto"/>
        <w:bottom w:val="none" w:sz="0" w:space="0" w:color="auto"/>
        <w:right w:val="none" w:sz="0" w:space="0" w:color="auto"/>
      </w:divBdr>
    </w:div>
    <w:div w:id="1442413934">
      <w:bodyDiv w:val="1"/>
      <w:marLeft w:val="0"/>
      <w:marRight w:val="0"/>
      <w:marTop w:val="0"/>
      <w:marBottom w:val="0"/>
      <w:divBdr>
        <w:top w:val="none" w:sz="0" w:space="0" w:color="auto"/>
        <w:left w:val="none" w:sz="0" w:space="0" w:color="auto"/>
        <w:bottom w:val="none" w:sz="0" w:space="0" w:color="auto"/>
        <w:right w:val="none" w:sz="0" w:space="0" w:color="auto"/>
      </w:divBdr>
    </w:div>
    <w:div w:id="1483812569">
      <w:bodyDiv w:val="1"/>
      <w:marLeft w:val="0"/>
      <w:marRight w:val="0"/>
      <w:marTop w:val="0"/>
      <w:marBottom w:val="0"/>
      <w:divBdr>
        <w:top w:val="none" w:sz="0" w:space="0" w:color="auto"/>
        <w:left w:val="none" w:sz="0" w:space="0" w:color="auto"/>
        <w:bottom w:val="none" w:sz="0" w:space="0" w:color="auto"/>
        <w:right w:val="none" w:sz="0" w:space="0" w:color="auto"/>
      </w:divBdr>
    </w:div>
    <w:div w:id="1492982586">
      <w:bodyDiv w:val="1"/>
      <w:marLeft w:val="0"/>
      <w:marRight w:val="0"/>
      <w:marTop w:val="0"/>
      <w:marBottom w:val="0"/>
      <w:divBdr>
        <w:top w:val="none" w:sz="0" w:space="0" w:color="auto"/>
        <w:left w:val="none" w:sz="0" w:space="0" w:color="auto"/>
        <w:bottom w:val="none" w:sz="0" w:space="0" w:color="auto"/>
        <w:right w:val="none" w:sz="0" w:space="0" w:color="auto"/>
      </w:divBdr>
    </w:div>
    <w:div w:id="1543398116">
      <w:bodyDiv w:val="1"/>
      <w:marLeft w:val="0"/>
      <w:marRight w:val="0"/>
      <w:marTop w:val="0"/>
      <w:marBottom w:val="0"/>
      <w:divBdr>
        <w:top w:val="none" w:sz="0" w:space="0" w:color="auto"/>
        <w:left w:val="none" w:sz="0" w:space="0" w:color="auto"/>
        <w:bottom w:val="none" w:sz="0" w:space="0" w:color="auto"/>
        <w:right w:val="none" w:sz="0" w:space="0" w:color="auto"/>
      </w:divBdr>
    </w:div>
    <w:div w:id="1592080968">
      <w:bodyDiv w:val="1"/>
      <w:marLeft w:val="0"/>
      <w:marRight w:val="0"/>
      <w:marTop w:val="0"/>
      <w:marBottom w:val="0"/>
      <w:divBdr>
        <w:top w:val="none" w:sz="0" w:space="0" w:color="auto"/>
        <w:left w:val="none" w:sz="0" w:space="0" w:color="auto"/>
        <w:bottom w:val="none" w:sz="0" w:space="0" w:color="auto"/>
        <w:right w:val="none" w:sz="0" w:space="0" w:color="auto"/>
      </w:divBdr>
    </w:div>
    <w:div w:id="1612779861">
      <w:bodyDiv w:val="1"/>
      <w:marLeft w:val="0"/>
      <w:marRight w:val="0"/>
      <w:marTop w:val="0"/>
      <w:marBottom w:val="0"/>
      <w:divBdr>
        <w:top w:val="none" w:sz="0" w:space="0" w:color="auto"/>
        <w:left w:val="none" w:sz="0" w:space="0" w:color="auto"/>
        <w:bottom w:val="none" w:sz="0" w:space="0" w:color="auto"/>
        <w:right w:val="none" w:sz="0" w:space="0" w:color="auto"/>
      </w:divBdr>
    </w:div>
    <w:div w:id="1626155291">
      <w:bodyDiv w:val="1"/>
      <w:marLeft w:val="0"/>
      <w:marRight w:val="0"/>
      <w:marTop w:val="0"/>
      <w:marBottom w:val="0"/>
      <w:divBdr>
        <w:top w:val="none" w:sz="0" w:space="0" w:color="auto"/>
        <w:left w:val="none" w:sz="0" w:space="0" w:color="auto"/>
        <w:bottom w:val="none" w:sz="0" w:space="0" w:color="auto"/>
        <w:right w:val="none" w:sz="0" w:space="0" w:color="auto"/>
      </w:divBdr>
    </w:div>
    <w:div w:id="1637368124">
      <w:bodyDiv w:val="1"/>
      <w:marLeft w:val="0"/>
      <w:marRight w:val="0"/>
      <w:marTop w:val="0"/>
      <w:marBottom w:val="0"/>
      <w:divBdr>
        <w:top w:val="none" w:sz="0" w:space="0" w:color="auto"/>
        <w:left w:val="none" w:sz="0" w:space="0" w:color="auto"/>
        <w:bottom w:val="none" w:sz="0" w:space="0" w:color="auto"/>
        <w:right w:val="none" w:sz="0" w:space="0" w:color="auto"/>
      </w:divBdr>
    </w:div>
    <w:div w:id="1924871891">
      <w:bodyDiv w:val="1"/>
      <w:marLeft w:val="0"/>
      <w:marRight w:val="0"/>
      <w:marTop w:val="0"/>
      <w:marBottom w:val="0"/>
      <w:divBdr>
        <w:top w:val="none" w:sz="0" w:space="0" w:color="auto"/>
        <w:left w:val="none" w:sz="0" w:space="0" w:color="auto"/>
        <w:bottom w:val="none" w:sz="0" w:space="0" w:color="auto"/>
        <w:right w:val="none" w:sz="0" w:space="0" w:color="auto"/>
      </w:divBdr>
    </w:div>
    <w:div w:id="200751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ga.gov.au/hp/information-medicines-pi.htm" TargetMode="External"/><Relationship Id="rId13" Type="http://schemas.openxmlformats.org/officeDocument/2006/relationships/hyperlink" Target="https://www.pbs.gov.au/industry/listing/elements/pbac-meetings/psd/2018-07/files/dupilumab-psd-july-2018.pdf" TargetMode="External"/><Relationship Id="rId18" Type="http://schemas.openxmlformats.org/officeDocument/2006/relationships/hyperlink" Target="https://www.pbs.gov.au/industry/listing/elements/pbac-meetings/psd/2022-07/files/dupilumab-psd-july-2022.pdf" TargetMode="External"/><Relationship Id="rId26"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chart" Target="charts/chart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entral.health\DFSGroupData\Sites\CO1\CO\PBD\PEB\EVAL\DUSC\DUSC%20Documents\Predicted%20vs%20actual%20usage\pbs.gov.au" TargetMode="External"/><Relationship Id="rId17" Type="http://schemas.openxmlformats.org/officeDocument/2006/relationships/hyperlink" Target="https://www.pbs.gov.au/industry/listing/elements/pbac-meetings/psd/2022-03/files/dupilumab-psd-march-2022.pdf" TargetMode="External"/><Relationship Id="rId25" Type="http://schemas.openxmlformats.org/officeDocument/2006/relationships/chart" Target="charts/chart6.xm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pbs.gov.au/industry/listing/elements/pbac-meetings/psd/2020-11/files/dupilumab-atopic-dermatitis-psd-nov-2020.pdf" TargetMode="External"/><Relationship Id="rId20" Type="http://schemas.openxmlformats.org/officeDocument/2006/relationships/chart" Target="charts/chart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entral.health\DFSGroupData\Sites\CO1\CO\PBD\PEB\EVAL\DUSC\DUSC%20Documents\Predicted%20vs%20actual%20usage\pbs.gov.au" TargetMode="External"/><Relationship Id="rId24" Type="http://schemas.openxmlformats.org/officeDocument/2006/relationships/chart" Target="charts/chart5.xm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pbs.gov.au/industry/listing/elements/pbac-meetings/psd/2020-03/files/dupilimumab-psd-march-2020.pdf" TargetMode="External"/><Relationship Id="rId23" Type="http://schemas.openxmlformats.org/officeDocument/2006/relationships/chart" Target="charts/chart4.xml"/><Relationship Id="rId28" Type="http://schemas.openxmlformats.org/officeDocument/2006/relationships/header" Target="header1.xml"/><Relationship Id="rId10" Type="http://schemas.openxmlformats.org/officeDocument/2006/relationships/hyperlink" Target="http://www.pbs.gov.au/pbs/home" TargetMode="External"/><Relationship Id="rId19" Type="http://schemas.openxmlformats.org/officeDocument/2006/relationships/image" Target="media/image1.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tga.gov.au/consumers/information-medicines-cmi.htm" TargetMode="External"/><Relationship Id="rId14" Type="http://schemas.openxmlformats.org/officeDocument/2006/relationships/hyperlink" Target="https://www.pbs.gov.au/industry/listing/elements/pbac-meetings/psd/2019-07/files/dupilumab-psd-july-2019.pdf" TargetMode="External"/><Relationship Id="rId22" Type="http://schemas.openxmlformats.org/officeDocument/2006/relationships/chart" Target="charts/chart3.xml"/><Relationship Id="rId27" Type="http://schemas.openxmlformats.org/officeDocument/2006/relationships/image" Target="media/image2.png"/><Relationship Id="rId30" Type="http://schemas.openxmlformats.org/officeDocument/2006/relationships/footer" Target="footer1.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pbs.gov.au/industry/listing/elements/pbac-meetings/pbac-outcomes/2023-07/pbac-web-outcomes-07-2023.pdf" TargetMode="External"/><Relationship Id="rId2" Type="http://schemas.openxmlformats.org/officeDocument/2006/relationships/hyperlink" Target="https://www.ebs.tga.gov.au/ebs/picmi/picmirepository.nsf/pdf?OpenAgent&amp;id=CP-2018-PI-01199-1" TargetMode="External"/><Relationship Id="rId1" Type="http://schemas.openxmlformats.org/officeDocument/2006/relationships/hyperlink" Target="https://www.allergy.org.au/patients/skin-allergy/eczema" TargetMode="External"/><Relationship Id="rId4" Type="http://schemas.openxmlformats.org/officeDocument/2006/relationships/hyperlink" Target="http://www.medicareaustralia.gov.au/provider/pbs/stats.jsp"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healthgov-my.sharepoint.com/personal/olivia_morrison_health_gov_au/Documents/Desktop/D1503%20Dupilumab.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healthgov-my.sharepoint.com/personal/olivia_morrison_health_gov_au/Documents/Desktop/D1503%20Dupilumab.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healthgov-my.sharepoint.com/personal/olivia_morrison_health_gov_au/Documents/Desktop/D1503%20Dupilumab.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healthgov-my.sharepoint.com/personal/olivia_morrison_health_gov_au/Documents/Desktop/D1503%20Dupilumab.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healthgov-my.sharepoint.com/personal/olivia_morrison_health_gov_au/Documents/Desktop/D1503%20Dupilumab.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healthgov-my.sharepoint.com/personal/olivia_morrison_health_gov_au/Documents/Desktop/D1503%20Dupilumab.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3\D1503%20-%20Dupilumab%20for%20chronic%20severe%20atopic%20dermatitis\D1503%20Dupilumab%20v2.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[D1503 Dupilumab.xlsx]asthma!PivotTable3</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asthma!$W$1:$W$2</c:f>
              <c:strCache>
                <c:ptCount val="1"/>
                <c:pt idx="0">
                  <c:v>BENRALIZUMAB</c:v>
                </c:pt>
              </c:strCache>
            </c:strRef>
          </c:tx>
          <c:spPr>
            <a:ln w="28575" cap="rnd">
              <a:solidFill>
                <a:schemeClr val="accent1"/>
              </a:solidFill>
              <a:round/>
            </a:ln>
            <a:effectLst/>
          </c:spPr>
          <c:marker>
            <c:symbol val="none"/>
          </c:marker>
          <c:cat>
            <c:strRef>
              <c:f>asthma!$V$3:$V$29</c:f>
              <c:strCache>
                <c:ptCount val="26"/>
                <c:pt idx="0">
                  <c:v>2017Q1</c:v>
                </c:pt>
                <c:pt idx="1">
                  <c:v>2017Q2</c:v>
                </c:pt>
                <c:pt idx="2">
                  <c:v>2017Q3</c:v>
                </c:pt>
                <c:pt idx="3">
                  <c:v>2017Q4</c:v>
                </c:pt>
                <c:pt idx="4">
                  <c:v>2018Q1</c:v>
                </c:pt>
                <c:pt idx="5">
                  <c:v>2018Q2</c:v>
                </c:pt>
                <c:pt idx="6">
                  <c:v>2018Q3</c:v>
                </c:pt>
                <c:pt idx="7">
                  <c:v>2018Q4</c:v>
                </c:pt>
                <c:pt idx="8">
                  <c:v>2019Q1</c:v>
                </c:pt>
                <c:pt idx="9">
                  <c:v>2019Q2</c:v>
                </c:pt>
                <c:pt idx="10">
                  <c:v>2019Q3</c:v>
                </c:pt>
                <c:pt idx="11">
                  <c:v>2019Q4</c:v>
                </c:pt>
                <c:pt idx="12">
                  <c:v>2020Q1</c:v>
                </c:pt>
                <c:pt idx="13">
                  <c:v>2020Q2</c:v>
                </c:pt>
                <c:pt idx="14">
                  <c:v>2020Q3</c:v>
                </c:pt>
                <c:pt idx="15">
                  <c:v>2020Q4</c:v>
                </c:pt>
                <c:pt idx="16">
                  <c:v>2021Q1</c:v>
                </c:pt>
                <c:pt idx="17">
                  <c:v>2021Q2</c:v>
                </c:pt>
                <c:pt idx="18">
                  <c:v>2021Q3</c:v>
                </c:pt>
                <c:pt idx="19">
                  <c:v>2021Q4</c:v>
                </c:pt>
                <c:pt idx="20">
                  <c:v>2022Q1</c:v>
                </c:pt>
                <c:pt idx="21">
                  <c:v>2022Q2</c:v>
                </c:pt>
                <c:pt idx="22">
                  <c:v>2022Q3</c:v>
                </c:pt>
                <c:pt idx="23">
                  <c:v>2022Q4</c:v>
                </c:pt>
                <c:pt idx="24">
                  <c:v>2023Q1</c:v>
                </c:pt>
                <c:pt idx="25">
                  <c:v>2023Q2</c:v>
                </c:pt>
              </c:strCache>
            </c:strRef>
          </c:cat>
          <c:val>
            <c:numRef>
              <c:f>asthma!$W$3:$W$29</c:f>
              <c:numCache>
                <c:formatCode>General</c:formatCode>
                <c:ptCount val="26"/>
                <c:pt idx="7">
                  <c:v>58</c:v>
                </c:pt>
                <c:pt idx="8">
                  <c:v>813</c:v>
                </c:pt>
                <c:pt idx="9">
                  <c:v>1160</c:v>
                </c:pt>
                <c:pt idx="10">
                  <c:v>1514</c:v>
                </c:pt>
                <c:pt idx="11">
                  <c:v>1804</c:v>
                </c:pt>
                <c:pt idx="12">
                  <c:v>2345</c:v>
                </c:pt>
                <c:pt idx="13">
                  <c:v>2499</c:v>
                </c:pt>
                <c:pt idx="14">
                  <c:v>2959</c:v>
                </c:pt>
                <c:pt idx="15">
                  <c:v>3307</c:v>
                </c:pt>
                <c:pt idx="16">
                  <c:v>3279</c:v>
                </c:pt>
                <c:pt idx="17">
                  <c:v>3573</c:v>
                </c:pt>
                <c:pt idx="18">
                  <c:v>3837</c:v>
                </c:pt>
                <c:pt idx="19">
                  <c:v>4204</c:v>
                </c:pt>
                <c:pt idx="20">
                  <c:v>4045</c:v>
                </c:pt>
                <c:pt idx="21">
                  <c:v>4166</c:v>
                </c:pt>
                <c:pt idx="22">
                  <c:v>4452</c:v>
                </c:pt>
                <c:pt idx="23">
                  <c:v>4849</c:v>
                </c:pt>
                <c:pt idx="24">
                  <c:v>4610</c:v>
                </c:pt>
                <c:pt idx="25">
                  <c:v>4797</c:v>
                </c:pt>
              </c:numCache>
            </c:numRef>
          </c:val>
          <c:smooth val="0"/>
          <c:extLst>
            <c:ext xmlns:c16="http://schemas.microsoft.com/office/drawing/2014/chart" uri="{C3380CC4-5D6E-409C-BE32-E72D297353CC}">
              <c16:uniqueId val="{00000000-6134-4650-AB2F-9B5DD6BA33E3}"/>
            </c:ext>
          </c:extLst>
        </c:ser>
        <c:ser>
          <c:idx val="1"/>
          <c:order val="1"/>
          <c:tx>
            <c:strRef>
              <c:f>asthma!$X$1:$X$2</c:f>
              <c:strCache>
                <c:ptCount val="1"/>
                <c:pt idx="0">
                  <c:v>DUPILUMAB</c:v>
                </c:pt>
              </c:strCache>
            </c:strRef>
          </c:tx>
          <c:spPr>
            <a:ln w="28575" cap="rnd">
              <a:solidFill>
                <a:schemeClr val="accent2"/>
              </a:solidFill>
              <a:round/>
            </a:ln>
            <a:effectLst/>
          </c:spPr>
          <c:marker>
            <c:symbol val="none"/>
          </c:marker>
          <c:cat>
            <c:strRef>
              <c:f>asthma!$V$3:$V$29</c:f>
              <c:strCache>
                <c:ptCount val="26"/>
                <c:pt idx="0">
                  <c:v>2017Q1</c:v>
                </c:pt>
                <c:pt idx="1">
                  <c:v>2017Q2</c:v>
                </c:pt>
                <c:pt idx="2">
                  <c:v>2017Q3</c:v>
                </c:pt>
                <c:pt idx="3">
                  <c:v>2017Q4</c:v>
                </c:pt>
                <c:pt idx="4">
                  <c:v>2018Q1</c:v>
                </c:pt>
                <c:pt idx="5">
                  <c:v>2018Q2</c:v>
                </c:pt>
                <c:pt idx="6">
                  <c:v>2018Q3</c:v>
                </c:pt>
                <c:pt idx="7">
                  <c:v>2018Q4</c:v>
                </c:pt>
                <c:pt idx="8">
                  <c:v>2019Q1</c:v>
                </c:pt>
                <c:pt idx="9">
                  <c:v>2019Q2</c:v>
                </c:pt>
                <c:pt idx="10">
                  <c:v>2019Q3</c:v>
                </c:pt>
                <c:pt idx="11">
                  <c:v>2019Q4</c:v>
                </c:pt>
                <c:pt idx="12">
                  <c:v>2020Q1</c:v>
                </c:pt>
                <c:pt idx="13">
                  <c:v>2020Q2</c:v>
                </c:pt>
                <c:pt idx="14">
                  <c:v>2020Q3</c:v>
                </c:pt>
                <c:pt idx="15">
                  <c:v>2020Q4</c:v>
                </c:pt>
                <c:pt idx="16">
                  <c:v>2021Q1</c:v>
                </c:pt>
                <c:pt idx="17">
                  <c:v>2021Q2</c:v>
                </c:pt>
                <c:pt idx="18">
                  <c:v>2021Q3</c:v>
                </c:pt>
                <c:pt idx="19">
                  <c:v>2021Q4</c:v>
                </c:pt>
                <c:pt idx="20">
                  <c:v>2022Q1</c:v>
                </c:pt>
                <c:pt idx="21">
                  <c:v>2022Q2</c:v>
                </c:pt>
                <c:pt idx="22">
                  <c:v>2022Q3</c:v>
                </c:pt>
                <c:pt idx="23">
                  <c:v>2022Q4</c:v>
                </c:pt>
                <c:pt idx="24">
                  <c:v>2023Q1</c:v>
                </c:pt>
                <c:pt idx="25">
                  <c:v>2023Q2</c:v>
                </c:pt>
              </c:strCache>
            </c:strRef>
          </c:cat>
          <c:val>
            <c:numRef>
              <c:f>asthma!$X$3:$X$29</c:f>
              <c:numCache>
                <c:formatCode>General</c:formatCode>
                <c:ptCount val="26"/>
                <c:pt idx="17">
                  <c:v>474</c:v>
                </c:pt>
                <c:pt idx="18">
                  <c:v>1540</c:v>
                </c:pt>
                <c:pt idx="19">
                  <c:v>2366</c:v>
                </c:pt>
                <c:pt idx="20">
                  <c:v>2847</c:v>
                </c:pt>
                <c:pt idx="21">
                  <c:v>3595</c:v>
                </c:pt>
                <c:pt idx="22">
                  <c:v>4256</c:v>
                </c:pt>
                <c:pt idx="23">
                  <c:v>5098</c:v>
                </c:pt>
                <c:pt idx="24">
                  <c:v>5306</c:v>
                </c:pt>
                <c:pt idx="25">
                  <c:v>6031</c:v>
                </c:pt>
              </c:numCache>
            </c:numRef>
          </c:val>
          <c:smooth val="0"/>
          <c:extLst>
            <c:ext xmlns:c16="http://schemas.microsoft.com/office/drawing/2014/chart" uri="{C3380CC4-5D6E-409C-BE32-E72D297353CC}">
              <c16:uniqueId val="{00000001-6134-4650-AB2F-9B5DD6BA33E3}"/>
            </c:ext>
          </c:extLst>
        </c:ser>
        <c:ser>
          <c:idx val="2"/>
          <c:order val="2"/>
          <c:tx>
            <c:strRef>
              <c:f>asthma!$Y$1:$Y$2</c:f>
              <c:strCache>
                <c:ptCount val="1"/>
                <c:pt idx="0">
                  <c:v>MEPOLIZUMAB</c:v>
                </c:pt>
              </c:strCache>
            </c:strRef>
          </c:tx>
          <c:spPr>
            <a:ln w="28575" cap="rnd">
              <a:solidFill>
                <a:schemeClr val="accent3"/>
              </a:solidFill>
              <a:round/>
            </a:ln>
            <a:effectLst/>
          </c:spPr>
          <c:marker>
            <c:symbol val="none"/>
          </c:marker>
          <c:cat>
            <c:strRef>
              <c:f>asthma!$V$3:$V$29</c:f>
              <c:strCache>
                <c:ptCount val="26"/>
                <c:pt idx="0">
                  <c:v>2017Q1</c:v>
                </c:pt>
                <c:pt idx="1">
                  <c:v>2017Q2</c:v>
                </c:pt>
                <c:pt idx="2">
                  <c:v>2017Q3</c:v>
                </c:pt>
                <c:pt idx="3">
                  <c:v>2017Q4</c:v>
                </c:pt>
                <c:pt idx="4">
                  <c:v>2018Q1</c:v>
                </c:pt>
                <c:pt idx="5">
                  <c:v>2018Q2</c:v>
                </c:pt>
                <c:pt idx="6">
                  <c:v>2018Q3</c:v>
                </c:pt>
                <c:pt idx="7">
                  <c:v>2018Q4</c:v>
                </c:pt>
                <c:pt idx="8">
                  <c:v>2019Q1</c:v>
                </c:pt>
                <c:pt idx="9">
                  <c:v>2019Q2</c:v>
                </c:pt>
                <c:pt idx="10">
                  <c:v>2019Q3</c:v>
                </c:pt>
                <c:pt idx="11">
                  <c:v>2019Q4</c:v>
                </c:pt>
                <c:pt idx="12">
                  <c:v>2020Q1</c:v>
                </c:pt>
                <c:pt idx="13">
                  <c:v>2020Q2</c:v>
                </c:pt>
                <c:pt idx="14">
                  <c:v>2020Q3</c:v>
                </c:pt>
                <c:pt idx="15">
                  <c:v>2020Q4</c:v>
                </c:pt>
                <c:pt idx="16">
                  <c:v>2021Q1</c:v>
                </c:pt>
                <c:pt idx="17">
                  <c:v>2021Q2</c:v>
                </c:pt>
                <c:pt idx="18">
                  <c:v>2021Q3</c:v>
                </c:pt>
                <c:pt idx="19">
                  <c:v>2021Q4</c:v>
                </c:pt>
                <c:pt idx="20">
                  <c:v>2022Q1</c:v>
                </c:pt>
                <c:pt idx="21">
                  <c:v>2022Q2</c:v>
                </c:pt>
                <c:pt idx="22">
                  <c:v>2022Q3</c:v>
                </c:pt>
                <c:pt idx="23">
                  <c:v>2022Q4</c:v>
                </c:pt>
                <c:pt idx="24">
                  <c:v>2023Q1</c:v>
                </c:pt>
                <c:pt idx="25">
                  <c:v>2023Q2</c:v>
                </c:pt>
              </c:strCache>
            </c:strRef>
          </c:cat>
          <c:val>
            <c:numRef>
              <c:f>asthma!$Y$3:$Y$29</c:f>
              <c:numCache>
                <c:formatCode>General</c:formatCode>
                <c:ptCount val="26"/>
                <c:pt idx="0">
                  <c:v>243</c:v>
                </c:pt>
                <c:pt idx="1">
                  <c:v>759</c:v>
                </c:pt>
                <c:pt idx="2">
                  <c:v>1121</c:v>
                </c:pt>
                <c:pt idx="3">
                  <c:v>1580</c:v>
                </c:pt>
                <c:pt idx="4">
                  <c:v>1831</c:v>
                </c:pt>
                <c:pt idx="5">
                  <c:v>2301</c:v>
                </c:pt>
                <c:pt idx="6">
                  <c:v>2419</c:v>
                </c:pt>
                <c:pt idx="7">
                  <c:v>2823</c:v>
                </c:pt>
                <c:pt idx="8">
                  <c:v>2925</c:v>
                </c:pt>
                <c:pt idx="9">
                  <c:v>3361</c:v>
                </c:pt>
                <c:pt idx="10">
                  <c:v>3598</c:v>
                </c:pt>
                <c:pt idx="11">
                  <c:v>3950</c:v>
                </c:pt>
                <c:pt idx="12">
                  <c:v>3997</c:v>
                </c:pt>
                <c:pt idx="13">
                  <c:v>4202</c:v>
                </c:pt>
                <c:pt idx="14">
                  <c:v>4794</c:v>
                </c:pt>
                <c:pt idx="15">
                  <c:v>5264</c:v>
                </c:pt>
                <c:pt idx="16">
                  <c:v>5168</c:v>
                </c:pt>
                <c:pt idx="17">
                  <c:v>5543</c:v>
                </c:pt>
                <c:pt idx="18">
                  <c:v>5821</c:v>
                </c:pt>
                <c:pt idx="19">
                  <c:v>6163</c:v>
                </c:pt>
                <c:pt idx="20">
                  <c:v>5919</c:v>
                </c:pt>
                <c:pt idx="21">
                  <c:v>6286</c:v>
                </c:pt>
                <c:pt idx="22">
                  <c:v>6461</c:v>
                </c:pt>
                <c:pt idx="23">
                  <c:v>6772</c:v>
                </c:pt>
                <c:pt idx="24">
                  <c:v>6625</c:v>
                </c:pt>
                <c:pt idx="25">
                  <c:v>6992</c:v>
                </c:pt>
              </c:numCache>
            </c:numRef>
          </c:val>
          <c:smooth val="0"/>
          <c:extLst>
            <c:ext xmlns:c16="http://schemas.microsoft.com/office/drawing/2014/chart" uri="{C3380CC4-5D6E-409C-BE32-E72D297353CC}">
              <c16:uniqueId val="{00000002-6134-4650-AB2F-9B5DD6BA33E3}"/>
            </c:ext>
          </c:extLst>
        </c:ser>
        <c:ser>
          <c:idx val="3"/>
          <c:order val="3"/>
          <c:tx>
            <c:strRef>
              <c:f>asthma!$Z$1:$Z$2</c:f>
              <c:strCache>
                <c:ptCount val="1"/>
                <c:pt idx="0">
                  <c:v>OMALIZUMAB</c:v>
                </c:pt>
              </c:strCache>
            </c:strRef>
          </c:tx>
          <c:spPr>
            <a:ln w="28575" cap="rnd">
              <a:solidFill>
                <a:schemeClr val="accent4"/>
              </a:solidFill>
              <a:round/>
            </a:ln>
            <a:effectLst/>
          </c:spPr>
          <c:marker>
            <c:symbol val="none"/>
          </c:marker>
          <c:cat>
            <c:strRef>
              <c:f>asthma!$V$3:$V$29</c:f>
              <c:strCache>
                <c:ptCount val="26"/>
                <c:pt idx="0">
                  <c:v>2017Q1</c:v>
                </c:pt>
                <c:pt idx="1">
                  <c:v>2017Q2</c:v>
                </c:pt>
                <c:pt idx="2">
                  <c:v>2017Q3</c:v>
                </c:pt>
                <c:pt idx="3">
                  <c:v>2017Q4</c:v>
                </c:pt>
                <c:pt idx="4">
                  <c:v>2018Q1</c:v>
                </c:pt>
                <c:pt idx="5">
                  <c:v>2018Q2</c:v>
                </c:pt>
                <c:pt idx="6">
                  <c:v>2018Q3</c:v>
                </c:pt>
                <c:pt idx="7">
                  <c:v>2018Q4</c:v>
                </c:pt>
                <c:pt idx="8">
                  <c:v>2019Q1</c:v>
                </c:pt>
                <c:pt idx="9">
                  <c:v>2019Q2</c:v>
                </c:pt>
                <c:pt idx="10">
                  <c:v>2019Q3</c:v>
                </c:pt>
                <c:pt idx="11">
                  <c:v>2019Q4</c:v>
                </c:pt>
                <c:pt idx="12">
                  <c:v>2020Q1</c:v>
                </c:pt>
                <c:pt idx="13">
                  <c:v>2020Q2</c:v>
                </c:pt>
                <c:pt idx="14">
                  <c:v>2020Q3</c:v>
                </c:pt>
                <c:pt idx="15">
                  <c:v>2020Q4</c:v>
                </c:pt>
                <c:pt idx="16">
                  <c:v>2021Q1</c:v>
                </c:pt>
                <c:pt idx="17">
                  <c:v>2021Q2</c:v>
                </c:pt>
                <c:pt idx="18">
                  <c:v>2021Q3</c:v>
                </c:pt>
                <c:pt idx="19">
                  <c:v>2021Q4</c:v>
                </c:pt>
                <c:pt idx="20">
                  <c:v>2022Q1</c:v>
                </c:pt>
                <c:pt idx="21">
                  <c:v>2022Q2</c:v>
                </c:pt>
                <c:pt idx="22">
                  <c:v>2022Q3</c:v>
                </c:pt>
                <c:pt idx="23">
                  <c:v>2022Q4</c:v>
                </c:pt>
                <c:pt idx="24">
                  <c:v>2023Q1</c:v>
                </c:pt>
                <c:pt idx="25">
                  <c:v>2023Q2</c:v>
                </c:pt>
              </c:strCache>
            </c:strRef>
          </c:cat>
          <c:val>
            <c:numRef>
              <c:f>asthma!$Z$3:$Z$29</c:f>
              <c:numCache>
                <c:formatCode>General</c:formatCode>
                <c:ptCount val="26"/>
                <c:pt idx="0">
                  <c:v>623</c:v>
                </c:pt>
                <c:pt idx="1">
                  <c:v>2058</c:v>
                </c:pt>
                <c:pt idx="2">
                  <c:v>2803</c:v>
                </c:pt>
                <c:pt idx="3">
                  <c:v>3234</c:v>
                </c:pt>
                <c:pt idx="4">
                  <c:v>3251</c:v>
                </c:pt>
                <c:pt idx="5">
                  <c:v>3701</c:v>
                </c:pt>
                <c:pt idx="6">
                  <c:v>3755</c:v>
                </c:pt>
                <c:pt idx="7">
                  <c:v>4052</c:v>
                </c:pt>
                <c:pt idx="8">
                  <c:v>3997</c:v>
                </c:pt>
                <c:pt idx="9">
                  <c:v>4460</c:v>
                </c:pt>
                <c:pt idx="10">
                  <c:v>4826</c:v>
                </c:pt>
                <c:pt idx="11">
                  <c:v>5170</c:v>
                </c:pt>
                <c:pt idx="12">
                  <c:v>5316</c:v>
                </c:pt>
                <c:pt idx="13">
                  <c:v>5436</c:v>
                </c:pt>
                <c:pt idx="14">
                  <c:v>6051</c:v>
                </c:pt>
                <c:pt idx="15">
                  <c:v>6542</c:v>
                </c:pt>
                <c:pt idx="16">
                  <c:v>6086</c:v>
                </c:pt>
                <c:pt idx="17">
                  <c:v>6197</c:v>
                </c:pt>
                <c:pt idx="18">
                  <c:v>6127</c:v>
                </c:pt>
                <c:pt idx="19">
                  <c:v>6405</c:v>
                </c:pt>
                <c:pt idx="20">
                  <c:v>5533</c:v>
                </c:pt>
                <c:pt idx="21">
                  <c:v>5674</c:v>
                </c:pt>
                <c:pt idx="22">
                  <c:v>5528</c:v>
                </c:pt>
                <c:pt idx="23">
                  <c:v>5845</c:v>
                </c:pt>
                <c:pt idx="24">
                  <c:v>5287</c:v>
                </c:pt>
                <c:pt idx="25">
                  <c:v>5472</c:v>
                </c:pt>
              </c:numCache>
            </c:numRef>
          </c:val>
          <c:smooth val="0"/>
          <c:extLst>
            <c:ext xmlns:c16="http://schemas.microsoft.com/office/drawing/2014/chart" uri="{C3380CC4-5D6E-409C-BE32-E72D297353CC}">
              <c16:uniqueId val="{00000003-6134-4650-AB2F-9B5DD6BA33E3}"/>
            </c:ext>
          </c:extLst>
        </c:ser>
        <c:ser>
          <c:idx val="4"/>
          <c:order val="4"/>
          <c:tx>
            <c:strRef>
              <c:f>asthma!$AA$1:$AA$2</c:f>
              <c:strCache>
                <c:ptCount val="1"/>
                <c:pt idx="0">
                  <c:v>TOTAL</c:v>
                </c:pt>
              </c:strCache>
            </c:strRef>
          </c:tx>
          <c:spPr>
            <a:ln w="28575" cap="rnd">
              <a:solidFill>
                <a:schemeClr val="accent5"/>
              </a:solidFill>
              <a:round/>
            </a:ln>
            <a:effectLst/>
          </c:spPr>
          <c:marker>
            <c:symbol val="none"/>
          </c:marker>
          <c:cat>
            <c:strRef>
              <c:f>asthma!$V$3:$V$29</c:f>
              <c:strCache>
                <c:ptCount val="26"/>
                <c:pt idx="0">
                  <c:v>2017Q1</c:v>
                </c:pt>
                <c:pt idx="1">
                  <c:v>2017Q2</c:v>
                </c:pt>
                <c:pt idx="2">
                  <c:v>2017Q3</c:v>
                </c:pt>
                <c:pt idx="3">
                  <c:v>2017Q4</c:v>
                </c:pt>
                <c:pt idx="4">
                  <c:v>2018Q1</c:v>
                </c:pt>
                <c:pt idx="5">
                  <c:v>2018Q2</c:v>
                </c:pt>
                <c:pt idx="6">
                  <c:v>2018Q3</c:v>
                </c:pt>
                <c:pt idx="7">
                  <c:v>2018Q4</c:v>
                </c:pt>
                <c:pt idx="8">
                  <c:v>2019Q1</c:v>
                </c:pt>
                <c:pt idx="9">
                  <c:v>2019Q2</c:v>
                </c:pt>
                <c:pt idx="10">
                  <c:v>2019Q3</c:v>
                </c:pt>
                <c:pt idx="11">
                  <c:v>2019Q4</c:v>
                </c:pt>
                <c:pt idx="12">
                  <c:v>2020Q1</c:v>
                </c:pt>
                <c:pt idx="13">
                  <c:v>2020Q2</c:v>
                </c:pt>
                <c:pt idx="14">
                  <c:v>2020Q3</c:v>
                </c:pt>
                <c:pt idx="15">
                  <c:v>2020Q4</c:v>
                </c:pt>
                <c:pt idx="16">
                  <c:v>2021Q1</c:v>
                </c:pt>
                <c:pt idx="17">
                  <c:v>2021Q2</c:v>
                </c:pt>
                <c:pt idx="18">
                  <c:v>2021Q3</c:v>
                </c:pt>
                <c:pt idx="19">
                  <c:v>2021Q4</c:v>
                </c:pt>
                <c:pt idx="20">
                  <c:v>2022Q1</c:v>
                </c:pt>
                <c:pt idx="21">
                  <c:v>2022Q2</c:v>
                </c:pt>
                <c:pt idx="22">
                  <c:v>2022Q3</c:v>
                </c:pt>
                <c:pt idx="23">
                  <c:v>2022Q4</c:v>
                </c:pt>
                <c:pt idx="24">
                  <c:v>2023Q1</c:v>
                </c:pt>
                <c:pt idx="25">
                  <c:v>2023Q2</c:v>
                </c:pt>
              </c:strCache>
            </c:strRef>
          </c:cat>
          <c:val>
            <c:numRef>
              <c:f>asthma!$AA$3:$AA$29</c:f>
              <c:numCache>
                <c:formatCode>General</c:formatCode>
                <c:ptCount val="26"/>
                <c:pt idx="0">
                  <c:v>866</c:v>
                </c:pt>
                <c:pt idx="1">
                  <c:v>2817</c:v>
                </c:pt>
                <c:pt idx="2">
                  <c:v>3924</c:v>
                </c:pt>
                <c:pt idx="3">
                  <c:v>4814</c:v>
                </c:pt>
                <c:pt idx="4">
                  <c:v>5082</c:v>
                </c:pt>
                <c:pt idx="5">
                  <c:v>6002</c:v>
                </c:pt>
                <c:pt idx="6">
                  <c:v>6174</c:v>
                </c:pt>
                <c:pt idx="7">
                  <c:v>6933</c:v>
                </c:pt>
                <c:pt idx="8">
                  <c:v>7735</c:v>
                </c:pt>
                <c:pt idx="9">
                  <c:v>8981</c:v>
                </c:pt>
                <c:pt idx="10">
                  <c:v>9938</c:v>
                </c:pt>
                <c:pt idx="11">
                  <c:v>10924</c:v>
                </c:pt>
                <c:pt idx="12">
                  <c:v>11658</c:v>
                </c:pt>
                <c:pt idx="13">
                  <c:v>12137</c:v>
                </c:pt>
                <c:pt idx="14">
                  <c:v>13804</c:v>
                </c:pt>
                <c:pt idx="15">
                  <c:v>15113</c:v>
                </c:pt>
                <c:pt idx="16">
                  <c:v>14533</c:v>
                </c:pt>
                <c:pt idx="17">
                  <c:v>15787</c:v>
                </c:pt>
                <c:pt idx="18">
                  <c:v>17325</c:v>
                </c:pt>
                <c:pt idx="19">
                  <c:v>19138</c:v>
                </c:pt>
                <c:pt idx="20">
                  <c:v>18344</c:v>
                </c:pt>
                <c:pt idx="21">
                  <c:v>19721</c:v>
                </c:pt>
                <c:pt idx="22">
                  <c:v>20697</c:v>
                </c:pt>
                <c:pt idx="23">
                  <c:v>22564</c:v>
                </c:pt>
                <c:pt idx="24">
                  <c:v>21828</c:v>
                </c:pt>
                <c:pt idx="25">
                  <c:v>23292</c:v>
                </c:pt>
              </c:numCache>
            </c:numRef>
          </c:val>
          <c:smooth val="0"/>
          <c:extLst>
            <c:ext xmlns:c16="http://schemas.microsoft.com/office/drawing/2014/chart" uri="{C3380CC4-5D6E-409C-BE32-E72D297353CC}">
              <c16:uniqueId val="{00000004-6134-4650-AB2F-9B5DD6BA33E3}"/>
            </c:ext>
          </c:extLst>
        </c:ser>
        <c:dLbls>
          <c:showLegendKey val="0"/>
          <c:showVal val="0"/>
          <c:showCatName val="0"/>
          <c:showSerName val="0"/>
          <c:showPercent val="0"/>
          <c:showBubbleSize val="0"/>
        </c:dLbls>
        <c:smooth val="0"/>
        <c:axId val="829034024"/>
        <c:axId val="885265056"/>
      </c:lineChart>
      <c:catAx>
        <c:axId val="8290340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 of 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5265056"/>
        <c:crosses val="autoZero"/>
        <c:auto val="1"/>
        <c:lblAlgn val="ctr"/>
        <c:lblOffset val="100"/>
        <c:noMultiLvlLbl val="0"/>
      </c:catAx>
      <c:valAx>
        <c:axId val="885265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Prescriptions by item code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9034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[D1503 Dupilumab.xlsx]dup and upa!PivotTable1</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'dup and upa'!$U$1:$U$2</c:f>
              <c:strCache>
                <c:ptCount val="1"/>
                <c:pt idx="0">
                  <c:v>DUPILUMAB</c:v>
                </c:pt>
              </c:strCache>
            </c:strRef>
          </c:tx>
          <c:spPr>
            <a:ln w="28575" cap="rnd">
              <a:solidFill>
                <a:schemeClr val="accent1"/>
              </a:solidFill>
              <a:round/>
            </a:ln>
            <a:effectLst/>
          </c:spPr>
          <c:marker>
            <c:symbol val="none"/>
          </c:marker>
          <c:cat>
            <c:strRef>
              <c:f>'dup and upa'!$T$3:$T$13</c:f>
              <c:strCache>
                <c:ptCount val="10"/>
                <c:pt idx="0">
                  <c:v>2021Q1</c:v>
                </c:pt>
                <c:pt idx="1">
                  <c:v>2021Q2</c:v>
                </c:pt>
                <c:pt idx="2">
                  <c:v>2021Q3</c:v>
                </c:pt>
                <c:pt idx="3">
                  <c:v>2021Q4</c:v>
                </c:pt>
                <c:pt idx="4">
                  <c:v>2022Q1</c:v>
                </c:pt>
                <c:pt idx="5">
                  <c:v>2022Q2</c:v>
                </c:pt>
                <c:pt idx="6">
                  <c:v>2022Q3</c:v>
                </c:pt>
                <c:pt idx="7">
                  <c:v>2022Q4</c:v>
                </c:pt>
                <c:pt idx="8">
                  <c:v>2023Q1</c:v>
                </c:pt>
                <c:pt idx="9">
                  <c:v>2023Q2</c:v>
                </c:pt>
              </c:strCache>
            </c:strRef>
          </c:cat>
          <c:val>
            <c:numRef>
              <c:f>'dup and upa'!$U$3:$U$13</c:f>
              <c:numCache>
                <c:formatCode>General</c:formatCode>
                <c:ptCount val="10"/>
                <c:pt idx="0">
                  <c:v>1778</c:v>
                </c:pt>
                <c:pt idx="1">
                  <c:v>10768</c:v>
                </c:pt>
                <c:pt idx="2">
                  <c:v>15777</c:v>
                </c:pt>
                <c:pt idx="3">
                  <c:v>19679</c:v>
                </c:pt>
                <c:pt idx="4">
                  <c:v>20944</c:v>
                </c:pt>
                <c:pt idx="5">
                  <c:v>24325</c:v>
                </c:pt>
                <c:pt idx="6">
                  <c:v>27897</c:v>
                </c:pt>
                <c:pt idx="7">
                  <c:v>31801</c:v>
                </c:pt>
                <c:pt idx="8">
                  <c:v>32917</c:v>
                </c:pt>
                <c:pt idx="9">
                  <c:v>36912</c:v>
                </c:pt>
              </c:numCache>
            </c:numRef>
          </c:val>
          <c:smooth val="0"/>
          <c:extLst>
            <c:ext xmlns:c16="http://schemas.microsoft.com/office/drawing/2014/chart" uri="{C3380CC4-5D6E-409C-BE32-E72D297353CC}">
              <c16:uniqueId val="{00000000-778B-43FA-9457-E59E61B30AB7}"/>
            </c:ext>
          </c:extLst>
        </c:ser>
        <c:ser>
          <c:idx val="1"/>
          <c:order val="1"/>
          <c:tx>
            <c:strRef>
              <c:f>'dup and upa'!$V$1:$V$2</c:f>
              <c:strCache>
                <c:ptCount val="1"/>
                <c:pt idx="0">
                  <c:v>UPADACITINIB</c:v>
                </c:pt>
              </c:strCache>
            </c:strRef>
          </c:tx>
          <c:spPr>
            <a:ln w="28575" cap="rnd">
              <a:solidFill>
                <a:schemeClr val="accent2"/>
              </a:solidFill>
              <a:round/>
            </a:ln>
            <a:effectLst/>
          </c:spPr>
          <c:marker>
            <c:symbol val="none"/>
          </c:marker>
          <c:cat>
            <c:strRef>
              <c:f>'dup and upa'!$T$3:$T$13</c:f>
              <c:strCache>
                <c:ptCount val="10"/>
                <c:pt idx="0">
                  <c:v>2021Q1</c:v>
                </c:pt>
                <c:pt idx="1">
                  <c:v>2021Q2</c:v>
                </c:pt>
                <c:pt idx="2">
                  <c:v>2021Q3</c:v>
                </c:pt>
                <c:pt idx="3">
                  <c:v>2021Q4</c:v>
                </c:pt>
                <c:pt idx="4">
                  <c:v>2022Q1</c:v>
                </c:pt>
                <c:pt idx="5">
                  <c:v>2022Q2</c:v>
                </c:pt>
                <c:pt idx="6">
                  <c:v>2022Q3</c:v>
                </c:pt>
                <c:pt idx="7">
                  <c:v>2022Q4</c:v>
                </c:pt>
                <c:pt idx="8">
                  <c:v>2023Q1</c:v>
                </c:pt>
                <c:pt idx="9">
                  <c:v>2023Q2</c:v>
                </c:pt>
              </c:strCache>
            </c:strRef>
          </c:cat>
          <c:val>
            <c:numRef>
              <c:f>'dup and upa'!$V$3:$V$13</c:f>
              <c:numCache>
                <c:formatCode>General</c:formatCode>
                <c:ptCount val="10"/>
                <c:pt idx="4">
                  <c:v>784</c:v>
                </c:pt>
                <c:pt idx="5">
                  <c:v>3228</c:v>
                </c:pt>
                <c:pt idx="6">
                  <c:v>5008</c:v>
                </c:pt>
                <c:pt idx="7">
                  <c:v>6309</c:v>
                </c:pt>
                <c:pt idx="8">
                  <c:v>6307</c:v>
                </c:pt>
                <c:pt idx="9">
                  <c:v>6854</c:v>
                </c:pt>
              </c:numCache>
            </c:numRef>
          </c:val>
          <c:smooth val="0"/>
          <c:extLst>
            <c:ext xmlns:c16="http://schemas.microsoft.com/office/drawing/2014/chart" uri="{C3380CC4-5D6E-409C-BE32-E72D297353CC}">
              <c16:uniqueId val="{00000001-778B-43FA-9457-E59E61B30AB7}"/>
            </c:ext>
          </c:extLst>
        </c:ser>
        <c:ser>
          <c:idx val="2"/>
          <c:order val="2"/>
          <c:tx>
            <c:strRef>
              <c:f>'dup and upa'!$W$1:$W$2</c:f>
              <c:strCache>
                <c:ptCount val="1"/>
                <c:pt idx="0">
                  <c:v>TOTAL</c:v>
                </c:pt>
              </c:strCache>
            </c:strRef>
          </c:tx>
          <c:spPr>
            <a:ln w="28575" cap="rnd">
              <a:solidFill>
                <a:schemeClr val="accent3"/>
              </a:solidFill>
              <a:round/>
            </a:ln>
            <a:effectLst/>
          </c:spPr>
          <c:marker>
            <c:symbol val="none"/>
          </c:marker>
          <c:cat>
            <c:strRef>
              <c:f>'dup and upa'!$T$3:$T$13</c:f>
              <c:strCache>
                <c:ptCount val="10"/>
                <c:pt idx="0">
                  <c:v>2021Q1</c:v>
                </c:pt>
                <c:pt idx="1">
                  <c:v>2021Q2</c:v>
                </c:pt>
                <c:pt idx="2">
                  <c:v>2021Q3</c:v>
                </c:pt>
                <c:pt idx="3">
                  <c:v>2021Q4</c:v>
                </c:pt>
                <c:pt idx="4">
                  <c:v>2022Q1</c:v>
                </c:pt>
                <c:pt idx="5">
                  <c:v>2022Q2</c:v>
                </c:pt>
                <c:pt idx="6">
                  <c:v>2022Q3</c:v>
                </c:pt>
                <c:pt idx="7">
                  <c:v>2022Q4</c:v>
                </c:pt>
                <c:pt idx="8">
                  <c:v>2023Q1</c:v>
                </c:pt>
                <c:pt idx="9">
                  <c:v>2023Q2</c:v>
                </c:pt>
              </c:strCache>
            </c:strRef>
          </c:cat>
          <c:val>
            <c:numRef>
              <c:f>'dup and upa'!$W$3:$W$13</c:f>
              <c:numCache>
                <c:formatCode>General</c:formatCode>
                <c:ptCount val="10"/>
                <c:pt idx="0">
                  <c:v>1778</c:v>
                </c:pt>
                <c:pt idx="1">
                  <c:v>10768</c:v>
                </c:pt>
                <c:pt idx="2">
                  <c:v>15777</c:v>
                </c:pt>
                <c:pt idx="3">
                  <c:v>19679</c:v>
                </c:pt>
                <c:pt idx="4">
                  <c:v>21728</c:v>
                </c:pt>
                <c:pt idx="5">
                  <c:v>27553</c:v>
                </c:pt>
                <c:pt idx="6">
                  <c:v>32905</c:v>
                </c:pt>
                <c:pt idx="7">
                  <c:v>38110</c:v>
                </c:pt>
                <c:pt idx="8">
                  <c:v>39224</c:v>
                </c:pt>
                <c:pt idx="9">
                  <c:v>43766</c:v>
                </c:pt>
              </c:numCache>
            </c:numRef>
          </c:val>
          <c:smooth val="0"/>
          <c:extLst>
            <c:ext xmlns:c16="http://schemas.microsoft.com/office/drawing/2014/chart" uri="{C3380CC4-5D6E-409C-BE32-E72D297353CC}">
              <c16:uniqueId val="{00000002-778B-43FA-9457-E59E61B30AB7}"/>
            </c:ext>
          </c:extLst>
        </c:ser>
        <c:dLbls>
          <c:showLegendKey val="0"/>
          <c:showVal val="0"/>
          <c:showCatName val="0"/>
          <c:showSerName val="0"/>
          <c:showPercent val="0"/>
          <c:showBubbleSize val="0"/>
        </c:dLbls>
        <c:smooth val="0"/>
        <c:axId val="958970240"/>
        <c:axId val="958968272"/>
      </c:lineChart>
      <c:catAx>
        <c:axId val="9589702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 of 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8968272"/>
        <c:crosses val="autoZero"/>
        <c:auto val="1"/>
        <c:lblAlgn val="ctr"/>
        <c:lblOffset val="100"/>
        <c:noMultiLvlLbl val="0"/>
      </c:catAx>
      <c:valAx>
        <c:axId val="9589682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8970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[D1503 Dupilumab.xlsx]dup and upa!PivotTable2</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'dup and upa'!$U$31:$U$33</c:f>
              <c:strCache>
                <c:ptCount val="1"/>
                <c:pt idx="0">
                  <c:v>DUPILUMAB - Treated patients</c:v>
                </c:pt>
              </c:strCache>
            </c:strRef>
          </c:tx>
          <c:spPr>
            <a:ln w="28575" cap="rnd">
              <a:solidFill>
                <a:schemeClr val="accent1"/>
              </a:solidFill>
              <a:round/>
            </a:ln>
            <a:effectLst/>
          </c:spPr>
          <c:marker>
            <c:symbol val="none"/>
          </c:marker>
          <c:cat>
            <c:strRef>
              <c:f>'dup and upa'!$T$34:$T$44</c:f>
              <c:strCache>
                <c:ptCount val="10"/>
                <c:pt idx="0">
                  <c:v>2021Q1</c:v>
                </c:pt>
                <c:pt idx="1">
                  <c:v>2021Q2</c:v>
                </c:pt>
                <c:pt idx="2">
                  <c:v>2021Q3</c:v>
                </c:pt>
                <c:pt idx="3">
                  <c:v>2021Q4</c:v>
                </c:pt>
                <c:pt idx="4">
                  <c:v>2022Q1</c:v>
                </c:pt>
                <c:pt idx="5">
                  <c:v>2022Q2</c:v>
                </c:pt>
                <c:pt idx="6">
                  <c:v>2022Q3</c:v>
                </c:pt>
                <c:pt idx="7">
                  <c:v>2022Q4</c:v>
                </c:pt>
                <c:pt idx="8">
                  <c:v>2023Q1</c:v>
                </c:pt>
                <c:pt idx="9">
                  <c:v>2023Q2</c:v>
                </c:pt>
              </c:strCache>
            </c:strRef>
          </c:cat>
          <c:val>
            <c:numRef>
              <c:f>'dup and upa'!$U$34:$U$44</c:f>
              <c:numCache>
                <c:formatCode>General</c:formatCode>
                <c:ptCount val="10"/>
                <c:pt idx="0">
                  <c:v>1156</c:v>
                </c:pt>
                <c:pt idx="1">
                  <c:v>3801</c:v>
                </c:pt>
                <c:pt idx="2">
                  <c:v>5438</c:v>
                </c:pt>
                <c:pt idx="3">
                  <c:v>6683</c:v>
                </c:pt>
                <c:pt idx="4">
                  <c:v>7648</c:v>
                </c:pt>
                <c:pt idx="5">
                  <c:v>8709</c:v>
                </c:pt>
                <c:pt idx="6">
                  <c:v>9902</c:v>
                </c:pt>
                <c:pt idx="7">
                  <c:v>11114</c:v>
                </c:pt>
                <c:pt idx="8">
                  <c:v>12026</c:v>
                </c:pt>
                <c:pt idx="9">
                  <c:v>13302</c:v>
                </c:pt>
              </c:numCache>
            </c:numRef>
          </c:val>
          <c:smooth val="0"/>
          <c:extLst>
            <c:ext xmlns:c16="http://schemas.microsoft.com/office/drawing/2014/chart" uri="{C3380CC4-5D6E-409C-BE32-E72D297353CC}">
              <c16:uniqueId val="{00000000-5A6F-4620-9F8B-A7217E48E734}"/>
            </c:ext>
          </c:extLst>
        </c:ser>
        <c:ser>
          <c:idx val="1"/>
          <c:order val="1"/>
          <c:tx>
            <c:strRef>
              <c:f>'dup and upa'!$V$31:$V$33</c:f>
              <c:strCache>
                <c:ptCount val="1"/>
                <c:pt idx="0">
                  <c:v>DUPILUMAB - Initiating patients</c:v>
                </c:pt>
              </c:strCache>
            </c:strRef>
          </c:tx>
          <c:spPr>
            <a:ln w="28575" cap="rnd">
              <a:solidFill>
                <a:schemeClr val="accent2"/>
              </a:solidFill>
              <a:round/>
            </a:ln>
            <a:effectLst/>
          </c:spPr>
          <c:marker>
            <c:symbol val="none"/>
          </c:marker>
          <c:cat>
            <c:strRef>
              <c:f>'dup and upa'!$T$34:$T$44</c:f>
              <c:strCache>
                <c:ptCount val="10"/>
                <c:pt idx="0">
                  <c:v>2021Q1</c:v>
                </c:pt>
                <c:pt idx="1">
                  <c:v>2021Q2</c:v>
                </c:pt>
                <c:pt idx="2">
                  <c:v>2021Q3</c:v>
                </c:pt>
                <c:pt idx="3">
                  <c:v>2021Q4</c:v>
                </c:pt>
                <c:pt idx="4">
                  <c:v>2022Q1</c:v>
                </c:pt>
                <c:pt idx="5">
                  <c:v>2022Q2</c:v>
                </c:pt>
                <c:pt idx="6">
                  <c:v>2022Q3</c:v>
                </c:pt>
                <c:pt idx="7">
                  <c:v>2022Q4</c:v>
                </c:pt>
                <c:pt idx="8">
                  <c:v>2023Q1</c:v>
                </c:pt>
                <c:pt idx="9">
                  <c:v>2023Q2</c:v>
                </c:pt>
              </c:strCache>
            </c:strRef>
          </c:cat>
          <c:val>
            <c:numRef>
              <c:f>'dup and upa'!$V$34:$V$44</c:f>
              <c:numCache>
                <c:formatCode>General</c:formatCode>
                <c:ptCount val="10"/>
                <c:pt idx="0">
                  <c:v>1156</c:v>
                </c:pt>
                <c:pt idx="1">
                  <c:v>2671</c:v>
                </c:pt>
                <c:pt idx="2">
                  <c:v>1813</c:v>
                </c:pt>
                <c:pt idx="3">
                  <c:v>1562</c:v>
                </c:pt>
                <c:pt idx="4">
                  <c:v>1386</c:v>
                </c:pt>
                <c:pt idx="5">
                  <c:v>1554</c:v>
                </c:pt>
                <c:pt idx="6">
                  <c:v>1706</c:v>
                </c:pt>
                <c:pt idx="7">
                  <c:v>1706</c:v>
                </c:pt>
                <c:pt idx="8">
                  <c:v>1519</c:v>
                </c:pt>
                <c:pt idx="9">
                  <c:v>1769</c:v>
                </c:pt>
              </c:numCache>
            </c:numRef>
          </c:val>
          <c:smooth val="0"/>
          <c:extLst>
            <c:ext xmlns:c16="http://schemas.microsoft.com/office/drawing/2014/chart" uri="{C3380CC4-5D6E-409C-BE32-E72D297353CC}">
              <c16:uniqueId val="{00000001-5A6F-4620-9F8B-A7217E48E734}"/>
            </c:ext>
          </c:extLst>
        </c:ser>
        <c:ser>
          <c:idx val="2"/>
          <c:order val="2"/>
          <c:tx>
            <c:strRef>
              <c:f>'dup and upa'!$W$31:$W$33</c:f>
              <c:strCache>
                <c:ptCount val="1"/>
                <c:pt idx="0">
                  <c:v>UPADACITINIB - Treated patients</c:v>
                </c:pt>
              </c:strCache>
            </c:strRef>
          </c:tx>
          <c:spPr>
            <a:ln w="28575" cap="rnd">
              <a:solidFill>
                <a:schemeClr val="accent3"/>
              </a:solidFill>
              <a:round/>
            </a:ln>
            <a:effectLst/>
          </c:spPr>
          <c:marker>
            <c:symbol val="none"/>
          </c:marker>
          <c:cat>
            <c:strRef>
              <c:f>'dup and upa'!$T$34:$T$44</c:f>
              <c:strCache>
                <c:ptCount val="10"/>
                <c:pt idx="0">
                  <c:v>2021Q1</c:v>
                </c:pt>
                <c:pt idx="1">
                  <c:v>2021Q2</c:v>
                </c:pt>
                <c:pt idx="2">
                  <c:v>2021Q3</c:v>
                </c:pt>
                <c:pt idx="3">
                  <c:v>2021Q4</c:v>
                </c:pt>
                <c:pt idx="4">
                  <c:v>2022Q1</c:v>
                </c:pt>
                <c:pt idx="5">
                  <c:v>2022Q2</c:v>
                </c:pt>
                <c:pt idx="6">
                  <c:v>2022Q3</c:v>
                </c:pt>
                <c:pt idx="7">
                  <c:v>2022Q4</c:v>
                </c:pt>
                <c:pt idx="8">
                  <c:v>2023Q1</c:v>
                </c:pt>
                <c:pt idx="9">
                  <c:v>2023Q2</c:v>
                </c:pt>
              </c:strCache>
            </c:strRef>
          </c:cat>
          <c:val>
            <c:numRef>
              <c:f>'dup and upa'!$W$34:$W$44</c:f>
              <c:numCache>
                <c:formatCode>General</c:formatCode>
                <c:ptCount val="10"/>
                <c:pt idx="4">
                  <c:v>541</c:v>
                </c:pt>
                <c:pt idx="5">
                  <c:v>1401</c:v>
                </c:pt>
                <c:pt idx="6">
                  <c:v>2078</c:v>
                </c:pt>
                <c:pt idx="7">
                  <c:v>2516</c:v>
                </c:pt>
                <c:pt idx="8">
                  <c:v>2635</c:v>
                </c:pt>
                <c:pt idx="9">
                  <c:v>2739</c:v>
                </c:pt>
              </c:numCache>
            </c:numRef>
          </c:val>
          <c:smooth val="0"/>
          <c:extLst>
            <c:ext xmlns:c16="http://schemas.microsoft.com/office/drawing/2014/chart" uri="{C3380CC4-5D6E-409C-BE32-E72D297353CC}">
              <c16:uniqueId val="{00000002-5A6F-4620-9F8B-A7217E48E734}"/>
            </c:ext>
          </c:extLst>
        </c:ser>
        <c:ser>
          <c:idx val="3"/>
          <c:order val="3"/>
          <c:tx>
            <c:strRef>
              <c:f>'dup and upa'!$X$31:$X$33</c:f>
              <c:strCache>
                <c:ptCount val="1"/>
                <c:pt idx="0">
                  <c:v>UPADACITINIB - Initiating patients</c:v>
                </c:pt>
              </c:strCache>
            </c:strRef>
          </c:tx>
          <c:spPr>
            <a:ln w="28575" cap="rnd">
              <a:solidFill>
                <a:schemeClr val="accent4"/>
              </a:solidFill>
              <a:round/>
            </a:ln>
            <a:effectLst/>
          </c:spPr>
          <c:marker>
            <c:symbol val="none"/>
          </c:marker>
          <c:cat>
            <c:strRef>
              <c:f>'dup and upa'!$T$34:$T$44</c:f>
              <c:strCache>
                <c:ptCount val="10"/>
                <c:pt idx="0">
                  <c:v>2021Q1</c:v>
                </c:pt>
                <c:pt idx="1">
                  <c:v>2021Q2</c:v>
                </c:pt>
                <c:pt idx="2">
                  <c:v>2021Q3</c:v>
                </c:pt>
                <c:pt idx="3">
                  <c:v>2021Q4</c:v>
                </c:pt>
                <c:pt idx="4">
                  <c:v>2022Q1</c:v>
                </c:pt>
                <c:pt idx="5">
                  <c:v>2022Q2</c:v>
                </c:pt>
                <c:pt idx="6">
                  <c:v>2022Q3</c:v>
                </c:pt>
                <c:pt idx="7">
                  <c:v>2022Q4</c:v>
                </c:pt>
                <c:pt idx="8">
                  <c:v>2023Q1</c:v>
                </c:pt>
                <c:pt idx="9">
                  <c:v>2023Q2</c:v>
                </c:pt>
              </c:strCache>
            </c:strRef>
          </c:cat>
          <c:val>
            <c:numRef>
              <c:f>'dup and upa'!$X$34:$X$44</c:f>
              <c:numCache>
                <c:formatCode>General</c:formatCode>
                <c:ptCount val="10"/>
                <c:pt idx="4">
                  <c:v>376</c:v>
                </c:pt>
                <c:pt idx="5">
                  <c:v>691</c:v>
                </c:pt>
                <c:pt idx="6">
                  <c:v>772</c:v>
                </c:pt>
                <c:pt idx="7">
                  <c:v>696</c:v>
                </c:pt>
                <c:pt idx="8">
                  <c:v>510</c:v>
                </c:pt>
                <c:pt idx="9">
                  <c:v>447</c:v>
                </c:pt>
              </c:numCache>
            </c:numRef>
          </c:val>
          <c:smooth val="0"/>
          <c:extLst>
            <c:ext xmlns:c16="http://schemas.microsoft.com/office/drawing/2014/chart" uri="{C3380CC4-5D6E-409C-BE32-E72D297353CC}">
              <c16:uniqueId val="{00000003-5A6F-4620-9F8B-A7217E48E734}"/>
            </c:ext>
          </c:extLst>
        </c:ser>
        <c:ser>
          <c:idx val="4"/>
          <c:order val="4"/>
          <c:tx>
            <c:strRef>
              <c:f>'dup and upa'!$Y$31:$Y$33</c:f>
              <c:strCache>
                <c:ptCount val="1"/>
                <c:pt idx="0">
                  <c:v>TOTAL - Treated patients</c:v>
                </c:pt>
              </c:strCache>
            </c:strRef>
          </c:tx>
          <c:spPr>
            <a:ln w="28575" cap="rnd">
              <a:solidFill>
                <a:schemeClr val="accent5"/>
              </a:solidFill>
              <a:round/>
            </a:ln>
            <a:effectLst/>
          </c:spPr>
          <c:marker>
            <c:symbol val="none"/>
          </c:marker>
          <c:cat>
            <c:strRef>
              <c:f>'dup and upa'!$T$34:$T$44</c:f>
              <c:strCache>
                <c:ptCount val="10"/>
                <c:pt idx="0">
                  <c:v>2021Q1</c:v>
                </c:pt>
                <c:pt idx="1">
                  <c:v>2021Q2</c:v>
                </c:pt>
                <c:pt idx="2">
                  <c:v>2021Q3</c:v>
                </c:pt>
                <c:pt idx="3">
                  <c:v>2021Q4</c:v>
                </c:pt>
                <c:pt idx="4">
                  <c:v>2022Q1</c:v>
                </c:pt>
                <c:pt idx="5">
                  <c:v>2022Q2</c:v>
                </c:pt>
                <c:pt idx="6">
                  <c:v>2022Q3</c:v>
                </c:pt>
                <c:pt idx="7">
                  <c:v>2022Q4</c:v>
                </c:pt>
                <c:pt idx="8">
                  <c:v>2023Q1</c:v>
                </c:pt>
                <c:pt idx="9">
                  <c:v>2023Q2</c:v>
                </c:pt>
              </c:strCache>
            </c:strRef>
          </c:cat>
          <c:val>
            <c:numRef>
              <c:f>'dup and upa'!$Y$34:$Y$44</c:f>
              <c:numCache>
                <c:formatCode>General</c:formatCode>
                <c:ptCount val="10"/>
                <c:pt idx="0">
                  <c:v>1156</c:v>
                </c:pt>
                <c:pt idx="1">
                  <c:v>3801</c:v>
                </c:pt>
                <c:pt idx="2">
                  <c:v>5438</c:v>
                </c:pt>
                <c:pt idx="3">
                  <c:v>6683</c:v>
                </c:pt>
                <c:pt idx="4">
                  <c:v>8102</c:v>
                </c:pt>
                <c:pt idx="5">
                  <c:v>10027</c:v>
                </c:pt>
                <c:pt idx="6">
                  <c:v>11905</c:v>
                </c:pt>
                <c:pt idx="7">
                  <c:v>13519</c:v>
                </c:pt>
                <c:pt idx="8">
                  <c:v>14565</c:v>
                </c:pt>
                <c:pt idx="9">
                  <c:v>15937</c:v>
                </c:pt>
              </c:numCache>
            </c:numRef>
          </c:val>
          <c:smooth val="0"/>
          <c:extLst>
            <c:ext xmlns:c16="http://schemas.microsoft.com/office/drawing/2014/chart" uri="{C3380CC4-5D6E-409C-BE32-E72D297353CC}">
              <c16:uniqueId val="{00000004-5A6F-4620-9F8B-A7217E48E734}"/>
            </c:ext>
          </c:extLst>
        </c:ser>
        <c:ser>
          <c:idx val="5"/>
          <c:order val="5"/>
          <c:tx>
            <c:strRef>
              <c:f>'dup and upa'!$Z$31:$Z$33</c:f>
              <c:strCache>
                <c:ptCount val="1"/>
                <c:pt idx="0">
                  <c:v>TOTAL - Initiating patients</c:v>
                </c:pt>
              </c:strCache>
            </c:strRef>
          </c:tx>
          <c:spPr>
            <a:ln w="28575" cap="rnd">
              <a:solidFill>
                <a:schemeClr val="accent6"/>
              </a:solidFill>
              <a:round/>
            </a:ln>
            <a:effectLst/>
          </c:spPr>
          <c:marker>
            <c:symbol val="none"/>
          </c:marker>
          <c:cat>
            <c:strRef>
              <c:f>'dup and upa'!$T$34:$T$44</c:f>
              <c:strCache>
                <c:ptCount val="10"/>
                <c:pt idx="0">
                  <c:v>2021Q1</c:v>
                </c:pt>
                <c:pt idx="1">
                  <c:v>2021Q2</c:v>
                </c:pt>
                <c:pt idx="2">
                  <c:v>2021Q3</c:v>
                </c:pt>
                <c:pt idx="3">
                  <c:v>2021Q4</c:v>
                </c:pt>
                <c:pt idx="4">
                  <c:v>2022Q1</c:v>
                </c:pt>
                <c:pt idx="5">
                  <c:v>2022Q2</c:v>
                </c:pt>
                <c:pt idx="6">
                  <c:v>2022Q3</c:v>
                </c:pt>
                <c:pt idx="7">
                  <c:v>2022Q4</c:v>
                </c:pt>
                <c:pt idx="8">
                  <c:v>2023Q1</c:v>
                </c:pt>
                <c:pt idx="9">
                  <c:v>2023Q2</c:v>
                </c:pt>
              </c:strCache>
            </c:strRef>
          </c:cat>
          <c:val>
            <c:numRef>
              <c:f>'dup and upa'!$Z$34:$Z$44</c:f>
              <c:numCache>
                <c:formatCode>General</c:formatCode>
                <c:ptCount val="10"/>
                <c:pt idx="0">
                  <c:v>1156</c:v>
                </c:pt>
                <c:pt idx="1">
                  <c:v>2671</c:v>
                </c:pt>
                <c:pt idx="2">
                  <c:v>1813</c:v>
                </c:pt>
                <c:pt idx="3">
                  <c:v>1562</c:v>
                </c:pt>
                <c:pt idx="4">
                  <c:v>1762</c:v>
                </c:pt>
                <c:pt idx="5">
                  <c:v>2245</c:v>
                </c:pt>
                <c:pt idx="6">
                  <c:v>2478</c:v>
                </c:pt>
                <c:pt idx="7">
                  <c:v>2402</c:v>
                </c:pt>
                <c:pt idx="8">
                  <c:v>2029</c:v>
                </c:pt>
                <c:pt idx="9">
                  <c:v>2216</c:v>
                </c:pt>
              </c:numCache>
            </c:numRef>
          </c:val>
          <c:smooth val="0"/>
          <c:extLst>
            <c:ext xmlns:c16="http://schemas.microsoft.com/office/drawing/2014/chart" uri="{C3380CC4-5D6E-409C-BE32-E72D297353CC}">
              <c16:uniqueId val="{00000005-5A6F-4620-9F8B-A7217E48E734}"/>
            </c:ext>
          </c:extLst>
        </c:ser>
        <c:dLbls>
          <c:showLegendKey val="0"/>
          <c:showVal val="0"/>
          <c:showCatName val="0"/>
          <c:showSerName val="0"/>
          <c:showPercent val="0"/>
          <c:showBubbleSize val="0"/>
        </c:dLbls>
        <c:smooth val="0"/>
        <c:axId val="1025867016"/>
        <c:axId val="1025869640"/>
      </c:lineChart>
      <c:catAx>
        <c:axId val="10258670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 of 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5869640"/>
        <c:crosses val="autoZero"/>
        <c:auto val="1"/>
        <c:lblAlgn val="ctr"/>
        <c:lblOffset val="100"/>
        <c:noMultiLvlLbl val="0"/>
      </c:catAx>
      <c:valAx>
        <c:axId val="10258696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5867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[D1503 Dupilumab.xlsx]counts qtr derm itm!PivotTable1</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'counts qtr derm itm'!$S$1</c:f>
              <c:strCache>
                <c:ptCount val="1"/>
                <c:pt idx="0">
                  <c:v>Treated patients</c:v>
                </c:pt>
              </c:strCache>
            </c:strRef>
          </c:tx>
          <c:spPr>
            <a:ln w="28575" cap="rnd">
              <a:solidFill>
                <a:schemeClr val="accent1"/>
              </a:solidFill>
              <a:round/>
            </a:ln>
            <a:effectLst/>
          </c:spPr>
          <c:marker>
            <c:symbol val="none"/>
          </c:marker>
          <c:cat>
            <c:strRef>
              <c:f>'counts qtr derm itm'!$R$2:$R$12</c:f>
              <c:strCache>
                <c:ptCount val="10"/>
                <c:pt idx="0">
                  <c:v>2021Q1</c:v>
                </c:pt>
                <c:pt idx="1">
                  <c:v>2021Q2</c:v>
                </c:pt>
                <c:pt idx="2">
                  <c:v>2021Q3</c:v>
                </c:pt>
                <c:pt idx="3">
                  <c:v>2021Q4</c:v>
                </c:pt>
                <c:pt idx="4">
                  <c:v>2022Q1</c:v>
                </c:pt>
                <c:pt idx="5">
                  <c:v>2022Q2</c:v>
                </c:pt>
                <c:pt idx="6">
                  <c:v>2022Q3</c:v>
                </c:pt>
                <c:pt idx="7">
                  <c:v>2022Q4</c:v>
                </c:pt>
                <c:pt idx="8">
                  <c:v>2023Q1</c:v>
                </c:pt>
                <c:pt idx="9">
                  <c:v>2023Q2</c:v>
                </c:pt>
              </c:strCache>
            </c:strRef>
          </c:cat>
          <c:val>
            <c:numRef>
              <c:f>'counts qtr derm itm'!$S$2:$S$12</c:f>
              <c:numCache>
                <c:formatCode>General</c:formatCode>
                <c:ptCount val="10"/>
                <c:pt idx="0">
                  <c:v>1156</c:v>
                </c:pt>
                <c:pt idx="1">
                  <c:v>3801</c:v>
                </c:pt>
                <c:pt idx="2">
                  <c:v>5438</c:v>
                </c:pt>
                <c:pt idx="3">
                  <c:v>6683</c:v>
                </c:pt>
                <c:pt idx="4">
                  <c:v>7648</c:v>
                </c:pt>
                <c:pt idx="5">
                  <c:v>8709</c:v>
                </c:pt>
                <c:pt idx="6">
                  <c:v>9902</c:v>
                </c:pt>
                <c:pt idx="7">
                  <c:v>11114</c:v>
                </c:pt>
                <c:pt idx="8">
                  <c:v>12026</c:v>
                </c:pt>
                <c:pt idx="9">
                  <c:v>13302</c:v>
                </c:pt>
              </c:numCache>
            </c:numRef>
          </c:val>
          <c:smooth val="0"/>
          <c:extLst>
            <c:ext xmlns:c16="http://schemas.microsoft.com/office/drawing/2014/chart" uri="{C3380CC4-5D6E-409C-BE32-E72D297353CC}">
              <c16:uniqueId val="{00000000-9622-4A4B-B4D4-F6D93BEE4141}"/>
            </c:ext>
          </c:extLst>
        </c:ser>
        <c:ser>
          <c:idx val="1"/>
          <c:order val="1"/>
          <c:tx>
            <c:strRef>
              <c:f>'counts qtr derm itm'!$T$1</c:f>
              <c:strCache>
                <c:ptCount val="1"/>
                <c:pt idx="0">
                  <c:v>Initiating patients</c:v>
                </c:pt>
              </c:strCache>
            </c:strRef>
          </c:tx>
          <c:spPr>
            <a:ln w="28575" cap="rnd">
              <a:solidFill>
                <a:schemeClr val="accent2"/>
              </a:solidFill>
              <a:round/>
            </a:ln>
            <a:effectLst/>
          </c:spPr>
          <c:marker>
            <c:symbol val="none"/>
          </c:marker>
          <c:cat>
            <c:strRef>
              <c:f>'counts qtr derm itm'!$R$2:$R$12</c:f>
              <c:strCache>
                <c:ptCount val="10"/>
                <c:pt idx="0">
                  <c:v>2021Q1</c:v>
                </c:pt>
                <c:pt idx="1">
                  <c:v>2021Q2</c:v>
                </c:pt>
                <c:pt idx="2">
                  <c:v>2021Q3</c:v>
                </c:pt>
                <c:pt idx="3">
                  <c:v>2021Q4</c:v>
                </c:pt>
                <c:pt idx="4">
                  <c:v>2022Q1</c:v>
                </c:pt>
                <c:pt idx="5">
                  <c:v>2022Q2</c:v>
                </c:pt>
                <c:pt idx="6">
                  <c:v>2022Q3</c:v>
                </c:pt>
                <c:pt idx="7">
                  <c:v>2022Q4</c:v>
                </c:pt>
                <c:pt idx="8">
                  <c:v>2023Q1</c:v>
                </c:pt>
                <c:pt idx="9">
                  <c:v>2023Q2</c:v>
                </c:pt>
              </c:strCache>
            </c:strRef>
          </c:cat>
          <c:val>
            <c:numRef>
              <c:f>'counts qtr derm itm'!$T$2:$T$12</c:f>
              <c:numCache>
                <c:formatCode>General</c:formatCode>
                <c:ptCount val="10"/>
                <c:pt idx="0">
                  <c:v>1156</c:v>
                </c:pt>
                <c:pt idx="1">
                  <c:v>2671</c:v>
                </c:pt>
                <c:pt idx="2">
                  <c:v>1813</c:v>
                </c:pt>
                <c:pt idx="3">
                  <c:v>1562</c:v>
                </c:pt>
                <c:pt idx="4">
                  <c:v>1386</c:v>
                </c:pt>
                <c:pt idx="5">
                  <c:v>1561</c:v>
                </c:pt>
                <c:pt idx="6">
                  <c:v>1728</c:v>
                </c:pt>
                <c:pt idx="7">
                  <c:v>1740</c:v>
                </c:pt>
                <c:pt idx="8">
                  <c:v>1561</c:v>
                </c:pt>
                <c:pt idx="9">
                  <c:v>1817</c:v>
                </c:pt>
              </c:numCache>
            </c:numRef>
          </c:val>
          <c:smooth val="0"/>
          <c:extLst>
            <c:ext xmlns:c16="http://schemas.microsoft.com/office/drawing/2014/chart" uri="{C3380CC4-5D6E-409C-BE32-E72D297353CC}">
              <c16:uniqueId val="{00000001-9622-4A4B-B4D4-F6D93BEE4141}"/>
            </c:ext>
          </c:extLst>
        </c:ser>
        <c:dLbls>
          <c:showLegendKey val="0"/>
          <c:showVal val="0"/>
          <c:showCatName val="0"/>
          <c:showSerName val="0"/>
          <c:showPercent val="0"/>
          <c:showBubbleSize val="0"/>
        </c:dLbls>
        <c:marker val="1"/>
        <c:smooth val="0"/>
        <c:axId val="925879424"/>
        <c:axId val="925875816"/>
      </c:lineChart>
      <c:lineChart>
        <c:grouping val="standard"/>
        <c:varyColors val="0"/>
        <c:ser>
          <c:idx val="2"/>
          <c:order val="2"/>
          <c:tx>
            <c:strRef>
              <c:f>'counts qtr derm itm'!$U$1</c:f>
              <c:strCache>
                <c:ptCount val="1"/>
                <c:pt idx="0">
                  <c:v>Prescriptions</c:v>
                </c:pt>
              </c:strCache>
            </c:strRef>
          </c:tx>
          <c:spPr>
            <a:ln w="28575" cap="rnd">
              <a:solidFill>
                <a:schemeClr val="accent3"/>
              </a:solidFill>
              <a:round/>
            </a:ln>
            <a:effectLst/>
          </c:spPr>
          <c:marker>
            <c:symbol val="none"/>
          </c:marker>
          <c:cat>
            <c:strRef>
              <c:f>'counts qtr derm itm'!$R$2:$R$12</c:f>
              <c:strCache>
                <c:ptCount val="10"/>
                <c:pt idx="0">
                  <c:v>2021Q1</c:v>
                </c:pt>
                <c:pt idx="1">
                  <c:v>2021Q2</c:v>
                </c:pt>
                <c:pt idx="2">
                  <c:v>2021Q3</c:v>
                </c:pt>
                <c:pt idx="3">
                  <c:v>2021Q4</c:v>
                </c:pt>
                <c:pt idx="4">
                  <c:v>2022Q1</c:v>
                </c:pt>
                <c:pt idx="5">
                  <c:v>2022Q2</c:v>
                </c:pt>
                <c:pt idx="6">
                  <c:v>2022Q3</c:v>
                </c:pt>
                <c:pt idx="7">
                  <c:v>2022Q4</c:v>
                </c:pt>
                <c:pt idx="8">
                  <c:v>2023Q1</c:v>
                </c:pt>
                <c:pt idx="9">
                  <c:v>2023Q2</c:v>
                </c:pt>
              </c:strCache>
            </c:strRef>
          </c:cat>
          <c:val>
            <c:numRef>
              <c:f>'counts qtr derm itm'!$U$2:$U$12</c:f>
              <c:numCache>
                <c:formatCode>General</c:formatCode>
                <c:ptCount val="10"/>
                <c:pt idx="0">
                  <c:v>1778</c:v>
                </c:pt>
                <c:pt idx="1">
                  <c:v>10768</c:v>
                </c:pt>
                <c:pt idx="2">
                  <c:v>15777</c:v>
                </c:pt>
                <c:pt idx="3">
                  <c:v>19679</c:v>
                </c:pt>
                <c:pt idx="4">
                  <c:v>20944</c:v>
                </c:pt>
                <c:pt idx="5">
                  <c:v>24325</c:v>
                </c:pt>
                <c:pt idx="6">
                  <c:v>27897</c:v>
                </c:pt>
                <c:pt idx="7">
                  <c:v>31801</c:v>
                </c:pt>
                <c:pt idx="8">
                  <c:v>32917</c:v>
                </c:pt>
                <c:pt idx="9">
                  <c:v>36912</c:v>
                </c:pt>
              </c:numCache>
            </c:numRef>
          </c:val>
          <c:smooth val="0"/>
          <c:extLst>
            <c:ext xmlns:c16="http://schemas.microsoft.com/office/drawing/2014/chart" uri="{C3380CC4-5D6E-409C-BE32-E72D297353CC}">
              <c16:uniqueId val="{00000002-9622-4A4B-B4D4-F6D93BEE4141}"/>
            </c:ext>
          </c:extLst>
        </c:ser>
        <c:dLbls>
          <c:showLegendKey val="0"/>
          <c:showVal val="0"/>
          <c:showCatName val="0"/>
          <c:showSerName val="0"/>
          <c:showPercent val="0"/>
          <c:showBubbleSize val="0"/>
        </c:dLbls>
        <c:marker val="1"/>
        <c:smooth val="0"/>
        <c:axId val="926980432"/>
        <c:axId val="799711976"/>
      </c:lineChart>
      <c:catAx>
        <c:axId val="9258794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 of 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5875816"/>
        <c:crosses val="autoZero"/>
        <c:auto val="1"/>
        <c:lblAlgn val="ctr"/>
        <c:lblOffset val="100"/>
        <c:noMultiLvlLbl val="0"/>
      </c:catAx>
      <c:valAx>
        <c:axId val="9258758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5879424"/>
        <c:crosses val="autoZero"/>
        <c:crossBetween val="between"/>
      </c:valAx>
      <c:valAx>
        <c:axId val="799711976"/>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6980432"/>
        <c:crosses val="max"/>
        <c:crossBetween val="between"/>
      </c:valAx>
      <c:catAx>
        <c:axId val="926980432"/>
        <c:scaling>
          <c:orientation val="minMax"/>
        </c:scaling>
        <c:delete val="1"/>
        <c:axPos val="b"/>
        <c:numFmt formatCode="General" sourceLinked="1"/>
        <c:majorTickMark val="out"/>
        <c:minorTickMark val="none"/>
        <c:tickLblPos val="nextTo"/>
        <c:crossAx val="79971197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[D1503 Dupilumab.xlsx]face v body!PivotTable2</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'face v body'!$U$1:$U$2</c:f>
              <c:strCache>
                <c:ptCount val="1"/>
                <c:pt idx="0">
                  <c:v>Whole body</c:v>
                </c:pt>
              </c:strCache>
            </c:strRef>
          </c:tx>
          <c:spPr>
            <a:solidFill>
              <a:schemeClr val="accent1"/>
            </a:solidFill>
            <a:ln>
              <a:noFill/>
            </a:ln>
            <a:effectLst/>
          </c:spPr>
          <c:invertIfNegative val="0"/>
          <c:cat>
            <c:strRef>
              <c:f>'face v body'!$T$3:$T$13</c:f>
              <c:strCache>
                <c:ptCount val="10"/>
                <c:pt idx="0">
                  <c:v>2021Q1</c:v>
                </c:pt>
                <c:pt idx="1">
                  <c:v>2021Q2</c:v>
                </c:pt>
                <c:pt idx="2">
                  <c:v>2021Q3</c:v>
                </c:pt>
                <c:pt idx="3">
                  <c:v>2021Q4</c:v>
                </c:pt>
                <c:pt idx="4">
                  <c:v>2022Q1</c:v>
                </c:pt>
                <c:pt idx="5">
                  <c:v>2022Q2</c:v>
                </c:pt>
                <c:pt idx="6">
                  <c:v>2022Q3</c:v>
                </c:pt>
                <c:pt idx="7">
                  <c:v>2022Q4</c:v>
                </c:pt>
                <c:pt idx="8">
                  <c:v>2023Q1</c:v>
                </c:pt>
                <c:pt idx="9">
                  <c:v>2023Q2</c:v>
                </c:pt>
              </c:strCache>
            </c:strRef>
          </c:cat>
          <c:val>
            <c:numRef>
              <c:f>'face v body'!$U$3:$U$13</c:f>
              <c:numCache>
                <c:formatCode>General</c:formatCode>
                <c:ptCount val="10"/>
                <c:pt idx="0">
                  <c:v>1580</c:v>
                </c:pt>
                <c:pt idx="1">
                  <c:v>9297</c:v>
                </c:pt>
                <c:pt idx="2">
                  <c:v>13343</c:v>
                </c:pt>
                <c:pt idx="3">
                  <c:v>16499</c:v>
                </c:pt>
                <c:pt idx="4">
                  <c:v>17417</c:v>
                </c:pt>
                <c:pt idx="5">
                  <c:v>20072</c:v>
                </c:pt>
                <c:pt idx="6">
                  <c:v>22742</c:v>
                </c:pt>
                <c:pt idx="7">
                  <c:v>25697</c:v>
                </c:pt>
                <c:pt idx="8">
                  <c:v>26426</c:v>
                </c:pt>
                <c:pt idx="9">
                  <c:v>29316</c:v>
                </c:pt>
              </c:numCache>
            </c:numRef>
          </c:val>
          <c:extLst>
            <c:ext xmlns:c16="http://schemas.microsoft.com/office/drawing/2014/chart" uri="{C3380CC4-5D6E-409C-BE32-E72D297353CC}">
              <c16:uniqueId val="{00000000-1C20-4C3E-A693-7505CEB6DFC8}"/>
            </c:ext>
          </c:extLst>
        </c:ser>
        <c:ser>
          <c:idx val="1"/>
          <c:order val="1"/>
          <c:tx>
            <c:strRef>
              <c:f>'face v body'!$V$1:$V$2</c:f>
              <c:strCache>
                <c:ptCount val="1"/>
                <c:pt idx="0">
                  <c:v>Face and/or hands</c:v>
                </c:pt>
              </c:strCache>
            </c:strRef>
          </c:tx>
          <c:spPr>
            <a:solidFill>
              <a:schemeClr val="accent2"/>
            </a:solidFill>
            <a:ln>
              <a:noFill/>
            </a:ln>
            <a:effectLst/>
          </c:spPr>
          <c:invertIfNegative val="0"/>
          <c:cat>
            <c:strRef>
              <c:f>'face v body'!$T$3:$T$13</c:f>
              <c:strCache>
                <c:ptCount val="10"/>
                <c:pt idx="0">
                  <c:v>2021Q1</c:v>
                </c:pt>
                <c:pt idx="1">
                  <c:v>2021Q2</c:v>
                </c:pt>
                <c:pt idx="2">
                  <c:v>2021Q3</c:v>
                </c:pt>
                <c:pt idx="3">
                  <c:v>2021Q4</c:v>
                </c:pt>
                <c:pt idx="4">
                  <c:v>2022Q1</c:v>
                </c:pt>
                <c:pt idx="5">
                  <c:v>2022Q2</c:v>
                </c:pt>
                <c:pt idx="6">
                  <c:v>2022Q3</c:v>
                </c:pt>
                <c:pt idx="7">
                  <c:v>2022Q4</c:v>
                </c:pt>
                <c:pt idx="8">
                  <c:v>2023Q1</c:v>
                </c:pt>
                <c:pt idx="9">
                  <c:v>2023Q2</c:v>
                </c:pt>
              </c:strCache>
            </c:strRef>
          </c:cat>
          <c:val>
            <c:numRef>
              <c:f>'face v body'!$V$3:$V$13</c:f>
              <c:numCache>
                <c:formatCode>General</c:formatCode>
                <c:ptCount val="10"/>
                <c:pt idx="0">
                  <c:v>163</c:v>
                </c:pt>
                <c:pt idx="1">
                  <c:v>1278</c:v>
                </c:pt>
                <c:pt idx="2">
                  <c:v>2148</c:v>
                </c:pt>
                <c:pt idx="3">
                  <c:v>2867</c:v>
                </c:pt>
                <c:pt idx="4">
                  <c:v>3169</c:v>
                </c:pt>
                <c:pt idx="5">
                  <c:v>3781</c:v>
                </c:pt>
                <c:pt idx="6">
                  <c:v>4557</c:v>
                </c:pt>
                <c:pt idx="7">
                  <c:v>5374</c:v>
                </c:pt>
                <c:pt idx="8">
                  <c:v>5660</c:v>
                </c:pt>
                <c:pt idx="9">
                  <c:v>6636</c:v>
                </c:pt>
              </c:numCache>
            </c:numRef>
          </c:val>
          <c:extLst>
            <c:ext xmlns:c16="http://schemas.microsoft.com/office/drawing/2014/chart" uri="{C3380CC4-5D6E-409C-BE32-E72D297353CC}">
              <c16:uniqueId val="{00000001-1C20-4C3E-A693-7505CEB6DFC8}"/>
            </c:ext>
          </c:extLst>
        </c:ser>
        <c:ser>
          <c:idx val="2"/>
          <c:order val="2"/>
          <c:tx>
            <c:strRef>
              <c:f>'face v body'!$W$1:$W$2</c:f>
              <c:strCache>
                <c:ptCount val="1"/>
                <c:pt idx="0">
                  <c:v>Unknown</c:v>
                </c:pt>
              </c:strCache>
            </c:strRef>
          </c:tx>
          <c:spPr>
            <a:solidFill>
              <a:schemeClr val="accent3"/>
            </a:solidFill>
            <a:ln>
              <a:noFill/>
            </a:ln>
            <a:effectLst/>
          </c:spPr>
          <c:invertIfNegative val="0"/>
          <c:cat>
            <c:strRef>
              <c:f>'face v body'!$T$3:$T$13</c:f>
              <c:strCache>
                <c:ptCount val="10"/>
                <c:pt idx="0">
                  <c:v>2021Q1</c:v>
                </c:pt>
                <c:pt idx="1">
                  <c:v>2021Q2</c:v>
                </c:pt>
                <c:pt idx="2">
                  <c:v>2021Q3</c:v>
                </c:pt>
                <c:pt idx="3">
                  <c:v>2021Q4</c:v>
                </c:pt>
                <c:pt idx="4">
                  <c:v>2022Q1</c:v>
                </c:pt>
                <c:pt idx="5">
                  <c:v>2022Q2</c:v>
                </c:pt>
                <c:pt idx="6">
                  <c:v>2022Q3</c:v>
                </c:pt>
                <c:pt idx="7">
                  <c:v>2022Q4</c:v>
                </c:pt>
                <c:pt idx="8">
                  <c:v>2023Q1</c:v>
                </c:pt>
                <c:pt idx="9">
                  <c:v>2023Q2</c:v>
                </c:pt>
              </c:strCache>
            </c:strRef>
          </c:cat>
          <c:val>
            <c:numRef>
              <c:f>'face v body'!$W$3:$W$13</c:f>
              <c:numCache>
                <c:formatCode>General</c:formatCode>
                <c:ptCount val="10"/>
                <c:pt idx="0">
                  <c:v>35</c:v>
                </c:pt>
                <c:pt idx="1">
                  <c:v>193</c:v>
                </c:pt>
                <c:pt idx="2">
                  <c:v>286</c:v>
                </c:pt>
                <c:pt idx="3">
                  <c:v>313</c:v>
                </c:pt>
                <c:pt idx="4">
                  <c:v>358</c:v>
                </c:pt>
                <c:pt idx="5">
                  <c:v>472</c:v>
                </c:pt>
                <c:pt idx="6">
                  <c:v>598</c:v>
                </c:pt>
                <c:pt idx="7">
                  <c:v>730</c:v>
                </c:pt>
                <c:pt idx="8">
                  <c:v>831</c:v>
                </c:pt>
                <c:pt idx="9">
                  <c:v>960</c:v>
                </c:pt>
              </c:numCache>
            </c:numRef>
          </c:val>
          <c:extLst>
            <c:ext xmlns:c16="http://schemas.microsoft.com/office/drawing/2014/chart" uri="{C3380CC4-5D6E-409C-BE32-E72D297353CC}">
              <c16:uniqueId val="{00000002-1C20-4C3E-A693-7505CEB6DFC8}"/>
            </c:ext>
          </c:extLst>
        </c:ser>
        <c:dLbls>
          <c:showLegendKey val="0"/>
          <c:showVal val="0"/>
          <c:showCatName val="0"/>
          <c:showSerName val="0"/>
          <c:showPercent val="0"/>
          <c:showBubbleSize val="0"/>
        </c:dLbls>
        <c:gapWidth val="219"/>
        <c:overlap val="-27"/>
        <c:axId val="821584336"/>
        <c:axId val="821575480"/>
      </c:barChart>
      <c:catAx>
        <c:axId val="8215843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 of 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1575480"/>
        <c:crosses val="autoZero"/>
        <c:auto val="1"/>
        <c:lblAlgn val="ctr"/>
        <c:lblOffset val="100"/>
        <c:noMultiLvlLbl val="0"/>
      </c:catAx>
      <c:valAx>
        <c:axId val="8215754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1584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[D1503 Dupilumab.xlsx]age sex!PivotTable1</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'age sex'!$AB$1:$AB$2</c:f>
              <c:strCache>
                <c:ptCount val="1"/>
                <c:pt idx="0">
                  <c:v>Female</c:v>
                </c:pt>
              </c:strCache>
            </c:strRef>
          </c:tx>
          <c:spPr>
            <a:solidFill>
              <a:schemeClr val="accent1"/>
            </a:solidFill>
            <a:ln>
              <a:noFill/>
            </a:ln>
            <a:effectLst/>
          </c:spPr>
          <c:invertIfNegative val="0"/>
          <c:cat>
            <c:strRef>
              <c:f>'age sex'!$AA$3:$AA$20</c:f>
              <c:strCache>
                <c:ptCount val="17"/>
                <c:pt idx="0">
                  <c:v>10-14 yrs</c:v>
                </c:pt>
                <c:pt idx="1">
                  <c:v>15-19 yrs</c:v>
                </c:pt>
                <c:pt idx="2">
                  <c:v>20-24 yrs</c:v>
                </c:pt>
                <c:pt idx="3">
                  <c:v>25-29 yrs</c:v>
                </c:pt>
                <c:pt idx="4">
                  <c:v>30-34 yrs</c:v>
                </c:pt>
                <c:pt idx="5">
                  <c:v>35-39 yrs</c:v>
                </c:pt>
                <c:pt idx="6">
                  <c:v>40-44 yrs</c:v>
                </c:pt>
                <c:pt idx="7">
                  <c:v>45-49 yrs</c:v>
                </c:pt>
                <c:pt idx="8">
                  <c:v>50-54 yrs</c:v>
                </c:pt>
                <c:pt idx="9">
                  <c:v>55-59 yrs</c:v>
                </c:pt>
                <c:pt idx="10">
                  <c:v>60-64 yrs</c:v>
                </c:pt>
                <c:pt idx="11">
                  <c:v>65-69 yrs</c:v>
                </c:pt>
                <c:pt idx="12">
                  <c:v>70-74 yrs</c:v>
                </c:pt>
                <c:pt idx="13">
                  <c:v>75-79 yrs</c:v>
                </c:pt>
                <c:pt idx="14">
                  <c:v>80-84 yrs</c:v>
                </c:pt>
                <c:pt idx="15">
                  <c:v>85-89 yrs</c:v>
                </c:pt>
                <c:pt idx="16">
                  <c:v>90-94 yrs</c:v>
                </c:pt>
              </c:strCache>
            </c:strRef>
          </c:cat>
          <c:val>
            <c:numRef>
              <c:f>'age sex'!$AB$3:$AB$20</c:f>
              <c:numCache>
                <c:formatCode>General</c:formatCode>
                <c:ptCount val="17"/>
                <c:pt idx="0">
                  <c:v>381</c:v>
                </c:pt>
                <c:pt idx="1">
                  <c:v>816</c:v>
                </c:pt>
                <c:pt idx="2">
                  <c:v>1016</c:v>
                </c:pt>
                <c:pt idx="3">
                  <c:v>917</c:v>
                </c:pt>
                <c:pt idx="4">
                  <c:v>651</c:v>
                </c:pt>
                <c:pt idx="5">
                  <c:v>559</c:v>
                </c:pt>
                <c:pt idx="6">
                  <c:v>497</c:v>
                </c:pt>
                <c:pt idx="7">
                  <c:v>538</c:v>
                </c:pt>
                <c:pt idx="8">
                  <c:v>602</c:v>
                </c:pt>
                <c:pt idx="9">
                  <c:v>538</c:v>
                </c:pt>
                <c:pt idx="10">
                  <c:v>420</c:v>
                </c:pt>
                <c:pt idx="11">
                  <c:v>352</c:v>
                </c:pt>
                <c:pt idx="12">
                  <c:v>313</c:v>
                </c:pt>
                <c:pt idx="13">
                  <c:v>213</c:v>
                </c:pt>
                <c:pt idx="14">
                  <c:v>157</c:v>
                </c:pt>
                <c:pt idx="15">
                  <c:v>58</c:v>
                </c:pt>
                <c:pt idx="16">
                  <c:v>25</c:v>
                </c:pt>
              </c:numCache>
            </c:numRef>
          </c:val>
          <c:extLst>
            <c:ext xmlns:c16="http://schemas.microsoft.com/office/drawing/2014/chart" uri="{C3380CC4-5D6E-409C-BE32-E72D297353CC}">
              <c16:uniqueId val="{00000000-967D-408F-A092-9FD607B6E40E}"/>
            </c:ext>
          </c:extLst>
        </c:ser>
        <c:ser>
          <c:idx val="1"/>
          <c:order val="1"/>
          <c:tx>
            <c:strRef>
              <c:f>'age sex'!$AC$1:$AC$2</c:f>
              <c:strCache>
                <c:ptCount val="1"/>
                <c:pt idx="0">
                  <c:v>Male</c:v>
                </c:pt>
              </c:strCache>
            </c:strRef>
          </c:tx>
          <c:spPr>
            <a:solidFill>
              <a:schemeClr val="accent2"/>
            </a:solidFill>
            <a:ln>
              <a:noFill/>
            </a:ln>
            <a:effectLst/>
          </c:spPr>
          <c:invertIfNegative val="0"/>
          <c:cat>
            <c:strRef>
              <c:f>'age sex'!$AA$3:$AA$20</c:f>
              <c:strCache>
                <c:ptCount val="17"/>
                <c:pt idx="0">
                  <c:v>10-14 yrs</c:v>
                </c:pt>
                <c:pt idx="1">
                  <c:v>15-19 yrs</c:v>
                </c:pt>
                <c:pt idx="2">
                  <c:v>20-24 yrs</c:v>
                </c:pt>
                <c:pt idx="3">
                  <c:v>25-29 yrs</c:v>
                </c:pt>
                <c:pt idx="4">
                  <c:v>30-34 yrs</c:v>
                </c:pt>
                <c:pt idx="5">
                  <c:v>35-39 yrs</c:v>
                </c:pt>
                <c:pt idx="6">
                  <c:v>40-44 yrs</c:v>
                </c:pt>
                <c:pt idx="7">
                  <c:v>45-49 yrs</c:v>
                </c:pt>
                <c:pt idx="8">
                  <c:v>50-54 yrs</c:v>
                </c:pt>
                <c:pt idx="9">
                  <c:v>55-59 yrs</c:v>
                </c:pt>
                <c:pt idx="10">
                  <c:v>60-64 yrs</c:v>
                </c:pt>
                <c:pt idx="11">
                  <c:v>65-69 yrs</c:v>
                </c:pt>
                <c:pt idx="12">
                  <c:v>70-74 yrs</c:v>
                </c:pt>
                <c:pt idx="13">
                  <c:v>75-79 yrs</c:v>
                </c:pt>
                <c:pt idx="14">
                  <c:v>80-84 yrs</c:v>
                </c:pt>
                <c:pt idx="15">
                  <c:v>85-89 yrs</c:v>
                </c:pt>
                <c:pt idx="16">
                  <c:v>90-94 yrs</c:v>
                </c:pt>
              </c:strCache>
            </c:strRef>
          </c:cat>
          <c:val>
            <c:numRef>
              <c:f>'age sex'!$AC$3:$AC$20</c:f>
              <c:numCache>
                <c:formatCode>General</c:formatCode>
                <c:ptCount val="17"/>
                <c:pt idx="0">
                  <c:v>425</c:v>
                </c:pt>
                <c:pt idx="1">
                  <c:v>902</c:v>
                </c:pt>
                <c:pt idx="2">
                  <c:v>1068</c:v>
                </c:pt>
                <c:pt idx="3">
                  <c:v>1020</c:v>
                </c:pt>
                <c:pt idx="4">
                  <c:v>809</c:v>
                </c:pt>
                <c:pt idx="5">
                  <c:v>667</c:v>
                </c:pt>
                <c:pt idx="6">
                  <c:v>550</c:v>
                </c:pt>
                <c:pt idx="7">
                  <c:v>530</c:v>
                </c:pt>
                <c:pt idx="8">
                  <c:v>529</c:v>
                </c:pt>
                <c:pt idx="9">
                  <c:v>549</c:v>
                </c:pt>
                <c:pt idx="10">
                  <c:v>493</c:v>
                </c:pt>
                <c:pt idx="11">
                  <c:v>406</c:v>
                </c:pt>
                <c:pt idx="12">
                  <c:v>387</c:v>
                </c:pt>
                <c:pt idx="13">
                  <c:v>319</c:v>
                </c:pt>
                <c:pt idx="14">
                  <c:v>161</c:v>
                </c:pt>
                <c:pt idx="15">
                  <c:v>81</c:v>
                </c:pt>
                <c:pt idx="16">
                  <c:v>29</c:v>
                </c:pt>
              </c:numCache>
            </c:numRef>
          </c:val>
          <c:extLst>
            <c:ext xmlns:c16="http://schemas.microsoft.com/office/drawing/2014/chart" uri="{C3380CC4-5D6E-409C-BE32-E72D297353CC}">
              <c16:uniqueId val="{00000001-967D-408F-A092-9FD607B6E40E}"/>
            </c:ext>
          </c:extLst>
        </c:ser>
        <c:dLbls>
          <c:showLegendKey val="0"/>
          <c:showVal val="0"/>
          <c:showCatName val="0"/>
          <c:showSerName val="0"/>
          <c:showPercent val="0"/>
          <c:showBubbleSize val="0"/>
        </c:dLbls>
        <c:gapWidth val="219"/>
        <c:overlap val="-27"/>
        <c:axId val="295053216"/>
        <c:axId val="295051904"/>
      </c:barChart>
      <c:catAx>
        <c:axId val="2950532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Age range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051904"/>
        <c:crosses val="autoZero"/>
        <c:auto val="1"/>
        <c:lblAlgn val="ctr"/>
        <c:lblOffset val="100"/>
        <c:noMultiLvlLbl val="0"/>
      </c:catAx>
      <c:valAx>
        <c:axId val="2950519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a:t>
                </a:r>
                <a:r>
                  <a:rPr lang="en-AU" baseline="0"/>
                  <a:t> initiating patients</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053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state!$B$14</c:f>
              <c:strCache>
                <c:ptCount val="1"/>
                <c:pt idx="0">
                  <c:v>Initiating patients</c:v>
                </c:pt>
              </c:strCache>
            </c:strRef>
          </c:tx>
          <c:spPr>
            <a:solidFill>
              <a:schemeClr val="accent1"/>
            </a:solidFill>
            <a:ln>
              <a:noFill/>
            </a:ln>
            <a:effectLst/>
          </c:spPr>
          <c:invertIfNegative val="0"/>
          <c:cat>
            <c:strRef>
              <c:f>state!$A$15:$A$23</c:f>
              <c:strCache>
                <c:ptCount val="9"/>
                <c:pt idx="0">
                  <c:v>ACT</c:v>
                </c:pt>
                <c:pt idx="1">
                  <c:v>NSW</c:v>
                </c:pt>
                <c:pt idx="2">
                  <c:v>NT</c:v>
                </c:pt>
                <c:pt idx="3">
                  <c:v>QLD</c:v>
                </c:pt>
                <c:pt idx="4">
                  <c:v>SA</c:v>
                </c:pt>
                <c:pt idx="5">
                  <c:v>TAS</c:v>
                </c:pt>
                <c:pt idx="6">
                  <c:v>VIC</c:v>
                </c:pt>
                <c:pt idx="7">
                  <c:v>WA</c:v>
                </c:pt>
                <c:pt idx="8">
                  <c:v>Australia</c:v>
                </c:pt>
              </c:strCache>
            </c:strRef>
          </c:cat>
          <c:val>
            <c:numRef>
              <c:f>state!$B$15:$B$23</c:f>
              <c:numCache>
                <c:formatCode>General</c:formatCode>
                <c:ptCount val="9"/>
                <c:pt idx="0">
                  <c:v>239</c:v>
                </c:pt>
                <c:pt idx="1">
                  <c:v>5880</c:v>
                </c:pt>
                <c:pt idx="2">
                  <c:v>90</c:v>
                </c:pt>
                <c:pt idx="3">
                  <c:v>3061</c:v>
                </c:pt>
                <c:pt idx="4">
                  <c:v>1144</c:v>
                </c:pt>
                <c:pt idx="5">
                  <c:v>610</c:v>
                </c:pt>
                <c:pt idx="6">
                  <c:v>4705</c:v>
                </c:pt>
                <c:pt idx="7">
                  <c:v>1265</c:v>
                </c:pt>
              </c:numCache>
            </c:numRef>
          </c:val>
          <c:extLst>
            <c:ext xmlns:c16="http://schemas.microsoft.com/office/drawing/2014/chart" uri="{C3380CC4-5D6E-409C-BE32-E72D297353CC}">
              <c16:uniqueId val="{00000000-A2C7-445F-B55B-3E2BC8BC6DD6}"/>
            </c:ext>
          </c:extLst>
        </c:ser>
        <c:ser>
          <c:idx val="1"/>
          <c:order val="1"/>
          <c:tx>
            <c:strRef>
              <c:f>state!$C$14</c:f>
              <c:strCache>
                <c:ptCount val="1"/>
                <c:pt idx="0">
                  <c:v>pad pats</c:v>
                </c:pt>
              </c:strCache>
            </c:strRef>
          </c:tx>
          <c:spPr>
            <a:solidFill>
              <a:schemeClr val="accent2"/>
            </a:solidFill>
            <a:ln>
              <a:noFill/>
            </a:ln>
            <a:effectLst/>
          </c:spPr>
          <c:invertIfNegative val="0"/>
          <c:cat>
            <c:strRef>
              <c:f>state!$A$15:$A$23</c:f>
              <c:strCache>
                <c:ptCount val="9"/>
                <c:pt idx="0">
                  <c:v>ACT</c:v>
                </c:pt>
                <c:pt idx="1">
                  <c:v>NSW</c:v>
                </c:pt>
                <c:pt idx="2">
                  <c:v>NT</c:v>
                </c:pt>
                <c:pt idx="3">
                  <c:v>QLD</c:v>
                </c:pt>
                <c:pt idx="4">
                  <c:v>SA</c:v>
                </c:pt>
                <c:pt idx="5">
                  <c:v>TAS</c:v>
                </c:pt>
                <c:pt idx="6">
                  <c:v>VIC</c:v>
                </c:pt>
                <c:pt idx="7">
                  <c:v>WA</c:v>
                </c:pt>
                <c:pt idx="8">
                  <c:v>Australia</c:v>
                </c:pt>
              </c:strCache>
            </c:strRef>
          </c:cat>
          <c:val>
            <c:numRef>
              <c:f>state!$C$15:$C$23</c:f>
              <c:numCache>
                <c:formatCode>General</c:formatCode>
                <c:ptCount val="9"/>
              </c:numCache>
            </c:numRef>
          </c:val>
          <c:extLst>
            <c:ext xmlns:c16="http://schemas.microsoft.com/office/drawing/2014/chart" uri="{C3380CC4-5D6E-409C-BE32-E72D297353CC}">
              <c16:uniqueId val="{00000001-A2C7-445F-B55B-3E2BC8BC6DD6}"/>
            </c:ext>
          </c:extLst>
        </c:ser>
        <c:dLbls>
          <c:showLegendKey val="0"/>
          <c:showVal val="0"/>
          <c:showCatName val="0"/>
          <c:showSerName val="0"/>
          <c:showPercent val="0"/>
          <c:showBubbleSize val="0"/>
        </c:dLbls>
        <c:gapWidth val="219"/>
        <c:overlap val="-27"/>
        <c:axId val="462530592"/>
        <c:axId val="462541744"/>
      </c:barChart>
      <c:barChart>
        <c:barDir val="col"/>
        <c:grouping val="clustered"/>
        <c:varyColors val="0"/>
        <c:ser>
          <c:idx val="2"/>
          <c:order val="2"/>
          <c:tx>
            <c:strRef>
              <c:f>state!$D$14</c:f>
              <c:strCache>
                <c:ptCount val="1"/>
                <c:pt idx="0">
                  <c:v>pad stand</c:v>
                </c:pt>
              </c:strCache>
            </c:strRef>
          </c:tx>
          <c:spPr>
            <a:solidFill>
              <a:schemeClr val="accent3"/>
            </a:solidFill>
            <a:ln>
              <a:noFill/>
            </a:ln>
            <a:effectLst/>
          </c:spPr>
          <c:invertIfNegative val="0"/>
          <c:cat>
            <c:strRef>
              <c:f>state!$A$15:$A$23</c:f>
              <c:strCache>
                <c:ptCount val="9"/>
                <c:pt idx="0">
                  <c:v>ACT</c:v>
                </c:pt>
                <c:pt idx="1">
                  <c:v>NSW</c:v>
                </c:pt>
                <c:pt idx="2">
                  <c:v>NT</c:v>
                </c:pt>
                <c:pt idx="3">
                  <c:v>QLD</c:v>
                </c:pt>
                <c:pt idx="4">
                  <c:v>SA</c:v>
                </c:pt>
                <c:pt idx="5">
                  <c:v>TAS</c:v>
                </c:pt>
                <c:pt idx="6">
                  <c:v>VIC</c:v>
                </c:pt>
                <c:pt idx="7">
                  <c:v>WA</c:v>
                </c:pt>
                <c:pt idx="8">
                  <c:v>Australia</c:v>
                </c:pt>
              </c:strCache>
            </c:strRef>
          </c:cat>
          <c:val>
            <c:numRef>
              <c:f>state!$D$15:$D$23</c:f>
              <c:numCache>
                <c:formatCode>General</c:formatCode>
                <c:ptCount val="9"/>
              </c:numCache>
            </c:numRef>
          </c:val>
          <c:extLst>
            <c:ext xmlns:c16="http://schemas.microsoft.com/office/drawing/2014/chart" uri="{C3380CC4-5D6E-409C-BE32-E72D297353CC}">
              <c16:uniqueId val="{00000002-A2C7-445F-B55B-3E2BC8BC6DD6}"/>
            </c:ext>
          </c:extLst>
        </c:ser>
        <c:ser>
          <c:idx val="3"/>
          <c:order val="3"/>
          <c:tx>
            <c:strRef>
              <c:f>state!$E$14</c:f>
              <c:strCache>
                <c:ptCount val="1"/>
                <c:pt idx="0">
                  <c:v>Standardised initiating patients</c:v>
                </c:pt>
              </c:strCache>
            </c:strRef>
          </c:tx>
          <c:spPr>
            <a:solidFill>
              <a:schemeClr val="accent4"/>
            </a:solidFill>
            <a:ln>
              <a:noFill/>
            </a:ln>
            <a:effectLst/>
          </c:spPr>
          <c:invertIfNegative val="0"/>
          <c:cat>
            <c:strRef>
              <c:f>state!$A$15:$A$23</c:f>
              <c:strCache>
                <c:ptCount val="9"/>
                <c:pt idx="0">
                  <c:v>ACT</c:v>
                </c:pt>
                <c:pt idx="1">
                  <c:v>NSW</c:v>
                </c:pt>
                <c:pt idx="2">
                  <c:v>NT</c:v>
                </c:pt>
                <c:pt idx="3">
                  <c:v>QLD</c:v>
                </c:pt>
                <c:pt idx="4">
                  <c:v>SA</c:v>
                </c:pt>
                <c:pt idx="5">
                  <c:v>TAS</c:v>
                </c:pt>
                <c:pt idx="6">
                  <c:v>VIC</c:v>
                </c:pt>
                <c:pt idx="7">
                  <c:v>WA</c:v>
                </c:pt>
                <c:pt idx="8">
                  <c:v>Australia</c:v>
                </c:pt>
              </c:strCache>
            </c:strRef>
          </c:cat>
          <c:val>
            <c:numRef>
              <c:f>state!$E$15:$E$23</c:f>
              <c:numCache>
                <c:formatCode>General</c:formatCode>
                <c:ptCount val="9"/>
                <c:pt idx="0">
                  <c:v>0.51855066174875242</c:v>
                </c:pt>
                <c:pt idx="1">
                  <c:v>0.71369616934505031</c:v>
                </c:pt>
                <c:pt idx="2">
                  <c:v>0.3598560575769692</c:v>
                </c:pt>
                <c:pt idx="3">
                  <c:v>0.56913894725099012</c:v>
                </c:pt>
                <c:pt idx="4">
                  <c:v>0.62367115520907157</c:v>
                </c:pt>
                <c:pt idx="5">
                  <c:v>1.0671798460461861</c:v>
                </c:pt>
                <c:pt idx="6">
                  <c:v>0.7017884044568411</c:v>
                </c:pt>
                <c:pt idx="7">
                  <c:v>0.44775591108594087</c:v>
                </c:pt>
                <c:pt idx="8">
                  <c:v>0.64693700415708599</c:v>
                </c:pt>
              </c:numCache>
            </c:numRef>
          </c:val>
          <c:extLst>
            <c:ext xmlns:c16="http://schemas.microsoft.com/office/drawing/2014/chart" uri="{C3380CC4-5D6E-409C-BE32-E72D297353CC}">
              <c16:uniqueId val="{00000003-A2C7-445F-B55B-3E2BC8BC6DD6}"/>
            </c:ext>
          </c:extLst>
        </c:ser>
        <c:dLbls>
          <c:showLegendKey val="0"/>
          <c:showVal val="0"/>
          <c:showCatName val="0"/>
          <c:showSerName val="0"/>
          <c:showPercent val="0"/>
          <c:showBubbleSize val="0"/>
        </c:dLbls>
        <c:gapWidth val="219"/>
        <c:overlap val="-27"/>
        <c:axId val="892083944"/>
        <c:axId val="892083288"/>
      </c:barChart>
      <c:catAx>
        <c:axId val="4625305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State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2541744"/>
        <c:crosses val="autoZero"/>
        <c:auto val="1"/>
        <c:lblAlgn val="ctr"/>
        <c:lblOffset val="100"/>
        <c:noMultiLvlLbl val="0"/>
      </c:catAx>
      <c:valAx>
        <c:axId val="462541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Initiating 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2530592"/>
        <c:crosses val="autoZero"/>
        <c:crossBetween val="between"/>
      </c:valAx>
      <c:valAx>
        <c:axId val="892083288"/>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Standardised initiating 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2083944"/>
        <c:crosses val="max"/>
        <c:crossBetween val="between"/>
      </c:valAx>
      <c:catAx>
        <c:axId val="892083944"/>
        <c:scaling>
          <c:orientation val="minMax"/>
        </c:scaling>
        <c:delete val="1"/>
        <c:axPos val="b"/>
        <c:numFmt formatCode="General" sourceLinked="1"/>
        <c:majorTickMark val="out"/>
        <c:minorTickMark val="none"/>
        <c:tickLblPos val="nextTo"/>
        <c:crossAx val="892083288"/>
        <c:crosses val="autoZero"/>
        <c:auto val="1"/>
        <c:lblAlgn val="ctr"/>
        <c:lblOffset val="100"/>
        <c:noMultiLvlLbl val="0"/>
      </c:catAx>
      <c:spPr>
        <a:noFill/>
        <a:ln>
          <a:noFill/>
        </a:ln>
        <a:effectLst/>
      </c:spPr>
    </c:plotArea>
    <c:legend>
      <c:legendPos val="b"/>
      <c:legendEntry>
        <c:idx val="1"/>
        <c:delete val="1"/>
      </c:legendEntry>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4F82B-27DE-4369-A0C3-FBA3FE91E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28</Pages>
  <Words>7673</Words>
  <Characters>43738</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Medicines Australia</Company>
  <LinksUpToDate>false</LinksUpToDate>
  <CharactersWithSpaces>51309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MORRISON, Olivia</dc:creator>
  <cp:lastModifiedBy>MORRISON, Olivia</cp:lastModifiedBy>
  <cp:revision>4</cp:revision>
  <cp:lastPrinted>2024-03-08T04:08:00Z</cp:lastPrinted>
  <dcterms:created xsi:type="dcterms:W3CDTF">2024-03-08T04:05:00Z</dcterms:created>
  <dcterms:modified xsi:type="dcterms:W3CDTF">2024-03-11T22:23:00Z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