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3C7320D8" w:rsidR="00832324" w:rsidRDefault="00310369" w:rsidP="00F73113">
      <w:pPr>
        <w:pStyle w:val="Title"/>
      </w:pPr>
      <w:proofErr w:type="spellStart"/>
      <w:r>
        <w:t>V</w:t>
      </w:r>
      <w:r w:rsidRPr="00310369">
        <w:t>enetoclax</w:t>
      </w:r>
      <w:proofErr w:type="spellEnd"/>
      <w:r w:rsidRPr="00310369">
        <w:t xml:space="preserve"> for first-line treatment of chronic lymphocytic leukaemia</w:t>
      </w:r>
      <w:r>
        <w:t xml:space="preserve"> or </w:t>
      </w:r>
      <w:r w:rsidRPr="00310369">
        <w:t>small lymphocytic lymphoma</w:t>
      </w:r>
      <w:r w:rsidR="001C4016">
        <w:t xml:space="preserve">: </w:t>
      </w:r>
      <w:r w:rsidRPr="00310369">
        <w:t>predicted versus actual analysis</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23AC674E" w:rsidR="009053D3" w:rsidRPr="00F73113" w:rsidRDefault="00310369" w:rsidP="00F73113">
      <w:pPr>
        <w:pStyle w:val="Meetingdate"/>
      </w:pPr>
      <w:r>
        <w:t>September</w:t>
      </w:r>
      <w:r w:rsidR="00D151EB" w:rsidRPr="00F73113">
        <w:t xml:space="preserve"> 20</w:t>
      </w:r>
      <w:r>
        <w:t>23</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0290F328" w14:textId="1670C455" w:rsidR="00B824CF" w:rsidRDefault="00AB358B" w:rsidP="00AB358B">
      <w:r>
        <w:t xml:space="preserve">To compare the predicted and actual utilisation of </w:t>
      </w:r>
      <w:proofErr w:type="spellStart"/>
      <w:r w:rsidRPr="00AB358B">
        <w:t>venetoclax</w:t>
      </w:r>
      <w:proofErr w:type="spellEnd"/>
      <w:r w:rsidRPr="00AB358B">
        <w:t xml:space="preserve"> </w:t>
      </w:r>
      <w:r w:rsidR="008C18BC">
        <w:t xml:space="preserve">for </w:t>
      </w:r>
      <w:r w:rsidRPr="00AB358B">
        <w:t xml:space="preserve">first-line treatment </w:t>
      </w:r>
      <w:r w:rsidR="008C18BC">
        <w:t>of</w:t>
      </w:r>
      <w:r>
        <w:t xml:space="preserve"> </w:t>
      </w:r>
      <w:r w:rsidR="00FF2C28">
        <w:t>c</w:t>
      </w:r>
      <w:r w:rsidRPr="00AB358B">
        <w:t>hronic lymphocytic leukaemia (CLL) or small lymphocytic lymphoma (SLL)</w:t>
      </w:r>
      <w:r>
        <w:t xml:space="preserve"> since its listing on the Pharmaceutical Benefits Scheme (PBS)</w:t>
      </w:r>
      <w:r w:rsidR="00E511E0">
        <w:t xml:space="preserve"> and how the listing effected the second-line </w:t>
      </w:r>
      <w:r w:rsidR="000475BB">
        <w:t xml:space="preserve">treatments </w:t>
      </w:r>
      <w:r w:rsidR="00E511E0">
        <w:t>for CLL and SLL</w:t>
      </w:r>
      <w:r>
        <w:t xml:space="preserve">.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1B51C711" w14:textId="77777777" w:rsidR="00B824CF" w:rsidRPr="00B824CF" w:rsidRDefault="008C18BC" w:rsidP="002D144A">
      <w:proofErr w:type="spellStart"/>
      <w:r w:rsidRPr="00B824CF">
        <w:t>Venetoclax</w:t>
      </w:r>
      <w:proofErr w:type="spellEnd"/>
      <w:r w:rsidRPr="00B824CF">
        <w:t xml:space="preserve"> </w:t>
      </w:r>
      <w:r w:rsidR="00A83F22" w:rsidRPr="00B824CF">
        <w:t xml:space="preserve">in combination with </w:t>
      </w:r>
      <w:proofErr w:type="spellStart"/>
      <w:r w:rsidR="00A83F22" w:rsidRPr="00B824CF">
        <w:t>obinutuzumab</w:t>
      </w:r>
      <w:proofErr w:type="spellEnd"/>
      <w:r w:rsidR="00A83F22" w:rsidRPr="00B824CF">
        <w:t xml:space="preserve"> </w:t>
      </w:r>
      <w:r w:rsidRPr="00B824CF">
        <w:t xml:space="preserve">was listed for first-line treatment for CLL or SLL on </w:t>
      </w:r>
      <w:r w:rsidR="00AB358B" w:rsidRPr="00B824CF">
        <w:t>1 December 2020</w:t>
      </w:r>
      <w:r w:rsidRPr="00B824CF">
        <w:t>.</w:t>
      </w:r>
      <w:r w:rsidR="00AB358B" w:rsidRPr="00B824CF">
        <w:t xml:space="preserve"> </w:t>
      </w:r>
    </w:p>
    <w:p w14:paraId="526743BB" w14:textId="77777777" w:rsidR="005C6661" w:rsidRDefault="005C6661" w:rsidP="00CF5E22">
      <w:pPr>
        <w:pStyle w:val="Heading3"/>
      </w:pPr>
      <w:r>
        <w:t>Data Source / methodology</w:t>
      </w:r>
    </w:p>
    <w:p w14:paraId="3C74AB36" w14:textId="7F2A28AF" w:rsidR="006804E0" w:rsidRDefault="006804E0" w:rsidP="005C6661">
      <w:pPr>
        <w:pStyle w:val="NoSpacing"/>
      </w:pPr>
      <w:r w:rsidRPr="006804E0">
        <w:t>Data extracted from the PBS database maintained by Department of Health and Aged Care, processed by Services Australia were used for the analyses.</w:t>
      </w:r>
    </w:p>
    <w:p w14:paraId="013B8A7D" w14:textId="7308F605" w:rsidR="005C6661" w:rsidRPr="00AF62B5" w:rsidRDefault="005C6661" w:rsidP="00AF62B5">
      <w:pPr>
        <w:pStyle w:val="Heading3"/>
      </w:pPr>
      <w:r>
        <w:t>Key Findings</w:t>
      </w:r>
    </w:p>
    <w:p w14:paraId="0B411EB3" w14:textId="4E7403A0" w:rsidR="00122DA7" w:rsidRDefault="00122DA7" w:rsidP="00122DA7">
      <w:pPr>
        <w:pStyle w:val="ListParagraph"/>
        <w:numPr>
          <w:ilvl w:val="0"/>
          <w:numId w:val="1"/>
        </w:numPr>
      </w:pPr>
      <w:r>
        <w:t xml:space="preserve">The actual uptake of </w:t>
      </w:r>
      <w:proofErr w:type="spellStart"/>
      <w:r>
        <w:t>venetoclax</w:t>
      </w:r>
      <w:proofErr w:type="spellEnd"/>
      <w:r>
        <w:t xml:space="preserve"> </w:t>
      </w:r>
      <w:r w:rsidR="00EE41B1" w:rsidRPr="00EE41B1">
        <w:t xml:space="preserve">in combination with </w:t>
      </w:r>
      <w:proofErr w:type="spellStart"/>
      <w:r w:rsidR="00EE41B1" w:rsidRPr="00EE41B1">
        <w:t>obinutuzumab</w:t>
      </w:r>
      <w:proofErr w:type="spellEnd"/>
      <w:r w:rsidR="00EE41B1">
        <w:t xml:space="preserve"> for first-line treatment of CLL/SLL</w:t>
      </w:r>
      <w:r w:rsidR="009A5005">
        <w:t xml:space="preserve"> </w:t>
      </w:r>
      <w:r>
        <w:t xml:space="preserve">was </w:t>
      </w:r>
      <w:r w:rsidR="001C421B" w:rsidRPr="003D2C09">
        <w:rPr>
          <w:highlight w:val="black"/>
          <w:shd w:val="clear" w:color="auto" w:fill="D9D9D9" w:themeFill="background1" w:themeFillShade="D9"/>
        </w:rPr>
        <w:t>XXXXXXX</w:t>
      </w:r>
      <w:r>
        <w:t xml:space="preserve"> over the first two years of listing than predicted. </w:t>
      </w:r>
    </w:p>
    <w:p w14:paraId="141C5E12" w14:textId="0E17F8B9" w:rsidR="00F24A05" w:rsidRDefault="00122DA7" w:rsidP="006F2B12">
      <w:pPr>
        <w:pStyle w:val="ListParagraph"/>
        <w:numPr>
          <w:ilvl w:val="0"/>
          <w:numId w:val="1"/>
        </w:numPr>
      </w:pPr>
      <w:r>
        <w:t>T</w:t>
      </w:r>
      <w:r w:rsidR="00F24A05" w:rsidRPr="00046964">
        <w:t xml:space="preserve">he actual substitution rate of chlorambucil </w:t>
      </w:r>
      <w:r w:rsidR="00EE41B1">
        <w:t>in combination with</w:t>
      </w:r>
      <w:r w:rsidR="00F24A05">
        <w:t xml:space="preserve"> </w:t>
      </w:r>
      <w:proofErr w:type="spellStart"/>
      <w:r w:rsidR="00F24A05" w:rsidRPr="00046964">
        <w:t>obinutuzumab</w:t>
      </w:r>
      <w:proofErr w:type="spellEnd"/>
      <w:r w:rsidR="00F24A05" w:rsidRPr="00046964">
        <w:t xml:space="preserve"> for </w:t>
      </w:r>
      <w:proofErr w:type="spellStart"/>
      <w:r w:rsidR="00F24A05" w:rsidRPr="00046964">
        <w:t>venetoclax</w:t>
      </w:r>
      <w:proofErr w:type="spellEnd"/>
      <w:r w:rsidR="00F24A05" w:rsidRPr="00046964">
        <w:t xml:space="preserve"> </w:t>
      </w:r>
      <w:r>
        <w:t xml:space="preserve">in first-line therapy </w:t>
      </w:r>
      <w:r w:rsidR="00F24A05" w:rsidRPr="00046964">
        <w:t xml:space="preserve">is </w:t>
      </w:r>
      <w:r w:rsidR="001C421B" w:rsidRPr="003D2C09">
        <w:rPr>
          <w:highlight w:val="black"/>
          <w:shd w:val="clear" w:color="auto" w:fill="D9D9D9" w:themeFill="background1" w:themeFillShade="D9"/>
        </w:rPr>
        <w:t>XXXXX</w:t>
      </w:r>
      <w:r w:rsidR="00F24A05" w:rsidRPr="00046964">
        <w:t xml:space="preserve"> than predicted over the first </w:t>
      </w:r>
      <w:r w:rsidR="009A5005">
        <w:t>two</w:t>
      </w:r>
      <w:r w:rsidR="00F24A05" w:rsidRPr="00046964">
        <w:t xml:space="preserve"> years of listing</w:t>
      </w:r>
      <w:r w:rsidR="00F24A05">
        <w:t>.</w:t>
      </w:r>
    </w:p>
    <w:p w14:paraId="1CDF3625" w14:textId="6D003884" w:rsidR="00F24A05" w:rsidRDefault="00F24A05" w:rsidP="00522B0F">
      <w:pPr>
        <w:pStyle w:val="ListParagraph"/>
        <w:numPr>
          <w:ilvl w:val="0"/>
          <w:numId w:val="1"/>
        </w:numPr>
        <w:ind w:right="-115"/>
      </w:pPr>
      <w:r>
        <w:t>The overall use of second-line therapies for CLL</w:t>
      </w:r>
      <w:r w:rsidR="00EE41B1">
        <w:t>/SLL</w:t>
      </w:r>
      <w:r>
        <w:t xml:space="preserve"> appears to have remained stable since the listing of </w:t>
      </w:r>
      <w:proofErr w:type="spellStart"/>
      <w:r>
        <w:t>venetoclax</w:t>
      </w:r>
      <w:proofErr w:type="spellEnd"/>
      <w:r>
        <w:t xml:space="preserve"> for first</w:t>
      </w:r>
      <w:r w:rsidR="006F2941">
        <w:t>-</w:t>
      </w:r>
      <w:r>
        <w:t xml:space="preserve">line </w:t>
      </w:r>
      <w:r w:rsidR="00304ACE">
        <w:t>t</w:t>
      </w:r>
      <w:r>
        <w:t>herapy.</w:t>
      </w:r>
      <w:r w:rsidR="004056D5">
        <w:t xml:space="preserve"> However, </w:t>
      </w:r>
      <w:r>
        <w:t xml:space="preserve">there appears to be a shift away from the use of </w:t>
      </w:r>
      <w:r w:rsidR="00980AF7">
        <w:t xml:space="preserve">ibrutinib </w:t>
      </w:r>
      <w:r>
        <w:t xml:space="preserve">towards </w:t>
      </w:r>
      <w:proofErr w:type="spellStart"/>
      <w:r>
        <w:t>venetoclax</w:t>
      </w:r>
      <w:proofErr w:type="spellEnd"/>
      <w:r>
        <w:t xml:space="preserve"> (as either monotherapy or in combination with </w:t>
      </w:r>
      <w:r w:rsidRPr="00C43290">
        <w:t>rituximab</w:t>
      </w:r>
      <w:r>
        <w:t>)</w:t>
      </w:r>
      <w:r w:rsidRPr="00C43290">
        <w:t xml:space="preserve"> </w:t>
      </w:r>
      <w:r>
        <w:t xml:space="preserve">and to a lesser extent </w:t>
      </w:r>
      <w:r w:rsidRPr="00350C0C">
        <w:t>acalabrutinib</w:t>
      </w:r>
      <w:r>
        <w:t xml:space="preserve"> for second-line therapy.</w:t>
      </w:r>
    </w:p>
    <w:p w14:paraId="38B57ECC" w14:textId="2121D272" w:rsidR="00BB0D1A" w:rsidRPr="00AF62B5" w:rsidRDefault="00960C7C" w:rsidP="00AF62B5">
      <w:pPr>
        <w:pStyle w:val="ListParagraph"/>
        <w:numPr>
          <w:ilvl w:val="0"/>
          <w:numId w:val="1"/>
        </w:numPr>
      </w:pPr>
      <w:r w:rsidRPr="00960C7C">
        <w:t xml:space="preserve">The median time on treatment including breaks </w:t>
      </w:r>
      <w:r w:rsidR="006F2941">
        <w:t xml:space="preserve">in supply </w:t>
      </w:r>
      <w:r w:rsidRPr="00960C7C">
        <w:t xml:space="preserve">was estimated to be </w:t>
      </w:r>
      <w:r>
        <w:t>3</w:t>
      </w:r>
      <w:r w:rsidR="00333059">
        <w:t>60</w:t>
      </w:r>
      <w:r w:rsidRPr="00960C7C">
        <w:t xml:space="preserve"> days and excluding breaks was estimated to be</w:t>
      </w:r>
      <w:r>
        <w:t xml:space="preserve"> </w:t>
      </w:r>
      <w:r w:rsidR="00333059">
        <w:t>315</w:t>
      </w:r>
      <w:r w:rsidRPr="00960C7C">
        <w:t xml:space="preserve"> days</w:t>
      </w:r>
      <w:r w:rsidR="00F24A05">
        <w:t xml:space="preserve">. </w:t>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4FF8065B" w14:textId="5A13482A" w:rsidR="00A56620" w:rsidRPr="00A56620" w:rsidRDefault="00A56620" w:rsidP="00990DCF">
      <w:r>
        <w:t xml:space="preserve">To compare the predicted and actual utilisation of </w:t>
      </w:r>
      <w:proofErr w:type="spellStart"/>
      <w:r w:rsidRPr="00AB358B">
        <w:t>venetoclax</w:t>
      </w:r>
      <w:proofErr w:type="spellEnd"/>
      <w:r w:rsidRPr="00AB358B">
        <w:t xml:space="preserve"> </w:t>
      </w:r>
      <w:r>
        <w:t xml:space="preserve">for </w:t>
      </w:r>
      <w:r w:rsidRPr="00AB358B">
        <w:t xml:space="preserve">first-line treatment </w:t>
      </w:r>
      <w:r>
        <w:t xml:space="preserve">of </w:t>
      </w:r>
      <w:r w:rsidRPr="00AB358B">
        <w:t>CLL or SLL</w:t>
      </w:r>
      <w:r>
        <w:t xml:space="preserve"> since its listing on the PBS</w:t>
      </w:r>
      <w:r w:rsidR="00E511E0">
        <w:t xml:space="preserve"> </w:t>
      </w:r>
      <w:r w:rsidR="00E511E0" w:rsidRPr="00E511E0">
        <w:t xml:space="preserve">and how the listing effected the second-line </w:t>
      </w:r>
      <w:r w:rsidR="000475BB">
        <w:t>treatments</w:t>
      </w:r>
      <w:r w:rsidR="00E511E0" w:rsidRPr="00E511E0">
        <w:t xml:space="preserve"> for CLL and SLL</w:t>
      </w:r>
      <w:r>
        <w:t xml:space="preserve">. </w:t>
      </w:r>
    </w:p>
    <w:p w14:paraId="0A7F0B57" w14:textId="034D22D5" w:rsidR="006537D9" w:rsidRPr="005E22C2" w:rsidRDefault="00736041" w:rsidP="00CF5E22">
      <w:pPr>
        <w:pStyle w:val="Heading1"/>
      </w:pPr>
      <w:r w:rsidRPr="005E22C2">
        <w:t>Background</w:t>
      </w:r>
    </w:p>
    <w:p w14:paraId="1A13D0EA" w14:textId="77777777" w:rsidR="00835B21" w:rsidRPr="008121A0" w:rsidRDefault="00EE2BBB" w:rsidP="009A0B16">
      <w:pPr>
        <w:spacing w:after="0"/>
        <w:rPr>
          <w:b/>
          <w:bCs/>
        </w:rPr>
      </w:pPr>
      <w:r w:rsidRPr="008121A0">
        <w:rPr>
          <w:b/>
          <w:bCs/>
        </w:rPr>
        <w:t>Clinical situation</w:t>
      </w:r>
      <w:r w:rsidR="003419D5" w:rsidRPr="008121A0">
        <w:rPr>
          <w:b/>
          <w:bCs/>
        </w:rPr>
        <w:t xml:space="preserve"> </w:t>
      </w:r>
    </w:p>
    <w:p w14:paraId="620F2F7B" w14:textId="77777777" w:rsidR="00835B21" w:rsidRDefault="00835B21" w:rsidP="009A0B16">
      <w:pPr>
        <w:spacing w:after="0"/>
      </w:pPr>
    </w:p>
    <w:p w14:paraId="0F1824EC" w14:textId="77F3E117" w:rsidR="0084060E" w:rsidRDefault="0084060E" w:rsidP="009A0B16">
      <w:pPr>
        <w:spacing w:after="0"/>
      </w:pPr>
      <w:r w:rsidRPr="00EF1669">
        <w:t>CLL/SLL is a</w:t>
      </w:r>
      <w:r w:rsidR="00336638">
        <w:t xml:space="preserve"> </w:t>
      </w:r>
      <w:r w:rsidRPr="00EF1669">
        <w:t xml:space="preserve">slow-growing cancer in which immature </w:t>
      </w:r>
      <w:r w:rsidR="004F5BE9" w:rsidRPr="00EF1669">
        <w:t>B-</w:t>
      </w:r>
      <w:r w:rsidRPr="00EF1669">
        <w:t xml:space="preserve">lymphocytes </w:t>
      </w:r>
      <w:r w:rsidR="004F5BE9" w:rsidRPr="00EF1669">
        <w:t xml:space="preserve">(B-cells) </w:t>
      </w:r>
      <w:r w:rsidRPr="00EF1669">
        <w:t xml:space="preserve">are found in the blood and bone marrow and/or in the lymph nodes. CLL and SLL are the same disease, but in CLL cancer cells are found mostly in the blood and bone marrow. In SLL cancer cells are found mostly in the lymph nodes. CLL/SLL is a type of non-Hodgkin lymphoma. </w:t>
      </w:r>
    </w:p>
    <w:p w14:paraId="2B583A79" w14:textId="77777777" w:rsidR="00866F66" w:rsidRPr="00866F66" w:rsidRDefault="00866F66" w:rsidP="009A0B16">
      <w:pPr>
        <w:spacing w:after="0"/>
      </w:pPr>
    </w:p>
    <w:p w14:paraId="6D3D8AFA" w14:textId="77777777" w:rsidR="00835B21" w:rsidRDefault="003419D5" w:rsidP="009A0B16">
      <w:pPr>
        <w:spacing w:after="0"/>
      </w:pPr>
      <w:r>
        <w:t>Data from t</w:t>
      </w:r>
      <w:r w:rsidR="004F5BE9" w:rsidRPr="00EF1669">
        <w:t xml:space="preserve">he Australian Institute for Health and Welfare (AIHW) </w:t>
      </w:r>
      <w:r>
        <w:t>indicates that</w:t>
      </w:r>
      <w:r w:rsidR="004F5BE9" w:rsidRPr="00EF1669">
        <w:t xml:space="preserve"> CLL ha</w:t>
      </w:r>
      <w:r>
        <w:t>d</w:t>
      </w:r>
      <w:r w:rsidR="00835B21">
        <w:t>:</w:t>
      </w:r>
      <w:r w:rsidR="004F5BE9" w:rsidRPr="00EF1669">
        <w:t xml:space="preserve"> </w:t>
      </w:r>
    </w:p>
    <w:p w14:paraId="1B903776" w14:textId="77777777" w:rsidR="00835B21" w:rsidRDefault="004F5BE9" w:rsidP="00835B21">
      <w:pPr>
        <w:pStyle w:val="ListParagraph"/>
        <w:numPr>
          <w:ilvl w:val="0"/>
          <w:numId w:val="16"/>
        </w:numPr>
        <w:spacing w:after="0"/>
      </w:pPr>
      <w:r w:rsidRPr="00EF1669">
        <w:t xml:space="preserve">an age-standardised incidence rate of 7.3 cases per 100,000 persons in </w:t>
      </w:r>
      <w:proofErr w:type="gramStart"/>
      <w:r w:rsidRPr="00EF1669">
        <w:t>2022</w:t>
      </w:r>
      <w:r w:rsidR="00835B21">
        <w:t>;</w:t>
      </w:r>
      <w:proofErr w:type="gramEnd"/>
      <w:r w:rsidRPr="00EF1669">
        <w:t xml:space="preserve"> </w:t>
      </w:r>
    </w:p>
    <w:p w14:paraId="0CBE7B12" w14:textId="4FBBDD47" w:rsidR="00835B21" w:rsidRDefault="004F5BE9" w:rsidP="00835B21">
      <w:pPr>
        <w:pStyle w:val="ListParagraph"/>
        <w:numPr>
          <w:ilvl w:val="0"/>
          <w:numId w:val="16"/>
        </w:numPr>
        <w:spacing w:after="0"/>
      </w:pPr>
      <w:r w:rsidRPr="00EF1669">
        <w:t xml:space="preserve">a 5-year relative survival rate of </w:t>
      </w:r>
      <w:proofErr w:type="gramStart"/>
      <w:r w:rsidRPr="00EF1669">
        <w:t>8</w:t>
      </w:r>
      <w:r w:rsidR="002617A8" w:rsidRPr="00EF1669">
        <w:t>5.4</w:t>
      </w:r>
      <w:r w:rsidRPr="00EF1669">
        <w:t>%</w:t>
      </w:r>
      <w:r w:rsidR="00835B21">
        <w:t>;</w:t>
      </w:r>
      <w:proofErr w:type="gramEnd"/>
    </w:p>
    <w:p w14:paraId="06E1DF73" w14:textId="147B7679" w:rsidR="00835B21" w:rsidRDefault="00835B21" w:rsidP="00835B21">
      <w:pPr>
        <w:pStyle w:val="ListParagraph"/>
        <w:numPr>
          <w:ilvl w:val="0"/>
          <w:numId w:val="16"/>
        </w:numPr>
        <w:spacing w:after="0"/>
      </w:pPr>
      <w:r>
        <w:t>an</w:t>
      </w:r>
      <w:r w:rsidR="00F05698">
        <w:t xml:space="preserve"> a</w:t>
      </w:r>
      <w:r w:rsidR="00F05698" w:rsidRPr="00F05698">
        <w:t>ge-standardised rate</w:t>
      </w:r>
      <w:r w:rsidR="00F05698">
        <w:t xml:space="preserve"> in males of all ages being</w:t>
      </w:r>
      <w:r w:rsidR="00F05698" w:rsidRPr="00F05698">
        <w:t xml:space="preserve"> 9.7 cases per </w:t>
      </w:r>
      <w:proofErr w:type="gramStart"/>
      <w:r w:rsidR="00F05698" w:rsidRPr="00F05698">
        <w:t>100,000</w:t>
      </w:r>
      <w:r>
        <w:t>;</w:t>
      </w:r>
      <w:proofErr w:type="gramEnd"/>
      <w:r w:rsidR="00F05698">
        <w:t xml:space="preserve"> </w:t>
      </w:r>
    </w:p>
    <w:p w14:paraId="0FF3F500" w14:textId="55D598FD" w:rsidR="00835B21" w:rsidRDefault="00835B21" w:rsidP="00835B21">
      <w:pPr>
        <w:pStyle w:val="ListParagraph"/>
        <w:numPr>
          <w:ilvl w:val="0"/>
          <w:numId w:val="16"/>
        </w:numPr>
        <w:spacing w:after="0"/>
      </w:pPr>
      <w:r>
        <w:t xml:space="preserve">an </w:t>
      </w:r>
      <w:r w:rsidR="00F05698">
        <w:t>a</w:t>
      </w:r>
      <w:r w:rsidR="00F05698" w:rsidRPr="00F05698">
        <w:t>ge-standardised rate</w:t>
      </w:r>
      <w:r w:rsidR="00F05698">
        <w:t xml:space="preserve"> in females of all ages being</w:t>
      </w:r>
      <w:r w:rsidR="00F05698" w:rsidRPr="00F05698">
        <w:t> 5.1 cases per 100,000</w:t>
      </w:r>
      <w:r>
        <w:t>;</w:t>
      </w:r>
      <w:r w:rsidR="00B70617">
        <w:t xml:space="preserve"> and </w:t>
      </w:r>
    </w:p>
    <w:p w14:paraId="24C052AF" w14:textId="5019FC61" w:rsidR="00F05698" w:rsidRDefault="00B70617" w:rsidP="00835B21">
      <w:pPr>
        <w:pStyle w:val="ListParagraph"/>
        <w:numPr>
          <w:ilvl w:val="0"/>
          <w:numId w:val="16"/>
        </w:numPr>
        <w:spacing w:after="0"/>
      </w:pPr>
      <w:r>
        <w:t>a mean age at diagnosis of 71.0 years (72.4 years for females and 70.2 years in males) in 2018</w:t>
      </w:r>
      <w:r w:rsidR="00F05698">
        <w:t>.</w:t>
      </w:r>
      <w:r w:rsidR="00EF1669">
        <w:t xml:space="preserve"> </w:t>
      </w:r>
    </w:p>
    <w:p w14:paraId="461ED18E" w14:textId="77777777" w:rsidR="00F05698" w:rsidRDefault="00F05698" w:rsidP="009A0B16">
      <w:pPr>
        <w:spacing w:after="0"/>
      </w:pPr>
    </w:p>
    <w:p w14:paraId="107A966F" w14:textId="6D2C5A1F" w:rsidR="004F5BE9" w:rsidRPr="00EF1669" w:rsidRDefault="00EF1669" w:rsidP="009A0B16">
      <w:pPr>
        <w:spacing w:after="0"/>
      </w:pPr>
      <w:r>
        <w:t xml:space="preserve">At any </w:t>
      </w:r>
      <w:r w:rsidR="00FF2C28">
        <w:t>time,</w:t>
      </w:r>
      <w:r>
        <w:t xml:space="preserve"> the population of untreated CLL/SLL is made up of three subpopulations. Those who are asymptomatic but will require treatment sometime in the future, those who are asymptomatic and never require treatment and those who are symptomatic and currently require treatment.</w:t>
      </w:r>
    </w:p>
    <w:p w14:paraId="0DF2C9E8" w14:textId="77777777" w:rsidR="0084060E" w:rsidRDefault="0084060E" w:rsidP="009A0B16">
      <w:pPr>
        <w:spacing w:after="0"/>
        <w:rPr>
          <w:u w:val="single"/>
        </w:rPr>
      </w:pPr>
    </w:p>
    <w:p w14:paraId="608E345D" w14:textId="741A7FB9" w:rsidR="00EE2BBB" w:rsidRPr="00866F66" w:rsidRDefault="00B824CF" w:rsidP="009A0B16">
      <w:pPr>
        <w:spacing w:after="0"/>
        <w:rPr>
          <w:vertAlign w:val="superscript"/>
        </w:rPr>
      </w:pPr>
      <w:proofErr w:type="spellStart"/>
      <w:r w:rsidRPr="00866F66">
        <w:t>Venetoclax</w:t>
      </w:r>
      <w:proofErr w:type="spellEnd"/>
      <w:r w:rsidRPr="00866F66">
        <w:t xml:space="preserve"> is indicated for</w:t>
      </w:r>
      <w:r w:rsidR="009A0B16" w:rsidRPr="00866F66">
        <w:t xml:space="preserve"> CLL or SLL</w:t>
      </w:r>
      <w:r w:rsidR="0000202C">
        <w:t xml:space="preserve"> </w:t>
      </w:r>
      <w:r w:rsidRPr="00866F66">
        <w:t>for the treatment of patients who are considered unfit or unsuitable for chemo-immunotherapy</w:t>
      </w:r>
      <w:r w:rsidR="00EE2BBB" w:rsidRPr="00866F66">
        <w:t>.</w:t>
      </w:r>
      <w:r w:rsidR="00AC698C" w:rsidRPr="00866F66" w:rsidDel="009A0B16">
        <w:rPr>
          <w:vertAlign w:val="superscript"/>
        </w:rPr>
        <w:t xml:space="preserve"> </w:t>
      </w:r>
    </w:p>
    <w:p w14:paraId="410E34F8" w14:textId="1A29919B" w:rsidR="00A56620" w:rsidRPr="00866F66" w:rsidRDefault="00A56620" w:rsidP="009A0B16">
      <w:pPr>
        <w:spacing w:after="0"/>
        <w:rPr>
          <w:vertAlign w:val="superscript"/>
        </w:rPr>
      </w:pPr>
    </w:p>
    <w:p w14:paraId="59CF9BF9" w14:textId="4A448FFD" w:rsidR="00A56620" w:rsidRPr="00866F66" w:rsidRDefault="00A56620" w:rsidP="00A56620">
      <w:pPr>
        <w:spacing w:after="0"/>
      </w:pPr>
      <w:proofErr w:type="spellStart"/>
      <w:r w:rsidRPr="00866F66">
        <w:t>Venetoclax</w:t>
      </w:r>
      <w:proofErr w:type="spellEnd"/>
      <w:r w:rsidRPr="00866F66">
        <w:t xml:space="preserve"> is also indicated</w:t>
      </w:r>
      <w:r w:rsidR="00F05CFB">
        <w:t xml:space="preserve"> for</w:t>
      </w:r>
      <w:r w:rsidRPr="00866F66">
        <w:t>:</w:t>
      </w:r>
    </w:p>
    <w:p w14:paraId="5E75B957" w14:textId="77777777" w:rsidR="00A56620" w:rsidRDefault="00A56620" w:rsidP="00A56620">
      <w:pPr>
        <w:spacing w:after="0"/>
        <w:rPr>
          <w:u w:val="single"/>
        </w:rPr>
      </w:pPr>
    </w:p>
    <w:p w14:paraId="3B037585" w14:textId="7D3C47E4" w:rsidR="00A56620" w:rsidRDefault="00A56620" w:rsidP="00A56620">
      <w:pPr>
        <w:pStyle w:val="ListParagraph"/>
        <w:numPr>
          <w:ilvl w:val="0"/>
          <w:numId w:val="7"/>
        </w:numPr>
        <w:spacing w:after="0"/>
      </w:pPr>
      <w:r>
        <w:t>in combination with rituximab for the treatment of adult patients with CLL who have received at least one prior therapy.</w:t>
      </w:r>
    </w:p>
    <w:p w14:paraId="03473D67" w14:textId="77777777" w:rsidR="00A56620" w:rsidRDefault="00A56620" w:rsidP="00A56620">
      <w:pPr>
        <w:spacing w:after="0"/>
      </w:pPr>
    </w:p>
    <w:p w14:paraId="29AA08C2" w14:textId="1C3880BA" w:rsidR="00866F66" w:rsidRDefault="00A56620" w:rsidP="00667EFB">
      <w:pPr>
        <w:pStyle w:val="ListParagraph"/>
        <w:numPr>
          <w:ilvl w:val="0"/>
          <w:numId w:val="7"/>
        </w:numPr>
        <w:spacing w:after="0"/>
      </w:pPr>
      <w:r>
        <w:t>as monotherapy for the treatment of:</w:t>
      </w:r>
    </w:p>
    <w:p w14:paraId="245925BA" w14:textId="766664AA" w:rsidR="00866F66" w:rsidRDefault="00A56620" w:rsidP="00866F66">
      <w:pPr>
        <w:pStyle w:val="ListParagraph"/>
        <w:numPr>
          <w:ilvl w:val="0"/>
          <w:numId w:val="11"/>
        </w:numPr>
        <w:spacing w:after="0"/>
      </w:pPr>
      <w:r>
        <w:t>patients with relapsed or refractory CLL with 17p deletion, or</w:t>
      </w:r>
    </w:p>
    <w:p w14:paraId="47C3AABE" w14:textId="0AB9E8F7" w:rsidR="00A56620" w:rsidRDefault="00A56620" w:rsidP="00866F66">
      <w:pPr>
        <w:pStyle w:val="ListParagraph"/>
        <w:numPr>
          <w:ilvl w:val="0"/>
          <w:numId w:val="11"/>
        </w:numPr>
        <w:spacing w:after="0"/>
      </w:pPr>
      <w:r>
        <w:t>patients with relapsed or refractory CLL for whom there are no other suitable treatment options.</w:t>
      </w:r>
    </w:p>
    <w:p w14:paraId="345C08E5" w14:textId="49CE04A5" w:rsidR="00A56620" w:rsidRDefault="00A56620" w:rsidP="00A56620">
      <w:pPr>
        <w:spacing w:after="0"/>
        <w:ind w:left="720"/>
      </w:pPr>
    </w:p>
    <w:p w14:paraId="7F950468" w14:textId="442C2551" w:rsidR="00A56620" w:rsidRDefault="00A56620" w:rsidP="00A56620">
      <w:pPr>
        <w:pStyle w:val="ListParagraph"/>
        <w:numPr>
          <w:ilvl w:val="0"/>
          <w:numId w:val="7"/>
        </w:numPr>
        <w:spacing w:after="0"/>
      </w:pPr>
      <w:r>
        <w:t>i</w:t>
      </w:r>
      <w:r w:rsidRPr="00A56620">
        <w:t xml:space="preserve">n combination with </w:t>
      </w:r>
      <w:proofErr w:type="spellStart"/>
      <w:r w:rsidRPr="00A56620">
        <w:t>azacitidine</w:t>
      </w:r>
      <w:proofErr w:type="spellEnd"/>
      <w:r w:rsidRPr="00A56620">
        <w:t xml:space="preserve"> or </w:t>
      </w:r>
      <w:proofErr w:type="gramStart"/>
      <w:r w:rsidRPr="00A56620">
        <w:t>low-dose</w:t>
      </w:r>
      <w:proofErr w:type="gramEnd"/>
      <w:r w:rsidRPr="00A56620">
        <w:t xml:space="preserve"> cytarabine, for the treatment of adult patients with newly diagnosed acute myeloid leukaemia who are ineligible for intensive chemotherapy.</w:t>
      </w:r>
    </w:p>
    <w:p w14:paraId="041445DE" w14:textId="12891CC4" w:rsidR="00205423" w:rsidRDefault="00205423" w:rsidP="00205423">
      <w:pPr>
        <w:spacing w:after="0"/>
      </w:pPr>
      <w:r>
        <w:lastRenderedPageBreak/>
        <w:t xml:space="preserve">Other </w:t>
      </w:r>
      <w:r w:rsidR="00653B4F">
        <w:t>P</w:t>
      </w:r>
      <w:r w:rsidR="00F14A0A">
        <w:t>BS</w:t>
      </w:r>
      <w:r w:rsidR="00653B4F">
        <w:t xml:space="preserve"> </w:t>
      </w:r>
      <w:r>
        <w:t>listed treatments for CLL</w:t>
      </w:r>
      <w:r w:rsidR="00F14A0A">
        <w:t xml:space="preserve"> include</w:t>
      </w:r>
      <w:r>
        <w:t>:</w:t>
      </w:r>
    </w:p>
    <w:p w14:paraId="53997AC5" w14:textId="5B8D8CDA" w:rsidR="00205423" w:rsidRDefault="00205423" w:rsidP="00205423">
      <w:pPr>
        <w:spacing w:after="0"/>
      </w:pPr>
    </w:p>
    <w:p w14:paraId="6061641B" w14:textId="395E3724" w:rsidR="00205423" w:rsidRDefault="00205423" w:rsidP="00205423">
      <w:pPr>
        <w:spacing w:after="0"/>
      </w:pPr>
      <w:r>
        <w:t>Fludarabine appropriate</w:t>
      </w:r>
    </w:p>
    <w:p w14:paraId="1BC58F71" w14:textId="600F4CE4" w:rsidR="00205423" w:rsidRDefault="00205423" w:rsidP="00653B4F">
      <w:pPr>
        <w:pStyle w:val="ListParagraph"/>
        <w:numPr>
          <w:ilvl w:val="0"/>
          <w:numId w:val="7"/>
        </w:numPr>
        <w:spacing w:after="0"/>
      </w:pPr>
      <w:r>
        <w:t xml:space="preserve">First-line – </w:t>
      </w:r>
      <w:bookmarkStart w:id="0" w:name="_Hlk138320429"/>
      <w:r w:rsidRPr="00205423">
        <w:t>fludarabine</w:t>
      </w:r>
      <w:r>
        <w:t xml:space="preserve"> with </w:t>
      </w:r>
      <w:r w:rsidRPr="00205423">
        <w:t>cyclophosphamide</w:t>
      </w:r>
      <w:r>
        <w:t xml:space="preserve"> and </w:t>
      </w:r>
      <w:r w:rsidRPr="00205423">
        <w:t>rituximab</w:t>
      </w:r>
      <w:bookmarkEnd w:id="0"/>
      <w:r>
        <w:t xml:space="preserve">, </w:t>
      </w:r>
      <w:proofErr w:type="spellStart"/>
      <w:r>
        <w:t>b</w:t>
      </w:r>
      <w:r w:rsidRPr="00205423">
        <w:t>endamustine</w:t>
      </w:r>
      <w:proofErr w:type="spellEnd"/>
      <w:r>
        <w:t xml:space="preserve"> with </w:t>
      </w:r>
      <w:r w:rsidRPr="00205423">
        <w:t>rituximab</w:t>
      </w:r>
      <w:r w:rsidR="00844491">
        <w:t>.</w:t>
      </w:r>
    </w:p>
    <w:p w14:paraId="42313D03" w14:textId="77777777" w:rsidR="00844491" w:rsidRDefault="00844491" w:rsidP="00205423">
      <w:pPr>
        <w:spacing w:after="0"/>
      </w:pPr>
    </w:p>
    <w:p w14:paraId="2636BC69" w14:textId="28F5D149" w:rsidR="00205423" w:rsidRDefault="00205423" w:rsidP="00653B4F">
      <w:pPr>
        <w:pStyle w:val="ListParagraph"/>
        <w:numPr>
          <w:ilvl w:val="0"/>
          <w:numId w:val="7"/>
        </w:numPr>
        <w:spacing w:after="0"/>
      </w:pPr>
      <w:proofErr w:type="gramStart"/>
      <w:r>
        <w:t>Second-line</w:t>
      </w:r>
      <w:proofErr w:type="gramEnd"/>
      <w:r>
        <w:t xml:space="preserve"> </w:t>
      </w:r>
      <w:r w:rsidR="00844491">
        <w:t xml:space="preserve">for </w:t>
      </w:r>
      <w:r w:rsidR="00CF4FDB">
        <w:t>R</w:t>
      </w:r>
      <w:r w:rsidR="00844491" w:rsidRPr="00844491">
        <w:t>elapsed</w:t>
      </w:r>
      <w:r w:rsidR="00844491">
        <w:t xml:space="preserve"> or </w:t>
      </w:r>
      <w:r w:rsidR="00CF4FDB">
        <w:t>R</w:t>
      </w:r>
      <w:r w:rsidR="00844491" w:rsidRPr="00844491">
        <w:t xml:space="preserve">efractory </w:t>
      </w:r>
      <w:r>
        <w:t xml:space="preserve">(RR) – </w:t>
      </w:r>
      <w:r w:rsidR="00844491" w:rsidRPr="00844491">
        <w:t>fludarabine with cyclophosphamide and rituximab</w:t>
      </w:r>
      <w:r w:rsidR="00844491">
        <w:t>.</w:t>
      </w:r>
    </w:p>
    <w:p w14:paraId="05ED2018" w14:textId="53A16DBF" w:rsidR="00205423" w:rsidRDefault="00205423" w:rsidP="00205423">
      <w:pPr>
        <w:spacing w:after="0"/>
      </w:pPr>
    </w:p>
    <w:p w14:paraId="72FC1093" w14:textId="11501715" w:rsidR="00205423" w:rsidRDefault="00205423" w:rsidP="00205423">
      <w:pPr>
        <w:spacing w:after="0"/>
      </w:pPr>
      <w:r w:rsidRPr="00205423">
        <w:t xml:space="preserve">Fludarabine </w:t>
      </w:r>
      <w:r>
        <w:t>in</w:t>
      </w:r>
      <w:r w:rsidRPr="00205423">
        <w:t>appropriate</w:t>
      </w:r>
    </w:p>
    <w:p w14:paraId="0960A00E" w14:textId="79CC0BD3" w:rsidR="00844491" w:rsidRDefault="00844491" w:rsidP="00653B4F">
      <w:pPr>
        <w:pStyle w:val="ListParagraph"/>
        <w:numPr>
          <w:ilvl w:val="0"/>
          <w:numId w:val="10"/>
        </w:numPr>
        <w:spacing w:after="0"/>
      </w:pPr>
      <w:r>
        <w:t xml:space="preserve">First-line – </w:t>
      </w:r>
      <w:proofErr w:type="spellStart"/>
      <w:r w:rsidR="003650BD">
        <w:t>venetoclax</w:t>
      </w:r>
      <w:proofErr w:type="spellEnd"/>
      <w:r w:rsidR="003650BD">
        <w:t xml:space="preserve"> and </w:t>
      </w:r>
      <w:proofErr w:type="spellStart"/>
      <w:r w:rsidR="003650BD">
        <w:t>obinutuzumab</w:t>
      </w:r>
      <w:proofErr w:type="spellEnd"/>
      <w:r w:rsidR="003650BD">
        <w:t xml:space="preserve">, </w:t>
      </w:r>
      <w:proofErr w:type="spellStart"/>
      <w:r>
        <w:t>obinutuzumab</w:t>
      </w:r>
      <w:proofErr w:type="spellEnd"/>
      <w:r>
        <w:t xml:space="preserve"> and </w:t>
      </w:r>
      <w:r w:rsidRPr="00844491">
        <w:t>chlorambucil, rituximab</w:t>
      </w:r>
      <w:r w:rsidR="00653B4F">
        <w:t xml:space="preserve"> and </w:t>
      </w:r>
      <w:r w:rsidRPr="00844491">
        <w:t>chlorambucil</w:t>
      </w:r>
      <w:r w:rsidR="00653B4F">
        <w:t>.</w:t>
      </w:r>
    </w:p>
    <w:p w14:paraId="5AE8FB8C" w14:textId="77777777" w:rsidR="00844491" w:rsidRDefault="00844491" w:rsidP="00844491">
      <w:pPr>
        <w:spacing w:after="0"/>
      </w:pPr>
    </w:p>
    <w:p w14:paraId="48923D65" w14:textId="62C01DCE" w:rsidR="00205423" w:rsidRPr="00A56620" w:rsidRDefault="00844491" w:rsidP="00653B4F">
      <w:pPr>
        <w:pStyle w:val="ListParagraph"/>
        <w:numPr>
          <w:ilvl w:val="0"/>
          <w:numId w:val="10"/>
        </w:numPr>
        <w:spacing w:after="0"/>
      </w:pPr>
      <w:proofErr w:type="gramStart"/>
      <w:r>
        <w:t>Second-line</w:t>
      </w:r>
      <w:proofErr w:type="gramEnd"/>
      <w:r>
        <w:t xml:space="preserve"> </w:t>
      </w:r>
      <w:r w:rsidR="008202FB">
        <w:t xml:space="preserve">for RR </w:t>
      </w:r>
      <w:r>
        <w:t xml:space="preserve">– </w:t>
      </w:r>
      <w:proofErr w:type="spellStart"/>
      <w:r w:rsidR="003650BD">
        <w:t>venetoclax</w:t>
      </w:r>
      <w:proofErr w:type="spellEnd"/>
      <w:r w:rsidR="003650BD">
        <w:t xml:space="preserve">, </w:t>
      </w:r>
      <w:proofErr w:type="spellStart"/>
      <w:r w:rsidRPr="00844491">
        <w:t>venetoclax</w:t>
      </w:r>
      <w:proofErr w:type="spellEnd"/>
      <w:r>
        <w:t xml:space="preserve"> and </w:t>
      </w:r>
      <w:r w:rsidRPr="00844491">
        <w:t>rituximab</w:t>
      </w:r>
      <w:r>
        <w:t>,</w:t>
      </w:r>
      <w:r w:rsidR="00653B4F">
        <w:t xml:space="preserve"> </w:t>
      </w:r>
      <w:r w:rsidRPr="00844491">
        <w:t>ibrutinib</w:t>
      </w:r>
      <w:r w:rsidR="00653B4F">
        <w:t xml:space="preserve">, </w:t>
      </w:r>
      <w:r w:rsidR="00653B4F" w:rsidRPr="00653B4F">
        <w:t>acalabrutinib</w:t>
      </w:r>
      <w:r w:rsidR="00CF4FDB">
        <w:t xml:space="preserve">, </w:t>
      </w:r>
      <w:proofErr w:type="spellStart"/>
      <w:r w:rsidR="00CF4FDB" w:rsidRPr="00CF4FDB">
        <w:t>idelalisib</w:t>
      </w:r>
      <w:proofErr w:type="spellEnd"/>
      <w:r w:rsidR="00CF4FDB">
        <w:t xml:space="preserve"> and </w:t>
      </w:r>
      <w:r w:rsidR="00CF4FDB" w:rsidRPr="00CF4FDB">
        <w:t>rituximab</w:t>
      </w:r>
      <w:r w:rsidR="00CF4FDB">
        <w:t>.</w:t>
      </w:r>
    </w:p>
    <w:p w14:paraId="0183A567" w14:textId="413DF87B" w:rsidR="007247B9" w:rsidRDefault="007247B9" w:rsidP="00CF5E22">
      <w:pPr>
        <w:pStyle w:val="Heading2"/>
      </w:pPr>
      <w:r>
        <w:t>Pharmacology</w:t>
      </w:r>
    </w:p>
    <w:p w14:paraId="02A707CD" w14:textId="4A6569CF" w:rsidR="00644E42" w:rsidRDefault="00644E42" w:rsidP="00AE4BAC">
      <w:pPr>
        <w:rPr>
          <w:highlight w:val="yellow"/>
        </w:rPr>
      </w:pPr>
      <w:proofErr w:type="spellStart"/>
      <w:r w:rsidRPr="00644E42">
        <w:t>Venetoclax</w:t>
      </w:r>
      <w:proofErr w:type="spellEnd"/>
      <w:r w:rsidRPr="00644E42">
        <w:t xml:space="preserve"> is a small-molecule inhibitor of B-cell lymphoma (BCL)-2. Overexpression of BCL-2 has been demonstrated in </w:t>
      </w:r>
      <w:r>
        <w:t>C</w:t>
      </w:r>
      <w:r w:rsidRPr="00644E42">
        <w:t xml:space="preserve">LL cells, as well as various other haematological and solid tumour malignancies, and has been implicated in resistance to certain therapeutic agents. </w:t>
      </w:r>
      <w:proofErr w:type="spellStart"/>
      <w:r w:rsidRPr="00644E42">
        <w:t>Venetoclax</w:t>
      </w:r>
      <w:proofErr w:type="spellEnd"/>
      <w:r w:rsidRPr="00644E42">
        <w:t xml:space="preserve"> helps restore the process of apoptosis by binding directly to the BCL-2 protein, displacing pro-apoptotic proteins, triggering mitochondrial outer membrane </w:t>
      </w:r>
      <w:proofErr w:type="spellStart"/>
      <w:r w:rsidRPr="00644E42">
        <w:t>permeabilisation</w:t>
      </w:r>
      <w:proofErr w:type="spellEnd"/>
      <w:r w:rsidRPr="00644E42">
        <w:t xml:space="preserve">, the release of cytochrome c from mitochondria and the activation of caspases. </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505BAC11" w14:textId="17DF34A0" w:rsidR="00D83226" w:rsidRDefault="00D83226" w:rsidP="00D83226">
      <w:proofErr w:type="spellStart"/>
      <w:r w:rsidRPr="00D83226">
        <w:t>Venetoclax</w:t>
      </w:r>
      <w:proofErr w:type="spellEnd"/>
      <w:r w:rsidRPr="00D83226">
        <w:t xml:space="preserve"> </w:t>
      </w:r>
      <w:r>
        <w:t>was registered on the Australian Register of Therapeutic Goods</w:t>
      </w:r>
      <w:r w:rsidR="004E360D">
        <w:t xml:space="preserve"> (ARTG)</w:t>
      </w:r>
      <w:r>
        <w:t xml:space="preserve"> on 5</w:t>
      </w:r>
      <w:r w:rsidRPr="00412B46">
        <w:rPr>
          <w:vertAlign w:val="superscript"/>
        </w:rPr>
        <w:t>th</w:t>
      </w:r>
      <w:r>
        <w:t xml:space="preserve"> of January 2017 in combination with </w:t>
      </w:r>
      <w:proofErr w:type="spellStart"/>
      <w:r>
        <w:t>obinutuzumab</w:t>
      </w:r>
      <w:proofErr w:type="spellEnd"/>
      <w:r>
        <w:t xml:space="preserve"> for the treatment of patients with CLL or SLL who are considered unfit or unsuitable for chemo-immunotherapy.</w:t>
      </w:r>
    </w:p>
    <w:p w14:paraId="6D2903F7" w14:textId="77777777" w:rsidR="00DD7974" w:rsidRDefault="00D83226" w:rsidP="00D83226">
      <w:proofErr w:type="spellStart"/>
      <w:r w:rsidRPr="00D83226">
        <w:t>Venetoclax</w:t>
      </w:r>
      <w:proofErr w:type="spellEnd"/>
      <w:r>
        <w:t xml:space="preserve"> is also registered on the ARTG </w:t>
      </w:r>
      <w:r w:rsidR="00DD7974">
        <w:t>for the following indications:</w:t>
      </w:r>
    </w:p>
    <w:p w14:paraId="17CE62D7" w14:textId="77777777" w:rsidR="00DD7974" w:rsidRDefault="00D83226" w:rsidP="00DD7974">
      <w:pPr>
        <w:pStyle w:val="ListParagraph"/>
        <w:numPr>
          <w:ilvl w:val="0"/>
          <w:numId w:val="6"/>
        </w:numPr>
      </w:pPr>
      <w:r w:rsidRPr="00D83226">
        <w:t>in combination with rituximab for the treatment of adult patients with CLL</w:t>
      </w:r>
      <w:r>
        <w:t xml:space="preserve"> </w:t>
      </w:r>
      <w:r w:rsidRPr="00D83226">
        <w:t>who have received at least one prior therapy</w:t>
      </w:r>
    </w:p>
    <w:p w14:paraId="3FB6442F" w14:textId="08F8263D" w:rsidR="00DD7974" w:rsidRDefault="00DD7974" w:rsidP="00DD7974">
      <w:pPr>
        <w:pStyle w:val="ListParagraph"/>
        <w:numPr>
          <w:ilvl w:val="0"/>
          <w:numId w:val="6"/>
        </w:numPr>
      </w:pPr>
      <w:r>
        <w:t xml:space="preserve">as </w:t>
      </w:r>
      <w:r w:rsidR="00D83226" w:rsidRPr="00D83226">
        <w:t>monotherapy for the treatment of</w:t>
      </w:r>
      <w:r>
        <w:t>:</w:t>
      </w:r>
      <w:r w:rsidR="00D83226" w:rsidRPr="00D83226">
        <w:t xml:space="preserve"> </w:t>
      </w:r>
    </w:p>
    <w:p w14:paraId="3782BB54" w14:textId="01EDDF87" w:rsidR="00DD7974" w:rsidRDefault="00D83226" w:rsidP="00DD7974">
      <w:pPr>
        <w:pStyle w:val="ListParagraph"/>
        <w:numPr>
          <w:ilvl w:val="1"/>
          <w:numId w:val="6"/>
        </w:numPr>
      </w:pPr>
      <w:r w:rsidRPr="00D83226">
        <w:t>patients with relapsed or refractory CLL with 17p</w:t>
      </w:r>
      <w:r>
        <w:t xml:space="preserve"> </w:t>
      </w:r>
      <w:r w:rsidRPr="00D83226">
        <w:t>deletion, or</w:t>
      </w:r>
      <w:r w:rsidR="00DD7974">
        <w:t>,</w:t>
      </w:r>
      <w:r w:rsidRPr="00D83226">
        <w:t xml:space="preserve"> </w:t>
      </w:r>
    </w:p>
    <w:p w14:paraId="71DC5652" w14:textId="4773D6E2" w:rsidR="00DD7974" w:rsidRDefault="00D83226" w:rsidP="00DD7974">
      <w:pPr>
        <w:pStyle w:val="ListParagraph"/>
        <w:numPr>
          <w:ilvl w:val="1"/>
          <w:numId w:val="6"/>
        </w:numPr>
      </w:pPr>
      <w:r w:rsidRPr="00D83226">
        <w:t>patients with relapsed or refractory CLL for whom there are no other suitable treatment options</w:t>
      </w:r>
      <w:r w:rsidR="00DD7974">
        <w:t>.</w:t>
      </w:r>
    </w:p>
    <w:p w14:paraId="15295898" w14:textId="2E19BC46" w:rsidR="00D83226" w:rsidRDefault="00D83226" w:rsidP="00DD7974">
      <w:pPr>
        <w:pStyle w:val="ListParagraph"/>
        <w:numPr>
          <w:ilvl w:val="0"/>
          <w:numId w:val="6"/>
        </w:numPr>
      </w:pPr>
      <w:r w:rsidRPr="00D83226">
        <w:t>in</w:t>
      </w:r>
      <w:r>
        <w:t xml:space="preserve"> </w:t>
      </w:r>
      <w:r w:rsidRPr="00D83226">
        <w:t xml:space="preserve">combination with </w:t>
      </w:r>
      <w:proofErr w:type="spellStart"/>
      <w:r w:rsidRPr="00D83226">
        <w:t>azacitidine</w:t>
      </w:r>
      <w:proofErr w:type="spellEnd"/>
      <w:r w:rsidRPr="00D83226">
        <w:t xml:space="preserve"> or </w:t>
      </w:r>
      <w:proofErr w:type="gramStart"/>
      <w:r w:rsidRPr="00D83226">
        <w:t>low-dose</w:t>
      </w:r>
      <w:proofErr w:type="gramEnd"/>
      <w:r w:rsidRPr="00D83226">
        <w:t xml:space="preserve"> cytarabine, for the treatment of adult patients with newly diagnosed </w:t>
      </w:r>
      <w:r w:rsidR="00A56620">
        <w:t>AML</w:t>
      </w:r>
      <w:r>
        <w:t xml:space="preserve"> </w:t>
      </w:r>
      <w:r w:rsidRPr="00D83226">
        <w:t>who are ineligible for intensive chemotherapy.</w:t>
      </w:r>
    </w:p>
    <w:p w14:paraId="4FF933DE" w14:textId="644A36D8" w:rsidR="00AF62B5" w:rsidRPr="00336638" w:rsidRDefault="00336638" w:rsidP="00A35800">
      <w:proofErr w:type="spellStart"/>
      <w:r>
        <w:t>Venetoclax</w:t>
      </w:r>
      <w:proofErr w:type="spellEnd"/>
      <w:r>
        <w:t xml:space="preserve"> product information includes a black triangle indicating that it </w:t>
      </w:r>
      <w:r w:rsidR="00BF47F1">
        <w:t xml:space="preserve">is </w:t>
      </w:r>
      <w:r w:rsidRPr="00336638">
        <w:t>subject to additional monitoring in Australia</w:t>
      </w:r>
      <w:r w:rsidR="00BF47F1">
        <w:t>.</w:t>
      </w:r>
      <w:r>
        <w:t xml:space="preserve"> </w:t>
      </w:r>
      <w:r w:rsidR="00BF47F1">
        <w:t>B</w:t>
      </w:r>
      <w:r>
        <w:t>y being included in the Black Triangle scheme</w:t>
      </w:r>
      <w:r w:rsidR="00BF47F1">
        <w:t>,</w:t>
      </w:r>
      <w:r>
        <w:t xml:space="preserve"> t</w:t>
      </w:r>
      <w:r w:rsidR="00BF47F1">
        <w:t>his</w:t>
      </w:r>
      <w:r>
        <w:t xml:space="preserve"> </w:t>
      </w:r>
      <w:r w:rsidRPr="00336638">
        <w:t>remind</w:t>
      </w:r>
      <w:r w:rsidR="00BF47F1">
        <w:t>s</w:t>
      </w:r>
      <w:r w:rsidRPr="00336638">
        <w:t xml:space="preserve"> health professionals and consumers to report suspected adverse events</w:t>
      </w:r>
      <w:r w:rsidR="00BF47F1">
        <w:t>.</w:t>
      </w:r>
    </w:p>
    <w:p w14:paraId="15E919C1" w14:textId="1B3BA560" w:rsidR="006B709B" w:rsidRDefault="006B709B" w:rsidP="00CF5E22">
      <w:pPr>
        <w:pStyle w:val="Heading2"/>
      </w:pPr>
      <w:r>
        <w:lastRenderedPageBreak/>
        <w:t>Dosage and administration</w:t>
      </w:r>
    </w:p>
    <w:p w14:paraId="1C3CB7EF" w14:textId="77777777" w:rsidR="00C552CB" w:rsidRPr="008121A0" w:rsidRDefault="00C552CB" w:rsidP="00C552CB">
      <w:pPr>
        <w:rPr>
          <w:u w:val="single"/>
        </w:rPr>
      </w:pPr>
      <w:r w:rsidRPr="008121A0">
        <w:rPr>
          <w:u w:val="single"/>
        </w:rPr>
        <w:t>5-week ramp-up schedule</w:t>
      </w:r>
    </w:p>
    <w:p w14:paraId="5FBDA8D4" w14:textId="52A96542" w:rsidR="00C552CB" w:rsidRDefault="00C552CB" w:rsidP="00C552CB">
      <w:r>
        <w:t xml:space="preserve">The starting dose of </w:t>
      </w:r>
      <w:proofErr w:type="spellStart"/>
      <w:r>
        <w:t>v</w:t>
      </w:r>
      <w:r w:rsidRPr="00644E42">
        <w:t>enetoclax</w:t>
      </w:r>
      <w:proofErr w:type="spellEnd"/>
      <w:r>
        <w:t xml:space="preserve"> is 20 mg once daily for 7 days. The </w:t>
      </w:r>
      <w:proofErr w:type="spellStart"/>
      <w:r>
        <w:t>v</w:t>
      </w:r>
      <w:r w:rsidRPr="00644E42">
        <w:t>enetoclax</w:t>
      </w:r>
      <w:proofErr w:type="spellEnd"/>
      <w:r>
        <w:t xml:space="preserve"> dose must be administered according to a weekly ramp-up schedule to the daily dose of 400 mg over a period of 5 weeks as shown in Table 1. The 5-week ramp-up schedule is designed to gradually reduce tumour burden (debulking) and decrease the risk of </w:t>
      </w:r>
      <w:r w:rsidRPr="00C552CB">
        <w:t>tumour lysis syndrome (TLS)</w:t>
      </w:r>
      <w:r>
        <w:t>.</w:t>
      </w:r>
    </w:p>
    <w:p w14:paraId="479E6FB7" w14:textId="28731B19" w:rsidR="00C552CB" w:rsidRPr="00310369" w:rsidRDefault="00C552CB" w:rsidP="002F56AA">
      <w:pPr>
        <w:spacing w:before="200" w:after="20"/>
        <w:rPr>
          <w:b/>
          <w:bCs/>
        </w:rPr>
      </w:pPr>
      <w:r w:rsidRPr="00310369">
        <w:rPr>
          <w:b/>
          <w:bCs/>
        </w:rPr>
        <w:t>Table 1</w:t>
      </w:r>
      <w:r w:rsidR="00A56620" w:rsidRPr="00310369">
        <w:rPr>
          <w:b/>
          <w:bCs/>
        </w:rPr>
        <w:t>:</w:t>
      </w:r>
      <w:r w:rsidRPr="00310369">
        <w:rPr>
          <w:b/>
          <w:bCs/>
        </w:rPr>
        <w:t xml:space="preserve"> Dosing schedule including ramp-up phase for patients with CLL/SLL</w:t>
      </w:r>
    </w:p>
    <w:tbl>
      <w:tblPr>
        <w:tblStyle w:val="TableGrid"/>
        <w:tblW w:w="0" w:type="auto"/>
        <w:tblLook w:val="04A0" w:firstRow="1" w:lastRow="0" w:firstColumn="1" w:lastColumn="0" w:noHBand="0" w:noVBand="1"/>
      </w:tblPr>
      <w:tblGrid>
        <w:gridCol w:w="1526"/>
        <w:gridCol w:w="6095"/>
      </w:tblGrid>
      <w:tr w:rsidR="00C552CB" w:rsidRPr="001311EB" w14:paraId="38EE44F9" w14:textId="77777777" w:rsidTr="002F56AA">
        <w:tc>
          <w:tcPr>
            <w:tcW w:w="1526" w:type="dxa"/>
            <w:shd w:val="clear" w:color="auto" w:fill="BFBFBF" w:themeFill="background1" w:themeFillShade="BF"/>
          </w:tcPr>
          <w:p w14:paraId="6AF76EB8" w14:textId="212BC849" w:rsidR="00C552CB" w:rsidRPr="002F56AA" w:rsidRDefault="00C552CB" w:rsidP="001C5ECB">
            <w:pPr>
              <w:spacing w:beforeLines="60" w:before="144" w:afterLines="60" w:after="144"/>
              <w:rPr>
                <w:b/>
                <w:bCs/>
                <w:sz w:val="20"/>
                <w:szCs w:val="20"/>
              </w:rPr>
            </w:pPr>
            <w:r w:rsidRPr="002F56AA">
              <w:rPr>
                <w:b/>
                <w:bCs/>
                <w:sz w:val="20"/>
                <w:szCs w:val="20"/>
              </w:rPr>
              <w:t>Week</w:t>
            </w:r>
          </w:p>
        </w:tc>
        <w:tc>
          <w:tcPr>
            <w:tcW w:w="6095" w:type="dxa"/>
            <w:shd w:val="clear" w:color="auto" w:fill="BFBFBF" w:themeFill="background1" w:themeFillShade="BF"/>
            <w:vAlign w:val="center"/>
          </w:tcPr>
          <w:p w14:paraId="315F87EC" w14:textId="1429DA43" w:rsidR="00C552CB" w:rsidRPr="002F56AA" w:rsidRDefault="00C552CB" w:rsidP="001C5ECB">
            <w:pPr>
              <w:spacing w:beforeLines="60" w:before="144" w:afterLines="60" w:after="144"/>
              <w:jc w:val="center"/>
              <w:rPr>
                <w:b/>
                <w:bCs/>
                <w:sz w:val="20"/>
                <w:szCs w:val="20"/>
              </w:rPr>
            </w:pPr>
            <w:proofErr w:type="spellStart"/>
            <w:r w:rsidRPr="002F56AA">
              <w:rPr>
                <w:b/>
                <w:bCs/>
                <w:sz w:val="20"/>
                <w:szCs w:val="20"/>
              </w:rPr>
              <w:t>Venetoclax</w:t>
            </w:r>
            <w:proofErr w:type="spellEnd"/>
            <w:r w:rsidRPr="002F56AA">
              <w:rPr>
                <w:b/>
                <w:bCs/>
                <w:sz w:val="20"/>
                <w:szCs w:val="20"/>
              </w:rPr>
              <w:t xml:space="preserve"> daily dose</w:t>
            </w:r>
          </w:p>
        </w:tc>
      </w:tr>
      <w:tr w:rsidR="00C552CB" w:rsidRPr="001311EB" w14:paraId="438A66F6" w14:textId="77777777" w:rsidTr="002F56AA">
        <w:tc>
          <w:tcPr>
            <w:tcW w:w="1526" w:type="dxa"/>
          </w:tcPr>
          <w:p w14:paraId="27D8CEF0" w14:textId="24A6F8CF" w:rsidR="00C552CB" w:rsidRPr="002F56AA" w:rsidRDefault="00C552CB" w:rsidP="001C5ECB">
            <w:pPr>
              <w:spacing w:beforeLines="60" w:before="144" w:afterLines="60" w:after="144"/>
              <w:rPr>
                <w:sz w:val="20"/>
                <w:szCs w:val="20"/>
              </w:rPr>
            </w:pPr>
            <w:r w:rsidRPr="002F56AA">
              <w:rPr>
                <w:sz w:val="20"/>
                <w:szCs w:val="20"/>
              </w:rPr>
              <w:t>1</w:t>
            </w:r>
          </w:p>
        </w:tc>
        <w:tc>
          <w:tcPr>
            <w:tcW w:w="6095" w:type="dxa"/>
            <w:vAlign w:val="center"/>
          </w:tcPr>
          <w:p w14:paraId="438795CB" w14:textId="78BBBC20" w:rsidR="00C552CB" w:rsidRPr="002F56AA" w:rsidRDefault="00C552CB" w:rsidP="001C5ECB">
            <w:pPr>
              <w:spacing w:beforeLines="60" w:before="144" w:afterLines="60" w:after="144"/>
              <w:jc w:val="center"/>
              <w:rPr>
                <w:sz w:val="20"/>
                <w:szCs w:val="20"/>
              </w:rPr>
            </w:pPr>
            <w:r w:rsidRPr="002F56AA">
              <w:rPr>
                <w:sz w:val="20"/>
                <w:szCs w:val="20"/>
              </w:rPr>
              <w:t>20 mg</w:t>
            </w:r>
          </w:p>
        </w:tc>
      </w:tr>
      <w:tr w:rsidR="00C552CB" w:rsidRPr="001311EB" w14:paraId="6E25FD8B" w14:textId="77777777" w:rsidTr="002F56AA">
        <w:tc>
          <w:tcPr>
            <w:tcW w:w="1526" w:type="dxa"/>
          </w:tcPr>
          <w:p w14:paraId="2F9CB985" w14:textId="34A3E714" w:rsidR="00C552CB" w:rsidRPr="002F56AA" w:rsidRDefault="00C552CB" w:rsidP="001C5ECB">
            <w:pPr>
              <w:spacing w:beforeLines="60" w:before="144" w:afterLines="60" w:after="144"/>
              <w:rPr>
                <w:sz w:val="20"/>
                <w:szCs w:val="20"/>
              </w:rPr>
            </w:pPr>
            <w:r w:rsidRPr="002F56AA">
              <w:rPr>
                <w:sz w:val="20"/>
                <w:szCs w:val="20"/>
              </w:rPr>
              <w:t>2</w:t>
            </w:r>
          </w:p>
        </w:tc>
        <w:tc>
          <w:tcPr>
            <w:tcW w:w="6095" w:type="dxa"/>
            <w:vAlign w:val="center"/>
          </w:tcPr>
          <w:p w14:paraId="2A85E81A" w14:textId="7A40D3E4" w:rsidR="00C552CB" w:rsidRPr="002F56AA" w:rsidRDefault="00C552CB" w:rsidP="001C5ECB">
            <w:pPr>
              <w:spacing w:beforeLines="60" w:before="144" w:afterLines="60" w:after="144"/>
              <w:jc w:val="center"/>
              <w:rPr>
                <w:sz w:val="20"/>
                <w:szCs w:val="20"/>
              </w:rPr>
            </w:pPr>
            <w:r w:rsidRPr="002F56AA">
              <w:rPr>
                <w:sz w:val="20"/>
                <w:szCs w:val="20"/>
              </w:rPr>
              <w:t>50 mg</w:t>
            </w:r>
          </w:p>
        </w:tc>
      </w:tr>
      <w:tr w:rsidR="00C552CB" w:rsidRPr="001311EB" w14:paraId="7306ADAA" w14:textId="77777777" w:rsidTr="002F56AA">
        <w:tc>
          <w:tcPr>
            <w:tcW w:w="1526" w:type="dxa"/>
          </w:tcPr>
          <w:p w14:paraId="427C9E01" w14:textId="0EE4C7DB" w:rsidR="00C552CB" w:rsidRPr="002F56AA" w:rsidRDefault="00C552CB" w:rsidP="001C5ECB">
            <w:pPr>
              <w:spacing w:beforeLines="60" w:before="144" w:afterLines="60" w:after="144"/>
              <w:rPr>
                <w:sz w:val="20"/>
                <w:szCs w:val="20"/>
              </w:rPr>
            </w:pPr>
            <w:r w:rsidRPr="002F56AA">
              <w:rPr>
                <w:sz w:val="20"/>
                <w:szCs w:val="20"/>
              </w:rPr>
              <w:t>3</w:t>
            </w:r>
          </w:p>
        </w:tc>
        <w:tc>
          <w:tcPr>
            <w:tcW w:w="6095" w:type="dxa"/>
            <w:vAlign w:val="center"/>
          </w:tcPr>
          <w:p w14:paraId="41C66467" w14:textId="52C6E32F" w:rsidR="00C552CB" w:rsidRPr="002F56AA" w:rsidRDefault="00C552CB" w:rsidP="001C5ECB">
            <w:pPr>
              <w:spacing w:beforeLines="60" w:before="144" w:afterLines="60" w:after="144"/>
              <w:jc w:val="center"/>
              <w:rPr>
                <w:sz w:val="20"/>
                <w:szCs w:val="20"/>
              </w:rPr>
            </w:pPr>
            <w:r w:rsidRPr="002F56AA">
              <w:rPr>
                <w:sz w:val="20"/>
                <w:szCs w:val="20"/>
              </w:rPr>
              <w:t>100 mg</w:t>
            </w:r>
          </w:p>
        </w:tc>
      </w:tr>
      <w:tr w:rsidR="00C552CB" w:rsidRPr="001311EB" w14:paraId="47DB5A2A" w14:textId="77777777" w:rsidTr="002F56AA">
        <w:tc>
          <w:tcPr>
            <w:tcW w:w="1526" w:type="dxa"/>
          </w:tcPr>
          <w:p w14:paraId="62414253" w14:textId="79D3CB03" w:rsidR="00C552CB" w:rsidRPr="002F56AA" w:rsidRDefault="00C552CB" w:rsidP="001C5ECB">
            <w:pPr>
              <w:spacing w:beforeLines="60" w:before="144" w:afterLines="60" w:after="144"/>
              <w:rPr>
                <w:sz w:val="20"/>
                <w:szCs w:val="20"/>
              </w:rPr>
            </w:pPr>
            <w:r w:rsidRPr="002F56AA">
              <w:rPr>
                <w:sz w:val="20"/>
                <w:szCs w:val="20"/>
              </w:rPr>
              <w:t>4</w:t>
            </w:r>
          </w:p>
        </w:tc>
        <w:tc>
          <w:tcPr>
            <w:tcW w:w="6095" w:type="dxa"/>
            <w:vAlign w:val="center"/>
          </w:tcPr>
          <w:p w14:paraId="7C9A55D2" w14:textId="56B82D02" w:rsidR="00C552CB" w:rsidRPr="002F56AA" w:rsidRDefault="00C552CB" w:rsidP="001C5ECB">
            <w:pPr>
              <w:spacing w:beforeLines="60" w:before="144" w:afterLines="60" w:after="144"/>
              <w:jc w:val="center"/>
              <w:rPr>
                <w:sz w:val="20"/>
                <w:szCs w:val="20"/>
              </w:rPr>
            </w:pPr>
            <w:r w:rsidRPr="002F56AA">
              <w:rPr>
                <w:sz w:val="20"/>
                <w:szCs w:val="20"/>
              </w:rPr>
              <w:t>200 mg</w:t>
            </w:r>
          </w:p>
        </w:tc>
      </w:tr>
      <w:tr w:rsidR="00C552CB" w:rsidRPr="001311EB" w14:paraId="63E93CE2" w14:textId="77777777" w:rsidTr="002F56AA">
        <w:tc>
          <w:tcPr>
            <w:tcW w:w="1526" w:type="dxa"/>
          </w:tcPr>
          <w:p w14:paraId="451EE748" w14:textId="389EF074" w:rsidR="00C552CB" w:rsidRPr="002F56AA" w:rsidRDefault="00C552CB" w:rsidP="001C5ECB">
            <w:pPr>
              <w:spacing w:beforeLines="60" w:before="144" w:afterLines="60" w:after="144"/>
              <w:rPr>
                <w:sz w:val="20"/>
                <w:szCs w:val="20"/>
              </w:rPr>
            </w:pPr>
            <w:r w:rsidRPr="002F56AA">
              <w:rPr>
                <w:sz w:val="20"/>
                <w:szCs w:val="20"/>
              </w:rPr>
              <w:t>5 and beyond</w:t>
            </w:r>
          </w:p>
        </w:tc>
        <w:tc>
          <w:tcPr>
            <w:tcW w:w="6095" w:type="dxa"/>
            <w:vAlign w:val="center"/>
          </w:tcPr>
          <w:p w14:paraId="4D9B8FD2" w14:textId="1351CC35" w:rsidR="00C552CB" w:rsidRPr="002F56AA" w:rsidRDefault="00C552CB" w:rsidP="001C5ECB">
            <w:pPr>
              <w:spacing w:beforeLines="60" w:before="144" w:afterLines="60" w:after="144"/>
              <w:jc w:val="center"/>
              <w:rPr>
                <w:sz w:val="20"/>
                <w:szCs w:val="20"/>
              </w:rPr>
            </w:pPr>
            <w:r w:rsidRPr="002F56AA">
              <w:rPr>
                <w:sz w:val="20"/>
                <w:szCs w:val="20"/>
              </w:rPr>
              <w:t>400 mg</w:t>
            </w:r>
          </w:p>
        </w:tc>
      </w:tr>
    </w:tbl>
    <w:p w14:paraId="32277DB7" w14:textId="043C8052" w:rsidR="00C552CB" w:rsidRPr="001311EB" w:rsidRDefault="007564CF" w:rsidP="00A35800">
      <w:pPr>
        <w:pStyle w:val="Notes"/>
        <w:rPr>
          <w:rFonts w:cstheme="minorBidi"/>
        </w:rPr>
      </w:pPr>
      <w:r w:rsidRPr="001311EB">
        <w:t xml:space="preserve">Source: </w:t>
      </w:r>
      <w:proofErr w:type="spellStart"/>
      <w:r w:rsidRPr="001311EB">
        <w:t>Venclexta</w:t>
      </w:r>
      <w:proofErr w:type="spellEnd"/>
      <w:r w:rsidRPr="001311EB">
        <w:t>® (</w:t>
      </w:r>
      <w:proofErr w:type="spellStart"/>
      <w:r w:rsidRPr="001311EB">
        <w:t>Venetoclax</w:t>
      </w:r>
      <w:proofErr w:type="spellEnd"/>
      <w:r w:rsidRPr="001311EB">
        <w:t xml:space="preserve">). Australian Approved Product Information. </w:t>
      </w:r>
      <w:hyperlink r:id="rId8" w:history="1">
        <w:r w:rsidRPr="001311EB">
          <w:rPr>
            <w:rFonts w:cstheme="minorBidi"/>
            <w:color w:val="0000FF"/>
            <w:u w:val="single"/>
          </w:rPr>
          <w:t>pdf (tga.gov.au)</w:t>
        </w:r>
      </w:hyperlink>
    </w:p>
    <w:p w14:paraId="67044A3C" w14:textId="77777777" w:rsidR="00C552CB" w:rsidRPr="008121A0" w:rsidRDefault="00C552CB" w:rsidP="00C552CB">
      <w:pPr>
        <w:rPr>
          <w:u w:val="single"/>
        </w:rPr>
      </w:pPr>
      <w:r w:rsidRPr="008121A0">
        <w:rPr>
          <w:u w:val="single"/>
        </w:rPr>
        <w:t>First line CLL/SLL:</w:t>
      </w:r>
    </w:p>
    <w:p w14:paraId="2D0261E8" w14:textId="7145465B" w:rsidR="00C552CB" w:rsidRDefault="00C552CB" w:rsidP="00522B0F">
      <w:pPr>
        <w:ind w:right="-257"/>
      </w:pPr>
      <w:proofErr w:type="spellStart"/>
      <w:r>
        <w:t>V</w:t>
      </w:r>
      <w:r w:rsidRPr="00644E42">
        <w:t>enetoclax</w:t>
      </w:r>
      <w:proofErr w:type="spellEnd"/>
      <w:r>
        <w:t xml:space="preserve"> should be given for a total of 12 cycles (28 days in each cycle) as shown in Table 2.</w:t>
      </w:r>
    </w:p>
    <w:p w14:paraId="7EEB7452" w14:textId="162A88B4" w:rsidR="00C552CB" w:rsidRPr="00310369" w:rsidRDefault="006B195F" w:rsidP="002F56AA">
      <w:pPr>
        <w:spacing w:before="200" w:after="20"/>
        <w:rPr>
          <w:b/>
          <w:bCs/>
        </w:rPr>
      </w:pPr>
      <w:r w:rsidRPr="00310369">
        <w:rPr>
          <w:b/>
          <w:bCs/>
        </w:rPr>
        <w:t>Table 2</w:t>
      </w:r>
      <w:r w:rsidR="00A56620" w:rsidRPr="00310369">
        <w:rPr>
          <w:b/>
          <w:bCs/>
        </w:rPr>
        <w:t>:</w:t>
      </w:r>
      <w:r w:rsidRPr="00310369">
        <w:rPr>
          <w:b/>
          <w:bCs/>
        </w:rPr>
        <w:t xml:space="preserve"> Dosing Schedule for </w:t>
      </w:r>
      <w:proofErr w:type="spellStart"/>
      <w:r w:rsidR="00310369">
        <w:rPr>
          <w:b/>
          <w:bCs/>
        </w:rPr>
        <w:t>v</w:t>
      </w:r>
      <w:r w:rsidRPr="00310369">
        <w:rPr>
          <w:b/>
          <w:bCs/>
        </w:rPr>
        <w:t>enetoclax</w:t>
      </w:r>
      <w:proofErr w:type="spellEnd"/>
      <w:r w:rsidRPr="00310369">
        <w:rPr>
          <w:b/>
          <w:bCs/>
        </w:rPr>
        <w:t xml:space="preserve"> in combination with </w:t>
      </w:r>
      <w:proofErr w:type="spellStart"/>
      <w:r w:rsidR="00310369">
        <w:rPr>
          <w:b/>
          <w:bCs/>
        </w:rPr>
        <w:t>o</w:t>
      </w:r>
      <w:r w:rsidRPr="00310369">
        <w:rPr>
          <w:b/>
          <w:bCs/>
        </w:rPr>
        <w:t>binutuzumab</w:t>
      </w:r>
      <w:proofErr w:type="spellEnd"/>
    </w:p>
    <w:tbl>
      <w:tblPr>
        <w:tblStyle w:val="TableGrid"/>
        <w:tblW w:w="0" w:type="auto"/>
        <w:tblLook w:val="04A0" w:firstRow="1" w:lastRow="0" w:firstColumn="1" w:lastColumn="0" w:noHBand="0" w:noVBand="1"/>
      </w:tblPr>
      <w:tblGrid>
        <w:gridCol w:w="2660"/>
        <w:gridCol w:w="4394"/>
        <w:gridCol w:w="2119"/>
      </w:tblGrid>
      <w:tr w:rsidR="006B195F" w14:paraId="7AC89EEC" w14:textId="77777777" w:rsidTr="001C5ECB">
        <w:tc>
          <w:tcPr>
            <w:tcW w:w="2660" w:type="dxa"/>
            <w:shd w:val="clear" w:color="auto" w:fill="BFBFBF" w:themeFill="background1" w:themeFillShade="BF"/>
          </w:tcPr>
          <w:p w14:paraId="11792BAC" w14:textId="5D1996A8" w:rsidR="006B195F" w:rsidRPr="002F56AA" w:rsidRDefault="006B195F" w:rsidP="0035295B">
            <w:pPr>
              <w:spacing w:before="60" w:after="60"/>
              <w:rPr>
                <w:b/>
                <w:bCs/>
                <w:sz w:val="20"/>
                <w:szCs w:val="20"/>
              </w:rPr>
            </w:pPr>
            <w:r w:rsidRPr="002F56AA">
              <w:rPr>
                <w:b/>
                <w:bCs/>
                <w:sz w:val="20"/>
                <w:szCs w:val="20"/>
              </w:rPr>
              <w:t xml:space="preserve">Cycle, Day </w:t>
            </w:r>
          </w:p>
        </w:tc>
        <w:tc>
          <w:tcPr>
            <w:tcW w:w="4394" w:type="dxa"/>
            <w:shd w:val="clear" w:color="auto" w:fill="BFBFBF" w:themeFill="background1" w:themeFillShade="BF"/>
          </w:tcPr>
          <w:p w14:paraId="708D1C8E" w14:textId="39B58DCA" w:rsidR="006B195F" w:rsidRPr="002F56AA" w:rsidRDefault="006B195F" w:rsidP="0035295B">
            <w:pPr>
              <w:spacing w:before="60" w:after="60"/>
              <w:rPr>
                <w:b/>
                <w:bCs/>
                <w:sz w:val="20"/>
                <w:szCs w:val="20"/>
              </w:rPr>
            </w:pPr>
            <w:r w:rsidRPr="002F56AA">
              <w:rPr>
                <w:b/>
                <w:bCs/>
                <w:sz w:val="20"/>
                <w:szCs w:val="20"/>
              </w:rPr>
              <w:t xml:space="preserve">Obinutuzumab </w:t>
            </w:r>
          </w:p>
        </w:tc>
        <w:tc>
          <w:tcPr>
            <w:tcW w:w="2119" w:type="dxa"/>
            <w:shd w:val="clear" w:color="auto" w:fill="BFBFBF" w:themeFill="background1" w:themeFillShade="BF"/>
          </w:tcPr>
          <w:p w14:paraId="708D60D4" w14:textId="3E6A545C" w:rsidR="006B195F" w:rsidRPr="002F56AA" w:rsidRDefault="006B195F" w:rsidP="0035295B">
            <w:pPr>
              <w:spacing w:before="60" w:after="60"/>
              <w:rPr>
                <w:b/>
                <w:bCs/>
                <w:sz w:val="20"/>
                <w:szCs w:val="20"/>
              </w:rPr>
            </w:pPr>
            <w:proofErr w:type="spellStart"/>
            <w:r w:rsidRPr="002F56AA">
              <w:rPr>
                <w:b/>
                <w:bCs/>
                <w:sz w:val="20"/>
                <w:szCs w:val="20"/>
              </w:rPr>
              <w:t>Venetoclax</w:t>
            </w:r>
            <w:proofErr w:type="spellEnd"/>
          </w:p>
        </w:tc>
      </w:tr>
      <w:tr w:rsidR="006B195F" w14:paraId="606BA862" w14:textId="77777777" w:rsidTr="00CF0765">
        <w:tc>
          <w:tcPr>
            <w:tcW w:w="2660" w:type="dxa"/>
          </w:tcPr>
          <w:p w14:paraId="7D85B1F3" w14:textId="587E5ACB" w:rsidR="006B195F" w:rsidRPr="00946130" w:rsidRDefault="006B195F" w:rsidP="0035295B">
            <w:pPr>
              <w:spacing w:before="60" w:after="60"/>
              <w:rPr>
                <w:sz w:val="20"/>
                <w:szCs w:val="20"/>
              </w:rPr>
            </w:pPr>
            <w:r w:rsidRPr="00946130">
              <w:rPr>
                <w:sz w:val="20"/>
                <w:szCs w:val="20"/>
              </w:rPr>
              <w:t xml:space="preserve">Cycle 1, Day 1 </w:t>
            </w:r>
          </w:p>
        </w:tc>
        <w:tc>
          <w:tcPr>
            <w:tcW w:w="4394" w:type="dxa"/>
          </w:tcPr>
          <w:p w14:paraId="026E0DC5" w14:textId="77777777" w:rsidR="006B195F" w:rsidRPr="00946130" w:rsidRDefault="006B195F" w:rsidP="0035295B">
            <w:pPr>
              <w:pStyle w:val="Default"/>
              <w:spacing w:before="60" w:after="60"/>
              <w:rPr>
                <w:sz w:val="20"/>
                <w:szCs w:val="20"/>
              </w:rPr>
            </w:pPr>
            <w:r w:rsidRPr="00946130">
              <w:rPr>
                <w:sz w:val="20"/>
                <w:szCs w:val="20"/>
              </w:rPr>
              <w:t xml:space="preserve">Day 1: 100 mg </w:t>
            </w:r>
          </w:p>
          <w:p w14:paraId="0D08BEFA" w14:textId="5312E0E2" w:rsidR="006B195F" w:rsidRPr="00946130" w:rsidRDefault="006B195F" w:rsidP="0035295B">
            <w:pPr>
              <w:spacing w:before="60" w:after="60"/>
              <w:rPr>
                <w:sz w:val="20"/>
                <w:szCs w:val="20"/>
              </w:rPr>
            </w:pPr>
            <w:r w:rsidRPr="00946130">
              <w:rPr>
                <w:sz w:val="20"/>
                <w:szCs w:val="20"/>
              </w:rPr>
              <w:t xml:space="preserve">Followed by 900 mg which may be administered on Day 1 or Day 2. </w:t>
            </w:r>
          </w:p>
        </w:tc>
        <w:tc>
          <w:tcPr>
            <w:tcW w:w="2119" w:type="dxa"/>
          </w:tcPr>
          <w:p w14:paraId="23932E80" w14:textId="77777777" w:rsidR="006B195F" w:rsidRPr="00946130" w:rsidRDefault="006B195F" w:rsidP="0035295B">
            <w:pPr>
              <w:spacing w:before="60" w:after="60"/>
              <w:rPr>
                <w:sz w:val="20"/>
                <w:szCs w:val="20"/>
              </w:rPr>
            </w:pPr>
          </w:p>
        </w:tc>
      </w:tr>
      <w:tr w:rsidR="006B195F" w14:paraId="3A29359C" w14:textId="77777777" w:rsidTr="00CF0765">
        <w:tc>
          <w:tcPr>
            <w:tcW w:w="2660" w:type="dxa"/>
          </w:tcPr>
          <w:p w14:paraId="1D27A72C" w14:textId="317825E1" w:rsidR="006B195F" w:rsidRPr="00946130" w:rsidRDefault="006B195F" w:rsidP="0035295B">
            <w:pPr>
              <w:spacing w:before="60" w:after="60"/>
              <w:rPr>
                <w:sz w:val="20"/>
                <w:szCs w:val="20"/>
              </w:rPr>
            </w:pPr>
            <w:r w:rsidRPr="00946130">
              <w:rPr>
                <w:sz w:val="20"/>
                <w:szCs w:val="20"/>
              </w:rPr>
              <w:t xml:space="preserve">Cycle 1, Day 8 </w:t>
            </w:r>
          </w:p>
        </w:tc>
        <w:tc>
          <w:tcPr>
            <w:tcW w:w="4394" w:type="dxa"/>
          </w:tcPr>
          <w:p w14:paraId="15450839" w14:textId="6951FC48" w:rsidR="006B195F" w:rsidRPr="00946130" w:rsidRDefault="006B195F" w:rsidP="0035295B">
            <w:pPr>
              <w:spacing w:before="60" w:after="60"/>
              <w:rPr>
                <w:sz w:val="20"/>
                <w:szCs w:val="20"/>
              </w:rPr>
            </w:pPr>
            <w:r w:rsidRPr="00946130">
              <w:rPr>
                <w:sz w:val="20"/>
                <w:szCs w:val="20"/>
              </w:rPr>
              <w:t xml:space="preserve">1000 mg </w:t>
            </w:r>
          </w:p>
        </w:tc>
        <w:tc>
          <w:tcPr>
            <w:tcW w:w="2119" w:type="dxa"/>
          </w:tcPr>
          <w:p w14:paraId="14591FE4" w14:textId="77777777" w:rsidR="006B195F" w:rsidRPr="00946130" w:rsidRDefault="006B195F" w:rsidP="0035295B">
            <w:pPr>
              <w:spacing w:before="60" w:after="60"/>
              <w:rPr>
                <w:sz w:val="20"/>
                <w:szCs w:val="20"/>
              </w:rPr>
            </w:pPr>
          </w:p>
        </w:tc>
      </w:tr>
      <w:tr w:rsidR="006B195F" w14:paraId="4D52DE73" w14:textId="77777777" w:rsidTr="00CF0765">
        <w:tc>
          <w:tcPr>
            <w:tcW w:w="2660" w:type="dxa"/>
          </w:tcPr>
          <w:p w14:paraId="59FA7BF6" w14:textId="0948444E" w:rsidR="006B195F" w:rsidRPr="00946130" w:rsidRDefault="006B195F" w:rsidP="0035295B">
            <w:pPr>
              <w:spacing w:before="60" w:after="60"/>
              <w:rPr>
                <w:sz w:val="20"/>
                <w:szCs w:val="20"/>
              </w:rPr>
            </w:pPr>
            <w:r w:rsidRPr="00946130">
              <w:rPr>
                <w:sz w:val="20"/>
                <w:szCs w:val="20"/>
              </w:rPr>
              <w:t xml:space="preserve">Cycle 1, Day 15 </w:t>
            </w:r>
          </w:p>
        </w:tc>
        <w:tc>
          <w:tcPr>
            <w:tcW w:w="4394" w:type="dxa"/>
          </w:tcPr>
          <w:p w14:paraId="7972617C" w14:textId="34711843" w:rsidR="006B195F" w:rsidRPr="00946130" w:rsidRDefault="006B195F" w:rsidP="0035295B">
            <w:pPr>
              <w:spacing w:before="60" w:after="60"/>
              <w:rPr>
                <w:sz w:val="20"/>
                <w:szCs w:val="20"/>
              </w:rPr>
            </w:pPr>
            <w:r w:rsidRPr="00946130">
              <w:rPr>
                <w:sz w:val="20"/>
                <w:szCs w:val="20"/>
              </w:rPr>
              <w:t xml:space="preserve">1000 mg </w:t>
            </w:r>
          </w:p>
        </w:tc>
        <w:tc>
          <w:tcPr>
            <w:tcW w:w="2119" w:type="dxa"/>
          </w:tcPr>
          <w:p w14:paraId="3412B913" w14:textId="77777777" w:rsidR="006B195F" w:rsidRPr="00946130" w:rsidRDefault="006B195F" w:rsidP="0035295B">
            <w:pPr>
              <w:spacing w:before="60" w:after="60"/>
              <w:rPr>
                <w:sz w:val="20"/>
                <w:szCs w:val="20"/>
              </w:rPr>
            </w:pPr>
          </w:p>
        </w:tc>
      </w:tr>
      <w:tr w:rsidR="006B195F" w14:paraId="0D1B8102" w14:textId="77777777" w:rsidTr="00CF0765">
        <w:tc>
          <w:tcPr>
            <w:tcW w:w="2660" w:type="dxa"/>
          </w:tcPr>
          <w:p w14:paraId="7F2CC5BA" w14:textId="126CFD7C" w:rsidR="006B195F" w:rsidRPr="00946130" w:rsidRDefault="006B195F" w:rsidP="0035295B">
            <w:pPr>
              <w:spacing w:before="60" w:after="60"/>
              <w:rPr>
                <w:sz w:val="20"/>
                <w:szCs w:val="20"/>
              </w:rPr>
            </w:pPr>
            <w:r w:rsidRPr="00946130">
              <w:rPr>
                <w:sz w:val="20"/>
                <w:szCs w:val="20"/>
              </w:rPr>
              <w:t>Cycle 1, Day 22 – 28</w:t>
            </w:r>
          </w:p>
        </w:tc>
        <w:tc>
          <w:tcPr>
            <w:tcW w:w="4394" w:type="dxa"/>
          </w:tcPr>
          <w:p w14:paraId="73AA7C9C" w14:textId="77777777" w:rsidR="006B195F" w:rsidRPr="00946130" w:rsidRDefault="006B195F" w:rsidP="0035295B">
            <w:pPr>
              <w:spacing w:before="60" w:after="60"/>
              <w:rPr>
                <w:sz w:val="20"/>
                <w:szCs w:val="20"/>
              </w:rPr>
            </w:pPr>
          </w:p>
        </w:tc>
        <w:tc>
          <w:tcPr>
            <w:tcW w:w="2119" w:type="dxa"/>
          </w:tcPr>
          <w:p w14:paraId="6E7B593E" w14:textId="770AA639" w:rsidR="006B195F" w:rsidRPr="00946130" w:rsidRDefault="006B195F" w:rsidP="0035295B">
            <w:pPr>
              <w:pStyle w:val="Default"/>
              <w:spacing w:before="60" w:after="60"/>
              <w:rPr>
                <w:sz w:val="20"/>
                <w:szCs w:val="20"/>
              </w:rPr>
            </w:pPr>
            <w:r w:rsidRPr="00946130">
              <w:rPr>
                <w:sz w:val="20"/>
                <w:szCs w:val="20"/>
              </w:rPr>
              <w:t xml:space="preserve">20 mg </w:t>
            </w:r>
            <w:proofErr w:type="spellStart"/>
            <w:r w:rsidRPr="00946130">
              <w:rPr>
                <w:sz w:val="20"/>
                <w:szCs w:val="20"/>
              </w:rPr>
              <w:t>daily</w:t>
            </w:r>
            <w:r w:rsidRPr="00946130">
              <w:rPr>
                <w:sz w:val="20"/>
                <w:szCs w:val="20"/>
                <w:vertAlign w:val="superscript"/>
              </w:rPr>
              <w:t>a</w:t>
            </w:r>
            <w:proofErr w:type="spellEnd"/>
            <w:r w:rsidRPr="00946130">
              <w:rPr>
                <w:sz w:val="20"/>
                <w:szCs w:val="20"/>
              </w:rPr>
              <w:t xml:space="preserve"> </w:t>
            </w:r>
          </w:p>
        </w:tc>
      </w:tr>
      <w:tr w:rsidR="006B195F" w14:paraId="1B18EE77" w14:textId="77777777" w:rsidTr="00CF0765">
        <w:tc>
          <w:tcPr>
            <w:tcW w:w="2660" w:type="dxa"/>
          </w:tcPr>
          <w:p w14:paraId="7330E956" w14:textId="464D3F3A" w:rsidR="006B195F" w:rsidRPr="00946130" w:rsidRDefault="006B195F" w:rsidP="0035295B">
            <w:pPr>
              <w:spacing w:before="60" w:after="60"/>
              <w:rPr>
                <w:sz w:val="20"/>
                <w:szCs w:val="20"/>
              </w:rPr>
            </w:pPr>
            <w:r w:rsidRPr="00946130">
              <w:rPr>
                <w:sz w:val="20"/>
                <w:szCs w:val="20"/>
              </w:rPr>
              <w:t xml:space="preserve">Cycle 2, Day 1 – 7 </w:t>
            </w:r>
          </w:p>
        </w:tc>
        <w:tc>
          <w:tcPr>
            <w:tcW w:w="4394" w:type="dxa"/>
          </w:tcPr>
          <w:p w14:paraId="3674909D" w14:textId="1C7F6A04" w:rsidR="006B195F" w:rsidRPr="00946130" w:rsidRDefault="006B195F" w:rsidP="0035295B">
            <w:pPr>
              <w:spacing w:before="60" w:after="60"/>
              <w:rPr>
                <w:sz w:val="20"/>
                <w:szCs w:val="20"/>
              </w:rPr>
            </w:pPr>
            <w:r w:rsidRPr="00946130">
              <w:rPr>
                <w:sz w:val="20"/>
                <w:szCs w:val="20"/>
              </w:rPr>
              <w:t xml:space="preserve">Day 1 only: 1000 mg </w:t>
            </w:r>
          </w:p>
        </w:tc>
        <w:tc>
          <w:tcPr>
            <w:tcW w:w="2119" w:type="dxa"/>
          </w:tcPr>
          <w:p w14:paraId="30DCA0FE" w14:textId="5F12DC0A" w:rsidR="006B195F" w:rsidRPr="00946130" w:rsidRDefault="006B195F" w:rsidP="0035295B">
            <w:pPr>
              <w:spacing w:before="60" w:after="60"/>
              <w:rPr>
                <w:sz w:val="20"/>
                <w:szCs w:val="20"/>
              </w:rPr>
            </w:pPr>
            <w:r w:rsidRPr="00946130">
              <w:rPr>
                <w:sz w:val="20"/>
                <w:szCs w:val="20"/>
              </w:rPr>
              <w:t xml:space="preserve">50 mg </w:t>
            </w:r>
            <w:proofErr w:type="spellStart"/>
            <w:r w:rsidRPr="00946130">
              <w:rPr>
                <w:sz w:val="20"/>
                <w:szCs w:val="20"/>
              </w:rPr>
              <w:t>daily</w:t>
            </w:r>
            <w:r w:rsidRPr="00946130">
              <w:rPr>
                <w:sz w:val="20"/>
                <w:szCs w:val="20"/>
                <w:vertAlign w:val="superscript"/>
              </w:rPr>
              <w:t>a</w:t>
            </w:r>
            <w:proofErr w:type="spellEnd"/>
            <w:r w:rsidRPr="00946130">
              <w:rPr>
                <w:sz w:val="20"/>
                <w:szCs w:val="20"/>
              </w:rPr>
              <w:t xml:space="preserve"> </w:t>
            </w:r>
          </w:p>
        </w:tc>
      </w:tr>
      <w:tr w:rsidR="006B195F" w14:paraId="27394C05" w14:textId="77777777" w:rsidTr="00CF0765">
        <w:trPr>
          <w:trHeight w:val="382"/>
        </w:trPr>
        <w:tc>
          <w:tcPr>
            <w:tcW w:w="2660" w:type="dxa"/>
          </w:tcPr>
          <w:p w14:paraId="47F39CB1" w14:textId="005CF04B" w:rsidR="006B195F" w:rsidRPr="00946130" w:rsidRDefault="006B195F" w:rsidP="0035295B">
            <w:pPr>
              <w:pStyle w:val="Default"/>
              <w:spacing w:before="60" w:after="60"/>
              <w:rPr>
                <w:sz w:val="20"/>
                <w:szCs w:val="20"/>
              </w:rPr>
            </w:pPr>
            <w:r w:rsidRPr="00946130">
              <w:rPr>
                <w:sz w:val="20"/>
                <w:szCs w:val="20"/>
              </w:rPr>
              <w:t xml:space="preserve">Cycle 2, Day 8 – 14 </w:t>
            </w:r>
          </w:p>
        </w:tc>
        <w:tc>
          <w:tcPr>
            <w:tcW w:w="4394" w:type="dxa"/>
          </w:tcPr>
          <w:p w14:paraId="67CF1521" w14:textId="77777777" w:rsidR="006B195F" w:rsidRPr="00946130" w:rsidRDefault="006B195F" w:rsidP="0035295B">
            <w:pPr>
              <w:spacing w:before="60" w:after="60"/>
              <w:rPr>
                <w:sz w:val="20"/>
                <w:szCs w:val="20"/>
              </w:rPr>
            </w:pPr>
          </w:p>
        </w:tc>
        <w:tc>
          <w:tcPr>
            <w:tcW w:w="2119" w:type="dxa"/>
          </w:tcPr>
          <w:p w14:paraId="0E6A833C" w14:textId="087B236C" w:rsidR="006B195F" w:rsidRPr="00946130" w:rsidRDefault="006B195F" w:rsidP="0035295B">
            <w:pPr>
              <w:pStyle w:val="Default"/>
              <w:spacing w:before="60" w:after="60"/>
              <w:rPr>
                <w:sz w:val="20"/>
                <w:szCs w:val="20"/>
              </w:rPr>
            </w:pPr>
            <w:r w:rsidRPr="00946130">
              <w:rPr>
                <w:sz w:val="20"/>
                <w:szCs w:val="20"/>
              </w:rPr>
              <w:t xml:space="preserve">100 mg </w:t>
            </w:r>
            <w:proofErr w:type="spellStart"/>
            <w:r w:rsidRPr="00946130">
              <w:rPr>
                <w:sz w:val="20"/>
                <w:szCs w:val="20"/>
              </w:rPr>
              <w:t>daily</w:t>
            </w:r>
            <w:r w:rsidRPr="00946130">
              <w:rPr>
                <w:sz w:val="20"/>
                <w:szCs w:val="20"/>
                <w:vertAlign w:val="superscript"/>
              </w:rPr>
              <w:t>a</w:t>
            </w:r>
            <w:proofErr w:type="spellEnd"/>
            <w:r w:rsidRPr="00946130">
              <w:rPr>
                <w:sz w:val="20"/>
                <w:szCs w:val="20"/>
              </w:rPr>
              <w:t xml:space="preserve"> </w:t>
            </w:r>
          </w:p>
        </w:tc>
      </w:tr>
      <w:tr w:rsidR="00CF0765" w14:paraId="0C5D62D8" w14:textId="77777777" w:rsidTr="00CF0765">
        <w:tc>
          <w:tcPr>
            <w:tcW w:w="2660" w:type="dxa"/>
          </w:tcPr>
          <w:p w14:paraId="1E8D7955" w14:textId="19C1CA38" w:rsidR="00CF0765" w:rsidRPr="00946130" w:rsidRDefault="00CF0765" w:rsidP="0035295B">
            <w:pPr>
              <w:spacing w:before="60" w:after="60"/>
              <w:rPr>
                <w:sz w:val="20"/>
                <w:szCs w:val="20"/>
              </w:rPr>
            </w:pPr>
            <w:r w:rsidRPr="00946130">
              <w:rPr>
                <w:sz w:val="20"/>
                <w:szCs w:val="20"/>
              </w:rPr>
              <w:t>Cycle 2, Day 15 – 21</w:t>
            </w:r>
          </w:p>
        </w:tc>
        <w:tc>
          <w:tcPr>
            <w:tcW w:w="4394" w:type="dxa"/>
          </w:tcPr>
          <w:p w14:paraId="34748487" w14:textId="77777777" w:rsidR="00CF0765" w:rsidRPr="00946130" w:rsidRDefault="00CF0765" w:rsidP="0035295B">
            <w:pPr>
              <w:spacing w:before="60" w:after="60"/>
              <w:rPr>
                <w:sz w:val="20"/>
                <w:szCs w:val="20"/>
              </w:rPr>
            </w:pPr>
          </w:p>
        </w:tc>
        <w:tc>
          <w:tcPr>
            <w:tcW w:w="2119" w:type="dxa"/>
          </w:tcPr>
          <w:p w14:paraId="750CEFEE" w14:textId="17B3DA7E" w:rsidR="00CF0765" w:rsidRPr="00946130" w:rsidRDefault="00CF0765" w:rsidP="0035295B">
            <w:pPr>
              <w:spacing w:before="60" w:after="60"/>
              <w:rPr>
                <w:sz w:val="20"/>
                <w:szCs w:val="20"/>
              </w:rPr>
            </w:pPr>
            <w:r w:rsidRPr="00946130">
              <w:rPr>
                <w:sz w:val="20"/>
                <w:szCs w:val="20"/>
              </w:rPr>
              <w:t xml:space="preserve">200 mg </w:t>
            </w:r>
            <w:proofErr w:type="spellStart"/>
            <w:r w:rsidRPr="00946130">
              <w:rPr>
                <w:sz w:val="20"/>
                <w:szCs w:val="20"/>
              </w:rPr>
              <w:t>daily</w:t>
            </w:r>
            <w:r w:rsidRPr="00946130">
              <w:rPr>
                <w:sz w:val="20"/>
                <w:szCs w:val="20"/>
                <w:vertAlign w:val="superscript"/>
              </w:rPr>
              <w:t>a</w:t>
            </w:r>
            <w:proofErr w:type="spellEnd"/>
          </w:p>
        </w:tc>
      </w:tr>
      <w:tr w:rsidR="00CF0765" w14:paraId="41007B4E" w14:textId="77777777" w:rsidTr="00CF0765">
        <w:tc>
          <w:tcPr>
            <w:tcW w:w="2660" w:type="dxa"/>
          </w:tcPr>
          <w:p w14:paraId="39568A4C" w14:textId="33D505E2" w:rsidR="00CF0765" w:rsidRPr="00946130" w:rsidRDefault="00CF0765" w:rsidP="0035295B">
            <w:pPr>
              <w:spacing w:before="60" w:after="60"/>
              <w:rPr>
                <w:sz w:val="20"/>
                <w:szCs w:val="20"/>
              </w:rPr>
            </w:pPr>
            <w:r w:rsidRPr="00946130">
              <w:rPr>
                <w:sz w:val="20"/>
                <w:szCs w:val="20"/>
              </w:rPr>
              <w:t>Cycle 2, Day 22 – 28</w:t>
            </w:r>
          </w:p>
        </w:tc>
        <w:tc>
          <w:tcPr>
            <w:tcW w:w="4394" w:type="dxa"/>
          </w:tcPr>
          <w:p w14:paraId="48045722" w14:textId="77777777" w:rsidR="00CF0765" w:rsidRPr="00946130" w:rsidRDefault="00CF0765" w:rsidP="0035295B">
            <w:pPr>
              <w:spacing w:before="60" w:after="60"/>
              <w:rPr>
                <w:sz w:val="20"/>
                <w:szCs w:val="20"/>
              </w:rPr>
            </w:pPr>
          </w:p>
        </w:tc>
        <w:tc>
          <w:tcPr>
            <w:tcW w:w="2119" w:type="dxa"/>
          </w:tcPr>
          <w:p w14:paraId="698F7ECD" w14:textId="1ACFA80A" w:rsidR="00CF0765" w:rsidRPr="00946130" w:rsidRDefault="00CF0765" w:rsidP="0035295B">
            <w:pPr>
              <w:spacing w:before="60" w:after="60"/>
              <w:rPr>
                <w:sz w:val="20"/>
                <w:szCs w:val="20"/>
              </w:rPr>
            </w:pPr>
            <w:r w:rsidRPr="00946130">
              <w:rPr>
                <w:sz w:val="20"/>
                <w:szCs w:val="20"/>
              </w:rPr>
              <w:t xml:space="preserve">400 mg </w:t>
            </w:r>
            <w:proofErr w:type="spellStart"/>
            <w:r w:rsidRPr="00946130">
              <w:rPr>
                <w:sz w:val="20"/>
                <w:szCs w:val="20"/>
              </w:rPr>
              <w:t>daily</w:t>
            </w:r>
            <w:r w:rsidRPr="00946130">
              <w:rPr>
                <w:sz w:val="20"/>
                <w:szCs w:val="20"/>
                <w:vertAlign w:val="superscript"/>
              </w:rPr>
              <w:t>a</w:t>
            </w:r>
            <w:proofErr w:type="spellEnd"/>
          </w:p>
        </w:tc>
      </w:tr>
      <w:tr w:rsidR="00CF0765" w14:paraId="4F20CC37" w14:textId="77777777" w:rsidTr="00CF0765">
        <w:tc>
          <w:tcPr>
            <w:tcW w:w="2660" w:type="dxa"/>
          </w:tcPr>
          <w:p w14:paraId="26811BEE" w14:textId="3E9975F3" w:rsidR="00CF0765" w:rsidRPr="00946130" w:rsidRDefault="00CF0765" w:rsidP="0035295B">
            <w:pPr>
              <w:spacing w:before="60" w:after="60"/>
              <w:rPr>
                <w:sz w:val="20"/>
                <w:szCs w:val="20"/>
              </w:rPr>
            </w:pPr>
            <w:r w:rsidRPr="00946130">
              <w:rPr>
                <w:sz w:val="20"/>
                <w:szCs w:val="20"/>
              </w:rPr>
              <w:t xml:space="preserve">Cycles 3 - 6, Day 1 - 28 </w:t>
            </w:r>
          </w:p>
        </w:tc>
        <w:tc>
          <w:tcPr>
            <w:tcW w:w="4394" w:type="dxa"/>
          </w:tcPr>
          <w:p w14:paraId="421944FD" w14:textId="204EB47C" w:rsidR="00CF0765" w:rsidRPr="00946130" w:rsidRDefault="00CF0765" w:rsidP="0035295B">
            <w:pPr>
              <w:spacing w:before="60" w:after="60"/>
              <w:rPr>
                <w:sz w:val="20"/>
                <w:szCs w:val="20"/>
              </w:rPr>
            </w:pPr>
            <w:r w:rsidRPr="00946130">
              <w:rPr>
                <w:sz w:val="20"/>
                <w:szCs w:val="20"/>
              </w:rPr>
              <w:t xml:space="preserve">Day 1 only: 1000 mg </w:t>
            </w:r>
          </w:p>
        </w:tc>
        <w:tc>
          <w:tcPr>
            <w:tcW w:w="2119" w:type="dxa"/>
          </w:tcPr>
          <w:p w14:paraId="5E787B58" w14:textId="6186A3B3" w:rsidR="00CF0765" w:rsidRPr="00946130" w:rsidRDefault="00CF0765" w:rsidP="0035295B">
            <w:pPr>
              <w:spacing w:before="60" w:after="60"/>
              <w:rPr>
                <w:sz w:val="20"/>
                <w:szCs w:val="20"/>
              </w:rPr>
            </w:pPr>
            <w:r w:rsidRPr="00946130">
              <w:rPr>
                <w:sz w:val="20"/>
                <w:szCs w:val="20"/>
              </w:rPr>
              <w:t xml:space="preserve">400 mg daily </w:t>
            </w:r>
          </w:p>
        </w:tc>
      </w:tr>
      <w:tr w:rsidR="00CF0765" w14:paraId="02805D45" w14:textId="77777777" w:rsidTr="00CF0765">
        <w:tc>
          <w:tcPr>
            <w:tcW w:w="2660" w:type="dxa"/>
          </w:tcPr>
          <w:p w14:paraId="38472D60" w14:textId="75378A45" w:rsidR="00CF0765" w:rsidRPr="00946130" w:rsidRDefault="00CF0765" w:rsidP="0035295B">
            <w:pPr>
              <w:spacing w:before="60" w:after="60"/>
              <w:rPr>
                <w:sz w:val="20"/>
                <w:szCs w:val="20"/>
              </w:rPr>
            </w:pPr>
            <w:r w:rsidRPr="00946130">
              <w:rPr>
                <w:sz w:val="20"/>
                <w:szCs w:val="20"/>
              </w:rPr>
              <w:t>Cycles 7 - 12, Day 1 – 28</w:t>
            </w:r>
          </w:p>
        </w:tc>
        <w:tc>
          <w:tcPr>
            <w:tcW w:w="4394" w:type="dxa"/>
          </w:tcPr>
          <w:p w14:paraId="1DA49C16" w14:textId="6EC0748C" w:rsidR="00CF0765" w:rsidRPr="00946130" w:rsidRDefault="00CF0765" w:rsidP="0035295B">
            <w:pPr>
              <w:spacing w:before="60" w:after="60"/>
              <w:rPr>
                <w:sz w:val="20"/>
                <w:szCs w:val="20"/>
              </w:rPr>
            </w:pPr>
          </w:p>
        </w:tc>
        <w:tc>
          <w:tcPr>
            <w:tcW w:w="2119" w:type="dxa"/>
          </w:tcPr>
          <w:p w14:paraId="4F04B429" w14:textId="14A2A604" w:rsidR="00CF0765" w:rsidRPr="00946130" w:rsidRDefault="00CF0765" w:rsidP="0035295B">
            <w:pPr>
              <w:spacing w:before="60" w:after="60"/>
              <w:rPr>
                <w:sz w:val="20"/>
                <w:szCs w:val="20"/>
              </w:rPr>
            </w:pPr>
            <w:r w:rsidRPr="00946130">
              <w:rPr>
                <w:sz w:val="20"/>
                <w:szCs w:val="20"/>
              </w:rPr>
              <w:t>400 mg daily</w:t>
            </w:r>
          </w:p>
        </w:tc>
      </w:tr>
    </w:tbl>
    <w:p w14:paraId="6F15E5D4" w14:textId="3A501C2F" w:rsidR="007038AF" w:rsidRDefault="007038AF" w:rsidP="00C54FF3">
      <w:pPr>
        <w:spacing w:after="0"/>
        <w:rPr>
          <w:sz w:val="20"/>
          <w:szCs w:val="20"/>
        </w:rPr>
      </w:pPr>
      <w:r w:rsidRPr="007038AF">
        <w:rPr>
          <w:sz w:val="20"/>
          <w:szCs w:val="20"/>
        </w:rPr>
        <w:t xml:space="preserve">Source: </w:t>
      </w:r>
      <w:proofErr w:type="spellStart"/>
      <w:r w:rsidRPr="007038AF">
        <w:rPr>
          <w:sz w:val="20"/>
          <w:szCs w:val="20"/>
        </w:rPr>
        <w:t>Venclexta</w:t>
      </w:r>
      <w:proofErr w:type="spellEnd"/>
      <w:r w:rsidRPr="007038AF">
        <w:rPr>
          <w:sz w:val="20"/>
          <w:szCs w:val="20"/>
        </w:rPr>
        <w:t>® (</w:t>
      </w:r>
      <w:proofErr w:type="spellStart"/>
      <w:r w:rsidRPr="007038AF">
        <w:rPr>
          <w:sz w:val="20"/>
          <w:szCs w:val="20"/>
        </w:rPr>
        <w:t>Venetoclax</w:t>
      </w:r>
      <w:proofErr w:type="spellEnd"/>
      <w:r w:rsidRPr="007038AF">
        <w:rPr>
          <w:sz w:val="20"/>
          <w:szCs w:val="20"/>
        </w:rPr>
        <w:t xml:space="preserve">). Australian Approved Product Information. </w:t>
      </w:r>
      <w:hyperlink r:id="rId9" w:history="1">
        <w:r w:rsidRPr="007038AF">
          <w:rPr>
            <w:rStyle w:val="Hyperlink"/>
            <w:sz w:val="20"/>
            <w:szCs w:val="20"/>
          </w:rPr>
          <w:t>pdf (tga.gov.au)</w:t>
        </w:r>
      </w:hyperlink>
    </w:p>
    <w:p w14:paraId="2E560FB7" w14:textId="5A1D4722" w:rsidR="00945AEB" w:rsidRPr="007038AF" w:rsidRDefault="00945AEB" w:rsidP="00C54FF3">
      <w:pPr>
        <w:spacing w:after="0"/>
        <w:rPr>
          <w:sz w:val="20"/>
          <w:szCs w:val="20"/>
        </w:rPr>
      </w:pPr>
      <w:r>
        <w:rPr>
          <w:sz w:val="20"/>
          <w:szCs w:val="20"/>
        </w:rPr>
        <w:t>Note:</w:t>
      </w:r>
    </w:p>
    <w:p w14:paraId="0B5E0AEE" w14:textId="6E97C591" w:rsidR="006B195F" w:rsidRPr="006B195F" w:rsidRDefault="006B195F" w:rsidP="00C54FF3">
      <w:pPr>
        <w:rPr>
          <w:sz w:val="20"/>
          <w:szCs w:val="20"/>
        </w:rPr>
      </w:pPr>
      <w:r w:rsidRPr="006B195F">
        <w:rPr>
          <w:sz w:val="20"/>
          <w:szCs w:val="20"/>
          <w:vertAlign w:val="superscript"/>
        </w:rPr>
        <w:t>a</w:t>
      </w:r>
      <w:r w:rsidRPr="006B195F">
        <w:rPr>
          <w:sz w:val="20"/>
          <w:szCs w:val="20"/>
        </w:rPr>
        <w:t>5 week ramp-up (see Table 1)</w:t>
      </w:r>
      <w:r w:rsidR="002F56AA">
        <w:rPr>
          <w:sz w:val="20"/>
          <w:szCs w:val="20"/>
        </w:rPr>
        <w:t>.</w:t>
      </w:r>
    </w:p>
    <w:p w14:paraId="0FCA3243" w14:textId="2647B407" w:rsidR="004E18C8" w:rsidRPr="002F61CA" w:rsidRDefault="00F17D4B" w:rsidP="00F17D4B">
      <w:r w:rsidRPr="002F61CA">
        <w:lastRenderedPageBreak/>
        <w:t xml:space="preserve">The current Product Information (PI) and Consumer Medicine Information (CMI) are available from </w:t>
      </w:r>
      <w:hyperlink r:id="rId10" w:history="1">
        <w:r>
          <w:rPr>
            <w:rStyle w:val="Hyperlink"/>
          </w:rPr>
          <w:t>the TGA (Product Information)</w:t>
        </w:r>
      </w:hyperlink>
      <w:r>
        <w:t xml:space="preserve"> and </w:t>
      </w:r>
      <w:hyperlink r:id="rId11" w:history="1">
        <w:r>
          <w:rPr>
            <w:rStyle w:val="Hyperlink"/>
          </w:rPr>
          <w:t>the TGA (Consumer Medicines Information)</w:t>
        </w:r>
      </w:hyperlink>
      <w:r>
        <w:t>.</w:t>
      </w:r>
    </w:p>
    <w:p w14:paraId="6E91B068" w14:textId="77777777" w:rsidR="00522B0F" w:rsidRDefault="00522B0F">
      <w:pPr>
        <w:spacing w:line="276" w:lineRule="auto"/>
        <w:rPr>
          <w:b/>
          <w:sz w:val="28"/>
        </w:rPr>
      </w:pPr>
      <w:r>
        <w:br w:type="page"/>
      </w:r>
    </w:p>
    <w:p w14:paraId="46E2BB42" w14:textId="2995B01A" w:rsidR="00DF0B13" w:rsidRPr="007247B9" w:rsidDel="00EE2BBB" w:rsidRDefault="00DF0B13" w:rsidP="00CF5E22">
      <w:pPr>
        <w:pStyle w:val="Heading2"/>
      </w:pPr>
      <w:r w:rsidRPr="007247B9" w:rsidDel="00EE2BBB">
        <w:lastRenderedPageBreak/>
        <w:t>PBS listing details</w:t>
      </w:r>
      <w:r w:rsidR="00D151EB" w:rsidDel="00EE2BBB">
        <w:t xml:space="preserve"> (as </w:t>
      </w:r>
      <w:proofErr w:type="gramStart"/>
      <w:r w:rsidR="00D151EB" w:rsidDel="00EE2BBB">
        <w:t>at</w:t>
      </w:r>
      <w:proofErr w:type="gramEnd"/>
      <w:r w:rsidR="00D151EB" w:rsidDel="00EE2BBB">
        <w:t xml:space="preserve"> </w:t>
      </w:r>
      <w:r w:rsidR="001C19B1">
        <w:t>1 July 2023</w:t>
      </w:r>
      <w:r w:rsidR="00D151EB" w:rsidDel="00EE2BBB">
        <w:t>)</w:t>
      </w:r>
    </w:p>
    <w:p w14:paraId="40D62D00" w14:textId="318BCFE8" w:rsidR="00A56620" w:rsidRPr="001420B3" w:rsidDel="00EE2BBB" w:rsidRDefault="001420B3" w:rsidP="00C54FF3">
      <w:pPr>
        <w:pStyle w:val="Tabletitle"/>
        <w:spacing w:before="200"/>
      </w:pPr>
      <w:r w:rsidRPr="001420B3" w:rsidDel="00EE2BBB">
        <w:t xml:space="preserve">Table </w:t>
      </w:r>
      <w:r w:rsidR="00A56620">
        <w:t>3</w:t>
      </w:r>
      <w:r w:rsidRPr="001420B3" w:rsidDel="00EE2BBB">
        <w:t xml:space="preserve">: </w:t>
      </w:r>
      <w:r w:rsidR="009663B6" w:rsidDel="00EE2BBB">
        <w:t>PB</w:t>
      </w:r>
      <w:r w:rsidR="00D151EB" w:rsidDel="00EE2BBB">
        <w:t>S listing of</w:t>
      </w:r>
      <w:r w:rsidR="00A56620">
        <w:t xml:space="preserve"> </w:t>
      </w:r>
      <w:proofErr w:type="spellStart"/>
      <w:r w:rsidR="00A56620" w:rsidRPr="00A56620">
        <w:t>venetoclax</w:t>
      </w:r>
      <w:proofErr w:type="spellEnd"/>
      <w:r w:rsidR="00A56620" w:rsidRPr="00A56620">
        <w:t xml:space="preserve"> for first-line treatment of CLL or SLL</w:t>
      </w:r>
    </w:p>
    <w:tbl>
      <w:tblPr>
        <w:tblStyle w:val="TableGrid"/>
        <w:tblW w:w="9064" w:type="dxa"/>
        <w:tblLayout w:type="fixed"/>
        <w:tblLook w:val="04A0" w:firstRow="1" w:lastRow="0" w:firstColumn="1" w:lastColumn="0" w:noHBand="0" w:noVBand="1"/>
      </w:tblPr>
      <w:tblGrid>
        <w:gridCol w:w="969"/>
        <w:gridCol w:w="2825"/>
        <w:gridCol w:w="1276"/>
        <w:gridCol w:w="850"/>
        <w:gridCol w:w="1040"/>
        <w:gridCol w:w="2104"/>
      </w:tblGrid>
      <w:tr w:rsidR="0093111F" w:rsidRPr="00A35800" w:rsidDel="00EE2BBB" w14:paraId="6AA19A37" w14:textId="77B518AD" w:rsidTr="00FF0C03">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825"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276"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F91CBF" w:rsidRPr="00A35800" w:rsidDel="00EE2BBB" w14:paraId="0637402B" w14:textId="77777777" w:rsidTr="00C54FF3">
        <w:trPr>
          <w:trHeight w:val="694"/>
          <w:tblHeader/>
        </w:trPr>
        <w:tc>
          <w:tcPr>
            <w:tcW w:w="969" w:type="dxa"/>
            <w:shd w:val="clear" w:color="auto" w:fill="FFFFFF" w:themeFill="background1"/>
          </w:tcPr>
          <w:p w14:paraId="41019155" w14:textId="77777777" w:rsidR="00F91CBF" w:rsidRPr="00C54FF3" w:rsidRDefault="00F91CBF" w:rsidP="00F91CBF">
            <w:pPr>
              <w:pStyle w:val="Tablewriting"/>
              <w:rPr>
                <w:rFonts w:ascii="Calibri" w:hAnsi="Calibri"/>
                <w:color w:val="0563C1"/>
                <w:u w:val="single"/>
              </w:rPr>
            </w:pPr>
            <w:r w:rsidRPr="00C54FF3">
              <w:rPr>
                <w:rFonts w:ascii="Calibri" w:hAnsi="Calibri"/>
                <w:color w:val="0563C1"/>
                <w:u w:val="single"/>
              </w:rPr>
              <w:t>11648C</w:t>
            </w:r>
          </w:p>
          <w:p w14:paraId="71F627F3" w14:textId="7431387A" w:rsidR="00F91CBF" w:rsidRPr="00C54FF3" w:rsidDel="00EE2BBB" w:rsidRDefault="00F91CBF" w:rsidP="00F91CBF">
            <w:pPr>
              <w:pStyle w:val="Tableheading"/>
              <w:jc w:val="left"/>
              <w:rPr>
                <w:b w:val="0"/>
                <w:sz w:val="20"/>
                <w:szCs w:val="20"/>
              </w:rPr>
            </w:pPr>
            <w:r w:rsidRPr="00C54FF3">
              <w:rPr>
                <w:b w:val="0"/>
                <w:sz w:val="20"/>
                <w:szCs w:val="20"/>
              </w:rPr>
              <w:t>General Schedule</w:t>
            </w:r>
          </w:p>
        </w:tc>
        <w:tc>
          <w:tcPr>
            <w:tcW w:w="2825" w:type="dxa"/>
            <w:shd w:val="clear" w:color="auto" w:fill="FFFFFF" w:themeFill="background1"/>
          </w:tcPr>
          <w:p w14:paraId="0B6797A8" w14:textId="1F508EEB" w:rsidR="00F91CBF" w:rsidRPr="00C54FF3" w:rsidDel="00EE2BBB" w:rsidRDefault="00F91CBF" w:rsidP="00F91CBF">
            <w:pPr>
              <w:pStyle w:val="Tableheading"/>
              <w:jc w:val="left"/>
              <w:rPr>
                <w:b w:val="0"/>
                <w:sz w:val="20"/>
                <w:szCs w:val="20"/>
              </w:rPr>
            </w:pPr>
            <w:proofErr w:type="spellStart"/>
            <w:r w:rsidRPr="00C54FF3">
              <w:rPr>
                <w:b w:val="0"/>
                <w:sz w:val="20"/>
                <w:szCs w:val="20"/>
              </w:rPr>
              <w:t>Venetoclax</w:t>
            </w:r>
            <w:proofErr w:type="spellEnd"/>
            <w:r w:rsidRPr="00C54FF3">
              <w:rPr>
                <w:b w:val="0"/>
                <w:sz w:val="20"/>
                <w:szCs w:val="20"/>
              </w:rPr>
              <w:t xml:space="preserve"> 50 mg tablet, 7 tablets</w:t>
            </w:r>
          </w:p>
        </w:tc>
        <w:tc>
          <w:tcPr>
            <w:tcW w:w="1276" w:type="dxa"/>
            <w:shd w:val="clear" w:color="auto" w:fill="FFFFFF" w:themeFill="background1"/>
          </w:tcPr>
          <w:p w14:paraId="2031BD9B" w14:textId="708784BE" w:rsidR="00F91CBF" w:rsidRPr="00C54FF3" w:rsidDel="00EE2BBB" w:rsidRDefault="00F91CBF" w:rsidP="00F91CBF">
            <w:pPr>
              <w:pStyle w:val="Tableheading"/>
              <w:rPr>
                <w:b w:val="0"/>
                <w:sz w:val="20"/>
                <w:szCs w:val="20"/>
              </w:rPr>
            </w:pPr>
            <w:r w:rsidRPr="00C54FF3">
              <w:rPr>
                <w:b w:val="0"/>
                <w:sz w:val="20"/>
                <w:szCs w:val="20"/>
              </w:rPr>
              <w:t>1</w:t>
            </w:r>
          </w:p>
        </w:tc>
        <w:tc>
          <w:tcPr>
            <w:tcW w:w="850" w:type="dxa"/>
            <w:shd w:val="clear" w:color="auto" w:fill="FFFFFF" w:themeFill="background1"/>
          </w:tcPr>
          <w:p w14:paraId="2F43B847" w14:textId="19FC4FC8" w:rsidR="00F91CBF" w:rsidRPr="00C54FF3" w:rsidDel="00EE2BBB" w:rsidRDefault="00F91CBF" w:rsidP="00F91CBF">
            <w:pPr>
              <w:pStyle w:val="Tableheading"/>
              <w:rPr>
                <w:b w:val="0"/>
                <w:sz w:val="20"/>
                <w:szCs w:val="20"/>
              </w:rPr>
            </w:pPr>
            <w:r w:rsidRPr="00C54FF3">
              <w:rPr>
                <w:b w:val="0"/>
                <w:sz w:val="20"/>
                <w:szCs w:val="20"/>
              </w:rPr>
              <w:t>0</w:t>
            </w:r>
          </w:p>
        </w:tc>
        <w:tc>
          <w:tcPr>
            <w:tcW w:w="1040" w:type="dxa"/>
            <w:shd w:val="clear" w:color="auto" w:fill="FFFFFF" w:themeFill="background1"/>
          </w:tcPr>
          <w:p w14:paraId="540154E2" w14:textId="3D79A2FD" w:rsidR="00F91CBF" w:rsidRPr="00C54FF3" w:rsidDel="00EE2BBB" w:rsidRDefault="00F91CBF" w:rsidP="00F91CBF">
            <w:pPr>
              <w:pStyle w:val="Tableheading"/>
              <w:rPr>
                <w:b w:val="0"/>
                <w:sz w:val="20"/>
                <w:szCs w:val="20"/>
                <w:vertAlign w:val="superscript"/>
              </w:rPr>
            </w:pPr>
            <w:r w:rsidRPr="00C54FF3">
              <w:rPr>
                <w:b w:val="0"/>
                <w:sz w:val="20"/>
                <w:szCs w:val="20"/>
              </w:rPr>
              <w:t>$254.81</w:t>
            </w:r>
            <w:r w:rsidR="000A091E" w:rsidRPr="00C54FF3">
              <w:rPr>
                <w:b w:val="0"/>
                <w:sz w:val="20"/>
                <w:szCs w:val="20"/>
                <w:vertAlign w:val="superscript"/>
              </w:rPr>
              <w:t>a</w:t>
            </w:r>
          </w:p>
        </w:tc>
        <w:tc>
          <w:tcPr>
            <w:tcW w:w="2104" w:type="dxa"/>
            <w:shd w:val="clear" w:color="auto" w:fill="FFFFFF" w:themeFill="background1"/>
          </w:tcPr>
          <w:p w14:paraId="52223AD1" w14:textId="1406D161" w:rsidR="00F91CBF" w:rsidRPr="00C54FF3" w:rsidDel="00EE2BBB" w:rsidRDefault="00F91CBF" w:rsidP="00F91CBF">
            <w:pPr>
              <w:pStyle w:val="Tableheading"/>
              <w:jc w:val="left"/>
              <w:rPr>
                <w:b w:val="0"/>
                <w:bCs/>
                <w:sz w:val="20"/>
                <w:szCs w:val="20"/>
              </w:rPr>
            </w:pPr>
            <w:proofErr w:type="spellStart"/>
            <w:r w:rsidRPr="00C54FF3">
              <w:rPr>
                <w:b w:val="0"/>
                <w:bCs/>
                <w:sz w:val="20"/>
                <w:szCs w:val="20"/>
              </w:rPr>
              <w:t>Venclexta</w:t>
            </w:r>
            <w:proofErr w:type="spellEnd"/>
            <w:r w:rsidRPr="00C54FF3">
              <w:rPr>
                <w:rFonts w:cstheme="minorHAnsi"/>
                <w:b w:val="0"/>
                <w:bCs/>
                <w:sz w:val="20"/>
                <w:szCs w:val="20"/>
              </w:rPr>
              <w:t>®</w:t>
            </w:r>
            <w:r w:rsidRPr="00C54FF3">
              <w:rPr>
                <w:b w:val="0"/>
                <w:bCs/>
                <w:sz w:val="20"/>
                <w:szCs w:val="20"/>
              </w:rPr>
              <w:t>, AbbVie Pty Ltd</w:t>
            </w:r>
          </w:p>
        </w:tc>
      </w:tr>
      <w:tr w:rsidR="00F91CBF" w:rsidRPr="00A35800" w:rsidDel="00EE2BBB" w14:paraId="2AF9D84B" w14:textId="0D323411" w:rsidTr="00F91CBF">
        <w:trPr>
          <w:trHeight w:val="552"/>
          <w:tblHeader/>
        </w:trPr>
        <w:tc>
          <w:tcPr>
            <w:tcW w:w="969" w:type="dxa"/>
            <w:shd w:val="clear" w:color="auto" w:fill="auto"/>
          </w:tcPr>
          <w:p w14:paraId="66B3D088" w14:textId="77777777" w:rsidR="00F91CBF" w:rsidRPr="00C54FF3" w:rsidRDefault="00AA574F" w:rsidP="00F91CBF">
            <w:pPr>
              <w:pStyle w:val="Tablewriting"/>
              <w:rPr>
                <w:rFonts w:ascii="Calibri" w:hAnsi="Calibri"/>
                <w:color w:val="0563C1"/>
                <w:u w:val="single"/>
              </w:rPr>
            </w:pPr>
            <w:hyperlink r:id="rId12" w:history="1">
              <w:r w:rsidR="00F91CBF" w:rsidRPr="00C54FF3">
                <w:rPr>
                  <w:rStyle w:val="Hyperlink"/>
                  <w:rFonts w:ascii="Calibri" w:hAnsi="Calibri"/>
                </w:rPr>
                <w:t>12188L</w:t>
              </w:r>
            </w:hyperlink>
          </w:p>
          <w:p w14:paraId="0A3E3442" w14:textId="649B2A29" w:rsidR="00F91CBF" w:rsidRPr="00C54FF3" w:rsidDel="00EE2BBB" w:rsidRDefault="00F91CBF" w:rsidP="00F91CBF">
            <w:pPr>
              <w:pStyle w:val="Tablewriting"/>
            </w:pPr>
            <w:r w:rsidRPr="00C54FF3">
              <w:t>General Schedule</w:t>
            </w:r>
          </w:p>
        </w:tc>
        <w:tc>
          <w:tcPr>
            <w:tcW w:w="2825" w:type="dxa"/>
            <w:shd w:val="clear" w:color="auto" w:fill="auto"/>
          </w:tcPr>
          <w:p w14:paraId="0F676F51" w14:textId="2C1999A2" w:rsidR="00F91CBF" w:rsidRPr="00C54FF3" w:rsidDel="00EE2BBB" w:rsidRDefault="00F91CBF" w:rsidP="00F91CBF">
            <w:pPr>
              <w:pStyle w:val="Tablewriting"/>
            </w:pPr>
            <w:proofErr w:type="spellStart"/>
            <w:r w:rsidRPr="00C54FF3">
              <w:t>Venetoclax</w:t>
            </w:r>
            <w:proofErr w:type="spellEnd"/>
            <w:r w:rsidRPr="00C54FF3">
              <w:t xml:space="preserve"> 10 mg tablet [14 tablets] (&amp;) </w:t>
            </w:r>
            <w:proofErr w:type="spellStart"/>
            <w:r w:rsidRPr="00C54FF3">
              <w:t>venetoclax</w:t>
            </w:r>
            <w:proofErr w:type="spellEnd"/>
            <w:r w:rsidRPr="00C54FF3">
              <w:t xml:space="preserve"> 50 mg tablet [7 tablets] (&amp;) </w:t>
            </w:r>
            <w:proofErr w:type="spellStart"/>
            <w:r w:rsidRPr="00C54FF3">
              <w:t>venetoclax</w:t>
            </w:r>
            <w:proofErr w:type="spellEnd"/>
            <w:r w:rsidRPr="00C54FF3">
              <w:t xml:space="preserve"> 100 mg tablet [7 tablets] (&amp;) </w:t>
            </w:r>
            <w:proofErr w:type="spellStart"/>
            <w:r w:rsidRPr="00C54FF3">
              <w:t>venetoclax</w:t>
            </w:r>
            <w:proofErr w:type="spellEnd"/>
            <w:r w:rsidRPr="00C54FF3">
              <w:t xml:space="preserve"> 100 mg tablet [14 tablets], 1 pack.</w:t>
            </w:r>
          </w:p>
        </w:tc>
        <w:tc>
          <w:tcPr>
            <w:tcW w:w="1276" w:type="dxa"/>
            <w:shd w:val="clear" w:color="auto" w:fill="auto"/>
          </w:tcPr>
          <w:p w14:paraId="0E2637C4" w14:textId="145DE2B7" w:rsidR="00F91CBF" w:rsidRPr="00C54FF3" w:rsidDel="00EE2BBB" w:rsidRDefault="00F91CBF" w:rsidP="00F91CBF">
            <w:pPr>
              <w:pStyle w:val="Tablewriting"/>
              <w:jc w:val="center"/>
            </w:pPr>
            <w:r w:rsidRPr="00C54FF3">
              <w:t>1</w:t>
            </w:r>
          </w:p>
        </w:tc>
        <w:tc>
          <w:tcPr>
            <w:tcW w:w="850" w:type="dxa"/>
            <w:shd w:val="clear" w:color="auto" w:fill="auto"/>
          </w:tcPr>
          <w:p w14:paraId="6B361CAA" w14:textId="70CF3E13" w:rsidR="00F91CBF" w:rsidRPr="00C54FF3" w:rsidDel="00EE2BBB" w:rsidRDefault="00F91CBF" w:rsidP="00F91CBF">
            <w:pPr>
              <w:pStyle w:val="Tablewriting"/>
              <w:jc w:val="center"/>
            </w:pPr>
            <w:r w:rsidRPr="00C54FF3">
              <w:t>0</w:t>
            </w:r>
          </w:p>
        </w:tc>
        <w:tc>
          <w:tcPr>
            <w:tcW w:w="1040" w:type="dxa"/>
            <w:shd w:val="clear" w:color="auto" w:fill="auto"/>
          </w:tcPr>
          <w:p w14:paraId="15F68405" w14:textId="2CBB520A" w:rsidR="00F91CBF" w:rsidRPr="00C54FF3" w:rsidDel="00EE2BBB" w:rsidRDefault="00F91CBF" w:rsidP="00F91CBF">
            <w:pPr>
              <w:pStyle w:val="Tablewriting"/>
              <w:jc w:val="center"/>
            </w:pPr>
            <w:r w:rsidRPr="00C54FF3">
              <w:t>$1791.55</w:t>
            </w:r>
            <w:r w:rsidRPr="00C54FF3">
              <w:rPr>
                <w:vertAlign w:val="superscript"/>
              </w:rPr>
              <w:t>a</w:t>
            </w:r>
          </w:p>
        </w:tc>
        <w:tc>
          <w:tcPr>
            <w:tcW w:w="2104" w:type="dxa"/>
            <w:shd w:val="clear" w:color="auto" w:fill="auto"/>
          </w:tcPr>
          <w:p w14:paraId="2D337AC6" w14:textId="488ACA5E" w:rsidR="00F91CBF" w:rsidRPr="00C54FF3" w:rsidDel="00EE2BBB" w:rsidRDefault="00F91CBF" w:rsidP="00F91CBF">
            <w:pPr>
              <w:pStyle w:val="Tablewriting"/>
            </w:pPr>
            <w:proofErr w:type="spellStart"/>
            <w:r w:rsidRPr="00C54FF3">
              <w:t>Venclexta</w:t>
            </w:r>
            <w:proofErr w:type="spellEnd"/>
            <w:r w:rsidRPr="00C54FF3">
              <w:rPr>
                <w:rFonts w:cstheme="minorHAnsi"/>
              </w:rPr>
              <w:t>®</w:t>
            </w:r>
            <w:r w:rsidRPr="00C54FF3">
              <w:t>, AbbVie Pty Ltd</w:t>
            </w:r>
          </w:p>
        </w:tc>
      </w:tr>
      <w:tr w:rsidR="00F91CBF" w:rsidRPr="00A35800" w:rsidDel="00EE2BBB" w14:paraId="5A26F6DA" w14:textId="5F9D4936" w:rsidTr="00F91CBF">
        <w:trPr>
          <w:trHeight w:val="546"/>
          <w:tblHeader/>
        </w:trPr>
        <w:tc>
          <w:tcPr>
            <w:tcW w:w="969" w:type="dxa"/>
            <w:shd w:val="clear" w:color="auto" w:fill="auto"/>
          </w:tcPr>
          <w:p w14:paraId="1E77AF27" w14:textId="77777777" w:rsidR="00F91CBF" w:rsidRPr="00C54FF3" w:rsidRDefault="00AA574F" w:rsidP="00F91CBF">
            <w:pPr>
              <w:pStyle w:val="Tablewriting"/>
              <w:rPr>
                <w:rFonts w:ascii="Calibri" w:hAnsi="Calibri"/>
                <w:color w:val="0563C1"/>
                <w:u w:val="single"/>
              </w:rPr>
            </w:pPr>
            <w:hyperlink r:id="rId13" w:history="1">
              <w:r w:rsidR="00F91CBF" w:rsidRPr="00C54FF3">
                <w:rPr>
                  <w:rStyle w:val="Hyperlink"/>
                  <w:rFonts w:ascii="Calibri" w:hAnsi="Calibri"/>
                </w:rPr>
                <w:t>12199C</w:t>
              </w:r>
            </w:hyperlink>
          </w:p>
          <w:p w14:paraId="76F26606" w14:textId="2FAD6261" w:rsidR="00F91CBF" w:rsidRPr="00C54FF3" w:rsidDel="00EE2BBB" w:rsidRDefault="00F91CBF" w:rsidP="00F91CBF">
            <w:pPr>
              <w:pStyle w:val="Tablewriting"/>
            </w:pPr>
            <w:r w:rsidRPr="00C54FF3">
              <w:t>General Schedule</w:t>
            </w:r>
          </w:p>
        </w:tc>
        <w:tc>
          <w:tcPr>
            <w:tcW w:w="2825" w:type="dxa"/>
            <w:shd w:val="clear" w:color="auto" w:fill="auto"/>
          </w:tcPr>
          <w:p w14:paraId="4C40F7E7" w14:textId="04BF9B68" w:rsidR="00F91CBF" w:rsidRPr="00C54FF3" w:rsidDel="00EE2BBB" w:rsidRDefault="00F91CBF" w:rsidP="00F91CBF">
            <w:pPr>
              <w:pStyle w:val="Tablewriting"/>
            </w:pPr>
            <w:proofErr w:type="spellStart"/>
            <w:r w:rsidRPr="00C54FF3">
              <w:t>Venetoclax</w:t>
            </w:r>
            <w:proofErr w:type="spellEnd"/>
            <w:r w:rsidRPr="00C54FF3">
              <w:t xml:space="preserve"> 100 mg tablet, 120 tablets.</w:t>
            </w:r>
          </w:p>
        </w:tc>
        <w:tc>
          <w:tcPr>
            <w:tcW w:w="1276" w:type="dxa"/>
            <w:shd w:val="clear" w:color="auto" w:fill="auto"/>
          </w:tcPr>
          <w:p w14:paraId="73733F58" w14:textId="433A51A2" w:rsidR="00F91CBF" w:rsidRPr="00C54FF3" w:rsidDel="00EE2BBB" w:rsidRDefault="00F91CBF" w:rsidP="00F91CBF">
            <w:pPr>
              <w:pStyle w:val="Tablewriting"/>
              <w:jc w:val="center"/>
            </w:pPr>
            <w:r w:rsidRPr="00C54FF3">
              <w:t>1</w:t>
            </w:r>
          </w:p>
        </w:tc>
        <w:tc>
          <w:tcPr>
            <w:tcW w:w="850" w:type="dxa"/>
            <w:shd w:val="clear" w:color="auto" w:fill="auto"/>
          </w:tcPr>
          <w:p w14:paraId="2751F86C" w14:textId="09EF1FCD" w:rsidR="00F91CBF" w:rsidRPr="00C54FF3" w:rsidDel="00EE2BBB" w:rsidRDefault="00F91CBF" w:rsidP="00F91CBF">
            <w:pPr>
              <w:pStyle w:val="Tablewriting"/>
              <w:jc w:val="center"/>
            </w:pPr>
            <w:r w:rsidRPr="00C54FF3">
              <w:t>5</w:t>
            </w:r>
          </w:p>
        </w:tc>
        <w:tc>
          <w:tcPr>
            <w:tcW w:w="1040" w:type="dxa"/>
            <w:shd w:val="clear" w:color="auto" w:fill="auto"/>
          </w:tcPr>
          <w:p w14:paraId="0EB41EFB" w14:textId="589B9318" w:rsidR="00F91CBF" w:rsidRPr="00C54FF3" w:rsidDel="00EE2BBB" w:rsidRDefault="00F91CBF" w:rsidP="00F91CBF">
            <w:pPr>
              <w:pStyle w:val="Tablewriting"/>
              <w:jc w:val="center"/>
            </w:pPr>
            <w:r w:rsidRPr="00C54FF3">
              <w:t>$7784.30</w:t>
            </w:r>
            <w:r w:rsidRPr="00C54FF3">
              <w:rPr>
                <w:vertAlign w:val="superscript"/>
              </w:rPr>
              <w:t>a</w:t>
            </w:r>
          </w:p>
        </w:tc>
        <w:tc>
          <w:tcPr>
            <w:tcW w:w="2104" w:type="dxa"/>
            <w:shd w:val="clear" w:color="auto" w:fill="auto"/>
          </w:tcPr>
          <w:p w14:paraId="2F152B32" w14:textId="59E22653" w:rsidR="00F91CBF" w:rsidRPr="00C54FF3" w:rsidDel="00EE2BBB" w:rsidRDefault="00F91CBF" w:rsidP="00F91CBF">
            <w:pPr>
              <w:pStyle w:val="Tablewriting"/>
            </w:pPr>
            <w:proofErr w:type="spellStart"/>
            <w:r w:rsidRPr="00C54FF3">
              <w:t>Venclexta</w:t>
            </w:r>
            <w:proofErr w:type="spellEnd"/>
            <w:r w:rsidRPr="00C54FF3">
              <w:rPr>
                <w:rFonts w:cstheme="minorHAnsi"/>
              </w:rPr>
              <w:t>®</w:t>
            </w:r>
            <w:r w:rsidRPr="00C54FF3">
              <w:t>, AbbVie Pty Ltd</w:t>
            </w:r>
          </w:p>
        </w:tc>
      </w:tr>
      <w:tr w:rsidR="00F91CBF" w:rsidRPr="00A35800" w:rsidDel="00EE2BBB" w14:paraId="59A00BC9" w14:textId="77777777" w:rsidTr="00F91CBF">
        <w:trPr>
          <w:trHeight w:val="546"/>
          <w:tblHeader/>
        </w:trPr>
        <w:tc>
          <w:tcPr>
            <w:tcW w:w="969" w:type="dxa"/>
            <w:shd w:val="clear" w:color="auto" w:fill="auto"/>
          </w:tcPr>
          <w:p w14:paraId="231A1940" w14:textId="5BAAC03D" w:rsidR="00F91CBF" w:rsidRPr="00C54FF3" w:rsidRDefault="00AA574F" w:rsidP="00F91CBF">
            <w:pPr>
              <w:pStyle w:val="Tablewriting"/>
              <w:rPr>
                <w:rFonts w:ascii="Calibri" w:hAnsi="Calibri"/>
                <w:color w:val="0563C1"/>
                <w:u w:val="single"/>
              </w:rPr>
            </w:pPr>
            <w:hyperlink r:id="rId14" w:history="1">
              <w:r w:rsidR="00F91CBF" w:rsidRPr="00C54FF3">
                <w:rPr>
                  <w:rStyle w:val="Hyperlink"/>
                  <w:rFonts w:ascii="Calibri" w:hAnsi="Calibri"/>
                </w:rPr>
                <w:t>12205J</w:t>
              </w:r>
            </w:hyperlink>
          </w:p>
          <w:p w14:paraId="662C5628" w14:textId="29A3E3E7" w:rsidR="00F91CBF" w:rsidRPr="00C54FF3" w:rsidDel="00EE2BBB" w:rsidRDefault="00F91CBF" w:rsidP="00F91CBF">
            <w:pPr>
              <w:pStyle w:val="Tablewriting"/>
            </w:pPr>
            <w:r w:rsidRPr="00C54FF3">
              <w:t>General Schedule</w:t>
            </w:r>
          </w:p>
        </w:tc>
        <w:tc>
          <w:tcPr>
            <w:tcW w:w="2825" w:type="dxa"/>
            <w:shd w:val="clear" w:color="auto" w:fill="auto"/>
          </w:tcPr>
          <w:p w14:paraId="4DF21DB6" w14:textId="7E3E46F2" w:rsidR="00F91CBF" w:rsidRPr="00C54FF3" w:rsidDel="00EE2BBB" w:rsidRDefault="00F91CBF" w:rsidP="00F91CBF">
            <w:pPr>
              <w:pStyle w:val="Tablewriting"/>
            </w:pPr>
            <w:proofErr w:type="spellStart"/>
            <w:r w:rsidRPr="00C54FF3">
              <w:t>Venetoclax</w:t>
            </w:r>
            <w:proofErr w:type="spellEnd"/>
            <w:r w:rsidRPr="00C54FF3">
              <w:t xml:space="preserve"> 100 mg tablet, 120 tablets.</w:t>
            </w:r>
          </w:p>
        </w:tc>
        <w:tc>
          <w:tcPr>
            <w:tcW w:w="1276" w:type="dxa"/>
            <w:shd w:val="clear" w:color="auto" w:fill="auto"/>
          </w:tcPr>
          <w:p w14:paraId="5C6ABF82" w14:textId="41FDF39F" w:rsidR="00F91CBF" w:rsidRPr="00C54FF3" w:rsidDel="00EE2BBB" w:rsidRDefault="00F91CBF" w:rsidP="00F91CBF">
            <w:pPr>
              <w:pStyle w:val="Tablewriting"/>
              <w:jc w:val="center"/>
            </w:pPr>
            <w:r w:rsidRPr="00C54FF3">
              <w:t>1</w:t>
            </w:r>
          </w:p>
        </w:tc>
        <w:tc>
          <w:tcPr>
            <w:tcW w:w="850" w:type="dxa"/>
            <w:shd w:val="clear" w:color="auto" w:fill="auto"/>
          </w:tcPr>
          <w:p w14:paraId="0641C9C1" w14:textId="4677E7B7" w:rsidR="00F91CBF" w:rsidRPr="00C54FF3" w:rsidDel="00EE2BBB" w:rsidRDefault="00F91CBF" w:rsidP="00F91CBF">
            <w:pPr>
              <w:pStyle w:val="Tablewriting"/>
              <w:jc w:val="center"/>
            </w:pPr>
            <w:r w:rsidRPr="00C54FF3">
              <w:t>4</w:t>
            </w:r>
          </w:p>
        </w:tc>
        <w:tc>
          <w:tcPr>
            <w:tcW w:w="1040" w:type="dxa"/>
            <w:shd w:val="clear" w:color="auto" w:fill="auto"/>
          </w:tcPr>
          <w:p w14:paraId="24E59754" w14:textId="6366E4F2" w:rsidR="00F91CBF" w:rsidRPr="00C54FF3" w:rsidDel="00EE2BBB" w:rsidRDefault="00F91CBF" w:rsidP="00F91CBF">
            <w:pPr>
              <w:pStyle w:val="Tablewriting"/>
              <w:jc w:val="center"/>
            </w:pPr>
            <w:r w:rsidRPr="00C54FF3">
              <w:t>$7784.30</w:t>
            </w:r>
            <w:r w:rsidRPr="00C54FF3">
              <w:rPr>
                <w:vertAlign w:val="superscript"/>
              </w:rPr>
              <w:t>a</w:t>
            </w:r>
          </w:p>
        </w:tc>
        <w:tc>
          <w:tcPr>
            <w:tcW w:w="2104" w:type="dxa"/>
            <w:shd w:val="clear" w:color="auto" w:fill="auto"/>
          </w:tcPr>
          <w:p w14:paraId="16EB3D6C" w14:textId="53E523AE" w:rsidR="00F91CBF" w:rsidRPr="00C54FF3" w:rsidDel="00EE2BBB" w:rsidRDefault="00F91CBF" w:rsidP="00F91CBF">
            <w:pPr>
              <w:pStyle w:val="Tablewriting"/>
            </w:pPr>
            <w:proofErr w:type="spellStart"/>
            <w:r w:rsidRPr="00C54FF3">
              <w:t>Venclexta</w:t>
            </w:r>
            <w:proofErr w:type="spellEnd"/>
            <w:r w:rsidRPr="00C54FF3">
              <w:rPr>
                <w:rFonts w:cstheme="minorHAnsi"/>
              </w:rPr>
              <w:t>®</w:t>
            </w:r>
            <w:r w:rsidRPr="00C54FF3">
              <w:t>, AbbVie Pty Ltd</w:t>
            </w:r>
          </w:p>
        </w:tc>
      </w:tr>
      <w:tr w:rsidR="00F91CBF" w:rsidRPr="00A35800" w:rsidDel="00EE2BBB" w14:paraId="61E5108D" w14:textId="77777777" w:rsidTr="00F91CBF">
        <w:trPr>
          <w:trHeight w:val="546"/>
          <w:tblHeader/>
        </w:trPr>
        <w:tc>
          <w:tcPr>
            <w:tcW w:w="969" w:type="dxa"/>
            <w:shd w:val="clear" w:color="auto" w:fill="auto"/>
          </w:tcPr>
          <w:p w14:paraId="6DABDD16" w14:textId="77777777" w:rsidR="00F91CBF" w:rsidRPr="00C54FF3" w:rsidRDefault="00F91CBF" w:rsidP="00F91CBF">
            <w:pPr>
              <w:pStyle w:val="Tablewriting"/>
              <w:rPr>
                <w:rFonts w:ascii="Calibri" w:hAnsi="Calibri"/>
                <w:color w:val="0563C1"/>
                <w:u w:val="single"/>
              </w:rPr>
            </w:pPr>
            <w:r w:rsidRPr="00C54FF3">
              <w:rPr>
                <w:rFonts w:ascii="Calibri" w:hAnsi="Calibri"/>
                <w:color w:val="0563C1"/>
                <w:u w:val="single"/>
              </w:rPr>
              <w:t>12999E</w:t>
            </w:r>
          </w:p>
          <w:p w14:paraId="604BEE8A" w14:textId="754D7D70" w:rsidR="00F91CBF" w:rsidRPr="00C54FF3" w:rsidRDefault="00F91CBF" w:rsidP="00F91CBF">
            <w:pPr>
              <w:pStyle w:val="Tablewriting"/>
              <w:rPr>
                <w:rFonts w:ascii="Calibri" w:hAnsi="Calibri"/>
                <w:color w:val="0563C1"/>
                <w:u w:val="single"/>
              </w:rPr>
            </w:pPr>
            <w:r w:rsidRPr="00C54FF3">
              <w:t>General Schedule</w:t>
            </w:r>
          </w:p>
        </w:tc>
        <w:tc>
          <w:tcPr>
            <w:tcW w:w="2825" w:type="dxa"/>
            <w:shd w:val="clear" w:color="auto" w:fill="auto"/>
          </w:tcPr>
          <w:p w14:paraId="5C0AFD25" w14:textId="2C4E22EC" w:rsidR="00F91CBF" w:rsidRPr="00C54FF3" w:rsidRDefault="00F91CBF" w:rsidP="00F91CBF">
            <w:pPr>
              <w:pStyle w:val="Tablewriting"/>
            </w:pPr>
            <w:proofErr w:type="spellStart"/>
            <w:r w:rsidRPr="00C54FF3">
              <w:t>Venetoclax</w:t>
            </w:r>
            <w:proofErr w:type="spellEnd"/>
            <w:r w:rsidRPr="00C54FF3">
              <w:t xml:space="preserve"> 10 mg tablet, 2 tablets</w:t>
            </w:r>
          </w:p>
        </w:tc>
        <w:tc>
          <w:tcPr>
            <w:tcW w:w="1276" w:type="dxa"/>
            <w:shd w:val="clear" w:color="auto" w:fill="auto"/>
          </w:tcPr>
          <w:p w14:paraId="2C9E6C8E" w14:textId="64D5EAA4" w:rsidR="00F91CBF" w:rsidRPr="00C54FF3" w:rsidRDefault="000A091E" w:rsidP="00F91CBF">
            <w:pPr>
              <w:pStyle w:val="Tablewriting"/>
              <w:jc w:val="center"/>
            </w:pPr>
            <w:r w:rsidRPr="00C54FF3">
              <w:t>7</w:t>
            </w:r>
          </w:p>
        </w:tc>
        <w:tc>
          <w:tcPr>
            <w:tcW w:w="850" w:type="dxa"/>
            <w:shd w:val="clear" w:color="auto" w:fill="auto"/>
          </w:tcPr>
          <w:p w14:paraId="54B73D94" w14:textId="7D978E95" w:rsidR="00F91CBF" w:rsidRPr="00C54FF3" w:rsidRDefault="000A091E" w:rsidP="00F91CBF">
            <w:pPr>
              <w:pStyle w:val="Tablewriting"/>
              <w:jc w:val="center"/>
            </w:pPr>
            <w:r w:rsidRPr="00C54FF3">
              <w:t>0</w:t>
            </w:r>
          </w:p>
        </w:tc>
        <w:tc>
          <w:tcPr>
            <w:tcW w:w="1040" w:type="dxa"/>
            <w:shd w:val="clear" w:color="auto" w:fill="auto"/>
          </w:tcPr>
          <w:p w14:paraId="14C2473C" w14:textId="7E6EAB3C" w:rsidR="00F91CBF" w:rsidRPr="00C54FF3" w:rsidRDefault="000A091E" w:rsidP="00F91CBF">
            <w:pPr>
              <w:pStyle w:val="Tablewriting"/>
              <w:jc w:val="center"/>
              <w:rPr>
                <w:vertAlign w:val="superscript"/>
              </w:rPr>
            </w:pPr>
            <w:r w:rsidRPr="00C54FF3">
              <w:t>$107.85</w:t>
            </w:r>
            <w:r w:rsidRPr="00C54FF3">
              <w:rPr>
                <w:vertAlign w:val="superscript"/>
              </w:rPr>
              <w:t>a</w:t>
            </w:r>
          </w:p>
        </w:tc>
        <w:tc>
          <w:tcPr>
            <w:tcW w:w="2104" w:type="dxa"/>
            <w:shd w:val="clear" w:color="auto" w:fill="auto"/>
          </w:tcPr>
          <w:p w14:paraId="7C3394EC" w14:textId="2A814D27" w:rsidR="00F91CBF" w:rsidRPr="00C54FF3" w:rsidRDefault="000A091E" w:rsidP="00F91CBF">
            <w:pPr>
              <w:pStyle w:val="Tablewriting"/>
            </w:pPr>
            <w:proofErr w:type="spellStart"/>
            <w:r w:rsidRPr="00C54FF3">
              <w:t>Venclexta</w:t>
            </w:r>
            <w:proofErr w:type="spellEnd"/>
            <w:r w:rsidRPr="00C54FF3">
              <w:rPr>
                <w:rFonts w:cstheme="minorHAnsi"/>
              </w:rPr>
              <w:t>®</w:t>
            </w:r>
            <w:r w:rsidRPr="00C54FF3">
              <w:t>, AbbVie Pty Ltd</w:t>
            </w:r>
          </w:p>
        </w:tc>
      </w:tr>
    </w:tbl>
    <w:p w14:paraId="533F57FC" w14:textId="3B97AF64" w:rsidR="00945AEB" w:rsidRDefault="007408C7" w:rsidP="00945AEB">
      <w:pPr>
        <w:pStyle w:val="Notes"/>
        <w:spacing w:after="0"/>
      </w:pPr>
      <w:r w:rsidRPr="00A35800" w:rsidDel="00EE2BBB">
        <w:t xml:space="preserve">Source: </w:t>
      </w:r>
      <w:r w:rsidR="001624D7" w:rsidDel="00EE2BBB">
        <w:t xml:space="preserve">the </w:t>
      </w:r>
      <w:hyperlink r:id="rId15" w:history="1">
        <w:r w:rsidR="001624D7" w:rsidRPr="001624D7" w:rsidDel="00EE2BBB">
          <w:rPr>
            <w:rStyle w:val="Hyperlink"/>
          </w:rPr>
          <w:t>PBS website</w:t>
        </w:r>
      </w:hyperlink>
      <w:r w:rsidR="001624D7" w:rsidDel="00EE2BBB">
        <w:t>.</w:t>
      </w:r>
      <w:r w:rsidR="0080485E" w:rsidDel="00EE2BBB">
        <w:t xml:space="preserve">  </w:t>
      </w:r>
    </w:p>
    <w:p w14:paraId="0A38AED4" w14:textId="5BB3B76B" w:rsidR="00945AEB" w:rsidRDefault="00114627" w:rsidP="00945AEB">
      <w:pPr>
        <w:pStyle w:val="Notes"/>
        <w:spacing w:after="0"/>
      </w:pPr>
      <w:r>
        <w:t>Note</w:t>
      </w:r>
      <w:r w:rsidR="00945AEB">
        <w:t>:</w:t>
      </w:r>
      <w:r>
        <w:t xml:space="preserve"> </w:t>
      </w:r>
    </w:p>
    <w:p w14:paraId="1183F151" w14:textId="14B92EE7" w:rsidR="007247B9" w:rsidRDefault="0080485E" w:rsidP="00BB1D3B">
      <w:pPr>
        <w:pStyle w:val="Notes"/>
      </w:pPr>
      <w:proofErr w:type="spellStart"/>
      <w:r w:rsidRPr="003C4239" w:rsidDel="00EE2BBB">
        <w:rPr>
          <w:vertAlign w:val="superscript"/>
        </w:rPr>
        <w:t>a</w:t>
      </w:r>
      <w:r w:rsidRPr="0080485E" w:rsidDel="00EE2BBB">
        <w:t>Special</w:t>
      </w:r>
      <w:proofErr w:type="spellEnd"/>
      <w:r w:rsidRPr="0080485E" w:rsidDel="00EE2BBB">
        <w:t xml:space="preserve"> Pricing Arrangement is in place</w:t>
      </w:r>
      <w:r w:rsidR="00114627">
        <w:t>.</w:t>
      </w:r>
    </w:p>
    <w:p w14:paraId="1AFA1485" w14:textId="3186A599" w:rsidR="004C3186" w:rsidDel="00EE2BBB" w:rsidRDefault="004C3186" w:rsidP="00CF5E22">
      <w:pPr>
        <w:pStyle w:val="Heading3"/>
      </w:pPr>
      <w:r w:rsidDel="00EE2BBB">
        <w:t>Restriction</w:t>
      </w:r>
    </w:p>
    <w:p w14:paraId="29EB3BEB" w14:textId="0331F17F" w:rsidR="0099342E" w:rsidRDefault="0099342E" w:rsidP="00522B0F">
      <w:pPr>
        <w:spacing w:after="0"/>
        <w:ind w:right="-257"/>
      </w:pPr>
      <w:r w:rsidRPr="0099342E">
        <w:t>Initial treatment in first-line therapy - Dose titration (weeks 1 to 4 of a 5-week ramp-up schedule)</w:t>
      </w:r>
      <w:r>
        <w:t>.</w:t>
      </w:r>
    </w:p>
    <w:p w14:paraId="047E3424" w14:textId="77777777" w:rsidR="0099342E" w:rsidRDefault="0099342E" w:rsidP="0099342E">
      <w:pPr>
        <w:spacing w:after="0"/>
      </w:pPr>
    </w:p>
    <w:p w14:paraId="1FDA51D6" w14:textId="77777777" w:rsidR="0099342E" w:rsidRDefault="0099342E" w:rsidP="0099342E">
      <w:pPr>
        <w:spacing w:after="0"/>
      </w:pPr>
      <w:r w:rsidRPr="0099342E">
        <w:t xml:space="preserve">Clinical criteria: </w:t>
      </w:r>
    </w:p>
    <w:p w14:paraId="53511B36" w14:textId="77777777" w:rsidR="0099342E" w:rsidRDefault="0099342E" w:rsidP="0000202C">
      <w:pPr>
        <w:pStyle w:val="ListParagraph"/>
        <w:numPr>
          <w:ilvl w:val="0"/>
          <w:numId w:val="13"/>
        </w:numPr>
        <w:spacing w:after="0"/>
      </w:pPr>
      <w:r w:rsidRPr="0099342E">
        <w:t xml:space="preserve">The condition must be untreated, AND </w:t>
      </w:r>
    </w:p>
    <w:p w14:paraId="44F6A5F3" w14:textId="454928C1" w:rsidR="0099342E" w:rsidRDefault="0099342E" w:rsidP="0000202C">
      <w:pPr>
        <w:pStyle w:val="ListParagraph"/>
        <w:numPr>
          <w:ilvl w:val="0"/>
          <w:numId w:val="13"/>
        </w:numPr>
        <w:spacing w:after="0"/>
      </w:pPr>
      <w:r w:rsidRPr="0099342E">
        <w:t xml:space="preserve">Patient must be inappropriate for fludarabine based chemo-immunotherapy, AND  </w:t>
      </w:r>
    </w:p>
    <w:p w14:paraId="43AF2CAC" w14:textId="77777777" w:rsidR="0099342E" w:rsidRDefault="0099342E" w:rsidP="0000202C">
      <w:pPr>
        <w:pStyle w:val="ListParagraph"/>
        <w:numPr>
          <w:ilvl w:val="0"/>
          <w:numId w:val="13"/>
        </w:numPr>
        <w:spacing w:after="0"/>
      </w:pPr>
      <w:r w:rsidRPr="0099342E">
        <w:t xml:space="preserve">The treatment must be in combination with </w:t>
      </w:r>
      <w:proofErr w:type="spellStart"/>
      <w:r w:rsidRPr="0099342E">
        <w:t>obinutuzumab</w:t>
      </w:r>
      <w:proofErr w:type="spellEnd"/>
      <w:r w:rsidRPr="0099342E">
        <w:t xml:space="preserve">, AND </w:t>
      </w:r>
    </w:p>
    <w:p w14:paraId="08824BE0" w14:textId="77777777" w:rsidR="0099342E" w:rsidRDefault="0099342E" w:rsidP="0000202C">
      <w:pPr>
        <w:pStyle w:val="ListParagraph"/>
        <w:numPr>
          <w:ilvl w:val="0"/>
          <w:numId w:val="13"/>
        </w:numPr>
        <w:spacing w:after="0"/>
      </w:pPr>
      <w:r w:rsidRPr="0099342E">
        <w:t>Patient must have a creatinine clearance 30 mL/min or greater, AND</w:t>
      </w:r>
    </w:p>
    <w:p w14:paraId="19D91819" w14:textId="77777777" w:rsidR="0099342E" w:rsidRDefault="0099342E" w:rsidP="0000202C">
      <w:pPr>
        <w:pStyle w:val="ListParagraph"/>
        <w:numPr>
          <w:ilvl w:val="0"/>
          <w:numId w:val="13"/>
        </w:numPr>
        <w:spacing w:after="0"/>
      </w:pPr>
      <w:r w:rsidRPr="0099342E">
        <w:t>Patient must have a total cumulative illness rating scale (CIRS) score of greater than 6 (excluding CLL-induced illness or organ damage</w:t>
      </w:r>
      <w:proofErr w:type="gramStart"/>
      <w:r w:rsidRPr="0099342E">
        <w:t>);</w:t>
      </w:r>
      <w:proofErr w:type="gramEnd"/>
      <w:r w:rsidRPr="0099342E">
        <w:t xml:space="preserve"> OR</w:t>
      </w:r>
    </w:p>
    <w:p w14:paraId="0D0A7680" w14:textId="78A2EBB1" w:rsidR="0099342E" w:rsidRDefault="0099342E" w:rsidP="0000202C">
      <w:pPr>
        <w:pStyle w:val="ListParagraph"/>
        <w:numPr>
          <w:ilvl w:val="0"/>
          <w:numId w:val="13"/>
        </w:numPr>
        <w:spacing w:after="0"/>
      </w:pPr>
      <w:r w:rsidRPr="0099342E">
        <w:t>Patient must have a creatinine clearance less than 70 mL/min.</w:t>
      </w:r>
    </w:p>
    <w:p w14:paraId="1D38E25C" w14:textId="2A509D0B" w:rsidR="0099342E" w:rsidRDefault="0099342E" w:rsidP="0099342E">
      <w:pPr>
        <w:spacing w:after="0"/>
      </w:pPr>
    </w:p>
    <w:p w14:paraId="324E4B68" w14:textId="77777777" w:rsidR="0099342E" w:rsidRDefault="0099342E" w:rsidP="0099342E">
      <w:pPr>
        <w:spacing w:after="0"/>
      </w:pPr>
      <w:r w:rsidRPr="0099342E">
        <w:t>First continuing treatment (treatment cycles 2 to 6 inclusive) of first-line therapy</w:t>
      </w:r>
      <w:r>
        <w:t>.</w:t>
      </w:r>
    </w:p>
    <w:p w14:paraId="564136FD" w14:textId="77777777" w:rsidR="0099342E" w:rsidRDefault="0099342E" w:rsidP="0099342E">
      <w:pPr>
        <w:spacing w:after="0"/>
      </w:pPr>
    </w:p>
    <w:p w14:paraId="2CA69F8C" w14:textId="77777777" w:rsidR="0099342E" w:rsidRDefault="0099342E" w:rsidP="0099342E">
      <w:pPr>
        <w:spacing w:after="0"/>
      </w:pPr>
      <w:r w:rsidRPr="0099342E">
        <w:t xml:space="preserve">Clinical criteria: </w:t>
      </w:r>
    </w:p>
    <w:p w14:paraId="24940B90" w14:textId="77777777" w:rsidR="0099342E" w:rsidRDefault="0099342E" w:rsidP="0000202C">
      <w:pPr>
        <w:pStyle w:val="ListParagraph"/>
        <w:numPr>
          <w:ilvl w:val="0"/>
          <w:numId w:val="14"/>
        </w:numPr>
        <w:spacing w:after="0"/>
      </w:pPr>
      <w:r w:rsidRPr="0099342E">
        <w:t>Patient must have previously received PBS-subsidised treatment with this drug for this condition, AND</w:t>
      </w:r>
    </w:p>
    <w:p w14:paraId="0BA4D9C5" w14:textId="77777777" w:rsidR="0099342E" w:rsidRDefault="0099342E" w:rsidP="0000202C">
      <w:pPr>
        <w:pStyle w:val="ListParagraph"/>
        <w:numPr>
          <w:ilvl w:val="0"/>
          <w:numId w:val="14"/>
        </w:numPr>
        <w:spacing w:after="0"/>
      </w:pPr>
      <w:r w:rsidRPr="0099342E">
        <w:lastRenderedPageBreak/>
        <w:t xml:space="preserve">The treatment must be in combination with </w:t>
      </w:r>
      <w:proofErr w:type="spellStart"/>
      <w:r w:rsidRPr="0099342E">
        <w:t>obinutuzumab</w:t>
      </w:r>
      <w:proofErr w:type="spellEnd"/>
      <w:r w:rsidRPr="0099342E">
        <w:t>, AND</w:t>
      </w:r>
    </w:p>
    <w:p w14:paraId="71A57C9E" w14:textId="4E431755" w:rsidR="0099342E" w:rsidRDefault="0099342E" w:rsidP="0000202C">
      <w:pPr>
        <w:pStyle w:val="ListParagraph"/>
        <w:numPr>
          <w:ilvl w:val="0"/>
          <w:numId w:val="14"/>
        </w:numPr>
        <w:spacing w:after="0"/>
      </w:pPr>
      <w:r w:rsidRPr="0099342E">
        <w:t>The treatment must cease upon disease progression.</w:t>
      </w:r>
    </w:p>
    <w:p w14:paraId="7EE2FDA1" w14:textId="6528FCF3" w:rsidR="0099342E" w:rsidRDefault="0099342E" w:rsidP="0099342E">
      <w:pPr>
        <w:spacing w:after="0"/>
      </w:pPr>
    </w:p>
    <w:p w14:paraId="2E9B651B" w14:textId="77777777" w:rsidR="0099342E" w:rsidRDefault="0099342E" w:rsidP="0099342E">
      <w:pPr>
        <w:spacing w:after="0"/>
      </w:pPr>
      <w:r w:rsidRPr="0099342E">
        <w:t>Second and final continuing treatment prescription (treatment cycles 7 to 12 inclusive) of first-line therapy</w:t>
      </w:r>
      <w:r>
        <w:t>.</w:t>
      </w:r>
    </w:p>
    <w:p w14:paraId="4B3AFCD5" w14:textId="77777777" w:rsidR="0099342E" w:rsidRDefault="0099342E" w:rsidP="0099342E">
      <w:pPr>
        <w:spacing w:after="0"/>
      </w:pPr>
    </w:p>
    <w:p w14:paraId="40040DC0" w14:textId="6EC051DD" w:rsidR="0099342E" w:rsidRDefault="0099342E" w:rsidP="0099342E">
      <w:pPr>
        <w:spacing w:after="0"/>
      </w:pPr>
      <w:r w:rsidRPr="0099342E">
        <w:t>Clinical criteria:</w:t>
      </w:r>
    </w:p>
    <w:p w14:paraId="2FAE93C9" w14:textId="77777777" w:rsidR="0099342E" w:rsidRDefault="0099342E" w:rsidP="0000202C">
      <w:pPr>
        <w:pStyle w:val="ListParagraph"/>
        <w:numPr>
          <w:ilvl w:val="0"/>
          <w:numId w:val="15"/>
        </w:numPr>
        <w:spacing w:after="0"/>
      </w:pPr>
      <w:r w:rsidRPr="0099342E">
        <w:t>Patient must have previously received PBS-subsidised treatment with this drug for this condition, AND</w:t>
      </w:r>
    </w:p>
    <w:p w14:paraId="13EDC80A" w14:textId="77777777" w:rsidR="0099342E" w:rsidRDefault="0099342E" w:rsidP="0000202C">
      <w:pPr>
        <w:pStyle w:val="ListParagraph"/>
        <w:numPr>
          <w:ilvl w:val="0"/>
          <w:numId w:val="15"/>
        </w:numPr>
        <w:spacing w:after="0"/>
      </w:pPr>
      <w:r w:rsidRPr="0099342E">
        <w:t xml:space="preserve">The treatment must cease upon disease </w:t>
      </w:r>
      <w:proofErr w:type="gramStart"/>
      <w:r w:rsidRPr="0099342E">
        <w:t>progression;</w:t>
      </w:r>
      <w:proofErr w:type="gramEnd"/>
      <w:r w:rsidRPr="0099342E">
        <w:t xml:space="preserve"> OR</w:t>
      </w:r>
    </w:p>
    <w:p w14:paraId="707CF308" w14:textId="690A72C2" w:rsidR="0099342E" w:rsidRDefault="0099342E" w:rsidP="0000202C">
      <w:pPr>
        <w:pStyle w:val="ListParagraph"/>
        <w:numPr>
          <w:ilvl w:val="0"/>
          <w:numId w:val="15"/>
        </w:numPr>
        <w:spacing w:after="0"/>
      </w:pPr>
      <w:r w:rsidRPr="0099342E">
        <w:t>The treatment must cease upon completion of 12 cycles of treatment with this drug for this condition, whichever comes first.</w:t>
      </w:r>
    </w:p>
    <w:p w14:paraId="5659C339" w14:textId="2BFA4D0A" w:rsidR="0099342E" w:rsidRDefault="0099342E" w:rsidP="0099342E">
      <w:pPr>
        <w:spacing w:after="0"/>
      </w:pPr>
    </w:p>
    <w:p w14:paraId="56F5E9DE" w14:textId="28064F7F" w:rsidR="00743C0F" w:rsidRDefault="00743C0F" w:rsidP="00743C0F">
      <w:pPr>
        <w:spacing w:after="0"/>
      </w:pPr>
      <w:r>
        <w:t>Notes</w:t>
      </w:r>
      <w:r w:rsidR="0000202C">
        <w:t>:</w:t>
      </w:r>
    </w:p>
    <w:p w14:paraId="028CC2B6" w14:textId="70EF00A0" w:rsidR="00743C0F" w:rsidRDefault="00743C0F" w:rsidP="00743C0F">
      <w:pPr>
        <w:spacing w:after="0"/>
      </w:pPr>
      <w:r>
        <w:t>No increase in the maximum quantity or number of units may be authorised.</w:t>
      </w:r>
    </w:p>
    <w:p w14:paraId="205E1996" w14:textId="49CDC813" w:rsidR="00743C0F" w:rsidRDefault="00743C0F" w:rsidP="00743C0F">
      <w:pPr>
        <w:spacing w:after="0"/>
      </w:pPr>
      <w:r>
        <w:t>No increase in the maximum number of repeats may be authorised.</w:t>
      </w:r>
    </w:p>
    <w:p w14:paraId="63702807" w14:textId="18D657D8" w:rsidR="00743C0F" w:rsidRDefault="00743C0F" w:rsidP="00743C0F">
      <w:pPr>
        <w:spacing w:after="0"/>
      </w:pPr>
      <w:r>
        <w:t>Special Pricing Arrangements apply.</w:t>
      </w:r>
    </w:p>
    <w:p w14:paraId="3C6A50E6" w14:textId="71F4B6E8" w:rsidR="00743C0F" w:rsidRDefault="00743C0F" w:rsidP="00743C0F">
      <w:pPr>
        <w:spacing w:after="0"/>
      </w:pPr>
      <w:r>
        <w:t>Applications for authorisation under this restriction may be made in real time using the Online PBS Authorities system (see www.servicesaustralia.gov.au/HPOS) or by telephone by contacting Services Australia on 1800 888 333.</w:t>
      </w:r>
    </w:p>
    <w:p w14:paraId="5419E062" w14:textId="77777777" w:rsidR="00743C0F" w:rsidRPr="0099342E" w:rsidDel="00EE2BBB" w:rsidRDefault="00743C0F" w:rsidP="00743C0F">
      <w:pPr>
        <w:spacing w:after="0"/>
      </w:pPr>
    </w:p>
    <w:p w14:paraId="1696805C" w14:textId="0CFA1426" w:rsidR="00AF62B5" w:rsidRPr="00CB093E" w:rsidDel="00EE2BBB" w:rsidRDefault="006775F1" w:rsidP="00A35800">
      <w:pPr>
        <w:rPr>
          <w:color w:val="0000FF" w:themeColor="hyperlink"/>
          <w:u w:val="single"/>
        </w:rPr>
      </w:pPr>
      <w:r w:rsidRPr="006775F1" w:rsidDel="00EE2BBB">
        <w:t xml:space="preserve">For </w:t>
      </w:r>
      <w:r w:rsidR="00835337" w:rsidDel="00EE2BBB">
        <w:t xml:space="preserve">details of the current PBS listing refer to the </w:t>
      </w:r>
      <w:hyperlink r:id="rId16" w:history="1">
        <w:r w:rsidR="00835337" w:rsidRPr="00645D51" w:rsidDel="00EE2BBB">
          <w:rPr>
            <w:rStyle w:val="Hyperlink"/>
          </w:rPr>
          <w:t>PBS website</w:t>
        </w:r>
      </w:hyperlink>
      <w:r w:rsidR="00835337" w:rsidDel="00EE2BBB">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0F3D1EAD" w14:textId="4B5CB0A8" w:rsidR="00677DB7" w:rsidRDefault="00677DB7" w:rsidP="00A35800">
      <w:r w:rsidRPr="00677DB7">
        <w:t xml:space="preserve">The PBAC </w:t>
      </w:r>
      <w:r w:rsidR="00380E4B">
        <w:t>first</w:t>
      </w:r>
      <w:r w:rsidRPr="00677DB7">
        <w:t xml:space="preserve"> considered </w:t>
      </w:r>
      <w:proofErr w:type="spellStart"/>
      <w:r w:rsidRPr="00677DB7">
        <w:t>venetoclax</w:t>
      </w:r>
      <w:proofErr w:type="spellEnd"/>
      <w:r w:rsidR="00582C5C">
        <w:t xml:space="preserve"> </w:t>
      </w:r>
      <w:r w:rsidRPr="00677DB7">
        <w:t xml:space="preserve">in March 2020. The submission was not recommended as the incremental cost-effectiveness ratio (ICER) was difficult to ascertain based on the </w:t>
      </w:r>
      <w:r w:rsidR="002A3BB4">
        <w:t xml:space="preserve">economic </w:t>
      </w:r>
      <w:r w:rsidRPr="00677DB7">
        <w:t>model provided and the financial estimates were highly uncertain.</w:t>
      </w:r>
    </w:p>
    <w:p w14:paraId="76775FBD" w14:textId="38C59282" w:rsidR="009572D0" w:rsidRDefault="009572D0" w:rsidP="00D94863">
      <w:r>
        <w:t xml:space="preserve">For further details refer to </w:t>
      </w:r>
      <w:r w:rsidRPr="00F65F0D">
        <w:t xml:space="preserve">the </w:t>
      </w:r>
      <w:hyperlink r:id="rId17" w:history="1">
        <w:r w:rsidR="00656366">
          <w:rPr>
            <w:rStyle w:val="Hyperlink"/>
          </w:rPr>
          <w:t xml:space="preserve">Public Summary Document (PSD) </w:t>
        </w:r>
      </w:hyperlink>
      <w:r w:rsidRPr="00F65F0D">
        <w:t xml:space="preserve">from the </w:t>
      </w:r>
      <w:r>
        <w:t>March 2020 PBAC meeting</w:t>
      </w:r>
      <w:r w:rsidR="00380E4B">
        <w:t>.</w:t>
      </w:r>
    </w:p>
    <w:p w14:paraId="03BDA656" w14:textId="09A90A85" w:rsidR="00380E4B" w:rsidRDefault="009F3BA7" w:rsidP="00380E4B">
      <w:r>
        <w:t>After considering a</w:t>
      </w:r>
      <w:r w:rsidR="00380E4B">
        <w:t xml:space="preserve"> minor resubmission requesting </w:t>
      </w:r>
      <w:r w:rsidR="00380E4B" w:rsidRPr="00380E4B">
        <w:t xml:space="preserve">listing for </w:t>
      </w:r>
      <w:proofErr w:type="spellStart"/>
      <w:r w:rsidR="00380E4B" w:rsidRPr="00380E4B">
        <w:t>venetoclax</w:t>
      </w:r>
      <w:proofErr w:type="spellEnd"/>
      <w:r>
        <w:t>,</w:t>
      </w:r>
      <w:r w:rsidR="00380E4B">
        <w:t xml:space="preserve"> </w:t>
      </w:r>
      <w:r w:rsidR="00456139">
        <w:t>which took into consideration the advice that PBAC provided in relation to the March 2020 submission</w:t>
      </w:r>
      <w:r>
        <w:t xml:space="preserve">, </w:t>
      </w:r>
      <w:r w:rsidR="00380E4B">
        <w:t xml:space="preserve">PBAC </w:t>
      </w:r>
      <w:r w:rsidR="00380E4B" w:rsidRPr="00582C5C">
        <w:t xml:space="preserve">recommended the listing of </w:t>
      </w:r>
      <w:proofErr w:type="spellStart"/>
      <w:r w:rsidR="00380E4B" w:rsidRPr="00582C5C">
        <w:t>venetoclax</w:t>
      </w:r>
      <w:proofErr w:type="spellEnd"/>
      <w:r>
        <w:t xml:space="preserve"> at its July 2020 meeting</w:t>
      </w:r>
      <w:r w:rsidR="00456139">
        <w:t xml:space="preserve">. </w:t>
      </w:r>
    </w:p>
    <w:p w14:paraId="0E925866" w14:textId="6CA0777B" w:rsidR="00380E4B" w:rsidRDefault="00380E4B" w:rsidP="00D94863">
      <w:r>
        <w:t xml:space="preserve">For further details refer to </w:t>
      </w:r>
      <w:r w:rsidRPr="00F65F0D">
        <w:t xml:space="preserve">the </w:t>
      </w:r>
      <w:hyperlink r:id="rId18" w:history="1">
        <w:r>
          <w:rPr>
            <w:rStyle w:val="Hyperlink"/>
          </w:rPr>
          <w:t xml:space="preserve">Public Summary Document (PSD) </w:t>
        </w:r>
      </w:hyperlink>
      <w:r w:rsidRPr="00F65F0D">
        <w:t xml:space="preserve"> from the </w:t>
      </w:r>
      <w:r>
        <w:t>July 2020 PBAC meeting.</w:t>
      </w:r>
    </w:p>
    <w:p w14:paraId="1D9D9577" w14:textId="417BBA57" w:rsidR="00737229" w:rsidRPr="00737229" w:rsidRDefault="00ED633B" w:rsidP="00737229">
      <w:pPr>
        <w:pStyle w:val="Heading2"/>
      </w:pPr>
      <w:r>
        <w:t>A</w:t>
      </w:r>
      <w:r w:rsidR="000F2F51">
        <w:t xml:space="preserve">pproach </w:t>
      </w:r>
      <w:r>
        <w:t xml:space="preserve">taken to </w:t>
      </w:r>
      <w:r w:rsidR="000F2F51">
        <w:t>estimat</w:t>
      </w:r>
      <w:r>
        <w:t>e</w:t>
      </w:r>
      <w:r w:rsidR="000F2F51">
        <w:t xml:space="preserve"> utilisation</w:t>
      </w:r>
    </w:p>
    <w:p w14:paraId="623CF794" w14:textId="63A36084" w:rsidR="004226D9" w:rsidRDefault="00E957B0" w:rsidP="00E957B0">
      <w:r>
        <w:t xml:space="preserve">An epidemiological approach </w:t>
      </w:r>
      <w:r w:rsidR="00120C38">
        <w:t>was</w:t>
      </w:r>
      <w:r>
        <w:t xml:space="preserve"> applied in estimating the utilisation and financial implications resulting from </w:t>
      </w:r>
      <w:r w:rsidR="00120C38">
        <w:t xml:space="preserve">the listing of </w:t>
      </w:r>
      <w:proofErr w:type="spellStart"/>
      <w:r w:rsidR="00120C38">
        <w:t>venetoclax</w:t>
      </w:r>
      <w:proofErr w:type="spellEnd"/>
      <w:r>
        <w:t>.</w:t>
      </w:r>
    </w:p>
    <w:p w14:paraId="32D64C96" w14:textId="5351FE72" w:rsidR="002A7C7A" w:rsidRDefault="009F69EC" w:rsidP="008D527F">
      <w:r>
        <w:t>Australian Bureau of Statistics (ABS) data was used to estimate the projected</w:t>
      </w:r>
      <w:r w:rsidR="00BD0A08">
        <w:t xml:space="preserve"> t</w:t>
      </w:r>
      <w:r w:rsidR="002A7C7A">
        <w:t>otal Australian population</w:t>
      </w:r>
      <w:r>
        <w:t>.</w:t>
      </w:r>
    </w:p>
    <w:p w14:paraId="25983692" w14:textId="7FA10AAD" w:rsidR="004226D9" w:rsidRDefault="008D527F" w:rsidP="004226D9">
      <w:r>
        <w:lastRenderedPageBreak/>
        <w:t>CLL</w:t>
      </w:r>
      <w:r w:rsidR="00EE41B1">
        <w:t>/SLL</w:t>
      </w:r>
      <w:r>
        <w:t xml:space="preserve"> incidence rates were derived from</w:t>
      </w:r>
      <w:r w:rsidR="002A7C7A" w:rsidRPr="002A7C7A">
        <w:t xml:space="preserve"> reports </w:t>
      </w:r>
      <w:r>
        <w:t xml:space="preserve">of </w:t>
      </w:r>
      <w:r w:rsidR="002A7C7A" w:rsidRPr="002A7C7A">
        <w:t>incidence and mortality statistics for cancers in the Australian Cancer Incidence and Mortality books (ACIM)</w:t>
      </w:r>
      <w:r>
        <w:t xml:space="preserve"> produced by the</w:t>
      </w:r>
      <w:r w:rsidR="00D55CAA">
        <w:t xml:space="preserve"> </w:t>
      </w:r>
      <w:r>
        <w:t>AIHW</w:t>
      </w:r>
      <w:r w:rsidR="002A7C7A" w:rsidRPr="002A7C7A">
        <w:t xml:space="preserve">. </w:t>
      </w:r>
      <w:r w:rsidR="00E957B0">
        <w:t>AIHW report</w:t>
      </w:r>
      <w:r>
        <w:t>ed</w:t>
      </w:r>
      <w:r w:rsidR="00E957B0">
        <w:t xml:space="preserve"> a CLL</w:t>
      </w:r>
      <w:r w:rsidR="00EE41B1">
        <w:t>/SLL</w:t>
      </w:r>
      <w:r w:rsidR="00E957B0">
        <w:t xml:space="preserve"> incidence rate of </w:t>
      </w:r>
      <w:r w:rsidR="000A7B19">
        <w:t>7.2</w:t>
      </w:r>
      <w:r w:rsidR="00E957B0">
        <w:t xml:space="preserve"> per 100,000. </w:t>
      </w:r>
    </w:p>
    <w:p w14:paraId="4F1E1142" w14:textId="06B0890C" w:rsidR="008D527F" w:rsidRDefault="008D527F" w:rsidP="004226D9">
      <w:r>
        <w:t xml:space="preserve">The July 2020 PBAC submission assumed that </w:t>
      </w:r>
      <w:r w:rsidRPr="008D527F">
        <w:t>there is no prevalent population, instead a delay in</w:t>
      </w:r>
      <w:r w:rsidR="00A673D0">
        <w:t xml:space="preserve"> the supply of the drug to</w:t>
      </w:r>
      <w:r w:rsidRPr="008D527F">
        <w:t xml:space="preserve"> incident patients </w:t>
      </w:r>
      <w:r w:rsidR="00A673D0">
        <w:t>wa</w:t>
      </w:r>
      <w:r w:rsidRPr="008D527F">
        <w:t xml:space="preserve">s applied for </w:t>
      </w:r>
      <w:r w:rsidR="001C421B" w:rsidRPr="00187B1C">
        <w:rPr>
          <w:highlight w:val="black"/>
          <w:shd w:val="clear" w:color="auto" w:fill="BFBFBF" w:themeFill="background1" w:themeFillShade="BF"/>
        </w:rPr>
        <w:t>XXX</w:t>
      </w:r>
      <w:r w:rsidRPr="008D527F">
        <w:t xml:space="preserve"> of patients</w:t>
      </w:r>
      <w:r w:rsidR="008121A0">
        <w:t xml:space="preserve"> </w:t>
      </w:r>
      <w:r w:rsidR="00A805B8">
        <w:t>a</w:t>
      </w:r>
      <w:r w:rsidRPr="008D527F">
        <w:t xml:space="preserve">s a watch and wait approach </w:t>
      </w:r>
      <w:r w:rsidR="00A673D0">
        <w:t>wa</w:t>
      </w:r>
      <w:r w:rsidRPr="008D527F">
        <w:t>s often taken for CLL</w:t>
      </w:r>
      <w:r w:rsidR="00EE41B1">
        <w:t>/SLL</w:t>
      </w:r>
      <w:r w:rsidRPr="008D527F">
        <w:t xml:space="preserve"> patients</w:t>
      </w:r>
      <w:r w:rsidR="00375BF8">
        <w:t xml:space="preserve">. Of those diagnosed </w:t>
      </w:r>
      <w:r w:rsidR="001C421B" w:rsidRPr="00187B1C">
        <w:rPr>
          <w:highlight w:val="black"/>
          <w:shd w:val="clear" w:color="auto" w:fill="BFBFBF" w:themeFill="background1" w:themeFillShade="BF"/>
        </w:rPr>
        <w:t>XXX</w:t>
      </w:r>
      <w:r w:rsidR="00375BF8">
        <w:t xml:space="preserve"> w</w:t>
      </w:r>
      <w:r w:rsidR="00A673D0">
        <w:t>ere estimated to</w:t>
      </w:r>
      <w:r w:rsidR="00375BF8">
        <w:t xml:space="preserve"> receive treatment at some time, of these</w:t>
      </w:r>
      <w:r w:rsidRPr="008D527F">
        <w:t xml:space="preserve"> </w:t>
      </w:r>
      <w:r w:rsidR="001C421B" w:rsidRPr="00187B1C">
        <w:rPr>
          <w:highlight w:val="black"/>
          <w:shd w:val="clear" w:color="auto" w:fill="BFBFBF" w:themeFill="background1" w:themeFillShade="BF"/>
        </w:rPr>
        <w:t>XXX</w:t>
      </w:r>
      <w:r w:rsidRPr="008D527F">
        <w:t xml:space="preserve"> of patients were </w:t>
      </w:r>
      <w:r w:rsidR="00375BF8">
        <w:t>assumed</w:t>
      </w:r>
      <w:r w:rsidRPr="008D527F">
        <w:t xml:space="preserve"> to initiate treatment immediately, </w:t>
      </w:r>
      <w:r w:rsidR="001C421B" w:rsidRPr="00187B1C">
        <w:rPr>
          <w:highlight w:val="black"/>
          <w:shd w:val="clear" w:color="auto" w:fill="BFBFBF" w:themeFill="background1" w:themeFillShade="BF"/>
        </w:rPr>
        <w:t>XXX</w:t>
      </w:r>
      <w:r w:rsidRPr="008D527F">
        <w:t xml:space="preserve"> initiate treatment within </w:t>
      </w:r>
      <w:r w:rsidR="001C421B" w:rsidRPr="00187B1C">
        <w:rPr>
          <w:highlight w:val="black"/>
          <w:shd w:val="clear" w:color="auto" w:fill="BFBFBF" w:themeFill="background1" w:themeFillShade="BF"/>
        </w:rPr>
        <w:t>XXXXXXX</w:t>
      </w:r>
      <w:r w:rsidR="00F23F80">
        <w:t xml:space="preserve"> (</w:t>
      </w:r>
      <w:r w:rsidR="001C421B" w:rsidRPr="00187B1C">
        <w:rPr>
          <w:highlight w:val="black"/>
          <w:shd w:val="clear" w:color="auto" w:fill="BFBFBF" w:themeFill="background1" w:themeFillShade="BF"/>
        </w:rPr>
        <w:t>XXXXXXXXXXXXXXXXXXXXXXXXXXXX</w:t>
      </w:r>
      <w:r w:rsidR="00F23F80">
        <w:t>)</w:t>
      </w:r>
      <w:r w:rsidRPr="008D527F">
        <w:t xml:space="preserve">, and </w:t>
      </w:r>
      <w:r w:rsidR="001C421B" w:rsidRPr="00187B1C">
        <w:rPr>
          <w:highlight w:val="black"/>
          <w:shd w:val="clear" w:color="auto" w:fill="BFBFBF" w:themeFill="background1" w:themeFillShade="BF"/>
        </w:rPr>
        <w:t>XXX</w:t>
      </w:r>
      <w:r w:rsidRPr="008D527F">
        <w:t xml:space="preserve"> </w:t>
      </w:r>
      <w:r w:rsidR="00375BF8">
        <w:t>w</w:t>
      </w:r>
      <w:r w:rsidR="006F329F">
        <w:t>ould</w:t>
      </w:r>
      <w:r w:rsidR="00375BF8">
        <w:t xml:space="preserve"> </w:t>
      </w:r>
      <w:r w:rsidRPr="008D527F">
        <w:t>never initiate treatment</w:t>
      </w:r>
      <w:r w:rsidR="00235D0D">
        <w:t xml:space="preserve"> based on clinical advice</w:t>
      </w:r>
      <w:r w:rsidRPr="008D527F">
        <w:t>.</w:t>
      </w:r>
    </w:p>
    <w:p w14:paraId="0400273E" w14:textId="63CB1C48" w:rsidR="008D527F" w:rsidRDefault="008D527F" w:rsidP="004226D9">
      <w:r>
        <w:t>The p</w:t>
      </w:r>
      <w:r w:rsidRPr="008D527F">
        <w:t>roportion of patients unsuitable for fludarabine based chemo-immunotherapy</w:t>
      </w:r>
      <w:r>
        <w:t xml:space="preserve"> was estimated to be </w:t>
      </w:r>
      <w:r w:rsidR="001C421B" w:rsidRPr="00187B1C">
        <w:rPr>
          <w:highlight w:val="black"/>
          <w:shd w:val="clear" w:color="auto" w:fill="BFBFBF" w:themeFill="background1" w:themeFillShade="BF"/>
        </w:rPr>
        <w:t>XXX</w:t>
      </w:r>
      <w:r>
        <w:t xml:space="preserve"> based on clinical advice</w:t>
      </w:r>
      <w:r w:rsidR="00D55CAA">
        <w:t xml:space="preserve"> and published literature</w:t>
      </w:r>
      <w:r>
        <w:t>.</w:t>
      </w:r>
    </w:p>
    <w:p w14:paraId="6C64B306" w14:textId="6F1F2861" w:rsidR="000A7B19" w:rsidRDefault="001C421B" w:rsidP="00705C30">
      <w:r w:rsidRPr="00705C30">
        <w:rPr>
          <w:highlight w:val="black"/>
        </w:rPr>
        <w:t>XXX</w:t>
      </w:r>
      <w:r w:rsidR="009B0A24" w:rsidRPr="00705C30">
        <w:rPr>
          <w:highlight w:val="black"/>
        </w:rPr>
        <w:t xml:space="preserve"> </w:t>
      </w:r>
      <w:r w:rsidRPr="00705C30">
        <w:rPr>
          <w:highlight w:val="black"/>
        </w:rPr>
        <w:t>XXXXXXXXX</w:t>
      </w:r>
      <w:r w:rsidR="00235D0D" w:rsidRPr="00705C30">
        <w:rPr>
          <w:highlight w:val="black"/>
        </w:rPr>
        <w:t xml:space="preserve"> </w:t>
      </w:r>
      <w:r w:rsidRPr="00705C30">
        <w:rPr>
          <w:highlight w:val="black"/>
        </w:rPr>
        <w:t>XXXXXXX</w:t>
      </w:r>
      <w:r w:rsidR="009B0A24" w:rsidRPr="00705C30">
        <w:rPr>
          <w:highlight w:val="black"/>
        </w:rPr>
        <w:t xml:space="preserve"> </w:t>
      </w:r>
      <w:r w:rsidRPr="00705C30">
        <w:rPr>
          <w:highlight w:val="black"/>
        </w:rPr>
        <w:t>XXXXXX</w:t>
      </w:r>
      <w:r w:rsidR="00235D0D" w:rsidRPr="00705C30">
        <w:rPr>
          <w:highlight w:val="black"/>
        </w:rPr>
        <w:t xml:space="preserve"> </w:t>
      </w:r>
      <w:r w:rsidRPr="00705C30">
        <w:rPr>
          <w:highlight w:val="black"/>
        </w:rPr>
        <w:t>XXXX</w:t>
      </w:r>
      <w:r w:rsidR="00235D0D" w:rsidRPr="00705C30">
        <w:rPr>
          <w:highlight w:val="black"/>
        </w:rPr>
        <w:t xml:space="preserve"> </w:t>
      </w:r>
      <w:r w:rsidRPr="00705C30">
        <w:rPr>
          <w:highlight w:val="black"/>
        </w:rPr>
        <w:t>XXX</w:t>
      </w:r>
      <w:r w:rsidR="00235D0D" w:rsidRPr="00705C30">
        <w:rPr>
          <w:highlight w:val="black"/>
        </w:rPr>
        <w:t xml:space="preserve"> </w:t>
      </w:r>
      <w:r w:rsidRPr="00705C30">
        <w:rPr>
          <w:highlight w:val="black"/>
        </w:rPr>
        <w:t>XXXXXXX</w:t>
      </w:r>
      <w:r w:rsidR="000A7B19" w:rsidRPr="00705C30">
        <w:rPr>
          <w:highlight w:val="black"/>
        </w:rPr>
        <w:t xml:space="preserve"> </w:t>
      </w:r>
      <w:r w:rsidRPr="00705C30">
        <w:rPr>
          <w:highlight w:val="black"/>
        </w:rPr>
        <w:t>XX</w:t>
      </w:r>
      <w:r w:rsidR="000A7B19" w:rsidRPr="00705C30">
        <w:rPr>
          <w:highlight w:val="black"/>
        </w:rPr>
        <w:t xml:space="preserve"> </w:t>
      </w:r>
      <w:proofErr w:type="spellStart"/>
      <w:r w:rsidRPr="00705C30">
        <w:rPr>
          <w:highlight w:val="black"/>
        </w:rPr>
        <w:t>XX</w:t>
      </w:r>
      <w:proofErr w:type="spellEnd"/>
      <w:r w:rsidR="000A7B19" w:rsidRPr="00705C30">
        <w:rPr>
          <w:highlight w:val="black"/>
        </w:rPr>
        <w:t xml:space="preserve"> </w:t>
      </w:r>
      <w:r w:rsidRPr="00705C30">
        <w:rPr>
          <w:highlight w:val="black"/>
        </w:rPr>
        <w:t>XXX</w:t>
      </w:r>
      <w:r w:rsidR="009F6CA8" w:rsidRPr="00705C30">
        <w:rPr>
          <w:highlight w:val="black"/>
        </w:rPr>
        <w:t xml:space="preserve"> </w:t>
      </w:r>
      <w:r w:rsidRPr="00705C30">
        <w:rPr>
          <w:highlight w:val="black"/>
        </w:rPr>
        <w:t>XX</w:t>
      </w:r>
      <w:r w:rsidR="009F6CA8" w:rsidRPr="00705C30">
        <w:rPr>
          <w:highlight w:val="black"/>
        </w:rPr>
        <w:t xml:space="preserve"> </w:t>
      </w:r>
      <w:r w:rsidRPr="00705C30">
        <w:rPr>
          <w:highlight w:val="black"/>
        </w:rPr>
        <w:t>XXXX</w:t>
      </w:r>
      <w:r w:rsidR="009F6CA8" w:rsidRPr="00705C30">
        <w:rPr>
          <w:highlight w:val="black"/>
        </w:rPr>
        <w:t xml:space="preserve"> </w:t>
      </w:r>
      <w:r w:rsidRPr="00705C30">
        <w:rPr>
          <w:highlight w:val="black"/>
        </w:rPr>
        <w:t>X</w:t>
      </w:r>
      <w:r w:rsidR="009F6CA8" w:rsidRPr="00705C30">
        <w:rPr>
          <w:highlight w:val="black"/>
        </w:rPr>
        <w:t xml:space="preserve"> </w:t>
      </w:r>
      <w:r w:rsidRPr="00705C30">
        <w:rPr>
          <w:highlight w:val="black"/>
        </w:rPr>
        <w:t>XXXXXXXXXX</w:t>
      </w:r>
      <w:r w:rsidR="009F6CA8" w:rsidRPr="00705C30">
        <w:rPr>
          <w:highlight w:val="black"/>
        </w:rPr>
        <w:t xml:space="preserve"> </w:t>
      </w:r>
      <w:r w:rsidRPr="00705C30">
        <w:rPr>
          <w:highlight w:val="black"/>
        </w:rPr>
        <w:t>XX</w:t>
      </w:r>
      <w:r w:rsidR="009F6CA8" w:rsidRPr="00705C30">
        <w:rPr>
          <w:highlight w:val="black"/>
        </w:rPr>
        <w:t xml:space="preserve"> </w:t>
      </w:r>
      <w:r w:rsidRPr="00705C30">
        <w:rPr>
          <w:highlight w:val="black"/>
        </w:rPr>
        <w:t>XXX</w:t>
      </w:r>
      <w:r w:rsidR="009F6CA8" w:rsidRPr="00705C30">
        <w:rPr>
          <w:highlight w:val="black"/>
        </w:rPr>
        <w:t xml:space="preserve"> </w:t>
      </w:r>
      <w:r w:rsidRPr="00705C30">
        <w:rPr>
          <w:highlight w:val="black"/>
        </w:rPr>
        <w:t>XX</w:t>
      </w:r>
      <w:r w:rsidR="009F6CA8" w:rsidRPr="00705C30">
        <w:rPr>
          <w:highlight w:val="black"/>
        </w:rPr>
        <w:t xml:space="preserve"> </w:t>
      </w:r>
      <w:r w:rsidRPr="00705C30">
        <w:rPr>
          <w:highlight w:val="black"/>
        </w:rPr>
        <w:t>XXXX</w:t>
      </w:r>
      <w:r w:rsidR="009F6CA8" w:rsidRPr="00705C30">
        <w:rPr>
          <w:highlight w:val="black"/>
        </w:rPr>
        <w:t xml:space="preserve"> </w:t>
      </w:r>
      <w:r w:rsidRPr="00705C30">
        <w:rPr>
          <w:highlight w:val="black"/>
        </w:rPr>
        <w:t>X</w:t>
      </w:r>
      <w:r w:rsidR="000A7B19" w:rsidRPr="00705C30">
        <w:rPr>
          <w:highlight w:val="black"/>
        </w:rPr>
        <w:t>.</w:t>
      </w:r>
      <w:r w:rsidR="00F23F80">
        <w:t xml:space="preserve"> </w:t>
      </w:r>
    </w:p>
    <w:p w14:paraId="577B6700" w14:textId="5F34CCE2" w:rsidR="00235D0D" w:rsidRDefault="000A7B19" w:rsidP="004226D9">
      <w:r w:rsidRPr="002E543E">
        <w:t xml:space="preserve">It was expected that </w:t>
      </w:r>
      <w:r w:rsidR="001C421B" w:rsidRPr="00187B1C">
        <w:rPr>
          <w:highlight w:val="black"/>
          <w:shd w:val="clear" w:color="auto" w:fill="BFBFBF" w:themeFill="background1" w:themeFillShade="BF"/>
        </w:rPr>
        <w:t>XXXXX</w:t>
      </w:r>
      <w:r w:rsidR="00F23F80" w:rsidRPr="002E543E">
        <w:t xml:space="preserve"> of</w:t>
      </w:r>
      <w:r w:rsidR="00F23F80" w:rsidRPr="00F23F80">
        <w:t xml:space="preserve"> the patients </w:t>
      </w:r>
      <w:r w:rsidR="00F23F80">
        <w:t>who</w:t>
      </w:r>
      <w:r w:rsidR="00F23F80" w:rsidRPr="00F23F80">
        <w:t xml:space="preserve"> receive </w:t>
      </w:r>
      <w:proofErr w:type="spellStart"/>
      <w:r w:rsidR="00F23F80" w:rsidRPr="00F23F80">
        <w:t>venetoclax</w:t>
      </w:r>
      <w:proofErr w:type="spellEnd"/>
      <w:r w:rsidR="00F23F80" w:rsidRPr="00F23F80">
        <w:t xml:space="preserve"> would </w:t>
      </w:r>
      <w:r w:rsidR="002E543E">
        <w:t xml:space="preserve">have </w:t>
      </w:r>
      <w:r w:rsidR="00F23F80">
        <w:t>otherwise receive</w:t>
      </w:r>
      <w:r w:rsidR="002E543E">
        <w:t>d</w:t>
      </w:r>
      <w:r w:rsidR="00F23F80" w:rsidRPr="00F23F80">
        <w:t xml:space="preserve"> chlorambucil </w:t>
      </w:r>
      <w:r w:rsidR="00EE41B1">
        <w:t>in combination with</w:t>
      </w:r>
      <w:r w:rsidR="00F23F80" w:rsidRPr="00F23F80">
        <w:t xml:space="preserve"> </w:t>
      </w:r>
      <w:proofErr w:type="spellStart"/>
      <w:r w:rsidR="009E408E">
        <w:t>o</w:t>
      </w:r>
      <w:r w:rsidR="00C91D70">
        <w:t>binutuzumab</w:t>
      </w:r>
      <w:proofErr w:type="spellEnd"/>
      <w:r w:rsidR="00C91D70">
        <w:t xml:space="preserve">, and there would be no substitution for </w:t>
      </w:r>
      <w:r w:rsidR="00C91D70" w:rsidRPr="00C91D70">
        <w:t xml:space="preserve">rituximab </w:t>
      </w:r>
      <w:r w:rsidR="00EE41B1">
        <w:t>in combination with</w:t>
      </w:r>
      <w:r w:rsidR="00C91D70" w:rsidRPr="00C91D70">
        <w:t xml:space="preserve"> chlorambucil</w:t>
      </w:r>
      <w:r w:rsidR="00C91D70">
        <w:t>.</w:t>
      </w:r>
    </w:p>
    <w:p w14:paraId="0D919127" w14:textId="3B01B504" w:rsidR="00280CF0" w:rsidRDefault="00280CF0" w:rsidP="004226D9">
      <w:r>
        <w:t>Treatment duration under the restriction is fixed at 12 months.</w:t>
      </w:r>
    </w:p>
    <w:p w14:paraId="1576BEEE" w14:textId="71F5A23B" w:rsidR="00800C73" w:rsidRDefault="00800C73" w:rsidP="000B2AA7">
      <w:r>
        <w:t xml:space="preserve">The proportion </w:t>
      </w:r>
      <w:r w:rsidRPr="00800C73">
        <w:t xml:space="preserve">of patients initiating </w:t>
      </w:r>
      <w:r>
        <w:t>second-line</w:t>
      </w:r>
      <w:r w:rsidRPr="00800C73">
        <w:t xml:space="preserve"> treatment each year after initiating </w:t>
      </w:r>
      <w:proofErr w:type="spellStart"/>
      <w:r>
        <w:t>venetoclax</w:t>
      </w:r>
      <w:proofErr w:type="spellEnd"/>
      <w:r w:rsidR="0000202C">
        <w:t xml:space="preserve"> </w:t>
      </w:r>
      <w:r>
        <w:t xml:space="preserve">was assumed to decrease as compared to </w:t>
      </w:r>
      <w:r w:rsidRPr="00800C73">
        <w:t xml:space="preserve">chlorambucil </w:t>
      </w:r>
      <w:r w:rsidR="00EE41B1">
        <w:t>in combination with</w:t>
      </w:r>
      <w:r w:rsidRPr="00800C73">
        <w:t xml:space="preserve"> </w:t>
      </w:r>
      <w:proofErr w:type="spellStart"/>
      <w:r w:rsidR="00310369">
        <w:t>o</w:t>
      </w:r>
      <w:r w:rsidR="00C91D70">
        <w:t>binutuzumab</w:t>
      </w:r>
      <w:proofErr w:type="spellEnd"/>
      <w:r>
        <w:t xml:space="preserve"> as extrapolated from the </w:t>
      </w:r>
      <w:r w:rsidR="00D55CAA">
        <w:t>randomised control trial (CLL-14)</w:t>
      </w:r>
      <w:r>
        <w:t xml:space="preserve"> after 3.5 years. </w:t>
      </w:r>
    </w:p>
    <w:p w14:paraId="196016DE" w14:textId="0B1E46FA" w:rsidR="00800C73" w:rsidRPr="00310369" w:rsidRDefault="00800C73" w:rsidP="000B2AA7">
      <w:pPr>
        <w:rPr>
          <w:b/>
          <w:bCs/>
        </w:rPr>
      </w:pPr>
      <w:r w:rsidRPr="00310369">
        <w:rPr>
          <w:b/>
          <w:bCs/>
        </w:rPr>
        <w:t xml:space="preserve">Table </w:t>
      </w:r>
      <w:r w:rsidR="00D2756D">
        <w:rPr>
          <w:b/>
          <w:bCs/>
        </w:rPr>
        <w:t>4</w:t>
      </w:r>
      <w:r w:rsidRPr="00310369">
        <w:rPr>
          <w:b/>
          <w:bCs/>
        </w:rPr>
        <w:t xml:space="preserve">: Proportion of patients initiating </w:t>
      </w:r>
      <w:r w:rsidR="00CB225B" w:rsidRPr="00310369">
        <w:rPr>
          <w:b/>
          <w:bCs/>
        </w:rPr>
        <w:t xml:space="preserve">second-line </w:t>
      </w:r>
      <w:r w:rsidRPr="00310369">
        <w:rPr>
          <w:b/>
          <w:bCs/>
        </w:rPr>
        <w:t>treatment each year after initiating first-line treatment</w:t>
      </w:r>
    </w:p>
    <w:tbl>
      <w:tblPr>
        <w:tblStyle w:val="TableGrid"/>
        <w:tblW w:w="0" w:type="auto"/>
        <w:tblLook w:val="04A0" w:firstRow="1" w:lastRow="0" w:firstColumn="1" w:lastColumn="0" w:noHBand="0" w:noVBand="1"/>
      </w:tblPr>
      <w:tblGrid>
        <w:gridCol w:w="959"/>
        <w:gridCol w:w="3756"/>
        <w:gridCol w:w="3757"/>
      </w:tblGrid>
      <w:tr w:rsidR="00085875" w14:paraId="2DDF61D3" w14:textId="77777777" w:rsidTr="001C68E6">
        <w:tc>
          <w:tcPr>
            <w:tcW w:w="959" w:type="dxa"/>
            <w:shd w:val="clear" w:color="auto" w:fill="BFBFBF" w:themeFill="background1" w:themeFillShade="BF"/>
          </w:tcPr>
          <w:p w14:paraId="6AFB8684" w14:textId="4F33E9A7" w:rsidR="00085875" w:rsidRPr="001C68E6" w:rsidRDefault="00085875" w:rsidP="00085875">
            <w:pPr>
              <w:spacing w:before="60" w:after="60"/>
              <w:rPr>
                <w:b/>
                <w:bCs/>
                <w:sz w:val="20"/>
                <w:szCs w:val="20"/>
              </w:rPr>
            </w:pPr>
            <w:r w:rsidRPr="001C68E6">
              <w:rPr>
                <w:b/>
                <w:bCs/>
                <w:sz w:val="20"/>
                <w:szCs w:val="20"/>
              </w:rPr>
              <w:t>Year</w:t>
            </w:r>
          </w:p>
        </w:tc>
        <w:tc>
          <w:tcPr>
            <w:tcW w:w="3756" w:type="dxa"/>
            <w:shd w:val="clear" w:color="auto" w:fill="BFBFBF" w:themeFill="background1" w:themeFillShade="BF"/>
          </w:tcPr>
          <w:p w14:paraId="4E64557C" w14:textId="710C1C58" w:rsidR="00085875" w:rsidRPr="001C68E6" w:rsidRDefault="00085875" w:rsidP="00085875">
            <w:pPr>
              <w:spacing w:before="60" w:after="60"/>
              <w:jc w:val="center"/>
              <w:rPr>
                <w:b/>
                <w:bCs/>
                <w:sz w:val="20"/>
                <w:szCs w:val="20"/>
              </w:rPr>
            </w:pPr>
            <w:proofErr w:type="spellStart"/>
            <w:r w:rsidRPr="001C68E6">
              <w:rPr>
                <w:b/>
                <w:bCs/>
                <w:sz w:val="20"/>
                <w:szCs w:val="20"/>
              </w:rPr>
              <w:t>Venetoclax</w:t>
            </w:r>
            <w:proofErr w:type="spellEnd"/>
            <w:r w:rsidRPr="001C68E6">
              <w:rPr>
                <w:b/>
                <w:bCs/>
                <w:sz w:val="20"/>
                <w:szCs w:val="20"/>
              </w:rPr>
              <w:t xml:space="preserve"> and Obinutuzumab</w:t>
            </w:r>
          </w:p>
        </w:tc>
        <w:tc>
          <w:tcPr>
            <w:tcW w:w="3757" w:type="dxa"/>
            <w:shd w:val="clear" w:color="auto" w:fill="BFBFBF" w:themeFill="background1" w:themeFillShade="BF"/>
          </w:tcPr>
          <w:p w14:paraId="7A3066A9" w14:textId="6C2A29A5" w:rsidR="00085875" w:rsidRPr="001C68E6" w:rsidRDefault="00085875" w:rsidP="00085875">
            <w:pPr>
              <w:spacing w:before="60" w:after="60"/>
              <w:jc w:val="center"/>
              <w:rPr>
                <w:b/>
                <w:bCs/>
                <w:sz w:val="20"/>
                <w:szCs w:val="20"/>
              </w:rPr>
            </w:pPr>
            <w:r w:rsidRPr="001C68E6">
              <w:rPr>
                <w:b/>
                <w:bCs/>
                <w:sz w:val="20"/>
                <w:szCs w:val="20"/>
              </w:rPr>
              <w:t>Chlorambucil and Obinutuzumab</w:t>
            </w:r>
          </w:p>
        </w:tc>
      </w:tr>
      <w:tr w:rsidR="001C421B" w14:paraId="661871DC" w14:textId="77777777" w:rsidTr="006444D0">
        <w:tc>
          <w:tcPr>
            <w:tcW w:w="959" w:type="dxa"/>
          </w:tcPr>
          <w:p w14:paraId="6DB89C03" w14:textId="1905E97D" w:rsidR="001C421B" w:rsidRPr="001C68E6" w:rsidRDefault="001C421B" w:rsidP="001C421B">
            <w:pPr>
              <w:spacing w:before="60" w:after="60"/>
              <w:rPr>
                <w:sz w:val="20"/>
                <w:szCs w:val="20"/>
              </w:rPr>
            </w:pPr>
            <w:r w:rsidRPr="001C68E6">
              <w:rPr>
                <w:sz w:val="20"/>
                <w:szCs w:val="20"/>
              </w:rPr>
              <w:t>1</w:t>
            </w:r>
          </w:p>
        </w:tc>
        <w:tc>
          <w:tcPr>
            <w:tcW w:w="3756" w:type="dxa"/>
            <w:shd w:val="clear" w:color="auto" w:fill="auto"/>
          </w:tcPr>
          <w:p w14:paraId="5E46206A" w14:textId="2CA801BA" w:rsidR="001C421B" w:rsidRPr="006444D0" w:rsidRDefault="001C421B" w:rsidP="001C421B">
            <w:pPr>
              <w:spacing w:before="60" w:after="60"/>
              <w:jc w:val="center"/>
              <w:rPr>
                <w:sz w:val="20"/>
                <w:szCs w:val="20"/>
              </w:rPr>
            </w:pPr>
            <w:r w:rsidRPr="006444D0">
              <w:rPr>
                <w:sz w:val="20"/>
                <w:szCs w:val="20"/>
                <w:highlight w:val="black"/>
              </w:rPr>
              <w:t>XXXX</w:t>
            </w:r>
          </w:p>
        </w:tc>
        <w:tc>
          <w:tcPr>
            <w:tcW w:w="3757" w:type="dxa"/>
            <w:shd w:val="clear" w:color="auto" w:fill="auto"/>
          </w:tcPr>
          <w:p w14:paraId="43567021" w14:textId="13DDA08D" w:rsidR="001C421B" w:rsidRPr="006444D0" w:rsidRDefault="001C421B" w:rsidP="001C421B">
            <w:pPr>
              <w:spacing w:before="60" w:after="60"/>
              <w:jc w:val="center"/>
              <w:rPr>
                <w:sz w:val="20"/>
                <w:szCs w:val="20"/>
                <w:highlight w:val="black"/>
              </w:rPr>
            </w:pPr>
            <w:r w:rsidRPr="006444D0">
              <w:rPr>
                <w:sz w:val="20"/>
                <w:szCs w:val="20"/>
                <w:highlight w:val="black"/>
              </w:rPr>
              <w:t>XXXX</w:t>
            </w:r>
          </w:p>
        </w:tc>
      </w:tr>
      <w:tr w:rsidR="001C421B" w14:paraId="2713CEB4" w14:textId="77777777" w:rsidTr="006444D0">
        <w:tc>
          <w:tcPr>
            <w:tcW w:w="959" w:type="dxa"/>
          </w:tcPr>
          <w:p w14:paraId="52D4F6E3" w14:textId="12DB141D" w:rsidR="001C421B" w:rsidRPr="001C68E6" w:rsidRDefault="001C421B" w:rsidP="001C421B">
            <w:pPr>
              <w:spacing w:before="60" w:after="60"/>
              <w:rPr>
                <w:sz w:val="20"/>
                <w:szCs w:val="20"/>
              </w:rPr>
            </w:pPr>
            <w:r w:rsidRPr="001C68E6">
              <w:rPr>
                <w:sz w:val="20"/>
                <w:szCs w:val="20"/>
              </w:rPr>
              <w:t>2</w:t>
            </w:r>
          </w:p>
        </w:tc>
        <w:tc>
          <w:tcPr>
            <w:tcW w:w="3756" w:type="dxa"/>
            <w:shd w:val="clear" w:color="auto" w:fill="auto"/>
          </w:tcPr>
          <w:p w14:paraId="4F1046DE" w14:textId="2FD5ED24" w:rsidR="001C421B" w:rsidRPr="006444D0" w:rsidRDefault="001C421B" w:rsidP="001C421B">
            <w:pPr>
              <w:spacing w:before="60" w:after="60"/>
              <w:jc w:val="center"/>
              <w:rPr>
                <w:sz w:val="20"/>
                <w:szCs w:val="20"/>
                <w:highlight w:val="black"/>
              </w:rPr>
            </w:pPr>
            <w:r w:rsidRPr="006444D0">
              <w:rPr>
                <w:sz w:val="20"/>
                <w:szCs w:val="20"/>
                <w:highlight w:val="black"/>
              </w:rPr>
              <w:t>XXXX</w:t>
            </w:r>
          </w:p>
        </w:tc>
        <w:tc>
          <w:tcPr>
            <w:tcW w:w="3757" w:type="dxa"/>
            <w:shd w:val="clear" w:color="auto" w:fill="auto"/>
          </w:tcPr>
          <w:p w14:paraId="3E7B9BC6" w14:textId="15F509B8" w:rsidR="001C421B" w:rsidRPr="006444D0" w:rsidRDefault="001C421B" w:rsidP="001C421B">
            <w:pPr>
              <w:spacing w:before="60" w:after="60"/>
              <w:jc w:val="center"/>
              <w:rPr>
                <w:sz w:val="20"/>
                <w:szCs w:val="20"/>
                <w:highlight w:val="black"/>
              </w:rPr>
            </w:pPr>
            <w:r w:rsidRPr="006444D0">
              <w:rPr>
                <w:sz w:val="20"/>
                <w:szCs w:val="20"/>
                <w:highlight w:val="black"/>
              </w:rPr>
              <w:t>XXXX</w:t>
            </w:r>
          </w:p>
        </w:tc>
      </w:tr>
      <w:tr w:rsidR="001C421B" w14:paraId="5C5C21A4" w14:textId="77777777" w:rsidTr="006444D0">
        <w:tc>
          <w:tcPr>
            <w:tcW w:w="959" w:type="dxa"/>
          </w:tcPr>
          <w:p w14:paraId="3DED85B7" w14:textId="799F5CBF" w:rsidR="001C421B" w:rsidRPr="001C68E6" w:rsidRDefault="001C421B" w:rsidP="001C421B">
            <w:pPr>
              <w:spacing w:before="60" w:after="60"/>
              <w:rPr>
                <w:sz w:val="20"/>
                <w:szCs w:val="20"/>
              </w:rPr>
            </w:pPr>
            <w:r w:rsidRPr="001C68E6">
              <w:rPr>
                <w:sz w:val="20"/>
                <w:szCs w:val="20"/>
              </w:rPr>
              <w:t>3</w:t>
            </w:r>
          </w:p>
        </w:tc>
        <w:tc>
          <w:tcPr>
            <w:tcW w:w="3756" w:type="dxa"/>
            <w:shd w:val="clear" w:color="auto" w:fill="auto"/>
          </w:tcPr>
          <w:p w14:paraId="5C2F8B68" w14:textId="78A9BBE4" w:rsidR="001C421B" w:rsidRPr="006444D0" w:rsidRDefault="001C421B" w:rsidP="001C421B">
            <w:pPr>
              <w:spacing w:before="60" w:after="60"/>
              <w:jc w:val="center"/>
              <w:rPr>
                <w:sz w:val="20"/>
                <w:szCs w:val="20"/>
                <w:highlight w:val="black"/>
              </w:rPr>
            </w:pPr>
            <w:r w:rsidRPr="006444D0">
              <w:rPr>
                <w:sz w:val="20"/>
                <w:szCs w:val="20"/>
                <w:highlight w:val="black"/>
              </w:rPr>
              <w:t>XXXX</w:t>
            </w:r>
          </w:p>
        </w:tc>
        <w:tc>
          <w:tcPr>
            <w:tcW w:w="3757" w:type="dxa"/>
            <w:shd w:val="clear" w:color="auto" w:fill="auto"/>
          </w:tcPr>
          <w:p w14:paraId="2703EB07" w14:textId="51F91A00" w:rsidR="001C421B" w:rsidRPr="006444D0" w:rsidRDefault="001C421B" w:rsidP="001C421B">
            <w:pPr>
              <w:spacing w:before="60" w:after="60"/>
              <w:jc w:val="center"/>
              <w:rPr>
                <w:sz w:val="20"/>
                <w:szCs w:val="20"/>
                <w:highlight w:val="black"/>
              </w:rPr>
            </w:pPr>
            <w:r w:rsidRPr="006444D0">
              <w:rPr>
                <w:sz w:val="20"/>
                <w:szCs w:val="20"/>
                <w:highlight w:val="black"/>
              </w:rPr>
              <w:t>XXXX</w:t>
            </w:r>
          </w:p>
        </w:tc>
      </w:tr>
      <w:tr w:rsidR="001C421B" w14:paraId="5B2216B2" w14:textId="77777777" w:rsidTr="006444D0">
        <w:tc>
          <w:tcPr>
            <w:tcW w:w="959" w:type="dxa"/>
          </w:tcPr>
          <w:p w14:paraId="55836FF6" w14:textId="71B5FEC6" w:rsidR="001C421B" w:rsidRPr="001C68E6" w:rsidRDefault="001C421B" w:rsidP="001C421B">
            <w:pPr>
              <w:spacing w:before="60" w:after="60"/>
              <w:rPr>
                <w:sz w:val="20"/>
                <w:szCs w:val="20"/>
              </w:rPr>
            </w:pPr>
            <w:r w:rsidRPr="001C68E6">
              <w:rPr>
                <w:sz w:val="20"/>
                <w:szCs w:val="20"/>
              </w:rPr>
              <w:t>4</w:t>
            </w:r>
          </w:p>
        </w:tc>
        <w:tc>
          <w:tcPr>
            <w:tcW w:w="3756" w:type="dxa"/>
            <w:shd w:val="clear" w:color="auto" w:fill="auto"/>
          </w:tcPr>
          <w:p w14:paraId="2E6B12F9" w14:textId="0E2A47F8" w:rsidR="001C421B" w:rsidRPr="006444D0" w:rsidRDefault="001C421B" w:rsidP="001C421B">
            <w:pPr>
              <w:spacing w:before="60" w:after="60"/>
              <w:jc w:val="center"/>
              <w:rPr>
                <w:sz w:val="20"/>
                <w:szCs w:val="20"/>
                <w:highlight w:val="black"/>
              </w:rPr>
            </w:pPr>
            <w:r w:rsidRPr="006444D0">
              <w:rPr>
                <w:sz w:val="20"/>
                <w:szCs w:val="20"/>
                <w:highlight w:val="black"/>
              </w:rPr>
              <w:t>XXXX</w:t>
            </w:r>
          </w:p>
        </w:tc>
        <w:tc>
          <w:tcPr>
            <w:tcW w:w="3757" w:type="dxa"/>
            <w:shd w:val="clear" w:color="auto" w:fill="auto"/>
          </w:tcPr>
          <w:p w14:paraId="5CC3B5CB" w14:textId="01FD86F9" w:rsidR="001C421B" w:rsidRPr="006444D0" w:rsidRDefault="001C421B" w:rsidP="001C421B">
            <w:pPr>
              <w:spacing w:before="60" w:after="60"/>
              <w:jc w:val="center"/>
              <w:rPr>
                <w:sz w:val="20"/>
                <w:szCs w:val="20"/>
                <w:highlight w:val="black"/>
              </w:rPr>
            </w:pPr>
            <w:r w:rsidRPr="006444D0">
              <w:rPr>
                <w:sz w:val="20"/>
                <w:szCs w:val="20"/>
                <w:highlight w:val="black"/>
              </w:rPr>
              <w:t>XXXX</w:t>
            </w:r>
          </w:p>
        </w:tc>
      </w:tr>
      <w:tr w:rsidR="001C421B" w14:paraId="7696E991" w14:textId="77777777" w:rsidTr="006444D0">
        <w:tc>
          <w:tcPr>
            <w:tcW w:w="959" w:type="dxa"/>
          </w:tcPr>
          <w:p w14:paraId="45CD7E5C" w14:textId="6DFBE7A4" w:rsidR="001C421B" w:rsidRPr="001C68E6" w:rsidRDefault="001C421B" w:rsidP="001C421B">
            <w:pPr>
              <w:spacing w:before="60" w:after="60"/>
              <w:rPr>
                <w:sz w:val="20"/>
                <w:szCs w:val="20"/>
              </w:rPr>
            </w:pPr>
            <w:r w:rsidRPr="001C68E6">
              <w:rPr>
                <w:sz w:val="20"/>
                <w:szCs w:val="20"/>
              </w:rPr>
              <w:t>5</w:t>
            </w:r>
          </w:p>
        </w:tc>
        <w:tc>
          <w:tcPr>
            <w:tcW w:w="3756" w:type="dxa"/>
            <w:shd w:val="clear" w:color="auto" w:fill="auto"/>
          </w:tcPr>
          <w:p w14:paraId="77756523" w14:textId="30CD64AC" w:rsidR="001C421B" w:rsidRPr="006444D0" w:rsidRDefault="001C421B" w:rsidP="001C421B">
            <w:pPr>
              <w:spacing w:before="60" w:after="60"/>
              <w:jc w:val="center"/>
              <w:rPr>
                <w:sz w:val="20"/>
                <w:szCs w:val="20"/>
                <w:highlight w:val="black"/>
              </w:rPr>
            </w:pPr>
            <w:r w:rsidRPr="006444D0">
              <w:rPr>
                <w:sz w:val="20"/>
                <w:szCs w:val="20"/>
                <w:highlight w:val="black"/>
              </w:rPr>
              <w:t>XXXX</w:t>
            </w:r>
          </w:p>
        </w:tc>
        <w:tc>
          <w:tcPr>
            <w:tcW w:w="3757" w:type="dxa"/>
            <w:shd w:val="clear" w:color="auto" w:fill="auto"/>
          </w:tcPr>
          <w:p w14:paraId="6DB5E81F" w14:textId="1BD311A5" w:rsidR="001C421B" w:rsidRPr="006444D0" w:rsidRDefault="001C421B" w:rsidP="001C421B">
            <w:pPr>
              <w:spacing w:before="60" w:after="60"/>
              <w:jc w:val="center"/>
              <w:rPr>
                <w:sz w:val="20"/>
                <w:szCs w:val="20"/>
                <w:highlight w:val="black"/>
              </w:rPr>
            </w:pPr>
            <w:r w:rsidRPr="006444D0">
              <w:rPr>
                <w:sz w:val="20"/>
                <w:szCs w:val="20"/>
                <w:highlight w:val="black"/>
              </w:rPr>
              <w:t>XXXX</w:t>
            </w:r>
          </w:p>
        </w:tc>
      </w:tr>
      <w:tr w:rsidR="001C421B" w14:paraId="565E08E8" w14:textId="77777777" w:rsidTr="006444D0">
        <w:tc>
          <w:tcPr>
            <w:tcW w:w="959" w:type="dxa"/>
          </w:tcPr>
          <w:p w14:paraId="168B46B4" w14:textId="73F26633" w:rsidR="001C421B" w:rsidRPr="001C68E6" w:rsidRDefault="001C421B" w:rsidP="001C421B">
            <w:pPr>
              <w:spacing w:before="60" w:after="60"/>
              <w:rPr>
                <w:sz w:val="20"/>
                <w:szCs w:val="20"/>
              </w:rPr>
            </w:pPr>
            <w:r w:rsidRPr="001C68E6">
              <w:rPr>
                <w:sz w:val="20"/>
                <w:szCs w:val="20"/>
              </w:rPr>
              <w:t>6</w:t>
            </w:r>
          </w:p>
        </w:tc>
        <w:tc>
          <w:tcPr>
            <w:tcW w:w="3756" w:type="dxa"/>
            <w:shd w:val="clear" w:color="auto" w:fill="auto"/>
          </w:tcPr>
          <w:p w14:paraId="782437EF" w14:textId="3FB776D7" w:rsidR="001C421B" w:rsidRPr="006444D0" w:rsidRDefault="001C421B" w:rsidP="001C421B">
            <w:pPr>
              <w:spacing w:before="60" w:after="60"/>
              <w:jc w:val="center"/>
              <w:rPr>
                <w:sz w:val="20"/>
                <w:szCs w:val="20"/>
                <w:highlight w:val="black"/>
              </w:rPr>
            </w:pPr>
            <w:r w:rsidRPr="006444D0">
              <w:rPr>
                <w:sz w:val="20"/>
                <w:szCs w:val="20"/>
                <w:highlight w:val="black"/>
              </w:rPr>
              <w:t>XXXX</w:t>
            </w:r>
          </w:p>
        </w:tc>
        <w:tc>
          <w:tcPr>
            <w:tcW w:w="3757" w:type="dxa"/>
            <w:shd w:val="clear" w:color="auto" w:fill="auto"/>
          </w:tcPr>
          <w:p w14:paraId="2082D625" w14:textId="60DE0FE7" w:rsidR="001C421B" w:rsidRPr="006444D0" w:rsidRDefault="001C421B" w:rsidP="001C421B">
            <w:pPr>
              <w:spacing w:before="60" w:after="60"/>
              <w:jc w:val="center"/>
              <w:rPr>
                <w:sz w:val="20"/>
                <w:szCs w:val="20"/>
                <w:highlight w:val="black"/>
              </w:rPr>
            </w:pPr>
            <w:r w:rsidRPr="006444D0">
              <w:rPr>
                <w:sz w:val="20"/>
                <w:szCs w:val="20"/>
                <w:highlight w:val="black"/>
              </w:rPr>
              <w:t>XXXX</w:t>
            </w:r>
          </w:p>
        </w:tc>
      </w:tr>
    </w:tbl>
    <w:p w14:paraId="3C0F3156" w14:textId="25C434E5" w:rsidR="00800C73" w:rsidRDefault="00F64D34" w:rsidP="00205423">
      <w:pPr>
        <w:tabs>
          <w:tab w:val="left" w:pos="1159"/>
        </w:tabs>
        <w:rPr>
          <w:sz w:val="20"/>
          <w:szCs w:val="20"/>
        </w:rPr>
      </w:pPr>
      <w:r>
        <w:rPr>
          <w:sz w:val="20"/>
          <w:szCs w:val="20"/>
        </w:rPr>
        <w:t>Source: F</w:t>
      </w:r>
      <w:r w:rsidRPr="00F64D34">
        <w:rPr>
          <w:sz w:val="20"/>
          <w:szCs w:val="20"/>
        </w:rPr>
        <w:t>inal version of the financial estimates model.</w:t>
      </w:r>
    </w:p>
    <w:p w14:paraId="732DEBBD" w14:textId="6DDE9D88" w:rsidR="00477BB3" w:rsidRDefault="00477BB3">
      <w:pPr>
        <w:spacing w:line="276" w:lineRule="auto"/>
      </w:pPr>
      <w:r>
        <w:br w:type="page"/>
      </w:r>
    </w:p>
    <w:p w14:paraId="03DDB0EE" w14:textId="0CB86129" w:rsidR="00456139" w:rsidRDefault="00ED633B" w:rsidP="001C68E6">
      <w:pPr>
        <w:pStyle w:val="Heading2"/>
      </w:pPr>
      <w:r>
        <w:lastRenderedPageBreak/>
        <w:t xml:space="preserve">Previous reviews by </w:t>
      </w:r>
      <w:r w:rsidR="00177B86">
        <w:t xml:space="preserve">the </w:t>
      </w:r>
      <w:r>
        <w:t>DUSC</w:t>
      </w:r>
    </w:p>
    <w:p w14:paraId="48056B46" w14:textId="6AD9580D" w:rsidR="00456139" w:rsidRPr="00726B43" w:rsidRDefault="00456139" w:rsidP="00A35800">
      <w:pPr>
        <w:rPr>
          <w:u w:val="single"/>
        </w:rPr>
      </w:pPr>
      <w:r w:rsidRPr="00726B43">
        <w:rPr>
          <w:u w:val="single"/>
        </w:rPr>
        <w:t>October 2020</w:t>
      </w:r>
    </w:p>
    <w:p w14:paraId="2F13D067" w14:textId="6A5D48DE" w:rsidR="00456139" w:rsidRPr="007E62B5" w:rsidRDefault="00456139" w:rsidP="00A35800">
      <w:pPr>
        <w:rPr>
          <w:b/>
          <w:bCs/>
          <w:i/>
          <w:iCs/>
        </w:rPr>
      </w:pPr>
      <w:r w:rsidRPr="007E62B5">
        <w:rPr>
          <w:b/>
          <w:bCs/>
          <w:i/>
          <w:iCs/>
        </w:rPr>
        <w:t xml:space="preserve">Ibrutinib for CLL and SLL: 24 </w:t>
      </w:r>
      <w:proofErr w:type="gramStart"/>
      <w:r w:rsidRPr="007E62B5">
        <w:rPr>
          <w:b/>
          <w:bCs/>
          <w:i/>
          <w:iCs/>
        </w:rPr>
        <w:t>month</w:t>
      </w:r>
      <w:proofErr w:type="gramEnd"/>
      <w:r w:rsidRPr="007E62B5">
        <w:rPr>
          <w:b/>
          <w:bCs/>
          <w:i/>
          <w:iCs/>
        </w:rPr>
        <w:t xml:space="preserve"> predicted versus actual analysis</w:t>
      </w:r>
    </w:p>
    <w:p w14:paraId="17C16A88" w14:textId="261B8069" w:rsidR="000D3CA3" w:rsidRPr="00217906" w:rsidRDefault="000D3CA3" w:rsidP="00A35800">
      <w:pPr>
        <w:rPr>
          <w:b/>
          <w:bCs/>
          <w:i/>
          <w:iCs/>
        </w:rPr>
      </w:pPr>
      <w:r w:rsidRPr="00217906">
        <w:rPr>
          <w:b/>
          <w:bCs/>
          <w:i/>
          <w:iCs/>
        </w:rPr>
        <w:t>Key Findings</w:t>
      </w:r>
    </w:p>
    <w:p w14:paraId="02A45BD2" w14:textId="44F7050F" w:rsidR="00CB093E" w:rsidRPr="00482A30" w:rsidRDefault="00CB093E" w:rsidP="00482A30">
      <w:pPr>
        <w:pStyle w:val="ListParagraph"/>
        <w:numPr>
          <w:ilvl w:val="0"/>
          <w:numId w:val="8"/>
        </w:numPr>
      </w:pPr>
      <w:r w:rsidRPr="00482A30">
        <w:t>Since its listing in December 2017 the utilisation of ibrutinib ha</w:t>
      </w:r>
      <w:r w:rsidR="00AE73B6" w:rsidRPr="00482A30">
        <w:t>d</w:t>
      </w:r>
      <w:r w:rsidRPr="00482A30">
        <w:t xml:space="preserve"> increased steadily. Data to June 2020 indicate</w:t>
      </w:r>
      <w:r w:rsidR="00AE73B6" w:rsidRPr="00482A30">
        <w:t>d</w:t>
      </w:r>
      <w:r w:rsidRPr="00482A30">
        <w:t xml:space="preserve"> approximately 1,000 prevalent patients and 40 incident </w:t>
      </w:r>
      <w:r w:rsidRPr="003F3F22">
        <w:t>patients</w:t>
      </w:r>
      <w:r w:rsidRPr="00482A30">
        <w:t xml:space="preserve"> </w:t>
      </w:r>
      <w:r w:rsidR="00AE73B6" w:rsidRPr="00482A30">
        <w:t>we</w:t>
      </w:r>
      <w:r w:rsidRPr="00482A30">
        <w:t>re supplied ibrutinib per month.</w:t>
      </w:r>
    </w:p>
    <w:p w14:paraId="766328C7" w14:textId="5F01EBEE" w:rsidR="00CB093E" w:rsidRPr="00062FF7" w:rsidRDefault="00CB093E" w:rsidP="003F3F22">
      <w:pPr>
        <w:pStyle w:val="ListParagraph"/>
        <w:numPr>
          <w:ilvl w:val="0"/>
          <w:numId w:val="8"/>
        </w:numPr>
        <w:shd w:val="clear" w:color="auto" w:fill="FFFFFF" w:themeFill="background1"/>
      </w:pPr>
      <w:r w:rsidRPr="00062FF7">
        <w:t xml:space="preserve">In the first year of listing, ibrutinib had 1,435 initiating patients. This </w:t>
      </w:r>
      <w:r w:rsidR="005D6B39">
        <w:t>wa</w:t>
      </w:r>
      <w:r w:rsidRPr="00062FF7">
        <w:t xml:space="preserve">s </w:t>
      </w:r>
      <w:proofErr w:type="gramStart"/>
      <w:r w:rsidRPr="00AA2CE1">
        <w:t>similar</w:t>
      </w:r>
      <w:r w:rsidRPr="00062FF7">
        <w:t xml:space="preserve"> to</w:t>
      </w:r>
      <w:proofErr w:type="gramEnd"/>
      <w:r w:rsidRPr="00062FF7">
        <w:t xml:space="preserve"> the </w:t>
      </w:r>
      <w:r w:rsidR="003F3F22" w:rsidRPr="003F3F22">
        <w:rPr>
          <w:color w:val="000000" w:themeColor="text1"/>
          <w:shd w:val="clear" w:color="auto" w:fill="000000" w:themeFill="text1"/>
        </w:rPr>
        <w:t>XXXXX</w:t>
      </w:r>
      <w:r w:rsidR="003F3F22">
        <w:t xml:space="preserve"> </w:t>
      </w:r>
      <w:r w:rsidRPr="00062FF7">
        <w:t xml:space="preserve">patients that was estimated in agreed estimates model. </w:t>
      </w:r>
      <w:r w:rsidRPr="003F3F22">
        <w:rPr>
          <w:shd w:val="clear" w:color="auto" w:fill="FFFFFF" w:themeFill="background1"/>
        </w:rPr>
        <w:t xml:space="preserve">There </w:t>
      </w:r>
      <w:r w:rsidR="005D6B39" w:rsidRPr="003F3F22">
        <w:rPr>
          <w:shd w:val="clear" w:color="auto" w:fill="FFFFFF" w:themeFill="background1"/>
        </w:rPr>
        <w:t>wa</w:t>
      </w:r>
      <w:r w:rsidRPr="003F3F22">
        <w:rPr>
          <w:shd w:val="clear" w:color="auto" w:fill="FFFFFF" w:themeFill="background1"/>
        </w:rPr>
        <w:t xml:space="preserve">s </w:t>
      </w:r>
      <w:proofErr w:type="gramStart"/>
      <w:r w:rsidRPr="003F3F22">
        <w:rPr>
          <w:shd w:val="clear" w:color="auto" w:fill="FFFFFF" w:themeFill="background1"/>
        </w:rPr>
        <w:t>a</w:t>
      </w:r>
      <w:proofErr w:type="gramEnd"/>
      <w:r w:rsidRPr="00062FF7">
        <w:t xml:space="preserve"> </w:t>
      </w:r>
      <w:r w:rsidR="003F3F22" w:rsidRPr="003F3F22">
        <w:rPr>
          <w:color w:val="000000" w:themeColor="text1"/>
          <w:shd w:val="clear" w:color="auto" w:fill="000000" w:themeFill="text1"/>
        </w:rPr>
        <w:t>XXX</w:t>
      </w:r>
      <w:r w:rsidR="003F3F22" w:rsidRPr="003F3F22">
        <w:rPr>
          <w:shd w:val="clear" w:color="auto" w:fill="000000" w:themeFill="text1"/>
        </w:rPr>
        <w:t xml:space="preserve"> </w:t>
      </w:r>
      <w:r w:rsidRPr="00AA2CE1">
        <w:t>decrease</w:t>
      </w:r>
      <w:r w:rsidRPr="00062FF7">
        <w:t xml:space="preserve"> in incident patients in 2019 compared to year 2 of the estimates model. </w:t>
      </w:r>
    </w:p>
    <w:p w14:paraId="552061EA" w14:textId="77777777" w:rsidR="00CB093E" w:rsidRPr="00062FF7" w:rsidRDefault="00CB093E" w:rsidP="00CB093E">
      <w:pPr>
        <w:pStyle w:val="ListParagraph"/>
        <w:numPr>
          <w:ilvl w:val="0"/>
          <w:numId w:val="8"/>
        </w:numPr>
      </w:pPr>
      <w:r w:rsidRPr="00062FF7">
        <w:t xml:space="preserve">In 2019 the number of initiating patients is </w:t>
      </w:r>
      <w:r w:rsidRPr="00AA2CE1">
        <w:t>substantially less</w:t>
      </w:r>
      <w:r w:rsidRPr="00062FF7">
        <w:t xml:space="preserve"> than predicted and due to this expenditure on ibrutinib </w:t>
      </w:r>
      <w:r w:rsidRPr="00AA2CE1">
        <w:t>was less than anticipated</w:t>
      </w:r>
      <w:r w:rsidRPr="00062FF7">
        <w:t xml:space="preserve">. </w:t>
      </w:r>
    </w:p>
    <w:p w14:paraId="56593615" w14:textId="4810BB73" w:rsidR="00CB093E" w:rsidRPr="00062FF7" w:rsidRDefault="00CA0B7A" w:rsidP="00CB093E">
      <w:pPr>
        <w:pStyle w:val="ListParagraph"/>
        <w:numPr>
          <w:ilvl w:val="0"/>
          <w:numId w:val="8"/>
        </w:numPr>
      </w:pPr>
      <w:r>
        <w:t>The a</w:t>
      </w:r>
      <w:r w:rsidR="00CB093E" w:rsidRPr="00062FF7">
        <w:t xml:space="preserve">ddition of </w:t>
      </w:r>
      <w:proofErr w:type="spellStart"/>
      <w:r w:rsidR="00CB093E" w:rsidRPr="00062FF7">
        <w:t>venetoclax</w:t>
      </w:r>
      <w:proofErr w:type="spellEnd"/>
      <w:r w:rsidR="00CB093E" w:rsidRPr="00062FF7">
        <w:t xml:space="preserve"> onto the PBS in March 2019 was likely to be the cause of reduction in ibrutinib incident patients.</w:t>
      </w:r>
    </w:p>
    <w:p w14:paraId="377CA8EF" w14:textId="01838EDD" w:rsidR="00CB093E" w:rsidRPr="00062FF7" w:rsidRDefault="003F3F22" w:rsidP="00482A30">
      <w:pPr>
        <w:pStyle w:val="ListParagraph"/>
        <w:numPr>
          <w:ilvl w:val="0"/>
          <w:numId w:val="8"/>
        </w:numPr>
        <w:ind w:right="-257"/>
        <w:rPr>
          <w:rFonts w:eastAsiaTheme="majorEastAsia" w:cstheme="majorBidi"/>
          <w:bCs/>
        </w:rPr>
      </w:pPr>
      <w:r w:rsidRPr="003F3F22">
        <w:rPr>
          <w:rFonts w:eastAsiaTheme="majorEastAsia" w:cstheme="majorBidi"/>
          <w:bCs/>
          <w:color w:val="000000" w:themeColor="text1"/>
          <w:shd w:val="clear" w:color="auto" w:fill="000000" w:themeFill="text1"/>
        </w:rPr>
        <w:t>XXXXXXXXXXXXXXXXXXXXXXXXXXXXXXXXXXXXXXXXXXXX</w:t>
      </w:r>
      <w:r w:rsidR="00CB093E" w:rsidRPr="00062FF7">
        <w:rPr>
          <w:rFonts w:eastAsiaTheme="majorEastAsia" w:cstheme="majorBidi"/>
          <w:bCs/>
        </w:rPr>
        <w:t xml:space="preserve"> The duration of ibrutinib was estimated to be </w:t>
      </w:r>
      <w:r w:rsidR="00CB093E" w:rsidRPr="00AA2CE1">
        <w:rPr>
          <w:rFonts w:eastAsiaTheme="majorEastAsia" w:cstheme="majorBidi"/>
          <w:bCs/>
        </w:rPr>
        <w:t>23.4</w:t>
      </w:r>
      <w:r w:rsidR="00CB093E" w:rsidRPr="00062FF7">
        <w:rPr>
          <w:rFonts w:eastAsiaTheme="majorEastAsia" w:cstheme="majorBidi"/>
          <w:bCs/>
        </w:rPr>
        <w:t xml:space="preserve"> months, but median time on treatment was not reached in the first 942 days (~31 months) of PBS data with a mean time on ibrutinib of 21.75 </w:t>
      </w:r>
      <w:r w:rsidR="00482A30">
        <w:rPr>
          <w:rFonts w:eastAsiaTheme="majorEastAsia" w:cstheme="majorBidi"/>
          <w:bCs/>
        </w:rPr>
        <w:t>m</w:t>
      </w:r>
      <w:r w:rsidR="00CB093E" w:rsidRPr="00062FF7">
        <w:rPr>
          <w:rFonts w:eastAsiaTheme="majorEastAsia" w:cstheme="majorBidi"/>
          <w:bCs/>
        </w:rPr>
        <w:t xml:space="preserve">onths. </w:t>
      </w:r>
    </w:p>
    <w:p w14:paraId="4469A27B" w14:textId="09C7E253" w:rsidR="00CB093E" w:rsidRPr="00062FF7" w:rsidRDefault="00CB093E" w:rsidP="00CB093E">
      <w:pPr>
        <w:pStyle w:val="ListParagraph"/>
        <w:numPr>
          <w:ilvl w:val="0"/>
          <w:numId w:val="8"/>
        </w:numPr>
        <w:rPr>
          <w:rFonts w:eastAsiaTheme="majorEastAsia" w:cstheme="majorBidi"/>
          <w:bCs/>
        </w:rPr>
      </w:pPr>
      <w:r w:rsidRPr="00062FF7">
        <w:t>There were negligible cases detected of ibrutinib use as first</w:t>
      </w:r>
      <w:r w:rsidR="00AD668F">
        <w:t>-</w:t>
      </w:r>
      <w:r w:rsidRPr="00062FF7">
        <w:t xml:space="preserve">line therapy. </w:t>
      </w:r>
      <w:proofErr w:type="gramStart"/>
      <w:r w:rsidRPr="00062FF7">
        <w:t>However</w:t>
      </w:r>
      <w:proofErr w:type="gramEnd"/>
      <w:r w:rsidRPr="00062FF7">
        <w:t xml:space="preserve"> there was some evidence to suggest that ibrutinib was potentially being used in combination with rituximab or </w:t>
      </w:r>
      <w:proofErr w:type="spellStart"/>
      <w:r w:rsidRPr="00062FF7">
        <w:t>venetoclax</w:t>
      </w:r>
      <w:proofErr w:type="spellEnd"/>
      <w:r w:rsidRPr="00062FF7">
        <w:t>.</w:t>
      </w:r>
    </w:p>
    <w:p w14:paraId="238B115E" w14:textId="3CDD7E26" w:rsidR="00CB093E" w:rsidRPr="00062FF7" w:rsidRDefault="00CB093E" w:rsidP="00CB093E">
      <w:pPr>
        <w:pStyle w:val="ListParagraph"/>
        <w:numPr>
          <w:ilvl w:val="0"/>
          <w:numId w:val="8"/>
        </w:numPr>
        <w:rPr>
          <w:rFonts w:eastAsiaTheme="majorEastAsia" w:cstheme="majorBidi"/>
          <w:bCs/>
        </w:rPr>
      </w:pPr>
      <w:r w:rsidRPr="00062FF7">
        <w:t xml:space="preserve">Approximately 68% of incident patients did not have fludarabine in their dispensing history prior to starting ibrutinib, indicating that these patients may not have been suitable for treatment with a purine analogue. The sponsor estimated the number of patients who are not suitable for treatment or retreatment to be </w:t>
      </w:r>
      <w:r w:rsidR="003F3F22" w:rsidRPr="003F3F22">
        <w:rPr>
          <w:color w:val="000000" w:themeColor="text1"/>
          <w:shd w:val="clear" w:color="auto" w:fill="000000" w:themeFill="text1"/>
        </w:rPr>
        <w:t>XXX</w:t>
      </w:r>
      <w:r w:rsidRPr="003F3F22">
        <w:rPr>
          <w:shd w:val="clear" w:color="auto" w:fill="FFFFFF" w:themeFill="background1"/>
        </w:rPr>
        <w:t>.</w:t>
      </w:r>
      <w:r w:rsidRPr="00062FF7">
        <w:t xml:space="preserve"> Since 68% does not include those patients who are not suitable for retreatment then in practice this number could be larger.  </w:t>
      </w:r>
    </w:p>
    <w:p w14:paraId="2925FDF8" w14:textId="3694974F" w:rsidR="00CB093E" w:rsidRPr="00062FF7" w:rsidRDefault="00CB093E" w:rsidP="00CB093E">
      <w:pPr>
        <w:pStyle w:val="ListParagraph"/>
        <w:numPr>
          <w:ilvl w:val="0"/>
          <w:numId w:val="8"/>
        </w:numPr>
      </w:pPr>
      <w:r w:rsidRPr="00062FF7">
        <w:t>A large portion of patients (19%) move</w:t>
      </w:r>
      <w:r w:rsidR="00191EF7">
        <w:t>d</w:t>
      </w:r>
      <w:r w:rsidRPr="00062FF7">
        <w:t xml:space="preserve"> on to treatment with ibrutinib within six months of ceasing their previous line medications and 68% within 42 months. The group of patients starting treatment within six months </w:t>
      </w:r>
      <w:r w:rsidR="00191EF7">
        <w:t>were</w:t>
      </w:r>
      <w:r w:rsidR="00191EF7" w:rsidRPr="00062FF7">
        <w:t xml:space="preserve"> </w:t>
      </w:r>
      <w:r w:rsidRPr="00062FF7">
        <w:t>potentially refractory, followed by a consistent amount of potentially relapsing patients in the 7- 42 months group after which the rate of relapsing patients steadily decline</w:t>
      </w:r>
      <w:r w:rsidR="00191EF7">
        <w:t>d</w:t>
      </w:r>
      <w:r w:rsidRPr="00062FF7">
        <w:t>.</w:t>
      </w:r>
    </w:p>
    <w:p w14:paraId="649BBF62" w14:textId="77777777" w:rsidR="001C68E6" w:rsidRDefault="009D1ED5" w:rsidP="0091693F">
      <w:pPr>
        <w:rPr>
          <w:b/>
          <w:bCs/>
        </w:rPr>
      </w:pPr>
      <w:r w:rsidRPr="001C68E6">
        <w:t xml:space="preserve">For details of the DUSC consideration of </w:t>
      </w:r>
      <w:r w:rsidR="00AA5F77" w:rsidRPr="001C68E6">
        <w:t xml:space="preserve">Ibrutinib for </w:t>
      </w:r>
      <w:r w:rsidR="002617A8" w:rsidRPr="001C68E6">
        <w:t>CLL/SLL</w:t>
      </w:r>
      <w:r w:rsidRPr="001C68E6">
        <w:t xml:space="preserve"> refer to the </w:t>
      </w:r>
      <w:hyperlink r:id="rId19" w:history="1">
        <w:r w:rsidR="009A4F67" w:rsidRPr="001C68E6">
          <w:rPr>
            <w:rStyle w:val="Hyperlink"/>
          </w:rPr>
          <w:t>Public Release Document</w:t>
        </w:r>
      </w:hyperlink>
      <w:r w:rsidR="00E671B3" w:rsidRPr="001C68E6" w:rsidDel="00E671B3">
        <w:t xml:space="preserve"> </w:t>
      </w:r>
      <w:r w:rsidRPr="001C68E6">
        <w:t xml:space="preserve"> from the </w:t>
      </w:r>
      <w:r w:rsidR="00E671B3" w:rsidRPr="001C68E6">
        <w:t xml:space="preserve">October 2020 </w:t>
      </w:r>
      <w:r w:rsidRPr="001C68E6">
        <w:t xml:space="preserve"> DUSC meeting</w:t>
      </w:r>
    </w:p>
    <w:p w14:paraId="0312FFEC" w14:textId="1B7B4F3E" w:rsidR="00E677DD" w:rsidRPr="001C68E6" w:rsidRDefault="00E677DD" w:rsidP="00CF5E22">
      <w:pPr>
        <w:pStyle w:val="Heading1"/>
      </w:pPr>
      <w:r w:rsidRPr="001C68E6">
        <w:t>Method</w:t>
      </w:r>
      <w:r w:rsidR="001B5D37" w:rsidRPr="001C68E6">
        <w:t>s</w:t>
      </w:r>
    </w:p>
    <w:p w14:paraId="3C8140F7" w14:textId="2ECCD3DB" w:rsidR="003C0D62" w:rsidRDefault="003C0D62" w:rsidP="00A35800">
      <w:r w:rsidRPr="006804E0">
        <w:t xml:space="preserve">Data extracted from the PBS claims database maintained by the Department of Health and Aged Care and processed by Services Australia were used for the analyses. Prescription data were extracted from </w:t>
      </w:r>
      <w:r w:rsidR="00625B62">
        <w:t>1 December 201</w:t>
      </w:r>
      <w:r w:rsidR="00E84A5D">
        <w:t>7</w:t>
      </w:r>
      <w:r w:rsidRPr="006804E0">
        <w:t xml:space="preserve"> up to and </w:t>
      </w:r>
      <w:r w:rsidRPr="001C68E6">
        <w:t xml:space="preserve">including </w:t>
      </w:r>
      <w:r w:rsidR="00625B62" w:rsidRPr="001C68E6">
        <w:t>31 May 2023</w:t>
      </w:r>
      <w:r w:rsidRPr="001C68E6">
        <w:t>.</w:t>
      </w:r>
      <w:r w:rsidRPr="006804E0">
        <w:t xml:space="preserve"> </w:t>
      </w:r>
      <w:r w:rsidR="001450EA">
        <w:t xml:space="preserve">Data for the </w:t>
      </w:r>
      <w:r w:rsidR="001450EA">
        <w:lastRenderedPageBreak/>
        <w:t xml:space="preserve">analysis of treatment sequence and duration </w:t>
      </w:r>
      <w:r w:rsidR="001450EA" w:rsidRPr="001450EA">
        <w:t>was extracted from 1 January 2017 to 31 August 2023.</w:t>
      </w:r>
    </w:p>
    <w:p w14:paraId="4B9A0309" w14:textId="77777777" w:rsidR="00737229" w:rsidRPr="00B80402" w:rsidRDefault="00737229" w:rsidP="00737229">
      <w:pPr>
        <w:spacing w:before="240"/>
        <w:rPr>
          <w:b/>
          <w:bCs/>
          <w:i/>
          <w:iCs/>
        </w:rPr>
      </w:pPr>
      <w:r w:rsidRPr="00B80402">
        <w:rPr>
          <w:b/>
          <w:bCs/>
          <w:i/>
          <w:iCs/>
        </w:rPr>
        <w:t>Patient level analysis</w:t>
      </w:r>
    </w:p>
    <w:p w14:paraId="6E734CBB" w14:textId="77777777" w:rsidR="00737229" w:rsidRPr="00B80402" w:rsidRDefault="00737229" w:rsidP="00737229">
      <w:r w:rsidRPr="00B80402">
        <w:t>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58538151" w14:textId="77777777" w:rsidR="00737229" w:rsidRDefault="00737229" w:rsidP="00737229">
      <w:r w:rsidRPr="00B80402">
        <w:t>Patient age</w:t>
      </w:r>
      <w:r>
        <w:t xml:space="preserve"> was derived as the age at first supply</w:t>
      </w:r>
      <w:r w:rsidRPr="00B80402">
        <w:t xml:space="preserve">. </w:t>
      </w:r>
    </w:p>
    <w:p w14:paraId="1694E31C" w14:textId="77777777" w:rsidR="00737229" w:rsidRPr="00B80402" w:rsidRDefault="00737229" w:rsidP="00737229">
      <w:pPr>
        <w:rPr>
          <w:b/>
          <w:bCs/>
          <w:i/>
          <w:iCs/>
        </w:rPr>
      </w:pPr>
      <w:r w:rsidRPr="00B80402">
        <w:rPr>
          <w:b/>
          <w:bCs/>
          <w:i/>
          <w:iCs/>
        </w:rPr>
        <w:t>Predicted versus actual analysis</w:t>
      </w:r>
    </w:p>
    <w:p w14:paraId="68D9651D" w14:textId="49C56D6D" w:rsidR="00737229" w:rsidRPr="00B80402" w:rsidRDefault="00737229" w:rsidP="00737229">
      <w:r w:rsidRPr="00B80402">
        <w:t>Predicted versus actual analysis of the number of patients treated, prescriptions dispensed, annual contribution rates and benefits paid, net cost to government (</w:t>
      </w:r>
      <w:r w:rsidR="008E530B" w:rsidRPr="00187B1C">
        <w:rPr>
          <w:highlight w:val="black"/>
        </w:rPr>
        <w:t>XXXXXXXXX</w:t>
      </w:r>
      <w:r w:rsidRPr="00187B1C">
        <w:rPr>
          <w:highlight w:val="black"/>
        </w:rPr>
        <w:t xml:space="preserve"> </w:t>
      </w:r>
      <w:r w:rsidR="008E530B" w:rsidRPr="00187B1C">
        <w:rPr>
          <w:highlight w:val="black"/>
        </w:rPr>
        <w:t>XX</w:t>
      </w:r>
      <w:r w:rsidRPr="00187B1C">
        <w:rPr>
          <w:highlight w:val="black"/>
        </w:rPr>
        <w:t xml:space="preserve"> </w:t>
      </w:r>
      <w:r w:rsidR="008E530B" w:rsidRPr="00187B1C">
        <w:rPr>
          <w:highlight w:val="black"/>
        </w:rPr>
        <w:t>XXXXXXXXXX</w:t>
      </w:r>
      <w:r w:rsidRPr="00B80402">
        <w:t>)</w:t>
      </w:r>
      <w:r w:rsidR="00F87346">
        <w:t xml:space="preserve"> was undertaken from the date of listing</w:t>
      </w:r>
      <w:r w:rsidRPr="00B80402">
        <w:t xml:space="preserve">. </w:t>
      </w:r>
      <w:r w:rsidR="00B93F34">
        <w:t xml:space="preserve">The benefits paid and net cost to government are based on the published list prices. </w:t>
      </w:r>
      <w:r w:rsidRPr="00B80402">
        <w:t xml:space="preserve">The projected figures were adjusted to the period </w:t>
      </w:r>
      <w:r>
        <w:t>December</w:t>
      </w:r>
      <w:r w:rsidRPr="00B80402">
        <w:t xml:space="preserve"> to </w:t>
      </w:r>
      <w:r>
        <w:t>November</w:t>
      </w:r>
      <w:r w:rsidRPr="00B80402">
        <w:t xml:space="preserve"> (</w:t>
      </w:r>
      <w:proofErr w:type="gramStart"/>
      <w:r w:rsidRPr="00B80402">
        <w:t>i.e.</w:t>
      </w:r>
      <w:proofErr w:type="gramEnd"/>
      <w:r w:rsidRPr="00B80402">
        <w:t xml:space="preserve"> by listing year) to align with the first listing date of</w:t>
      </w:r>
      <w:r w:rsidR="008D5A76">
        <w:t xml:space="preserve"> </w:t>
      </w:r>
      <w:proofErr w:type="spellStart"/>
      <w:r w:rsidR="008D5A76">
        <w:t>venetoclax</w:t>
      </w:r>
      <w:proofErr w:type="spellEnd"/>
      <w:r w:rsidRPr="00B80402">
        <w:t>. Actual utilisation for these parameters was extracted by listing year.</w:t>
      </w:r>
    </w:p>
    <w:p w14:paraId="7708EF5C" w14:textId="77777777" w:rsidR="00737229" w:rsidRPr="00B80402" w:rsidRDefault="00737229" w:rsidP="00737229">
      <w:r w:rsidRPr="00B80402">
        <w:t>The differences in actual compared to predicted utilisation was determined using the following calculation:</w:t>
      </w:r>
    </w:p>
    <w:p w14:paraId="2CD396DB" w14:textId="77777777" w:rsidR="00737229" w:rsidRPr="00B80402" w:rsidRDefault="00737229" w:rsidP="00737229">
      <w:r w:rsidRPr="00B80402">
        <w:t>Difference (%) = ((Actual – Predicted)/Predicted) x 100.</w:t>
      </w:r>
    </w:p>
    <w:p w14:paraId="3B6ACB99" w14:textId="5ACD1142" w:rsidR="001450EA" w:rsidRPr="00F91B2D" w:rsidRDefault="001450EA" w:rsidP="001450EA">
      <w:pPr>
        <w:tabs>
          <w:tab w:val="left" w:pos="2470"/>
        </w:tabs>
        <w:rPr>
          <w:b/>
          <w:bCs/>
        </w:rPr>
      </w:pPr>
      <w:r>
        <w:rPr>
          <w:b/>
          <w:bCs/>
        </w:rPr>
        <w:t>T</w:t>
      </w:r>
      <w:r w:rsidRPr="00F91B2D">
        <w:rPr>
          <w:b/>
          <w:bCs/>
        </w:rPr>
        <w:t>reatment sequence and treatment duration</w:t>
      </w:r>
    </w:p>
    <w:p w14:paraId="3D1F7061" w14:textId="77777777" w:rsidR="001450EA" w:rsidRPr="00E90119" w:rsidRDefault="001450EA" w:rsidP="001450EA">
      <w:pPr>
        <w:tabs>
          <w:tab w:val="left" w:pos="2470"/>
        </w:tabs>
        <w:spacing w:after="0"/>
        <w:contextualSpacing/>
        <w:rPr>
          <w:rFonts w:ascii="Calibri" w:eastAsia="Times New Roman" w:hAnsi="Calibri" w:cs="Calibri"/>
        </w:rPr>
      </w:pPr>
    </w:p>
    <w:p w14:paraId="36AFD953" w14:textId="25CFB4BC" w:rsidR="001450EA" w:rsidRPr="00E90119" w:rsidRDefault="001450EA" w:rsidP="001450EA">
      <w:pPr>
        <w:tabs>
          <w:tab w:val="left" w:pos="2470"/>
        </w:tabs>
        <w:spacing w:after="0"/>
        <w:contextualSpacing/>
        <w:rPr>
          <w:rFonts w:ascii="Calibri" w:eastAsia="Times New Roman" w:hAnsi="Calibri" w:cs="Calibri"/>
        </w:rPr>
      </w:pPr>
      <w:r w:rsidRPr="00E90119">
        <w:rPr>
          <w:rFonts w:ascii="Calibri" w:eastAsia="Times New Roman" w:hAnsi="Calibri" w:cs="Calibri"/>
        </w:rPr>
        <w:t xml:space="preserve">The following PBS listings were included in the </w:t>
      </w:r>
      <w:r w:rsidR="000D7AB6">
        <w:rPr>
          <w:rFonts w:ascii="Calibri" w:eastAsia="Times New Roman" w:hAnsi="Calibri" w:cs="Calibri"/>
        </w:rPr>
        <w:t xml:space="preserve">data </w:t>
      </w:r>
      <w:r w:rsidRPr="00E90119">
        <w:rPr>
          <w:rFonts w:ascii="Calibri" w:eastAsia="Times New Roman" w:hAnsi="Calibri" w:cs="Calibri"/>
        </w:rPr>
        <w:t>extraction:</w:t>
      </w:r>
    </w:p>
    <w:p w14:paraId="13312789" w14:textId="77777777" w:rsidR="001450EA" w:rsidRPr="00E90119" w:rsidRDefault="001450EA" w:rsidP="001450EA">
      <w:pPr>
        <w:pStyle w:val="ListParagraph"/>
        <w:numPr>
          <w:ilvl w:val="0"/>
          <w:numId w:val="17"/>
        </w:numPr>
        <w:tabs>
          <w:tab w:val="left" w:pos="2470"/>
        </w:tabs>
        <w:spacing w:after="0"/>
        <w:rPr>
          <w:rFonts w:ascii="Calibri" w:eastAsia="Times New Roman" w:hAnsi="Calibri" w:cs="Calibri"/>
        </w:rPr>
      </w:pPr>
      <w:proofErr w:type="spellStart"/>
      <w:r w:rsidRPr="00E90119">
        <w:rPr>
          <w:rFonts w:ascii="Calibri" w:eastAsia="Times New Roman" w:hAnsi="Calibri" w:cs="Calibri"/>
        </w:rPr>
        <w:t>Venetoclax</w:t>
      </w:r>
      <w:proofErr w:type="spellEnd"/>
      <w:r w:rsidRPr="00E90119">
        <w:rPr>
          <w:rFonts w:ascii="Calibri" w:eastAsia="Times New Roman" w:hAnsi="Calibri" w:cs="Calibri"/>
        </w:rPr>
        <w:t xml:space="preserve"> first-line (in combination with </w:t>
      </w:r>
      <w:proofErr w:type="spellStart"/>
      <w:r w:rsidRPr="00E90119">
        <w:rPr>
          <w:rFonts w:ascii="Calibri" w:eastAsia="Times New Roman" w:hAnsi="Calibri" w:cs="Calibri"/>
        </w:rPr>
        <w:t>obinutuzumab</w:t>
      </w:r>
      <w:proofErr w:type="spellEnd"/>
      <w:r w:rsidRPr="00E90119">
        <w:rPr>
          <w:rFonts w:ascii="Calibri" w:eastAsia="Times New Roman" w:hAnsi="Calibri" w:cs="Calibri"/>
        </w:rPr>
        <w:t>): 11648C, 12188L, 12199C, 12205J and 12999E.</w:t>
      </w:r>
    </w:p>
    <w:p w14:paraId="5FC67933" w14:textId="77777777" w:rsidR="001450EA" w:rsidRPr="00E90119" w:rsidRDefault="001450EA" w:rsidP="001450EA">
      <w:pPr>
        <w:pStyle w:val="ListParagraph"/>
        <w:numPr>
          <w:ilvl w:val="0"/>
          <w:numId w:val="17"/>
        </w:numPr>
        <w:tabs>
          <w:tab w:val="left" w:pos="2470"/>
        </w:tabs>
        <w:spacing w:after="0"/>
        <w:rPr>
          <w:rFonts w:ascii="Calibri" w:eastAsia="Times New Roman" w:hAnsi="Calibri" w:cs="Calibri"/>
        </w:rPr>
      </w:pPr>
      <w:proofErr w:type="spellStart"/>
      <w:r w:rsidRPr="00E90119">
        <w:rPr>
          <w:rFonts w:ascii="Calibri" w:eastAsia="Times New Roman" w:hAnsi="Calibri" w:cs="Calibri"/>
        </w:rPr>
        <w:t>Venetoclax</w:t>
      </w:r>
      <w:proofErr w:type="spellEnd"/>
      <w:r w:rsidRPr="00E90119">
        <w:rPr>
          <w:rFonts w:ascii="Calibri" w:eastAsia="Times New Roman" w:hAnsi="Calibri" w:cs="Calibri"/>
        </w:rPr>
        <w:t xml:space="preserve"> </w:t>
      </w:r>
      <w:proofErr w:type="gramStart"/>
      <w:r w:rsidRPr="00E90119">
        <w:rPr>
          <w:rFonts w:ascii="Calibri" w:eastAsia="Times New Roman" w:hAnsi="Calibri" w:cs="Calibri"/>
        </w:rPr>
        <w:t>second-line</w:t>
      </w:r>
      <w:proofErr w:type="gramEnd"/>
      <w:r w:rsidRPr="00E90119">
        <w:rPr>
          <w:rFonts w:ascii="Calibri" w:eastAsia="Times New Roman" w:hAnsi="Calibri" w:cs="Calibri"/>
        </w:rPr>
        <w:t>: 11624T,11630D and 11639N.</w:t>
      </w:r>
    </w:p>
    <w:p w14:paraId="5C248FD6" w14:textId="77777777" w:rsidR="001450EA" w:rsidRPr="00E90119" w:rsidRDefault="001450EA" w:rsidP="001450EA">
      <w:pPr>
        <w:pStyle w:val="ListParagraph"/>
        <w:numPr>
          <w:ilvl w:val="0"/>
          <w:numId w:val="17"/>
        </w:numPr>
        <w:tabs>
          <w:tab w:val="left" w:pos="2470"/>
        </w:tabs>
        <w:spacing w:after="0"/>
        <w:rPr>
          <w:rFonts w:ascii="Calibri" w:eastAsia="Times New Roman" w:hAnsi="Calibri" w:cs="Calibri"/>
        </w:rPr>
      </w:pPr>
      <w:r w:rsidRPr="00E90119">
        <w:rPr>
          <w:rFonts w:ascii="Calibri" w:eastAsia="Times New Roman" w:hAnsi="Calibri" w:cs="Calibri"/>
        </w:rPr>
        <w:t>Acalabrutinib for relapsed/refractory (RR) patients: 12117R and 13318Y.</w:t>
      </w:r>
    </w:p>
    <w:p w14:paraId="01AEFDAE" w14:textId="77777777" w:rsidR="001450EA" w:rsidRPr="00E90119" w:rsidRDefault="001450EA" w:rsidP="001450EA">
      <w:pPr>
        <w:pStyle w:val="ListParagraph"/>
        <w:numPr>
          <w:ilvl w:val="0"/>
          <w:numId w:val="17"/>
        </w:numPr>
        <w:tabs>
          <w:tab w:val="left" w:pos="2470"/>
        </w:tabs>
        <w:spacing w:after="0"/>
        <w:rPr>
          <w:rFonts w:ascii="Calibri" w:eastAsia="Times New Roman" w:hAnsi="Calibri" w:cs="Calibri"/>
        </w:rPr>
      </w:pPr>
      <w:r w:rsidRPr="00E90119">
        <w:rPr>
          <w:rFonts w:ascii="Calibri" w:eastAsia="Times New Roman" w:hAnsi="Calibri" w:cs="Calibri"/>
        </w:rPr>
        <w:t>Ibrutinib for RR: 11213E.</w:t>
      </w:r>
    </w:p>
    <w:p w14:paraId="3146B622" w14:textId="77777777" w:rsidR="001450EA" w:rsidRPr="00E90119" w:rsidRDefault="001450EA" w:rsidP="001450EA">
      <w:pPr>
        <w:pStyle w:val="ListParagraph"/>
        <w:numPr>
          <w:ilvl w:val="0"/>
          <w:numId w:val="17"/>
        </w:numPr>
        <w:tabs>
          <w:tab w:val="left" w:pos="2470"/>
        </w:tabs>
        <w:spacing w:after="0"/>
        <w:rPr>
          <w:rFonts w:ascii="Calibri" w:eastAsia="Times New Roman" w:hAnsi="Calibri" w:cs="Calibri"/>
        </w:rPr>
      </w:pPr>
      <w:proofErr w:type="spellStart"/>
      <w:r w:rsidRPr="00E90119">
        <w:rPr>
          <w:rFonts w:ascii="Calibri" w:eastAsia="Times New Roman" w:hAnsi="Calibri" w:cs="Calibri"/>
        </w:rPr>
        <w:t>Idelalisib</w:t>
      </w:r>
      <w:proofErr w:type="spellEnd"/>
      <w:r w:rsidRPr="00E90119">
        <w:rPr>
          <w:rFonts w:ascii="Calibri" w:eastAsia="Times New Roman" w:hAnsi="Calibri" w:cs="Calibri"/>
        </w:rPr>
        <w:t xml:space="preserve"> for RR: 11170X and 11162L.</w:t>
      </w:r>
    </w:p>
    <w:p w14:paraId="00C5F97E" w14:textId="77777777" w:rsidR="001450EA" w:rsidRDefault="001450EA" w:rsidP="001450EA">
      <w:pPr>
        <w:tabs>
          <w:tab w:val="left" w:pos="2470"/>
        </w:tabs>
        <w:spacing w:after="0"/>
        <w:contextualSpacing/>
        <w:rPr>
          <w:rFonts w:ascii="Arial" w:hAnsi="Arial" w:cs="Arial"/>
          <w:color w:val="222222"/>
          <w:sz w:val="20"/>
          <w:szCs w:val="20"/>
          <w:shd w:val="clear" w:color="auto" w:fill="FFFFFF"/>
        </w:rPr>
      </w:pPr>
    </w:p>
    <w:p w14:paraId="460117A9" w14:textId="77777777" w:rsidR="001450EA" w:rsidRPr="00E90119" w:rsidRDefault="001450EA" w:rsidP="001450EA">
      <w:pPr>
        <w:tabs>
          <w:tab w:val="left" w:pos="2470"/>
        </w:tabs>
        <w:spacing w:after="0"/>
        <w:contextualSpacing/>
        <w:rPr>
          <w:rFonts w:ascii="Calibri" w:eastAsia="Times New Roman" w:hAnsi="Calibri" w:cs="Calibri"/>
        </w:rPr>
      </w:pPr>
      <w:r w:rsidRPr="00E90119">
        <w:rPr>
          <w:rFonts w:ascii="Calibri" w:eastAsia="Times New Roman" w:hAnsi="Calibri" w:cs="Calibri"/>
        </w:rPr>
        <w:t xml:space="preserve">The data was sorted by the unique de-identified patient identifier and the date of supply. </w:t>
      </w:r>
    </w:p>
    <w:p w14:paraId="32F593C6" w14:textId="77777777" w:rsidR="001450EA" w:rsidRPr="00E90119" w:rsidRDefault="001450EA" w:rsidP="001450EA">
      <w:pPr>
        <w:tabs>
          <w:tab w:val="left" w:pos="2470"/>
        </w:tabs>
        <w:spacing w:after="0"/>
        <w:contextualSpacing/>
        <w:rPr>
          <w:rFonts w:ascii="Calibri" w:eastAsia="Times New Roman" w:hAnsi="Calibri" w:cs="Calibri"/>
        </w:rPr>
      </w:pPr>
    </w:p>
    <w:p w14:paraId="1232EF05" w14:textId="77777777" w:rsidR="001450EA" w:rsidRPr="00E90119" w:rsidRDefault="001450EA" w:rsidP="001450EA">
      <w:pPr>
        <w:tabs>
          <w:tab w:val="left" w:pos="2470"/>
        </w:tabs>
        <w:spacing w:after="0"/>
        <w:contextualSpacing/>
        <w:rPr>
          <w:rFonts w:ascii="Calibri" w:eastAsia="Times New Roman" w:hAnsi="Calibri" w:cs="Calibri"/>
        </w:rPr>
      </w:pPr>
      <w:r w:rsidRPr="00E90119">
        <w:rPr>
          <w:rFonts w:ascii="Calibri" w:eastAsia="Times New Roman" w:hAnsi="Calibri" w:cs="Calibri"/>
        </w:rPr>
        <w:t xml:space="preserve">Patients were identified who had a first ever supply of </w:t>
      </w:r>
      <w:proofErr w:type="spellStart"/>
      <w:r w:rsidRPr="00E90119">
        <w:rPr>
          <w:rFonts w:ascii="Calibri" w:eastAsia="Times New Roman" w:hAnsi="Calibri" w:cs="Calibri"/>
        </w:rPr>
        <w:t>venetoclax</w:t>
      </w:r>
      <w:proofErr w:type="spellEnd"/>
      <w:r w:rsidRPr="00E90119">
        <w:rPr>
          <w:rFonts w:ascii="Calibri" w:eastAsia="Times New Roman" w:hAnsi="Calibri" w:cs="Calibri"/>
        </w:rPr>
        <w:t xml:space="preserve"> for first-line treatment. A lookback period to 1 January 2017 was used to identify new patients first initiating on </w:t>
      </w:r>
      <w:proofErr w:type="spellStart"/>
      <w:r w:rsidRPr="00E90119">
        <w:rPr>
          <w:rFonts w:ascii="Calibri" w:eastAsia="Times New Roman" w:hAnsi="Calibri" w:cs="Calibri"/>
        </w:rPr>
        <w:t>venetoclax</w:t>
      </w:r>
      <w:proofErr w:type="spellEnd"/>
      <w:r w:rsidRPr="00E90119">
        <w:rPr>
          <w:rFonts w:ascii="Calibri" w:eastAsia="Times New Roman" w:hAnsi="Calibri" w:cs="Calibri"/>
        </w:rPr>
        <w:t xml:space="preserve"> first-line. All supplies to this initiating cohort, including further </w:t>
      </w:r>
      <w:proofErr w:type="gramStart"/>
      <w:r w:rsidRPr="00E90119">
        <w:rPr>
          <w:rFonts w:ascii="Calibri" w:eastAsia="Times New Roman" w:hAnsi="Calibri" w:cs="Calibri"/>
        </w:rPr>
        <w:t>first-line</w:t>
      </w:r>
      <w:proofErr w:type="gramEnd"/>
      <w:r w:rsidRPr="00E90119">
        <w:rPr>
          <w:rFonts w:ascii="Calibri" w:eastAsia="Times New Roman" w:hAnsi="Calibri" w:cs="Calibri"/>
        </w:rPr>
        <w:t xml:space="preserve"> </w:t>
      </w:r>
      <w:proofErr w:type="spellStart"/>
      <w:r w:rsidRPr="00E90119">
        <w:rPr>
          <w:rFonts w:ascii="Calibri" w:eastAsia="Times New Roman" w:hAnsi="Calibri" w:cs="Calibri"/>
        </w:rPr>
        <w:t>venetoclax</w:t>
      </w:r>
      <w:proofErr w:type="spellEnd"/>
      <w:r w:rsidRPr="00E90119">
        <w:rPr>
          <w:rFonts w:ascii="Calibri" w:eastAsia="Times New Roman" w:hAnsi="Calibri" w:cs="Calibri"/>
        </w:rPr>
        <w:t xml:space="preserve"> claims and claims for RR listings, were followed up to 31 August 2023.</w:t>
      </w:r>
    </w:p>
    <w:p w14:paraId="47084F5C" w14:textId="77777777" w:rsidR="001450EA" w:rsidRDefault="001450EA" w:rsidP="001450EA">
      <w:pPr>
        <w:tabs>
          <w:tab w:val="left" w:pos="2470"/>
        </w:tabs>
        <w:spacing w:after="0"/>
        <w:contextualSpacing/>
        <w:rPr>
          <w:rFonts w:ascii="Arial" w:hAnsi="Arial" w:cs="Arial"/>
          <w:color w:val="222222"/>
          <w:sz w:val="20"/>
          <w:szCs w:val="20"/>
          <w:shd w:val="clear" w:color="auto" w:fill="FFFFFF"/>
        </w:rPr>
      </w:pPr>
    </w:p>
    <w:p w14:paraId="24D94D46" w14:textId="77777777" w:rsidR="001450EA" w:rsidRPr="00EF2014" w:rsidRDefault="001450EA" w:rsidP="001450EA">
      <w:pPr>
        <w:tabs>
          <w:tab w:val="left" w:pos="2470"/>
        </w:tabs>
        <w:spacing w:after="0"/>
        <w:contextualSpacing/>
        <w:rPr>
          <w:rFonts w:ascii="Calibri" w:eastAsia="Times New Roman" w:hAnsi="Calibri" w:cs="Calibri"/>
        </w:rPr>
      </w:pPr>
      <w:r w:rsidRPr="00EF2014">
        <w:rPr>
          <w:rFonts w:ascii="Calibri" w:eastAsia="Times New Roman" w:hAnsi="Calibri" w:cs="Calibri"/>
        </w:rPr>
        <w:t xml:space="preserve">The sequence of supply by date order and drug regimen was analysed from the first ever supply of </w:t>
      </w:r>
      <w:proofErr w:type="spellStart"/>
      <w:r w:rsidRPr="00EF2014">
        <w:rPr>
          <w:rFonts w:ascii="Calibri" w:eastAsia="Times New Roman" w:hAnsi="Calibri" w:cs="Calibri"/>
        </w:rPr>
        <w:t>venetoclax</w:t>
      </w:r>
      <w:proofErr w:type="spellEnd"/>
      <w:r w:rsidRPr="00EF2014">
        <w:rPr>
          <w:rFonts w:ascii="Calibri" w:eastAsia="Times New Roman" w:hAnsi="Calibri" w:cs="Calibri"/>
        </w:rPr>
        <w:t xml:space="preserve"> for </w:t>
      </w:r>
      <w:proofErr w:type="gramStart"/>
      <w:r w:rsidRPr="00EF2014">
        <w:rPr>
          <w:rFonts w:ascii="Calibri" w:eastAsia="Times New Roman" w:hAnsi="Calibri" w:cs="Calibri"/>
        </w:rPr>
        <w:t>first-line</w:t>
      </w:r>
      <w:proofErr w:type="gramEnd"/>
      <w:r w:rsidRPr="00EF2014">
        <w:rPr>
          <w:rFonts w:ascii="Calibri" w:eastAsia="Times New Roman" w:hAnsi="Calibri" w:cs="Calibri"/>
        </w:rPr>
        <w:t xml:space="preserve"> to the analysis end date.</w:t>
      </w:r>
    </w:p>
    <w:p w14:paraId="3F762988" w14:textId="77777777" w:rsidR="001450EA" w:rsidRPr="00EF2014" w:rsidRDefault="001450EA" w:rsidP="001450EA">
      <w:pPr>
        <w:tabs>
          <w:tab w:val="left" w:pos="2470"/>
        </w:tabs>
        <w:spacing w:after="0"/>
        <w:contextualSpacing/>
        <w:rPr>
          <w:rFonts w:ascii="Calibri" w:eastAsia="Times New Roman" w:hAnsi="Calibri" w:cs="Calibri"/>
        </w:rPr>
      </w:pPr>
    </w:p>
    <w:p w14:paraId="33241B9A" w14:textId="77777777" w:rsidR="001450EA" w:rsidRPr="00EF2014" w:rsidRDefault="001450EA" w:rsidP="001450EA">
      <w:pPr>
        <w:tabs>
          <w:tab w:val="left" w:pos="2470"/>
        </w:tabs>
        <w:spacing w:after="0"/>
        <w:contextualSpacing/>
        <w:rPr>
          <w:rFonts w:ascii="Calibri" w:eastAsia="Times New Roman" w:hAnsi="Calibri" w:cs="Calibri"/>
        </w:rPr>
      </w:pPr>
      <w:r w:rsidRPr="00EF2014">
        <w:rPr>
          <w:rFonts w:ascii="Calibri" w:eastAsia="Times New Roman" w:hAnsi="Calibri" w:cs="Calibri"/>
        </w:rPr>
        <w:t xml:space="preserve">The treatment duration was based on the time when a patient was first ever supplied </w:t>
      </w:r>
      <w:proofErr w:type="spellStart"/>
      <w:r w:rsidRPr="00EF2014">
        <w:rPr>
          <w:rFonts w:ascii="Calibri" w:eastAsia="Times New Roman" w:hAnsi="Calibri" w:cs="Calibri"/>
        </w:rPr>
        <w:t>venetoclax</w:t>
      </w:r>
      <w:proofErr w:type="spellEnd"/>
      <w:r w:rsidRPr="00EF2014">
        <w:rPr>
          <w:rFonts w:ascii="Calibri" w:eastAsia="Times New Roman" w:hAnsi="Calibri" w:cs="Calibri"/>
        </w:rPr>
        <w:t xml:space="preserve"> for first-line treatment to their last supply of their first episode on </w:t>
      </w:r>
      <w:proofErr w:type="spellStart"/>
      <w:r w:rsidRPr="00EF2014">
        <w:rPr>
          <w:rFonts w:ascii="Calibri" w:eastAsia="Times New Roman" w:hAnsi="Calibri" w:cs="Calibri"/>
        </w:rPr>
        <w:t>venetoclax</w:t>
      </w:r>
      <w:proofErr w:type="spellEnd"/>
      <w:r w:rsidRPr="00EF2014">
        <w:rPr>
          <w:rFonts w:ascii="Calibri" w:eastAsia="Times New Roman" w:hAnsi="Calibri" w:cs="Calibri"/>
        </w:rPr>
        <w:t xml:space="preserve">. A </w:t>
      </w:r>
      <w:r w:rsidRPr="00EF2014">
        <w:rPr>
          <w:rFonts w:ascii="Calibri" w:eastAsia="Times New Roman" w:hAnsi="Calibri" w:cs="Calibri"/>
        </w:rPr>
        <w:lastRenderedPageBreak/>
        <w:t xml:space="preserve">lookback period to 1 January 2017 was used to identify new patients first initiating on a </w:t>
      </w:r>
      <w:proofErr w:type="gramStart"/>
      <w:r w:rsidRPr="00EF2014">
        <w:rPr>
          <w:rFonts w:ascii="Calibri" w:eastAsia="Times New Roman" w:hAnsi="Calibri" w:cs="Calibri"/>
        </w:rPr>
        <w:t>first-line</w:t>
      </w:r>
      <w:proofErr w:type="gramEnd"/>
      <w:r w:rsidRPr="00EF2014">
        <w:rPr>
          <w:rFonts w:ascii="Calibri" w:eastAsia="Times New Roman" w:hAnsi="Calibri" w:cs="Calibri"/>
        </w:rPr>
        <w:t xml:space="preserve"> listing for </w:t>
      </w:r>
      <w:proofErr w:type="spellStart"/>
      <w:r w:rsidRPr="00EF2014">
        <w:rPr>
          <w:rFonts w:ascii="Calibri" w:eastAsia="Times New Roman" w:hAnsi="Calibri" w:cs="Calibri"/>
        </w:rPr>
        <w:t>venetoclax</w:t>
      </w:r>
      <w:proofErr w:type="spellEnd"/>
      <w:r w:rsidRPr="00EF2014">
        <w:rPr>
          <w:rFonts w:ascii="Calibri" w:eastAsia="Times New Roman" w:hAnsi="Calibri" w:cs="Calibri"/>
        </w:rPr>
        <w:t>.</w:t>
      </w:r>
    </w:p>
    <w:p w14:paraId="0B43AA95" w14:textId="77777777" w:rsidR="001450EA" w:rsidRPr="00EF2014" w:rsidRDefault="001450EA" w:rsidP="001450EA">
      <w:pPr>
        <w:tabs>
          <w:tab w:val="left" w:pos="2470"/>
        </w:tabs>
        <w:spacing w:after="0"/>
        <w:contextualSpacing/>
        <w:rPr>
          <w:rFonts w:ascii="Calibri" w:eastAsia="Times New Roman" w:hAnsi="Calibri" w:cs="Calibri"/>
        </w:rPr>
      </w:pPr>
    </w:p>
    <w:p w14:paraId="3DF3BC1E" w14:textId="77777777" w:rsidR="001450EA" w:rsidRPr="00EF2014" w:rsidRDefault="001450EA" w:rsidP="001450EA">
      <w:pPr>
        <w:tabs>
          <w:tab w:val="left" w:pos="2470"/>
        </w:tabs>
        <w:spacing w:after="0"/>
        <w:contextualSpacing/>
        <w:rPr>
          <w:rFonts w:ascii="Calibri" w:eastAsia="Times New Roman" w:hAnsi="Calibri" w:cs="Calibri"/>
        </w:rPr>
      </w:pPr>
      <w:r w:rsidRPr="00EF2014">
        <w:rPr>
          <w:rFonts w:ascii="Calibri" w:eastAsia="Times New Roman" w:hAnsi="Calibri" w:cs="Calibri"/>
        </w:rPr>
        <w:t xml:space="preserve">The median time between supplies of </w:t>
      </w:r>
      <w:proofErr w:type="spellStart"/>
      <w:r w:rsidRPr="00EF2014">
        <w:rPr>
          <w:rFonts w:ascii="Calibri" w:eastAsia="Times New Roman" w:hAnsi="Calibri" w:cs="Calibri"/>
        </w:rPr>
        <w:t>venetoclax</w:t>
      </w:r>
      <w:proofErr w:type="spellEnd"/>
      <w:r w:rsidRPr="00EF2014">
        <w:rPr>
          <w:rFonts w:ascii="Calibri" w:eastAsia="Times New Roman" w:hAnsi="Calibri" w:cs="Calibri"/>
        </w:rPr>
        <w:t xml:space="preserve"> first-line was obtained (29 days). A patient was assumed to be taking a break in treatment if they did not have a re-supply within 87 days of their last supply (</w:t>
      </w:r>
      <w:proofErr w:type="gramStart"/>
      <w:r w:rsidRPr="00EF2014">
        <w:rPr>
          <w:rFonts w:ascii="Calibri" w:eastAsia="Times New Roman" w:hAnsi="Calibri" w:cs="Calibri"/>
        </w:rPr>
        <w:t>i.e.</w:t>
      </w:r>
      <w:proofErr w:type="gramEnd"/>
      <w:r w:rsidRPr="00EF2014">
        <w:rPr>
          <w:rFonts w:ascii="Calibri" w:eastAsia="Times New Roman" w:hAnsi="Calibri" w:cs="Calibri"/>
        </w:rPr>
        <w:t xml:space="preserve"> three times the median time between supplies). A patient was assumed to be </w:t>
      </w:r>
      <w:proofErr w:type="gramStart"/>
      <w:r w:rsidRPr="00EF2014">
        <w:rPr>
          <w:rFonts w:ascii="Calibri" w:eastAsia="Times New Roman" w:hAnsi="Calibri" w:cs="Calibri"/>
        </w:rPr>
        <w:t>continuing on</w:t>
      </w:r>
      <w:proofErr w:type="gramEnd"/>
      <w:r w:rsidRPr="00EF2014">
        <w:rPr>
          <w:rFonts w:ascii="Calibri" w:eastAsia="Times New Roman" w:hAnsi="Calibri" w:cs="Calibri"/>
        </w:rPr>
        <w:t xml:space="preserve"> </w:t>
      </w:r>
      <w:proofErr w:type="spellStart"/>
      <w:r w:rsidRPr="00EF2014">
        <w:rPr>
          <w:rFonts w:ascii="Calibri" w:eastAsia="Times New Roman" w:hAnsi="Calibri" w:cs="Calibri"/>
        </w:rPr>
        <w:t>venetoclax</w:t>
      </w:r>
      <w:proofErr w:type="spellEnd"/>
      <w:r w:rsidRPr="00EF2014">
        <w:rPr>
          <w:rFonts w:ascii="Calibri" w:eastAsia="Times New Roman" w:hAnsi="Calibri" w:cs="Calibri"/>
        </w:rPr>
        <w:t xml:space="preserve"> first-line if they had a supply within 87 days of the analysis end date of 31 August 2023. </w:t>
      </w:r>
    </w:p>
    <w:p w14:paraId="4A84A842" w14:textId="77777777" w:rsidR="001450EA" w:rsidRPr="00EF2014" w:rsidRDefault="001450EA" w:rsidP="001450EA">
      <w:pPr>
        <w:tabs>
          <w:tab w:val="left" w:pos="2470"/>
        </w:tabs>
        <w:spacing w:after="0"/>
        <w:contextualSpacing/>
        <w:rPr>
          <w:rFonts w:ascii="Calibri" w:eastAsia="Times New Roman" w:hAnsi="Calibri" w:cs="Calibri"/>
        </w:rPr>
      </w:pPr>
    </w:p>
    <w:p w14:paraId="56619ACC" w14:textId="1FBCB88D" w:rsidR="001450EA" w:rsidRPr="001450EA" w:rsidRDefault="001450EA" w:rsidP="001450EA">
      <w:pPr>
        <w:tabs>
          <w:tab w:val="left" w:pos="2470"/>
        </w:tabs>
        <w:spacing w:after="0"/>
        <w:contextualSpacing/>
        <w:rPr>
          <w:rFonts w:ascii="Calibri" w:eastAsia="Times New Roman" w:hAnsi="Calibri" w:cs="Calibri"/>
        </w:rPr>
      </w:pPr>
      <w:r w:rsidRPr="00EF2014">
        <w:rPr>
          <w:rFonts w:ascii="Calibri" w:eastAsia="Times New Roman" w:hAnsi="Calibri" w:cs="Calibri"/>
        </w:rPr>
        <w:t>Kaplan-Meier analysis was undertaken to determine the mean, median, lower 95%</w:t>
      </w:r>
      <w:proofErr w:type="gramStart"/>
      <w:r w:rsidRPr="00EF2014">
        <w:rPr>
          <w:rFonts w:ascii="Calibri" w:eastAsia="Times New Roman" w:hAnsi="Calibri" w:cs="Calibri"/>
        </w:rPr>
        <w:t>CI</w:t>
      </w:r>
      <w:proofErr w:type="gramEnd"/>
      <w:r w:rsidRPr="00EF2014">
        <w:rPr>
          <w:rFonts w:ascii="Calibri" w:eastAsia="Times New Roman" w:hAnsi="Calibri" w:cs="Calibri"/>
        </w:rPr>
        <w:t xml:space="preserve"> and upper 95%CI time of supply of </w:t>
      </w:r>
      <w:proofErr w:type="spellStart"/>
      <w:r w:rsidRPr="00EF2014">
        <w:rPr>
          <w:rFonts w:ascii="Calibri" w:eastAsia="Times New Roman" w:hAnsi="Calibri" w:cs="Calibri"/>
        </w:rPr>
        <w:t>venetoclax</w:t>
      </w:r>
      <w:proofErr w:type="spellEnd"/>
      <w:r w:rsidRPr="00EF2014">
        <w:rPr>
          <w:rFonts w:ascii="Calibri" w:eastAsia="Times New Roman" w:hAnsi="Calibri" w:cs="Calibri"/>
        </w:rPr>
        <w:t xml:space="preserve"> first-line.</w:t>
      </w:r>
    </w:p>
    <w:p w14:paraId="4F91A98A" w14:textId="00180E30" w:rsidR="00C714D0" w:rsidRPr="005E22C2" w:rsidRDefault="00C714D0" w:rsidP="00CF5E22">
      <w:pPr>
        <w:pStyle w:val="Heading1"/>
      </w:pPr>
      <w:r w:rsidRPr="005E22C2">
        <w:t>Results</w:t>
      </w:r>
    </w:p>
    <w:p w14:paraId="561F4684" w14:textId="09AEE927" w:rsidR="00A35800" w:rsidRDefault="001B5D37" w:rsidP="001C68E6">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4C16B867" w14:textId="685ACE0A" w:rsidR="007D6A90" w:rsidRPr="00B8197A" w:rsidRDefault="007D6A90" w:rsidP="00FE645A">
      <w:pPr>
        <w:pStyle w:val="Figurecaption"/>
        <w:rPr>
          <w:sz w:val="24"/>
          <w:szCs w:val="24"/>
        </w:rPr>
      </w:pPr>
      <w:r w:rsidRPr="001C68E6">
        <w:rPr>
          <w:sz w:val="24"/>
          <w:szCs w:val="24"/>
        </w:rPr>
        <w:t xml:space="preserve">Table </w:t>
      </w:r>
      <w:r w:rsidR="00D2756D">
        <w:rPr>
          <w:sz w:val="24"/>
          <w:szCs w:val="24"/>
        </w:rPr>
        <w:t>5</w:t>
      </w:r>
      <w:r w:rsidRPr="001C68E6">
        <w:rPr>
          <w:sz w:val="24"/>
          <w:szCs w:val="24"/>
        </w:rPr>
        <w:t xml:space="preserve"> provides the incident and prevalent patient numbers by listing year. </w:t>
      </w:r>
    </w:p>
    <w:p w14:paraId="25700032" w14:textId="3F47F307" w:rsidR="00A57DD5" w:rsidRPr="006A3636" w:rsidRDefault="00310369" w:rsidP="00E74F56">
      <w:pPr>
        <w:pStyle w:val="Figurecaption"/>
        <w:spacing w:before="200" w:after="20"/>
        <w:rPr>
          <w:b/>
          <w:bCs/>
          <w:sz w:val="24"/>
          <w:szCs w:val="24"/>
        </w:rPr>
      </w:pPr>
      <w:r w:rsidRPr="006A3636">
        <w:rPr>
          <w:b/>
          <w:bCs/>
          <w:sz w:val="24"/>
          <w:szCs w:val="24"/>
        </w:rPr>
        <w:t xml:space="preserve">Table </w:t>
      </w:r>
      <w:r w:rsidR="00D2756D">
        <w:rPr>
          <w:b/>
          <w:bCs/>
          <w:sz w:val="24"/>
          <w:szCs w:val="24"/>
        </w:rPr>
        <w:t>5</w:t>
      </w:r>
      <w:r w:rsidRPr="006A3636">
        <w:rPr>
          <w:b/>
          <w:bCs/>
          <w:sz w:val="24"/>
          <w:szCs w:val="24"/>
        </w:rPr>
        <w:t xml:space="preserve">: </w:t>
      </w:r>
      <w:r w:rsidR="00D111D2" w:rsidRPr="006A3636">
        <w:rPr>
          <w:b/>
          <w:bCs/>
          <w:sz w:val="24"/>
          <w:szCs w:val="24"/>
        </w:rPr>
        <w:t xml:space="preserve">Number of </w:t>
      </w:r>
      <w:proofErr w:type="spellStart"/>
      <w:r w:rsidR="00F86F69">
        <w:rPr>
          <w:b/>
          <w:bCs/>
          <w:sz w:val="24"/>
          <w:szCs w:val="24"/>
        </w:rPr>
        <w:t>venetoclax</w:t>
      </w:r>
      <w:proofErr w:type="spellEnd"/>
      <w:r w:rsidR="00F86F69">
        <w:rPr>
          <w:b/>
          <w:bCs/>
          <w:sz w:val="24"/>
          <w:szCs w:val="24"/>
        </w:rPr>
        <w:t xml:space="preserve"> </w:t>
      </w:r>
      <w:r w:rsidR="00D111D2" w:rsidRPr="006A3636">
        <w:rPr>
          <w:b/>
          <w:bCs/>
          <w:sz w:val="24"/>
          <w:szCs w:val="24"/>
        </w:rPr>
        <w:t>incident (new) prevalent (total treated) patients and scripts by listing year</w:t>
      </w:r>
    </w:p>
    <w:tbl>
      <w:tblPr>
        <w:tblW w:w="906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6"/>
        <w:gridCol w:w="2265"/>
        <w:gridCol w:w="2266"/>
      </w:tblGrid>
      <w:tr w:rsidR="00D111D2" w:rsidRPr="00D111D2" w14:paraId="37A8740C" w14:textId="77777777" w:rsidTr="001C68E6">
        <w:trPr>
          <w:trHeight w:val="312"/>
        </w:trPr>
        <w:tc>
          <w:tcPr>
            <w:tcW w:w="2265" w:type="dxa"/>
            <w:shd w:val="clear" w:color="auto" w:fill="BFBFBF" w:themeFill="background1" w:themeFillShade="BF"/>
            <w:noWrap/>
            <w:hideMark/>
          </w:tcPr>
          <w:p w14:paraId="7B3CCAFC" w14:textId="5E186551" w:rsidR="00D111D2" w:rsidRPr="001C68E6" w:rsidRDefault="00D111D2" w:rsidP="001C68E6">
            <w:pPr>
              <w:spacing w:before="60" w:after="60"/>
              <w:rPr>
                <w:rFonts w:ascii="Calibri" w:eastAsia="Times New Roman" w:hAnsi="Calibri" w:cs="Calibri"/>
                <w:color w:val="000000"/>
                <w:sz w:val="20"/>
                <w:szCs w:val="20"/>
              </w:rPr>
            </w:pPr>
          </w:p>
        </w:tc>
        <w:tc>
          <w:tcPr>
            <w:tcW w:w="2266" w:type="dxa"/>
            <w:shd w:val="clear" w:color="auto" w:fill="BFBFBF" w:themeFill="background1" w:themeFillShade="BF"/>
            <w:noWrap/>
            <w:vAlign w:val="center"/>
            <w:hideMark/>
          </w:tcPr>
          <w:p w14:paraId="66442081" w14:textId="060ED7F8" w:rsidR="00D111D2" w:rsidRPr="001C68E6" w:rsidRDefault="00D111D2" w:rsidP="001C68E6">
            <w:pPr>
              <w:spacing w:before="60" w:after="60"/>
              <w:jc w:val="center"/>
              <w:rPr>
                <w:rFonts w:ascii="Calibri" w:eastAsia="Times New Roman" w:hAnsi="Calibri" w:cs="Calibri"/>
                <w:b/>
                <w:bCs/>
                <w:color w:val="000000"/>
                <w:sz w:val="20"/>
                <w:szCs w:val="20"/>
              </w:rPr>
            </w:pPr>
            <w:r w:rsidRPr="001C68E6">
              <w:rPr>
                <w:rFonts w:ascii="Calibri" w:eastAsia="Times New Roman" w:hAnsi="Calibri" w:cs="Calibri"/>
                <w:b/>
                <w:bCs/>
                <w:color w:val="000000"/>
                <w:sz w:val="20"/>
                <w:szCs w:val="20"/>
              </w:rPr>
              <w:t>Year</w:t>
            </w:r>
            <w:r w:rsidR="00313753" w:rsidRPr="001C68E6">
              <w:rPr>
                <w:rFonts w:ascii="Calibri" w:eastAsia="Times New Roman" w:hAnsi="Calibri" w:cs="Calibri"/>
                <w:b/>
                <w:bCs/>
                <w:color w:val="000000"/>
                <w:sz w:val="20"/>
                <w:szCs w:val="20"/>
              </w:rPr>
              <w:t xml:space="preserve"> </w:t>
            </w:r>
            <w:r w:rsidRPr="001C68E6">
              <w:rPr>
                <w:rFonts w:ascii="Calibri" w:eastAsia="Times New Roman" w:hAnsi="Calibri" w:cs="Calibri"/>
                <w:b/>
                <w:bCs/>
                <w:color w:val="000000"/>
                <w:sz w:val="20"/>
                <w:szCs w:val="20"/>
              </w:rPr>
              <w:t>1</w:t>
            </w:r>
            <w:r w:rsidRPr="001C68E6">
              <w:rPr>
                <w:rFonts w:ascii="Calibri" w:eastAsia="Times New Roman" w:hAnsi="Calibri" w:cs="Calibri"/>
                <w:b/>
                <w:bCs/>
                <w:color w:val="000000"/>
                <w:sz w:val="20"/>
                <w:szCs w:val="20"/>
                <w:vertAlign w:val="superscript"/>
              </w:rPr>
              <w:t>a</w:t>
            </w:r>
          </w:p>
        </w:tc>
        <w:tc>
          <w:tcPr>
            <w:tcW w:w="2265" w:type="dxa"/>
            <w:shd w:val="clear" w:color="auto" w:fill="BFBFBF" w:themeFill="background1" w:themeFillShade="BF"/>
            <w:noWrap/>
            <w:vAlign w:val="center"/>
            <w:hideMark/>
          </w:tcPr>
          <w:p w14:paraId="5E9FD18C" w14:textId="027FF7F9" w:rsidR="00D111D2" w:rsidRPr="001C68E6" w:rsidRDefault="00D111D2" w:rsidP="001C68E6">
            <w:pPr>
              <w:spacing w:before="60" w:after="60"/>
              <w:jc w:val="center"/>
              <w:rPr>
                <w:rFonts w:ascii="Calibri" w:eastAsia="Times New Roman" w:hAnsi="Calibri" w:cs="Calibri"/>
                <w:b/>
                <w:bCs/>
                <w:color w:val="000000"/>
                <w:sz w:val="20"/>
                <w:szCs w:val="20"/>
              </w:rPr>
            </w:pPr>
            <w:r w:rsidRPr="001C68E6">
              <w:rPr>
                <w:rFonts w:ascii="Calibri" w:eastAsia="Times New Roman" w:hAnsi="Calibri" w:cs="Calibri"/>
                <w:b/>
                <w:bCs/>
                <w:color w:val="000000"/>
                <w:sz w:val="20"/>
                <w:szCs w:val="20"/>
              </w:rPr>
              <w:t>Year</w:t>
            </w:r>
            <w:r w:rsidR="00313753" w:rsidRPr="001C68E6">
              <w:rPr>
                <w:rFonts w:ascii="Calibri" w:eastAsia="Times New Roman" w:hAnsi="Calibri" w:cs="Calibri"/>
                <w:b/>
                <w:bCs/>
                <w:color w:val="000000"/>
                <w:sz w:val="20"/>
                <w:szCs w:val="20"/>
              </w:rPr>
              <w:t xml:space="preserve"> </w:t>
            </w:r>
            <w:r w:rsidRPr="001C68E6">
              <w:rPr>
                <w:rFonts w:ascii="Calibri" w:eastAsia="Times New Roman" w:hAnsi="Calibri" w:cs="Calibri"/>
                <w:b/>
                <w:bCs/>
                <w:color w:val="000000"/>
                <w:sz w:val="20"/>
                <w:szCs w:val="20"/>
              </w:rPr>
              <w:t>2</w:t>
            </w:r>
            <w:r w:rsidRPr="001C68E6">
              <w:rPr>
                <w:rFonts w:ascii="Calibri" w:eastAsia="Times New Roman" w:hAnsi="Calibri" w:cs="Calibri"/>
                <w:b/>
                <w:bCs/>
                <w:color w:val="000000"/>
                <w:sz w:val="20"/>
                <w:szCs w:val="20"/>
                <w:vertAlign w:val="superscript"/>
              </w:rPr>
              <w:t>a</w:t>
            </w:r>
          </w:p>
        </w:tc>
        <w:tc>
          <w:tcPr>
            <w:tcW w:w="2266" w:type="dxa"/>
            <w:shd w:val="clear" w:color="auto" w:fill="BFBFBF" w:themeFill="background1" w:themeFillShade="BF"/>
            <w:noWrap/>
            <w:vAlign w:val="center"/>
            <w:hideMark/>
          </w:tcPr>
          <w:p w14:paraId="3436DC26" w14:textId="77777777" w:rsidR="00D111D2" w:rsidRPr="001C68E6" w:rsidRDefault="00D111D2" w:rsidP="001C68E6">
            <w:pPr>
              <w:spacing w:before="60" w:after="60"/>
              <w:jc w:val="center"/>
              <w:rPr>
                <w:rFonts w:ascii="Calibri" w:eastAsia="Times New Roman" w:hAnsi="Calibri" w:cs="Calibri"/>
                <w:b/>
                <w:bCs/>
                <w:color w:val="000000"/>
                <w:sz w:val="20"/>
                <w:szCs w:val="20"/>
              </w:rPr>
            </w:pPr>
            <w:r w:rsidRPr="001C68E6">
              <w:rPr>
                <w:rFonts w:ascii="Calibri" w:eastAsia="Times New Roman" w:hAnsi="Calibri" w:cs="Calibri"/>
                <w:b/>
                <w:bCs/>
                <w:color w:val="000000"/>
                <w:sz w:val="20"/>
                <w:szCs w:val="20"/>
              </w:rPr>
              <w:t>Year 3</w:t>
            </w:r>
            <w:r w:rsidRPr="001C68E6">
              <w:rPr>
                <w:rFonts w:ascii="Calibri" w:eastAsia="Times New Roman" w:hAnsi="Calibri" w:cs="Calibri"/>
                <w:b/>
                <w:bCs/>
                <w:color w:val="000000"/>
                <w:sz w:val="20"/>
                <w:szCs w:val="20"/>
                <w:vertAlign w:val="superscript"/>
              </w:rPr>
              <w:t>b</w:t>
            </w:r>
          </w:p>
        </w:tc>
      </w:tr>
      <w:tr w:rsidR="00DC029E" w:rsidRPr="00D111D2" w14:paraId="40295940" w14:textId="77777777" w:rsidTr="00F86F69">
        <w:trPr>
          <w:trHeight w:val="300"/>
        </w:trPr>
        <w:tc>
          <w:tcPr>
            <w:tcW w:w="2265" w:type="dxa"/>
            <w:shd w:val="clear" w:color="auto" w:fill="auto"/>
            <w:noWrap/>
            <w:vAlign w:val="center"/>
            <w:hideMark/>
          </w:tcPr>
          <w:p w14:paraId="5478CCD2" w14:textId="77777777" w:rsidR="00DC029E" w:rsidRPr="001C68E6" w:rsidRDefault="00DC029E" w:rsidP="001C68E6">
            <w:pPr>
              <w:spacing w:before="60" w:after="60"/>
              <w:rPr>
                <w:rFonts w:ascii="Calibri" w:eastAsia="Times New Roman" w:hAnsi="Calibri" w:cs="Calibri"/>
                <w:color w:val="000000"/>
                <w:sz w:val="20"/>
                <w:szCs w:val="20"/>
              </w:rPr>
            </w:pPr>
            <w:r w:rsidRPr="001C68E6">
              <w:rPr>
                <w:rFonts w:ascii="Calibri" w:eastAsia="Times New Roman" w:hAnsi="Calibri" w:cs="Calibri"/>
                <w:color w:val="000000"/>
                <w:sz w:val="20"/>
                <w:szCs w:val="20"/>
              </w:rPr>
              <w:t>Incident patients</w:t>
            </w:r>
          </w:p>
        </w:tc>
        <w:tc>
          <w:tcPr>
            <w:tcW w:w="2266" w:type="dxa"/>
            <w:shd w:val="clear" w:color="auto" w:fill="auto"/>
            <w:noWrap/>
            <w:vAlign w:val="center"/>
          </w:tcPr>
          <w:p w14:paraId="395673AC" w14:textId="1A4648D5"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553</w:t>
            </w:r>
          </w:p>
        </w:tc>
        <w:tc>
          <w:tcPr>
            <w:tcW w:w="2265" w:type="dxa"/>
            <w:shd w:val="clear" w:color="auto" w:fill="auto"/>
            <w:noWrap/>
            <w:vAlign w:val="center"/>
          </w:tcPr>
          <w:p w14:paraId="44A07017" w14:textId="1564D4A5"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563</w:t>
            </w:r>
          </w:p>
        </w:tc>
        <w:tc>
          <w:tcPr>
            <w:tcW w:w="2266" w:type="dxa"/>
            <w:shd w:val="clear" w:color="auto" w:fill="auto"/>
            <w:noWrap/>
            <w:vAlign w:val="center"/>
          </w:tcPr>
          <w:p w14:paraId="59F8FDB1" w14:textId="583E796F"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317</w:t>
            </w:r>
          </w:p>
        </w:tc>
      </w:tr>
      <w:tr w:rsidR="00DC029E" w:rsidRPr="00D111D2" w14:paraId="3DA54C38" w14:textId="77777777" w:rsidTr="00F86F69">
        <w:trPr>
          <w:trHeight w:val="300"/>
        </w:trPr>
        <w:tc>
          <w:tcPr>
            <w:tcW w:w="2265" w:type="dxa"/>
            <w:shd w:val="clear" w:color="auto" w:fill="auto"/>
            <w:noWrap/>
            <w:vAlign w:val="center"/>
            <w:hideMark/>
          </w:tcPr>
          <w:p w14:paraId="0D51BFF3" w14:textId="77777777" w:rsidR="00DC029E" w:rsidRPr="001C68E6" w:rsidRDefault="00DC029E" w:rsidP="001C68E6">
            <w:pPr>
              <w:spacing w:before="60" w:after="60"/>
              <w:rPr>
                <w:rFonts w:ascii="Calibri" w:eastAsia="Times New Roman" w:hAnsi="Calibri" w:cs="Calibri"/>
                <w:color w:val="000000"/>
                <w:sz w:val="20"/>
                <w:szCs w:val="20"/>
              </w:rPr>
            </w:pPr>
            <w:r w:rsidRPr="001C68E6">
              <w:rPr>
                <w:rFonts w:ascii="Calibri" w:eastAsia="Times New Roman" w:hAnsi="Calibri" w:cs="Calibri"/>
                <w:color w:val="000000"/>
                <w:sz w:val="20"/>
                <w:szCs w:val="20"/>
              </w:rPr>
              <w:t>Prevalent patients</w:t>
            </w:r>
          </w:p>
        </w:tc>
        <w:tc>
          <w:tcPr>
            <w:tcW w:w="2266" w:type="dxa"/>
            <w:shd w:val="clear" w:color="auto" w:fill="auto"/>
            <w:noWrap/>
            <w:vAlign w:val="center"/>
          </w:tcPr>
          <w:p w14:paraId="143D7CA3" w14:textId="6FC579B4"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553</w:t>
            </w:r>
          </w:p>
        </w:tc>
        <w:tc>
          <w:tcPr>
            <w:tcW w:w="2265" w:type="dxa"/>
            <w:shd w:val="clear" w:color="auto" w:fill="auto"/>
            <w:noWrap/>
            <w:vAlign w:val="center"/>
          </w:tcPr>
          <w:p w14:paraId="15E324E7" w14:textId="05DADB31"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934</w:t>
            </w:r>
          </w:p>
        </w:tc>
        <w:tc>
          <w:tcPr>
            <w:tcW w:w="2266" w:type="dxa"/>
            <w:shd w:val="clear" w:color="auto" w:fill="auto"/>
            <w:noWrap/>
            <w:vAlign w:val="center"/>
          </w:tcPr>
          <w:p w14:paraId="460B616C" w14:textId="38179063"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742</w:t>
            </w:r>
          </w:p>
        </w:tc>
      </w:tr>
      <w:tr w:rsidR="00DC029E" w:rsidRPr="00D111D2" w14:paraId="737F36EB" w14:textId="77777777" w:rsidTr="00F86F69">
        <w:trPr>
          <w:trHeight w:val="300"/>
        </w:trPr>
        <w:tc>
          <w:tcPr>
            <w:tcW w:w="2265" w:type="dxa"/>
            <w:shd w:val="clear" w:color="auto" w:fill="auto"/>
            <w:noWrap/>
            <w:vAlign w:val="center"/>
            <w:hideMark/>
          </w:tcPr>
          <w:p w14:paraId="0969CDF9" w14:textId="493958B7" w:rsidR="00DC029E" w:rsidRPr="001C68E6" w:rsidRDefault="00DC029E" w:rsidP="001C68E6">
            <w:pPr>
              <w:spacing w:before="60" w:after="60"/>
              <w:rPr>
                <w:rFonts w:ascii="Calibri" w:eastAsia="Times New Roman" w:hAnsi="Calibri" w:cs="Calibri"/>
                <w:color w:val="000000"/>
                <w:sz w:val="20"/>
                <w:szCs w:val="20"/>
              </w:rPr>
            </w:pPr>
            <w:r w:rsidRPr="001C68E6">
              <w:rPr>
                <w:rFonts w:ascii="Calibri" w:eastAsia="Times New Roman" w:hAnsi="Calibri" w:cs="Calibri"/>
                <w:color w:val="000000"/>
                <w:sz w:val="20"/>
                <w:szCs w:val="20"/>
              </w:rPr>
              <w:t>Total scripts</w:t>
            </w:r>
            <w:r w:rsidR="002C5FB3">
              <w:rPr>
                <w:rFonts w:ascii="Calibri" w:eastAsia="Times New Roman" w:hAnsi="Calibri" w:cs="Calibri"/>
                <w:color w:val="000000"/>
                <w:sz w:val="20"/>
                <w:szCs w:val="20"/>
              </w:rPr>
              <w:t xml:space="preserve"> supplied</w:t>
            </w:r>
          </w:p>
        </w:tc>
        <w:tc>
          <w:tcPr>
            <w:tcW w:w="2266" w:type="dxa"/>
            <w:shd w:val="clear" w:color="auto" w:fill="auto"/>
            <w:noWrap/>
            <w:vAlign w:val="center"/>
          </w:tcPr>
          <w:p w14:paraId="3B0F83D4" w14:textId="1FB519F4"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2</w:t>
            </w:r>
            <w:r w:rsidR="00026196">
              <w:rPr>
                <w:rFonts w:ascii="Calibri" w:hAnsi="Calibri" w:cs="Calibri"/>
                <w:color w:val="000000"/>
                <w:sz w:val="20"/>
                <w:szCs w:val="20"/>
              </w:rPr>
              <w:t>,</w:t>
            </w:r>
            <w:r w:rsidRPr="001C68E6">
              <w:rPr>
                <w:rFonts w:ascii="Calibri" w:hAnsi="Calibri" w:cs="Calibri"/>
                <w:color w:val="000000"/>
                <w:sz w:val="20"/>
                <w:szCs w:val="20"/>
              </w:rPr>
              <w:t>682</w:t>
            </w:r>
          </w:p>
        </w:tc>
        <w:tc>
          <w:tcPr>
            <w:tcW w:w="2265" w:type="dxa"/>
            <w:shd w:val="clear" w:color="auto" w:fill="auto"/>
            <w:noWrap/>
            <w:vAlign w:val="center"/>
          </w:tcPr>
          <w:p w14:paraId="5D412299" w14:textId="01B17585"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4</w:t>
            </w:r>
            <w:r w:rsidR="00026196">
              <w:rPr>
                <w:rFonts w:ascii="Calibri" w:hAnsi="Calibri" w:cs="Calibri"/>
                <w:color w:val="000000"/>
                <w:sz w:val="20"/>
                <w:szCs w:val="20"/>
              </w:rPr>
              <w:t>,</w:t>
            </w:r>
            <w:r w:rsidRPr="001C68E6">
              <w:rPr>
                <w:rFonts w:ascii="Calibri" w:hAnsi="Calibri" w:cs="Calibri"/>
                <w:color w:val="000000"/>
                <w:sz w:val="20"/>
                <w:szCs w:val="20"/>
              </w:rPr>
              <w:t>539</w:t>
            </w:r>
          </w:p>
        </w:tc>
        <w:tc>
          <w:tcPr>
            <w:tcW w:w="2266" w:type="dxa"/>
            <w:shd w:val="clear" w:color="auto" w:fill="auto"/>
            <w:noWrap/>
            <w:vAlign w:val="center"/>
          </w:tcPr>
          <w:p w14:paraId="26D92578" w14:textId="0FF6148F" w:rsidR="00DC029E" w:rsidRPr="001C68E6" w:rsidRDefault="00DC029E" w:rsidP="001C68E6">
            <w:pPr>
              <w:spacing w:before="60" w:after="60"/>
              <w:jc w:val="center"/>
              <w:rPr>
                <w:rFonts w:ascii="Calibri" w:eastAsia="Times New Roman" w:hAnsi="Calibri" w:cs="Calibri"/>
                <w:color w:val="000000"/>
                <w:sz w:val="20"/>
                <w:szCs w:val="20"/>
              </w:rPr>
            </w:pPr>
            <w:r w:rsidRPr="001C68E6">
              <w:rPr>
                <w:rFonts w:ascii="Calibri" w:hAnsi="Calibri" w:cs="Calibri"/>
                <w:color w:val="000000"/>
                <w:sz w:val="20"/>
                <w:szCs w:val="20"/>
              </w:rPr>
              <w:t>2</w:t>
            </w:r>
            <w:r w:rsidR="00026196">
              <w:rPr>
                <w:rFonts w:ascii="Calibri" w:hAnsi="Calibri" w:cs="Calibri"/>
                <w:color w:val="000000"/>
                <w:sz w:val="20"/>
                <w:szCs w:val="20"/>
              </w:rPr>
              <w:t>,</w:t>
            </w:r>
            <w:r w:rsidRPr="001C68E6">
              <w:rPr>
                <w:rFonts w:ascii="Calibri" w:hAnsi="Calibri" w:cs="Calibri"/>
                <w:color w:val="000000"/>
                <w:sz w:val="20"/>
                <w:szCs w:val="20"/>
              </w:rPr>
              <w:t>750</w:t>
            </w:r>
          </w:p>
        </w:tc>
      </w:tr>
    </w:tbl>
    <w:p w14:paraId="28284116" w14:textId="7BD329AC" w:rsidR="00945AEB" w:rsidRPr="00945AEB" w:rsidRDefault="00945AEB" w:rsidP="005D26C5">
      <w:pPr>
        <w:spacing w:after="0"/>
        <w:rPr>
          <w:sz w:val="20"/>
          <w:szCs w:val="20"/>
        </w:rPr>
      </w:pPr>
      <w:r>
        <w:rPr>
          <w:sz w:val="20"/>
          <w:szCs w:val="20"/>
        </w:rPr>
        <w:t>Note:</w:t>
      </w:r>
    </w:p>
    <w:p w14:paraId="13CF6B3A" w14:textId="02418F6F" w:rsidR="005D26C5" w:rsidRDefault="005D26C5" w:rsidP="005D26C5">
      <w:pPr>
        <w:spacing w:after="0"/>
        <w:rPr>
          <w:sz w:val="20"/>
          <w:szCs w:val="20"/>
        </w:rPr>
      </w:pPr>
      <w:proofErr w:type="spellStart"/>
      <w:r w:rsidRPr="00F94204">
        <w:rPr>
          <w:sz w:val="20"/>
          <w:szCs w:val="20"/>
          <w:vertAlign w:val="superscript"/>
        </w:rPr>
        <w:t>a</w:t>
      </w:r>
      <w:proofErr w:type="spellEnd"/>
      <w:r w:rsidRPr="00F94204">
        <w:rPr>
          <w:sz w:val="20"/>
          <w:szCs w:val="20"/>
        </w:rPr>
        <w:t xml:space="preserve"> </w:t>
      </w:r>
      <w:proofErr w:type="gramStart"/>
      <w:r w:rsidRPr="00F94204">
        <w:rPr>
          <w:sz w:val="20"/>
          <w:szCs w:val="20"/>
        </w:rPr>
        <w:t>The</w:t>
      </w:r>
      <w:proofErr w:type="gramEnd"/>
      <w:r w:rsidRPr="00F94204">
        <w:rPr>
          <w:sz w:val="20"/>
          <w:szCs w:val="20"/>
        </w:rPr>
        <w:t xml:space="preserve"> figures are presented in listing years (</w:t>
      </w:r>
      <w:r>
        <w:rPr>
          <w:sz w:val="20"/>
          <w:szCs w:val="20"/>
        </w:rPr>
        <w:t>December</w:t>
      </w:r>
      <w:r w:rsidRPr="00F94204">
        <w:rPr>
          <w:sz w:val="20"/>
          <w:szCs w:val="20"/>
        </w:rPr>
        <w:t xml:space="preserve"> to </w:t>
      </w:r>
      <w:r>
        <w:rPr>
          <w:sz w:val="20"/>
          <w:szCs w:val="20"/>
        </w:rPr>
        <w:t>November</w:t>
      </w:r>
      <w:r w:rsidRPr="00F94204">
        <w:rPr>
          <w:sz w:val="20"/>
          <w:szCs w:val="20"/>
        </w:rPr>
        <w:t>).</w:t>
      </w:r>
    </w:p>
    <w:p w14:paraId="775E223D" w14:textId="4AD2BAFF" w:rsidR="001C6C89" w:rsidRPr="00546D7F" w:rsidRDefault="00FD6670" w:rsidP="00546D7F">
      <w:pPr>
        <w:contextualSpacing/>
        <w:rPr>
          <w:sz w:val="20"/>
          <w:szCs w:val="20"/>
        </w:rPr>
      </w:pPr>
      <w:r>
        <w:rPr>
          <w:sz w:val="20"/>
          <w:szCs w:val="20"/>
          <w:vertAlign w:val="superscript"/>
        </w:rPr>
        <w:t xml:space="preserve">b </w:t>
      </w:r>
      <w:r w:rsidRPr="00721FB9">
        <w:rPr>
          <w:sz w:val="20"/>
          <w:szCs w:val="20"/>
        </w:rPr>
        <w:t xml:space="preserve">Utilisation in year to date from 1 </w:t>
      </w:r>
      <w:r>
        <w:rPr>
          <w:sz w:val="20"/>
          <w:szCs w:val="20"/>
        </w:rPr>
        <w:t>December</w:t>
      </w:r>
      <w:r w:rsidRPr="00721FB9">
        <w:rPr>
          <w:sz w:val="20"/>
          <w:szCs w:val="20"/>
        </w:rPr>
        <w:t xml:space="preserve"> 20</w:t>
      </w:r>
      <w:r>
        <w:rPr>
          <w:sz w:val="20"/>
          <w:szCs w:val="20"/>
        </w:rPr>
        <w:t>22</w:t>
      </w:r>
      <w:r w:rsidRPr="00721FB9">
        <w:rPr>
          <w:sz w:val="20"/>
          <w:szCs w:val="20"/>
        </w:rPr>
        <w:t xml:space="preserve"> to </w:t>
      </w:r>
      <w:r>
        <w:rPr>
          <w:sz w:val="20"/>
          <w:szCs w:val="20"/>
        </w:rPr>
        <w:t>31 May 2023 based on date of supply</w:t>
      </w:r>
      <w:r w:rsidRPr="00721FB9">
        <w:rPr>
          <w:sz w:val="20"/>
          <w:szCs w:val="20"/>
        </w:rPr>
        <w:t>.</w:t>
      </w:r>
    </w:p>
    <w:p w14:paraId="05ADC130" w14:textId="74EBA19B" w:rsidR="00F36395" w:rsidRDefault="00F36395" w:rsidP="00F36395">
      <w:pPr>
        <w:pStyle w:val="Heading3"/>
        <w:keepNext/>
      </w:pPr>
      <w:r>
        <w:lastRenderedPageBreak/>
        <w:t>Patient age and Gender</w:t>
      </w:r>
    </w:p>
    <w:p w14:paraId="52183B87" w14:textId="31C89880" w:rsidR="00C11A63" w:rsidRDefault="00B31705" w:rsidP="00A35800">
      <w:r>
        <w:rPr>
          <w:noProof/>
        </w:rPr>
        <w:drawing>
          <wp:inline distT="0" distB="0" distL="0" distR="0" wp14:anchorId="778F2DC1" wp14:editId="0D089F16">
            <wp:extent cx="5715000" cy="3627120"/>
            <wp:effectExtent l="0" t="0" r="0" b="11430"/>
            <wp:docPr id="9" name="Chart 9">
              <a:extLst xmlns:a="http://schemas.openxmlformats.org/drawingml/2006/main">
                <a:ext uri="{FF2B5EF4-FFF2-40B4-BE49-F238E27FC236}">
                  <a16:creationId xmlns:a16="http://schemas.microsoft.com/office/drawing/2014/main" id="{48F32B35-2709-482C-8CE0-8222B361C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2E64D6" w14:textId="5F4F63F6" w:rsidR="00D111D2" w:rsidRDefault="00D111D2" w:rsidP="00E74F56">
      <w:pPr>
        <w:spacing w:before="20"/>
        <w:rPr>
          <w:b/>
          <w:bCs/>
        </w:rPr>
      </w:pPr>
      <w:r>
        <w:rPr>
          <w:b/>
          <w:bCs/>
        </w:rPr>
        <w:t>Figure 1: Incident patients by gender and 5-year age group</w:t>
      </w:r>
    </w:p>
    <w:p w14:paraId="03BAC224" w14:textId="7242AAF8" w:rsidR="00546D7F" w:rsidRDefault="00546D7F" w:rsidP="00A35800">
      <w:r w:rsidRPr="00F36395">
        <w:t xml:space="preserve">Figure </w:t>
      </w:r>
      <w:r>
        <w:t>1</w:t>
      </w:r>
      <w:r w:rsidRPr="00F36395">
        <w:t xml:space="preserve"> provides a distribution of </w:t>
      </w:r>
      <w:proofErr w:type="spellStart"/>
      <w:r>
        <w:t>venetoclax</w:t>
      </w:r>
      <w:proofErr w:type="spellEnd"/>
      <w:r w:rsidRPr="00F36395">
        <w:t xml:space="preserve"> supply by age</w:t>
      </w:r>
      <w:r>
        <w:t xml:space="preserve"> and gender </w:t>
      </w:r>
      <w:r w:rsidRPr="00F36395">
        <w:t xml:space="preserve">from </w:t>
      </w:r>
      <w:r>
        <w:t>1 December 2020</w:t>
      </w:r>
      <w:r w:rsidRPr="00F36395">
        <w:t xml:space="preserve"> to </w:t>
      </w:r>
      <w:r>
        <w:t>31 May</w:t>
      </w:r>
      <w:r w:rsidRPr="00F36395">
        <w:t xml:space="preserve"> 2023</w:t>
      </w:r>
      <w:r>
        <w:t>.</w:t>
      </w:r>
    </w:p>
    <w:p w14:paraId="2FA905AF" w14:textId="77777777" w:rsidR="00EC7371" w:rsidRDefault="00EC7371" w:rsidP="00A35800"/>
    <w:p w14:paraId="7D24A572" w14:textId="77777777" w:rsidR="00482A30" w:rsidRDefault="00482A30">
      <w:pPr>
        <w:spacing w:line="276" w:lineRule="auto"/>
        <w:rPr>
          <w:b/>
          <w:i/>
          <w:szCs w:val="28"/>
        </w:rPr>
      </w:pPr>
      <w:r>
        <w:br w:type="page"/>
      </w:r>
    </w:p>
    <w:p w14:paraId="5FFEDD92" w14:textId="278A3BCB" w:rsidR="00DC49E9" w:rsidRDefault="00DC49E9" w:rsidP="001C6C89">
      <w:pPr>
        <w:pStyle w:val="Heading3"/>
      </w:pPr>
      <w:r w:rsidRPr="005E22C2">
        <w:lastRenderedPageBreak/>
        <w:t>Changes in the use of other drugs</w:t>
      </w:r>
    </w:p>
    <w:p w14:paraId="67BF83CC" w14:textId="050F0B1C" w:rsidR="00C11A63" w:rsidRDefault="004C7ADA" w:rsidP="00A35800">
      <w:r>
        <w:rPr>
          <w:noProof/>
        </w:rPr>
        <w:drawing>
          <wp:inline distT="0" distB="0" distL="0" distR="0" wp14:anchorId="2D29E2DA" wp14:editId="368B6C00">
            <wp:extent cx="5806440" cy="4411980"/>
            <wp:effectExtent l="0" t="0" r="3810" b="7620"/>
            <wp:docPr id="1" name="Chart 1">
              <a:extLst xmlns:a="http://schemas.openxmlformats.org/drawingml/2006/main">
                <a:ext uri="{FF2B5EF4-FFF2-40B4-BE49-F238E27FC236}">
                  <a16:creationId xmlns:a16="http://schemas.microsoft.com/office/drawing/2014/main" id="{0942E26B-CD9F-4A29-A0DE-C5D843C8B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CCEDF0" w14:textId="74B28BC6" w:rsidR="00D111D2" w:rsidRDefault="00D111D2" w:rsidP="00352AFA">
      <w:pPr>
        <w:spacing w:before="200" w:after="20"/>
        <w:rPr>
          <w:b/>
          <w:bCs/>
        </w:rPr>
      </w:pPr>
      <w:r w:rsidRPr="00D111D2">
        <w:rPr>
          <w:b/>
          <w:bCs/>
        </w:rPr>
        <w:t xml:space="preserve">Figure 2: Number of treated incident patients and treated prevalent patients by quarter </w:t>
      </w:r>
      <w:r w:rsidR="0061761D">
        <w:rPr>
          <w:b/>
          <w:bCs/>
        </w:rPr>
        <w:t>with</w:t>
      </w:r>
      <w:r w:rsidRPr="00D111D2">
        <w:rPr>
          <w:b/>
          <w:bCs/>
        </w:rPr>
        <w:t xml:space="preserve"> first</w:t>
      </w:r>
      <w:r w:rsidR="00B30E1B">
        <w:rPr>
          <w:b/>
          <w:bCs/>
        </w:rPr>
        <w:t>-</w:t>
      </w:r>
      <w:r w:rsidRPr="00D111D2">
        <w:rPr>
          <w:b/>
          <w:bCs/>
        </w:rPr>
        <w:t>line therapy</w:t>
      </w:r>
    </w:p>
    <w:p w14:paraId="3FD9FA3F" w14:textId="7521A907" w:rsidR="00D111D2" w:rsidRPr="00352AFA" w:rsidRDefault="00D111D2" w:rsidP="00D111D2">
      <w:pPr>
        <w:spacing w:after="0"/>
        <w:rPr>
          <w:sz w:val="20"/>
          <w:szCs w:val="20"/>
        </w:rPr>
      </w:pPr>
      <w:r w:rsidRPr="00352AFA">
        <w:rPr>
          <w:sz w:val="20"/>
          <w:szCs w:val="20"/>
        </w:rPr>
        <w:t>Note:</w:t>
      </w:r>
    </w:p>
    <w:p w14:paraId="275E641C" w14:textId="5E137AAB" w:rsidR="00F64D34" w:rsidRPr="00352AFA" w:rsidRDefault="00F64D34" w:rsidP="00D111D2">
      <w:pPr>
        <w:spacing w:after="0"/>
        <w:rPr>
          <w:sz w:val="20"/>
          <w:szCs w:val="20"/>
        </w:rPr>
      </w:pPr>
      <w:r w:rsidRPr="00352AFA">
        <w:rPr>
          <w:sz w:val="20"/>
          <w:szCs w:val="20"/>
        </w:rPr>
        <w:t>For patients who are not appropriate for fludarabine based therapy.</w:t>
      </w:r>
    </w:p>
    <w:p w14:paraId="609A79EF" w14:textId="00E027E6" w:rsidR="00D111D2" w:rsidRDefault="00D111D2" w:rsidP="00A35800">
      <w:pPr>
        <w:rPr>
          <w:sz w:val="20"/>
          <w:szCs w:val="20"/>
        </w:rPr>
      </w:pPr>
      <w:r>
        <w:rPr>
          <w:sz w:val="20"/>
          <w:szCs w:val="20"/>
        </w:rPr>
        <w:t>Does not include</w:t>
      </w:r>
      <w:r w:rsidR="00F64D34">
        <w:rPr>
          <w:sz w:val="20"/>
          <w:szCs w:val="20"/>
        </w:rPr>
        <w:t xml:space="preserve"> </w:t>
      </w:r>
      <w:r w:rsidR="00F64D34" w:rsidRPr="00F64D34">
        <w:rPr>
          <w:sz w:val="20"/>
          <w:szCs w:val="20"/>
        </w:rPr>
        <w:t xml:space="preserve">rituximab </w:t>
      </w:r>
      <w:r w:rsidR="009B6457">
        <w:rPr>
          <w:sz w:val="20"/>
          <w:szCs w:val="20"/>
        </w:rPr>
        <w:t>in combination with</w:t>
      </w:r>
      <w:r w:rsidR="00F64D34" w:rsidRPr="00F64D34">
        <w:rPr>
          <w:sz w:val="20"/>
          <w:szCs w:val="20"/>
        </w:rPr>
        <w:t xml:space="preserve"> chlorambucil</w:t>
      </w:r>
      <w:r w:rsidR="00F64D34">
        <w:rPr>
          <w:sz w:val="20"/>
          <w:szCs w:val="20"/>
        </w:rPr>
        <w:t>.</w:t>
      </w:r>
    </w:p>
    <w:p w14:paraId="599646E0" w14:textId="14D2A48B" w:rsidR="00546D7F" w:rsidRDefault="00546D7F" w:rsidP="00A35800">
      <w:r>
        <w:t xml:space="preserve">Figure 2 shows that the number of initiating patients for </w:t>
      </w:r>
      <w:proofErr w:type="spellStart"/>
      <w:r>
        <w:t>venetoclax</w:t>
      </w:r>
      <w:proofErr w:type="spellEnd"/>
      <w:r>
        <w:t xml:space="preserve"> is relatively stable </w:t>
      </w:r>
      <w:r w:rsidR="0000202C">
        <w:t>while</w:t>
      </w:r>
      <w:r>
        <w:t xml:space="preserve"> the number of treated</w:t>
      </w:r>
      <w:r w:rsidR="00674E83">
        <w:t xml:space="preserve"> prevalent</w:t>
      </w:r>
      <w:r>
        <w:t xml:space="preserve"> patients is growing each quarter</w:t>
      </w:r>
      <w:r w:rsidR="00477D9D">
        <w:t>.</w:t>
      </w:r>
      <w:r w:rsidR="008121A0">
        <w:t xml:space="preserve"> </w:t>
      </w:r>
      <w:r w:rsidR="00477D9D">
        <w:t>T</w:t>
      </w:r>
      <w:r>
        <w:t xml:space="preserve">here is a decrease in </w:t>
      </w:r>
      <w:r w:rsidR="00247C96">
        <w:t xml:space="preserve">the number of initiating and treated patients on chlorambucil </w:t>
      </w:r>
      <w:r w:rsidR="00EE41B1">
        <w:t>in combination with</w:t>
      </w:r>
      <w:r w:rsidR="0000202C">
        <w:t xml:space="preserve"> </w:t>
      </w:r>
      <w:proofErr w:type="spellStart"/>
      <w:r w:rsidR="0000202C">
        <w:t>obinutuzumab</w:t>
      </w:r>
      <w:proofErr w:type="spellEnd"/>
      <w:r w:rsidR="0000202C">
        <w:t xml:space="preserve"> </w:t>
      </w:r>
      <w:r w:rsidR="00247C96">
        <w:t>occurring at the same time.</w:t>
      </w:r>
    </w:p>
    <w:p w14:paraId="3DFEF81F" w14:textId="44F5838C" w:rsidR="00205637" w:rsidRDefault="00247C96" w:rsidP="00A35800">
      <w:r>
        <w:t xml:space="preserve">Table </w:t>
      </w:r>
      <w:r w:rsidR="00D2756D">
        <w:t>7</w:t>
      </w:r>
      <w:r>
        <w:t xml:space="preserve"> compares the predicted </w:t>
      </w:r>
      <w:r w:rsidR="0000202C">
        <w:t>substitution</w:t>
      </w:r>
      <w:r>
        <w:t xml:space="preserve"> rate to the actual substitution rate of</w:t>
      </w:r>
      <w:r w:rsidRPr="00247C96">
        <w:t xml:space="preserve"> chlorambucil</w:t>
      </w:r>
      <w:r>
        <w:t xml:space="preserve"> </w:t>
      </w:r>
      <w:r w:rsidR="00EE41B1">
        <w:t>in combination with</w:t>
      </w:r>
      <w:r w:rsidR="004C7ADA">
        <w:t xml:space="preserve"> </w:t>
      </w:r>
      <w:proofErr w:type="spellStart"/>
      <w:r w:rsidR="004C7ADA" w:rsidRPr="00247C96">
        <w:t>obinutuzumab</w:t>
      </w:r>
      <w:proofErr w:type="spellEnd"/>
      <w:r w:rsidR="004C7ADA">
        <w:t xml:space="preserve"> </w:t>
      </w:r>
      <w:r>
        <w:t xml:space="preserve">for </w:t>
      </w:r>
      <w:proofErr w:type="spellStart"/>
      <w:r>
        <w:t>ven</w:t>
      </w:r>
      <w:r w:rsidR="000D7AB6">
        <w:t>e</w:t>
      </w:r>
      <w:r>
        <w:t>toclax</w:t>
      </w:r>
      <w:proofErr w:type="spellEnd"/>
      <w:r>
        <w:t xml:space="preserve"> </w:t>
      </w:r>
      <w:r w:rsidR="004C7ADA">
        <w:t xml:space="preserve">and </w:t>
      </w:r>
      <w:r>
        <w:t xml:space="preserve">the assumed uptake rate to the actual uptake rate of </w:t>
      </w:r>
      <w:proofErr w:type="spellStart"/>
      <w:r w:rsidRPr="00247C96">
        <w:t>ven</w:t>
      </w:r>
      <w:r w:rsidR="00BA5E89">
        <w:t>e</w:t>
      </w:r>
      <w:r w:rsidRPr="00247C96">
        <w:t>toclax</w:t>
      </w:r>
      <w:proofErr w:type="spellEnd"/>
      <w:r w:rsidR="00E74F56">
        <w:t xml:space="preserve"> in first-line therapy for CLL</w:t>
      </w:r>
      <w:r w:rsidR="00EE41B1">
        <w:t>/SLL</w:t>
      </w:r>
      <w:r>
        <w:t>.</w:t>
      </w:r>
      <w:r w:rsidR="001C22EE">
        <w:t xml:space="preserve"> </w:t>
      </w:r>
      <w:r w:rsidR="00E74F56">
        <w:t xml:space="preserve">Substitution of </w:t>
      </w:r>
      <w:r w:rsidR="00E74F56" w:rsidRPr="00E74F56">
        <w:t xml:space="preserve">chlorambucil </w:t>
      </w:r>
      <w:r w:rsidR="00EE41B1">
        <w:t>in combination with</w:t>
      </w:r>
      <w:r w:rsidR="004C7ADA">
        <w:t xml:space="preserve"> </w:t>
      </w:r>
      <w:proofErr w:type="spellStart"/>
      <w:r w:rsidR="004C7ADA" w:rsidRPr="00E74F56">
        <w:t>obinutuzumab</w:t>
      </w:r>
      <w:proofErr w:type="spellEnd"/>
      <w:r w:rsidR="004C7ADA" w:rsidRPr="00E74F56">
        <w:t xml:space="preserve"> </w:t>
      </w:r>
      <w:r w:rsidR="00E74F56" w:rsidRPr="00E74F56">
        <w:t xml:space="preserve">for </w:t>
      </w:r>
      <w:proofErr w:type="spellStart"/>
      <w:r w:rsidR="00E74F56" w:rsidRPr="00E74F56">
        <w:t>ven</w:t>
      </w:r>
      <w:r w:rsidR="000D7AB6">
        <w:t>e</w:t>
      </w:r>
      <w:r w:rsidR="00E74F56" w:rsidRPr="00E74F56">
        <w:t>toclax</w:t>
      </w:r>
      <w:proofErr w:type="spellEnd"/>
      <w:r w:rsidR="00E74F56">
        <w:t xml:space="preserve"> </w:t>
      </w:r>
      <w:r w:rsidR="00E74F56" w:rsidRPr="005F6E2F">
        <w:t xml:space="preserve">has </w:t>
      </w:r>
      <w:r w:rsidR="001C421B" w:rsidRPr="005F6E2F">
        <w:rPr>
          <w:highlight w:val="black"/>
        </w:rPr>
        <w:t>XXX</w:t>
      </w:r>
      <w:r w:rsidR="00E74F56" w:rsidRPr="005F6E2F">
        <w:rPr>
          <w:highlight w:val="black"/>
        </w:rPr>
        <w:t xml:space="preserve"> </w:t>
      </w:r>
      <w:r w:rsidR="001C421B" w:rsidRPr="005F6E2F">
        <w:rPr>
          <w:highlight w:val="black"/>
        </w:rPr>
        <w:t>XXXX</w:t>
      </w:r>
      <w:r w:rsidR="00E74F56" w:rsidRPr="005F6E2F">
        <w:rPr>
          <w:highlight w:val="black"/>
        </w:rPr>
        <w:t xml:space="preserve"> </w:t>
      </w:r>
      <w:r w:rsidR="001C421B" w:rsidRPr="005F6E2F">
        <w:rPr>
          <w:highlight w:val="black"/>
        </w:rPr>
        <w:t>XX</w:t>
      </w:r>
      <w:r w:rsidR="00E74F56" w:rsidRPr="005F6E2F">
        <w:rPr>
          <w:highlight w:val="black"/>
        </w:rPr>
        <w:t xml:space="preserve"> </w:t>
      </w:r>
      <w:r w:rsidR="001C421B" w:rsidRPr="005F6E2F">
        <w:rPr>
          <w:highlight w:val="black"/>
        </w:rPr>
        <w:t>XXXX</w:t>
      </w:r>
      <w:r w:rsidR="00E74F56" w:rsidRPr="005F6E2F">
        <w:t xml:space="preserve"> as predicted but is increasing year-on-year. </w:t>
      </w:r>
      <w:r w:rsidR="001C22EE" w:rsidRPr="005F6E2F">
        <w:t xml:space="preserve">Actual uptake was </w:t>
      </w:r>
      <w:r w:rsidR="00205637" w:rsidRPr="005F6E2F">
        <w:t xml:space="preserve">significantly </w:t>
      </w:r>
      <w:r w:rsidR="001C421B" w:rsidRPr="005F6E2F">
        <w:rPr>
          <w:highlight w:val="black"/>
        </w:rPr>
        <w:t>XXXXXX</w:t>
      </w:r>
      <w:r w:rsidR="001C22EE">
        <w:t xml:space="preserve"> than expected in the first year of listing.</w:t>
      </w:r>
    </w:p>
    <w:p w14:paraId="41826FBA" w14:textId="77777777" w:rsidR="009A5005" w:rsidRPr="0006124C" w:rsidRDefault="009A5005" w:rsidP="00A35800"/>
    <w:p w14:paraId="72E08FD1" w14:textId="1B3C2E40" w:rsidR="00514219" w:rsidRPr="00C15023" w:rsidRDefault="00514219" w:rsidP="00E74F56">
      <w:pPr>
        <w:spacing w:before="200" w:after="20"/>
        <w:rPr>
          <w:b/>
          <w:bCs/>
        </w:rPr>
      </w:pPr>
      <w:r w:rsidRPr="00C15023">
        <w:rPr>
          <w:b/>
          <w:bCs/>
        </w:rPr>
        <w:lastRenderedPageBreak/>
        <w:t xml:space="preserve">Table </w:t>
      </w:r>
      <w:r w:rsidR="00D2756D">
        <w:rPr>
          <w:b/>
          <w:bCs/>
        </w:rPr>
        <w:t>7</w:t>
      </w:r>
      <w:r w:rsidR="00F64D34" w:rsidRPr="00C15023">
        <w:rPr>
          <w:b/>
          <w:bCs/>
        </w:rPr>
        <w:t xml:space="preserve">: </w:t>
      </w:r>
      <w:r w:rsidR="00A96A23">
        <w:rPr>
          <w:b/>
          <w:bCs/>
        </w:rPr>
        <w:t>Substitution</w:t>
      </w:r>
      <w:r w:rsidR="00F74483" w:rsidRPr="00C15023">
        <w:rPr>
          <w:b/>
          <w:bCs/>
        </w:rPr>
        <w:t xml:space="preserve"> of chlorambucil </w:t>
      </w:r>
      <w:r w:rsidR="00AE00D5">
        <w:rPr>
          <w:b/>
          <w:bCs/>
        </w:rPr>
        <w:t xml:space="preserve">in combination with </w:t>
      </w:r>
      <w:proofErr w:type="spellStart"/>
      <w:r w:rsidR="004C7ADA" w:rsidRPr="00C15023">
        <w:rPr>
          <w:b/>
          <w:bCs/>
        </w:rPr>
        <w:t>obinutuzumab</w:t>
      </w:r>
      <w:proofErr w:type="spellEnd"/>
      <w:r w:rsidR="004C7ADA" w:rsidRPr="00C15023">
        <w:rPr>
          <w:b/>
          <w:bCs/>
        </w:rPr>
        <w:t xml:space="preserve"> </w:t>
      </w:r>
      <w:r w:rsidR="00AE00D5">
        <w:rPr>
          <w:b/>
          <w:bCs/>
        </w:rPr>
        <w:t>for</w:t>
      </w:r>
      <w:r w:rsidR="00F74483" w:rsidRPr="00C15023">
        <w:rPr>
          <w:b/>
          <w:bCs/>
        </w:rPr>
        <w:t xml:space="preserve"> </w:t>
      </w:r>
      <w:proofErr w:type="spellStart"/>
      <w:r w:rsidR="00F74483" w:rsidRPr="00C15023">
        <w:rPr>
          <w:b/>
          <w:bCs/>
        </w:rPr>
        <w:t>venetoclax</w:t>
      </w:r>
      <w:proofErr w:type="spellEnd"/>
      <w:r w:rsidR="00F74483" w:rsidRPr="00C15023">
        <w:rPr>
          <w:b/>
          <w:bCs/>
        </w:rPr>
        <w:t xml:space="preserve"> in first line therapy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94"/>
        <w:gridCol w:w="2126"/>
        <w:gridCol w:w="2126"/>
      </w:tblGrid>
      <w:tr w:rsidR="0001171A" w:rsidRPr="00496DD0" w14:paraId="5F6B4E23" w14:textId="77777777" w:rsidTr="0001171A">
        <w:trPr>
          <w:trHeight w:val="315"/>
        </w:trPr>
        <w:tc>
          <w:tcPr>
            <w:tcW w:w="426" w:type="dxa"/>
            <w:shd w:val="clear" w:color="auto" w:fill="BFBFBF" w:themeFill="background1" w:themeFillShade="BF"/>
          </w:tcPr>
          <w:p w14:paraId="5C97A0AF" w14:textId="77777777" w:rsidR="008C3716" w:rsidRPr="00E74F56" w:rsidRDefault="008C3716" w:rsidP="00E74F56">
            <w:pPr>
              <w:spacing w:before="60" w:after="60"/>
              <w:rPr>
                <w:rFonts w:eastAsia="Times New Roman" w:cstheme="minorHAnsi"/>
                <w:b/>
                <w:bCs/>
                <w:color w:val="000000"/>
                <w:sz w:val="20"/>
                <w:szCs w:val="20"/>
              </w:rPr>
            </w:pPr>
          </w:p>
        </w:tc>
        <w:tc>
          <w:tcPr>
            <w:tcW w:w="4394" w:type="dxa"/>
            <w:shd w:val="clear" w:color="auto" w:fill="BFBFBF" w:themeFill="background1" w:themeFillShade="BF"/>
            <w:noWrap/>
            <w:hideMark/>
          </w:tcPr>
          <w:p w14:paraId="1D807DD3" w14:textId="0704C21E" w:rsidR="008C3716" w:rsidRPr="00E74F56" w:rsidRDefault="008C3716" w:rsidP="00E74F56">
            <w:pPr>
              <w:spacing w:before="60" w:after="60"/>
              <w:rPr>
                <w:rFonts w:eastAsia="Times New Roman" w:cstheme="minorHAnsi"/>
                <w:b/>
                <w:bCs/>
                <w:color w:val="000000"/>
                <w:sz w:val="20"/>
                <w:szCs w:val="20"/>
              </w:rPr>
            </w:pPr>
            <w:r w:rsidRPr="00E74F56">
              <w:rPr>
                <w:rFonts w:eastAsia="Times New Roman" w:cstheme="minorHAnsi"/>
                <w:b/>
                <w:bCs/>
                <w:color w:val="000000"/>
                <w:sz w:val="20"/>
                <w:szCs w:val="20"/>
              </w:rPr>
              <w:t>Year</w:t>
            </w:r>
          </w:p>
        </w:tc>
        <w:tc>
          <w:tcPr>
            <w:tcW w:w="2126" w:type="dxa"/>
            <w:shd w:val="clear" w:color="auto" w:fill="BFBFBF" w:themeFill="background1" w:themeFillShade="BF"/>
            <w:noWrap/>
            <w:hideMark/>
          </w:tcPr>
          <w:p w14:paraId="6567CDEF" w14:textId="3D2697A6" w:rsidR="008C3716" w:rsidRPr="00E74F56" w:rsidRDefault="008C3716" w:rsidP="00E74F56">
            <w:pPr>
              <w:spacing w:before="60" w:after="60"/>
              <w:jc w:val="center"/>
              <w:rPr>
                <w:rFonts w:eastAsia="Times New Roman" w:cstheme="minorHAnsi"/>
                <w:b/>
                <w:bCs/>
                <w:color w:val="000000"/>
                <w:sz w:val="20"/>
                <w:szCs w:val="20"/>
              </w:rPr>
            </w:pPr>
            <w:r w:rsidRPr="00E74F56">
              <w:rPr>
                <w:rFonts w:eastAsia="Times New Roman" w:cstheme="minorHAnsi"/>
                <w:b/>
                <w:bCs/>
                <w:color w:val="000000"/>
                <w:sz w:val="20"/>
                <w:szCs w:val="20"/>
              </w:rPr>
              <w:t>Year1</w:t>
            </w:r>
            <w:r w:rsidRPr="00E74F56">
              <w:rPr>
                <w:rFonts w:eastAsia="Times New Roman" w:cstheme="minorHAnsi"/>
                <w:b/>
                <w:bCs/>
                <w:color w:val="000000"/>
                <w:sz w:val="20"/>
                <w:szCs w:val="20"/>
                <w:vertAlign w:val="superscript"/>
              </w:rPr>
              <w:t>a</w:t>
            </w:r>
          </w:p>
        </w:tc>
        <w:tc>
          <w:tcPr>
            <w:tcW w:w="2126" w:type="dxa"/>
            <w:shd w:val="clear" w:color="auto" w:fill="BFBFBF" w:themeFill="background1" w:themeFillShade="BF"/>
            <w:noWrap/>
            <w:hideMark/>
          </w:tcPr>
          <w:p w14:paraId="5A543233" w14:textId="76BE240E" w:rsidR="008C3716" w:rsidRPr="00E74F56" w:rsidRDefault="008C3716" w:rsidP="00E74F56">
            <w:pPr>
              <w:spacing w:before="60" w:after="60"/>
              <w:jc w:val="center"/>
              <w:rPr>
                <w:rFonts w:eastAsia="Times New Roman" w:cstheme="minorHAnsi"/>
                <w:b/>
                <w:bCs/>
                <w:color w:val="000000"/>
                <w:sz w:val="20"/>
                <w:szCs w:val="20"/>
              </w:rPr>
            </w:pPr>
            <w:r w:rsidRPr="00E74F56">
              <w:rPr>
                <w:rFonts w:eastAsia="Times New Roman" w:cstheme="minorHAnsi"/>
                <w:b/>
                <w:bCs/>
                <w:color w:val="000000"/>
                <w:sz w:val="20"/>
                <w:szCs w:val="20"/>
              </w:rPr>
              <w:t>Year2</w:t>
            </w:r>
            <w:r w:rsidRPr="00E74F56">
              <w:rPr>
                <w:rFonts w:eastAsia="Times New Roman" w:cstheme="minorHAnsi"/>
                <w:b/>
                <w:bCs/>
                <w:color w:val="000000"/>
                <w:sz w:val="20"/>
                <w:szCs w:val="20"/>
                <w:vertAlign w:val="superscript"/>
              </w:rPr>
              <w:t>a</w:t>
            </w:r>
          </w:p>
        </w:tc>
      </w:tr>
      <w:tr w:rsidR="008C3716" w:rsidRPr="00496DD0" w14:paraId="315D52C0" w14:textId="77777777" w:rsidTr="0001171A">
        <w:trPr>
          <w:trHeight w:val="300"/>
        </w:trPr>
        <w:tc>
          <w:tcPr>
            <w:tcW w:w="426" w:type="dxa"/>
          </w:tcPr>
          <w:p w14:paraId="4BE53D4E" w14:textId="10B059B4"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A</w:t>
            </w:r>
          </w:p>
        </w:tc>
        <w:tc>
          <w:tcPr>
            <w:tcW w:w="4394" w:type="dxa"/>
            <w:shd w:val="clear" w:color="auto" w:fill="auto"/>
            <w:noWrap/>
            <w:hideMark/>
          </w:tcPr>
          <w:p w14:paraId="32A18555" w14:textId="3FFC44B9" w:rsidR="008C3716" w:rsidRPr="00E74F56" w:rsidRDefault="008C3716" w:rsidP="00E74F56">
            <w:pPr>
              <w:spacing w:before="60" w:after="60"/>
              <w:rPr>
                <w:rFonts w:eastAsia="Times New Roman" w:cstheme="minorHAnsi"/>
                <w:color w:val="000000"/>
                <w:sz w:val="20"/>
                <w:szCs w:val="20"/>
              </w:rPr>
            </w:pPr>
            <w:bookmarkStart w:id="1" w:name="_Hlk139009145"/>
            <w:r w:rsidRPr="00E74F56">
              <w:rPr>
                <w:rFonts w:eastAsia="Times New Roman" w:cstheme="minorHAnsi"/>
                <w:color w:val="000000"/>
                <w:sz w:val="20"/>
                <w:szCs w:val="20"/>
              </w:rPr>
              <w:t xml:space="preserve">Actual </w:t>
            </w:r>
            <w:proofErr w:type="spellStart"/>
            <w:r>
              <w:rPr>
                <w:rFonts w:eastAsia="Times New Roman" w:cstheme="minorHAnsi"/>
                <w:color w:val="000000"/>
                <w:sz w:val="20"/>
                <w:szCs w:val="20"/>
              </w:rPr>
              <w:t>v</w:t>
            </w:r>
            <w:r w:rsidRPr="00E74F56">
              <w:rPr>
                <w:rFonts w:eastAsia="Times New Roman" w:cstheme="minorHAnsi"/>
                <w:color w:val="000000"/>
                <w:sz w:val="20"/>
                <w:szCs w:val="20"/>
              </w:rPr>
              <w:t>enetoclax</w:t>
            </w:r>
            <w:proofErr w:type="spellEnd"/>
            <w:r w:rsidRPr="00E74F56">
              <w:rPr>
                <w:rFonts w:eastAsia="Times New Roman" w:cstheme="minorHAnsi"/>
                <w:color w:val="000000"/>
                <w:sz w:val="20"/>
                <w:szCs w:val="20"/>
              </w:rPr>
              <w:t xml:space="preserve"> </w:t>
            </w:r>
            <w:bookmarkEnd w:id="1"/>
            <w:r w:rsidRPr="00E74F56">
              <w:rPr>
                <w:rFonts w:eastAsia="Times New Roman" w:cstheme="minorHAnsi"/>
                <w:color w:val="000000"/>
                <w:sz w:val="20"/>
                <w:szCs w:val="20"/>
              </w:rPr>
              <w:t>incident patients</w:t>
            </w:r>
          </w:p>
        </w:tc>
        <w:tc>
          <w:tcPr>
            <w:tcW w:w="2126" w:type="dxa"/>
            <w:shd w:val="clear" w:color="auto" w:fill="auto"/>
            <w:noWrap/>
            <w:vAlign w:val="center"/>
          </w:tcPr>
          <w:p w14:paraId="7984E7F1" w14:textId="5E0593FB" w:rsidR="008C3716" w:rsidRPr="00E74F56" w:rsidRDefault="008C3716" w:rsidP="00E74F56">
            <w:pPr>
              <w:spacing w:before="60" w:after="60"/>
              <w:jc w:val="center"/>
              <w:rPr>
                <w:rFonts w:eastAsia="Times New Roman" w:cstheme="minorHAnsi"/>
                <w:color w:val="000000"/>
                <w:sz w:val="20"/>
                <w:szCs w:val="20"/>
              </w:rPr>
            </w:pPr>
            <w:r w:rsidRPr="00E74F56">
              <w:rPr>
                <w:rFonts w:cstheme="minorHAnsi"/>
                <w:color w:val="000000"/>
                <w:sz w:val="20"/>
                <w:szCs w:val="20"/>
              </w:rPr>
              <w:t>553</w:t>
            </w:r>
          </w:p>
        </w:tc>
        <w:tc>
          <w:tcPr>
            <w:tcW w:w="2126" w:type="dxa"/>
            <w:shd w:val="clear" w:color="auto" w:fill="auto"/>
            <w:noWrap/>
            <w:vAlign w:val="center"/>
          </w:tcPr>
          <w:p w14:paraId="7AC2EF20" w14:textId="170AEA9D" w:rsidR="008C3716" w:rsidRPr="00E74F56" w:rsidRDefault="008C3716" w:rsidP="00E74F56">
            <w:pPr>
              <w:spacing w:before="60" w:after="60"/>
              <w:jc w:val="center"/>
              <w:rPr>
                <w:rFonts w:eastAsia="Times New Roman" w:cstheme="minorHAnsi"/>
                <w:color w:val="000000"/>
                <w:sz w:val="20"/>
                <w:szCs w:val="20"/>
              </w:rPr>
            </w:pPr>
            <w:r w:rsidRPr="00E74F56">
              <w:rPr>
                <w:rFonts w:cstheme="minorHAnsi"/>
                <w:color w:val="000000"/>
                <w:sz w:val="20"/>
                <w:szCs w:val="20"/>
              </w:rPr>
              <w:t>563</w:t>
            </w:r>
          </w:p>
        </w:tc>
      </w:tr>
      <w:tr w:rsidR="008C3716" w:rsidRPr="00496DD0" w14:paraId="5949E609" w14:textId="77777777" w:rsidTr="0001171A">
        <w:trPr>
          <w:trHeight w:val="300"/>
        </w:trPr>
        <w:tc>
          <w:tcPr>
            <w:tcW w:w="426" w:type="dxa"/>
          </w:tcPr>
          <w:p w14:paraId="707F6B82" w14:textId="7EE98652"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B</w:t>
            </w:r>
          </w:p>
        </w:tc>
        <w:tc>
          <w:tcPr>
            <w:tcW w:w="4394" w:type="dxa"/>
            <w:shd w:val="clear" w:color="auto" w:fill="auto"/>
            <w:noWrap/>
          </w:tcPr>
          <w:p w14:paraId="3F948BA2" w14:textId="346DB9D8" w:rsidR="008C3716" w:rsidRPr="00E74F56" w:rsidRDefault="008C3716" w:rsidP="00E74F56">
            <w:pPr>
              <w:spacing w:before="60" w:after="60"/>
              <w:rPr>
                <w:rFonts w:eastAsia="Times New Roman" w:cstheme="minorHAnsi"/>
                <w:color w:val="000000"/>
                <w:sz w:val="20"/>
                <w:szCs w:val="20"/>
              </w:rPr>
            </w:pPr>
            <w:bookmarkStart w:id="2" w:name="_Hlk138921186"/>
            <w:r w:rsidRPr="00E74F56">
              <w:rPr>
                <w:rFonts w:eastAsia="Times New Roman" w:cstheme="minorHAnsi"/>
                <w:color w:val="000000"/>
                <w:sz w:val="20"/>
                <w:szCs w:val="20"/>
              </w:rPr>
              <w:t xml:space="preserve">Actual </w:t>
            </w:r>
            <w:bookmarkStart w:id="3" w:name="_Hlk139978971"/>
            <w:r w:rsidRPr="00E74F56">
              <w:rPr>
                <w:rFonts w:eastAsia="Times New Roman" w:cstheme="minorHAnsi"/>
                <w:color w:val="000000"/>
                <w:sz w:val="20"/>
                <w:szCs w:val="20"/>
              </w:rPr>
              <w:t>chlorambucil</w:t>
            </w:r>
            <w:bookmarkEnd w:id="2"/>
            <w:r>
              <w:rPr>
                <w:rFonts w:eastAsia="Times New Roman" w:cstheme="minorHAnsi"/>
                <w:color w:val="000000"/>
                <w:sz w:val="20"/>
                <w:szCs w:val="20"/>
              </w:rPr>
              <w:t xml:space="preserve"> and </w:t>
            </w:r>
            <w:proofErr w:type="spellStart"/>
            <w:r w:rsidRPr="00E74F56">
              <w:rPr>
                <w:rFonts w:eastAsia="Times New Roman" w:cstheme="minorHAnsi"/>
                <w:color w:val="000000"/>
                <w:sz w:val="20"/>
                <w:szCs w:val="20"/>
              </w:rPr>
              <w:t>obinutuzumab</w:t>
            </w:r>
            <w:proofErr w:type="spellEnd"/>
            <w:r w:rsidRPr="00E74F56">
              <w:rPr>
                <w:rFonts w:eastAsia="Times New Roman" w:cstheme="minorHAnsi"/>
                <w:color w:val="000000"/>
                <w:sz w:val="20"/>
                <w:szCs w:val="20"/>
              </w:rPr>
              <w:t xml:space="preserve"> </w:t>
            </w:r>
            <w:bookmarkEnd w:id="3"/>
            <w:r w:rsidRPr="00E74F56">
              <w:rPr>
                <w:rFonts w:eastAsia="Times New Roman" w:cstheme="minorHAnsi"/>
                <w:color w:val="000000"/>
                <w:sz w:val="20"/>
                <w:szCs w:val="20"/>
              </w:rPr>
              <w:t>incident patients</w:t>
            </w:r>
          </w:p>
        </w:tc>
        <w:tc>
          <w:tcPr>
            <w:tcW w:w="2126" w:type="dxa"/>
            <w:shd w:val="clear" w:color="auto" w:fill="auto"/>
            <w:noWrap/>
            <w:vAlign w:val="center"/>
          </w:tcPr>
          <w:p w14:paraId="40BD8983" w14:textId="1F6F0180" w:rsidR="008C3716" w:rsidRPr="00E74F56" w:rsidRDefault="008C3716" w:rsidP="00E74F56">
            <w:pPr>
              <w:spacing w:before="60" w:after="60"/>
              <w:jc w:val="center"/>
              <w:rPr>
                <w:rFonts w:eastAsia="Times New Roman" w:cstheme="minorHAnsi"/>
                <w:color w:val="000000"/>
                <w:sz w:val="20"/>
                <w:szCs w:val="20"/>
              </w:rPr>
            </w:pPr>
            <w:r w:rsidRPr="00E74F56">
              <w:rPr>
                <w:rFonts w:cstheme="minorHAnsi"/>
                <w:color w:val="000000"/>
                <w:sz w:val="20"/>
                <w:szCs w:val="20"/>
              </w:rPr>
              <w:t>173</w:t>
            </w:r>
          </w:p>
        </w:tc>
        <w:tc>
          <w:tcPr>
            <w:tcW w:w="2126" w:type="dxa"/>
            <w:shd w:val="clear" w:color="auto" w:fill="auto"/>
            <w:noWrap/>
            <w:vAlign w:val="center"/>
          </w:tcPr>
          <w:p w14:paraId="42514141" w14:textId="00995A8E" w:rsidR="008C3716" w:rsidRPr="00E74F56" w:rsidRDefault="008C3716" w:rsidP="00E74F56">
            <w:pPr>
              <w:spacing w:before="60" w:after="60"/>
              <w:jc w:val="center"/>
              <w:rPr>
                <w:rFonts w:eastAsia="Times New Roman" w:cstheme="minorHAnsi"/>
                <w:color w:val="000000"/>
                <w:sz w:val="20"/>
                <w:szCs w:val="20"/>
              </w:rPr>
            </w:pPr>
            <w:r w:rsidRPr="00E74F56">
              <w:rPr>
                <w:rFonts w:cstheme="minorHAnsi"/>
                <w:color w:val="000000"/>
                <w:sz w:val="20"/>
                <w:szCs w:val="20"/>
              </w:rPr>
              <w:t>88</w:t>
            </w:r>
          </w:p>
        </w:tc>
      </w:tr>
      <w:tr w:rsidR="008C3716" w:rsidRPr="00496DD0" w14:paraId="6C08D743" w14:textId="77777777" w:rsidTr="0001171A">
        <w:trPr>
          <w:trHeight w:val="300"/>
        </w:trPr>
        <w:tc>
          <w:tcPr>
            <w:tcW w:w="426" w:type="dxa"/>
          </w:tcPr>
          <w:p w14:paraId="7FEBC5AC" w14:textId="06AE03ED"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C</w:t>
            </w:r>
          </w:p>
        </w:tc>
        <w:tc>
          <w:tcPr>
            <w:tcW w:w="4394" w:type="dxa"/>
            <w:shd w:val="clear" w:color="auto" w:fill="auto"/>
            <w:noWrap/>
          </w:tcPr>
          <w:p w14:paraId="615C86C4" w14:textId="634C4479" w:rsidR="008C3716" w:rsidRPr="00E74F56" w:rsidRDefault="008C3716" w:rsidP="00E74F56">
            <w:pPr>
              <w:spacing w:before="60" w:after="60"/>
              <w:rPr>
                <w:rFonts w:eastAsia="Times New Roman" w:cstheme="minorHAnsi"/>
                <w:color w:val="000000"/>
                <w:sz w:val="20"/>
                <w:szCs w:val="20"/>
              </w:rPr>
            </w:pPr>
            <w:r w:rsidRPr="00E74F56">
              <w:rPr>
                <w:rFonts w:eastAsia="Times New Roman" w:cstheme="minorHAnsi"/>
                <w:color w:val="000000"/>
                <w:sz w:val="20"/>
                <w:szCs w:val="20"/>
              </w:rPr>
              <w:t xml:space="preserve">Total incident patients </w:t>
            </w:r>
            <w:proofErr w:type="spellStart"/>
            <w:r w:rsidRPr="00E74F56">
              <w:rPr>
                <w:rFonts w:eastAsia="Times New Roman" w:cstheme="minorHAnsi"/>
                <w:color w:val="000000"/>
                <w:sz w:val="20"/>
                <w:szCs w:val="20"/>
              </w:rPr>
              <w:t>treated</w:t>
            </w:r>
            <w:r w:rsidRPr="00E74F56">
              <w:rPr>
                <w:rFonts w:eastAsia="Times New Roman" w:cstheme="minorHAnsi"/>
                <w:color w:val="000000"/>
                <w:sz w:val="20"/>
                <w:szCs w:val="20"/>
                <w:vertAlign w:val="superscript"/>
              </w:rPr>
              <w:t>c</w:t>
            </w:r>
            <w:proofErr w:type="spellEnd"/>
          </w:p>
        </w:tc>
        <w:tc>
          <w:tcPr>
            <w:tcW w:w="2126" w:type="dxa"/>
            <w:shd w:val="clear" w:color="auto" w:fill="auto"/>
            <w:noWrap/>
            <w:vAlign w:val="center"/>
          </w:tcPr>
          <w:p w14:paraId="6A8379D5" w14:textId="40F175AF" w:rsidR="008C3716" w:rsidRPr="00E74F56" w:rsidRDefault="008C3716" w:rsidP="00E74F56">
            <w:pPr>
              <w:spacing w:before="60" w:after="60"/>
              <w:jc w:val="center"/>
              <w:rPr>
                <w:rFonts w:cstheme="minorHAnsi"/>
                <w:color w:val="000000"/>
                <w:sz w:val="20"/>
                <w:szCs w:val="20"/>
              </w:rPr>
            </w:pPr>
            <w:r w:rsidRPr="00E74F56">
              <w:rPr>
                <w:rFonts w:cstheme="minorHAnsi"/>
                <w:color w:val="000000"/>
                <w:sz w:val="20"/>
                <w:szCs w:val="20"/>
              </w:rPr>
              <w:t>726</w:t>
            </w:r>
          </w:p>
        </w:tc>
        <w:tc>
          <w:tcPr>
            <w:tcW w:w="2126" w:type="dxa"/>
            <w:shd w:val="clear" w:color="auto" w:fill="auto"/>
            <w:noWrap/>
            <w:vAlign w:val="center"/>
          </w:tcPr>
          <w:p w14:paraId="50E5D557" w14:textId="3E4FED54" w:rsidR="008C3716" w:rsidRPr="00E74F56" w:rsidRDefault="008C3716" w:rsidP="00E74F56">
            <w:pPr>
              <w:spacing w:before="60" w:after="60"/>
              <w:jc w:val="center"/>
              <w:rPr>
                <w:rFonts w:cstheme="minorHAnsi"/>
                <w:color w:val="000000"/>
                <w:sz w:val="20"/>
                <w:szCs w:val="20"/>
              </w:rPr>
            </w:pPr>
            <w:r w:rsidRPr="00E74F56">
              <w:rPr>
                <w:rFonts w:cstheme="minorHAnsi"/>
                <w:color w:val="000000"/>
                <w:sz w:val="20"/>
                <w:szCs w:val="20"/>
              </w:rPr>
              <w:t>651</w:t>
            </w:r>
          </w:p>
        </w:tc>
      </w:tr>
      <w:tr w:rsidR="008C3716" w:rsidRPr="00496DD0" w14:paraId="0418B097" w14:textId="77777777" w:rsidTr="0001171A">
        <w:trPr>
          <w:trHeight w:val="300"/>
        </w:trPr>
        <w:tc>
          <w:tcPr>
            <w:tcW w:w="426" w:type="dxa"/>
          </w:tcPr>
          <w:p w14:paraId="342FF845" w14:textId="310DA887"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D</w:t>
            </w:r>
          </w:p>
        </w:tc>
        <w:tc>
          <w:tcPr>
            <w:tcW w:w="4394" w:type="dxa"/>
            <w:shd w:val="clear" w:color="auto" w:fill="auto"/>
            <w:noWrap/>
          </w:tcPr>
          <w:p w14:paraId="4C69E7F1" w14:textId="130B5105" w:rsidR="008C3716" w:rsidRPr="00E74F56" w:rsidRDefault="008C3716" w:rsidP="00E74F56">
            <w:pPr>
              <w:spacing w:before="60" w:after="60"/>
              <w:rPr>
                <w:rFonts w:eastAsia="Times New Roman" w:cstheme="minorHAnsi"/>
                <w:color w:val="000000"/>
                <w:sz w:val="20"/>
                <w:szCs w:val="20"/>
              </w:rPr>
            </w:pPr>
            <w:r w:rsidRPr="00E74F56">
              <w:rPr>
                <w:rFonts w:eastAsia="Times New Roman" w:cstheme="minorHAnsi"/>
                <w:color w:val="000000"/>
                <w:sz w:val="20"/>
                <w:szCs w:val="20"/>
              </w:rPr>
              <w:t xml:space="preserve">Substitution </w:t>
            </w:r>
            <w:proofErr w:type="spellStart"/>
            <w:r w:rsidRPr="00E74F56">
              <w:rPr>
                <w:rFonts w:eastAsia="Times New Roman" w:cstheme="minorHAnsi"/>
                <w:color w:val="000000"/>
                <w:sz w:val="20"/>
                <w:szCs w:val="20"/>
              </w:rPr>
              <w:t>rate</w:t>
            </w:r>
            <w:r>
              <w:rPr>
                <w:rFonts w:eastAsia="Times New Roman" w:cstheme="minorHAnsi"/>
                <w:color w:val="000000"/>
                <w:sz w:val="20"/>
                <w:szCs w:val="20"/>
                <w:vertAlign w:val="superscript"/>
              </w:rPr>
              <w:t>b</w:t>
            </w:r>
            <w:proofErr w:type="spellEnd"/>
          </w:p>
        </w:tc>
        <w:tc>
          <w:tcPr>
            <w:tcW w:w="2126" w:type="dxa"/>
            <w:shd w:val="clear" w:color="auto" w:fill="auto"/>
            <w:noWrap/>
            <w:vAlign w:val="center"/>
          </w:tcPr>
          <w:p w14:paraId="4B0F87AB" w14:textId="6A6D4835" w:rsidR="008C3716" w:rsidRPr="00E74F56" w:rsidRDefault="008C3716" w:rsidP="00E74F56">
            <w:pPr>
              <w:spacing w:before="60" w:after="60"/>
              <w:jc w:val="center"/>
              <w:rPr>
                <w:rFonts w:eastAsia="Times New Roman" w:cstheme="minorHAnsi"/>
                <w:color w:val="000000"/>
                <w:sz w:val="20"/>
                <w:szCs w:val="20"/>
              </w:rPr>
            </w:pPr>
            <w:r w:rsidRPr="00E74F56">
              <w:rPr>
                <w:rFonts w:eastAsia="Times New Roman" w:cstheme="minorHAnsi"/>
                <w:color w:val="000000"/>
                <w:sz w:val="20"/>
                <w:szCs w:val="20"/>
              </w:rPr>
              <w:t>76%</w:t>
            </w:r>
          </w:p>
        </w:tc>
        <w:tc>
          <w:tcPr>
            <w:tcW w:w="2126" w:type="dxa"/>
            <w:shd w:val="clear" w:color="auto" w:fill="auto"/>
            <w:noWrap/>
            <w:vAlign w:val="center"/>
          </w:tcPr>
          <w:p w14:paraId="2DD48A0F" w14:textId="0269AE64" w:rsidR="008C3716" w:rsidRPr="00E74F56" w:rsidRDefault="008C3716" w:rsidP="00E74F56">
            <w:pPr>
              <w:spacing w:before="60" w:after="60"/>
              <w:jc w:val="center"/>
              <w:rPr>
                <w:rFonts w:eastAsia="Times New Roman" w:cstheme="minorHAnsi"/>
                <w:color w:val="000000"/>
                <w:sz w:val="20"/>
                <w:szCs w:val="20"/>
              </w:rPr>
            </w:pPr>
            <w:r w:rsidRPr="00E74F56">
              <w:rPr>
                <w:rFonts w:eastAsia="Times New Roman" w:cstheme="minorHAnsi"/>
                <w:color w:val="000000"/>
                <w:sz w:val="20"/>
                <w:szCs w:val="20"/>
              </w:rPr>
              <w:t>86%</w:t>
            </w:r>
          </w:p>
        </w:tc>
      </w:tr>
      <w:tr w:rsidR="008C3716" w:rsidRPr="00496DD0" w14:paraId="340B3B27" w14:textId="77777777" w:rsidTr="0001171A">
        <w:trPr>
          <w:trHeight w:val="300"/>
        </w:trPr>
        <w:tc>
          <w:tcPr>
            <w:tcW w:w="426" w:type="dxa"/>
          </w:tcPr>
          <w:p w14:paraId="4EFC63C6" w14:textId="52714D2A"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E</w:t>
            </w:r>
          </w:p>
        </w:tc>
        <w:tc>
          <w:tcPr>
            <w:tcW w:w="4394" w:type="dxa"/>
            <w:shd w:val="clear" w:color="auto" w:fill="auto"/>
            <w:noWrap/>
          </w:tcPr>
          <w:p w14:paraId="6C3BB0BF" w14:textId="2F544589" w:rsidR="008C3716" w:rsidRPr="00E74F56" w:rsidRDefault="008C3716" w:rsidP="00E74F56">
            <w:pPr>
              <w:spacing w:before="60" w:after="60"/>
              <w:rPr>
                <w:rFonts w:eastAsia="Times New Roman" w:cstheme="minorHAnsi"/>
                <w:color w:val="000000"/>
                <w:sz w:val="20"/>
                <w:szCs w:val="20"/>
              </w:rPr>
            </w:pPr>
            <w:r w:rsidRPr="00E74F56">
              <w:rPr>
                <w:rFonts w:eastAsia="Times New Roman" w:cstheme="minorHAnsi"/>
                <w:color w:val="000000"/>
                <w:sz w:val="20"/>
                <w:szCs w:val="20"/>
              </w:rPr>
              <w:t>Predicted substitution rate</w:t>
            </w:r>
          </w:p>
        </w:tc>
        <w:tc>
          <w:tcPr>
            <w:tcW w:w="2126" w:type="dxa"/>
            <w:shd w:val="clear" w:color="auto" w:fill="auto"/>
            <w:noWrap/>
            <w:vAlign w:val="center"/>
          </w:tcPr>
          <w:p w14:paraId="6F38E040" w14:textId="18BBC860" w:rsidR="008C3716" w:rsidRPr="00187B1C" w:rsidRDefault="001C421B" w:rsidP="00E74F56">
            <w:pPr>
              <w:spacing w:before="60" w:after="60"/>
              <w:jc w:val="center"/>
              <w:rPr>
                <w:rFonts w:eastAsia="Times New Roman" w:cstheme="minorHAnsi"/>
                <w:color w:val="000000"/>
                <w:sz w:val="20"/>
                <w:szCs w:val="20"/>
                <w:highlight w:val="black"/>
              </w:rPr>
            </w:pPr>
            <w:r w:rsidRPr="00187B1C">
              <w:rPr>
                <w:rFonts w:eastAsia="Times New Roman" w:cstheme="minorHAnsi"/>
                <w:color w:val="000000"/>
                <w:sz w:val="20"/>
                <w:szCs w:val="20"/>
                <w:highlight w:val="black"/>
              </w:rPr>
              <w:t>XXXX</w:t>
            </w:r>
          </w:p>
        </w:tc>
        <w:tc>
          <w:tcPr>
            <w:tcW w:w="2126" w:type="dxa"/>
            <w:shd w:val="clear" w:color="auto" w:fill="auto"/>
            <w:noWrap/>
            <w:vAlign w:val="center"/>
          </w:tcPr>
          <w:p w14:paraId="73FFE385" w14:textId="3E3EBE2A" w:rsidR="008C3716" w:rsidRPr="00187B1C" w:rsidRDefault="001C421B" w:rsidP="00E74F56">
            <w:pPr>
              <w:spacing w:before="60" w:after="60"/>
              <w:jc w:val="center"/>
              <w:rPr>
                <w:rFonts w:eastAsia="Times New Roman" w:cstheme="minorHAnsi"/>
                <w:color w:val="000000"/>
                <w:sz w:val="20"/>
                <w:szCs w:val="20"/>
                <w:highlight w:val="black"/>
              </w:rPr>
            </w:pPr>
            <w:r w:rsidRPr="00187B1C">
              <w:rPr>
                <w:rFonts w:eastAsia="Times New Roman" w:cstheme="minorHAnsi"/>
                <w:color w:val="000000"/>
                <w:sz w:val="20"/>
                <w:szCs w:val="20"/>
                <w:highlight w:val="black"/>
              </w:rPr>
              <w:t>XXXX</w:t>
            </w:r>
          </w:p>
        </w:tc>
      </w:tr>
      <w:tr w:rsidR="008C3716" w:rsidRPr="00496DD0" w14:paraId="7926EB14" w14:textId="77777777" w:rsidTr="0001171A">
        <w:trPr>
          <w:trHeight w:val="300"/>
        </w:trPr>
        <w:tc>
          <w:tcPr>
            <w:tcW w:w="426" w:type="dxa"/>
          </w:tcPr>
          <w:p w14:paraId="7E95CF01" w14:textId="473F63C9"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F</w:t>
            </w:r>
          </w:p>
        </w:tc>
        <w:tc>
          <w:tcPr>
            <w:tcW w:w="4394" w:type="dxa"/>
            <w:shd w:val="clear" w:color="auto" w:fill="auto"/>
            <w:noWrap/>
          </w:tcPr>
          <w:p w14:paraId="3A4742F8" w14:textId="438C75F3" w:rsidR="008C3716" w:rsidRPr="00E74F56" w:rsidRDefault="008C3716" w:rsidP="00E74F56">
            <w:pPr>
              <w:spacing w:before="60" w:after="60"/>
              <w:rPr>
                <w:rFonts w:eastAsia="Times New Roman" w:cstheme="minorHAnsi"/>
                <w:color w:val="000000"/>
                <w:sz w:val="20"/>
                <w:szCs w:val="20"/>
              </w:rPr>
            </w:pPr>
            <w:r w:rsidRPr="00E74F56">
              <w:rPr>
                <w:rFonts w:eastAsia="Times New Roman" w:cstheme="minorHAnsi"/>
                <w:color w:val="000000"/>
                <w:sz w:val="20"/>
                <w:szCs w:val="20"/>
              </w:rPr>
              <w:t>Predicted patients eligible for 1st line treatment</w:t>
            </w:r>
            <w:r w:rsidRPr="00E74F56">
              <w:rPr>
                <w:rFonts w:eastAsia="Times New Roman" w:cstheme="minorHAnsi"/>
                <w:color w:val="000000"/>
                <w:sz w:val="20"/>
                <w:szCs w:val="20"/>
                <w:vertAlign w:val="superscript"/>
              </w:rPr>
              <w:t xml:space="preserve"> </w:t>
            </w:r>
            <w:r>
              <w:rPr>
                <w:rFonts w:eastAsia="Times New Roman" w:cstheme="minorHAnsi"/>
                <w:color w:val="000000"/>
                <w:sz w:val="20"/>
                <w:szCs w:val="20"/>
                <w:vertAlign w:val="superscript"/>
              </w:rPr>
              <w:t>d</w:t>
            </w:r>
          </w:p>
        </w:tc>
        <w:tc>
          <w:tcPr>
            <w:tcW w:w="2126" w:type="dxa"/>
            <w:shd w:val="clear" w:color="auto" w:fill="auto"/>
            <w:noWrap/>
            <w:vAlign w:val="center"/>
          </w:tcPr>
          <w:p w14:paraId="59033DAC" w14:textId="11002599" w:rsidR="008C3716" w:rsidRPr="00187B1C" w:rsidRDefault="001C421B" w:rsidP="00E74F56">
            <w:pPr>
              <w:spacing w:before="60" w:after="60"/>
              <w:jc w:val="center"/>
              <w:rPr>
                <w:rFonts w:eastAsia="Times New Roman" w:cstheme="minorHAnsi"/>
                <w:color w:val="000000"/>
                <w:sz w:val="20"/>
                <w:szCs w:val="20"/>
                <w:highlight w:val="black"/>
              </w:rPr>
            </w:pPr>
            <w:r w:rsidRPr="00187B1C">
              <w:rPr>
                <w:rFonts w:eastAsia="Times New Roman" w:cstheme="minorHAnsi"/>
                <w:color w:val="000000"/>
                <w:sz w:val="20"/>
                <w:szCs w:val="20"/>
                <w:highlight w:val="black"/>
              </w:rPr>
              <w:t>XXX</w:t>
            </w:r>
          </w:p>
        </w:tc>
        <w:tc>
          <w:tcPr>
            <w:tcW w:w="2126" w:type="dxa"/>
            <w:shd w:val="clear" w:color="auto" w:fill="auto"/>
            <w:noWrap/>
            <w:vAlign w:val="center"/>
          </w:tcPr>
          <w:p w14:paraId="6C61DAA2" w14:textId="16E1EB19" w:rsidR="008C3716" w:rsidRPr="00187B1C" w:rsidRDefault="001C421B" w:rsidP="00E74F56">
            <w:pPr>
              <w:spacing w:before="60" w:after="60"/>
              <w:jc w:val="center"/>
              <w:rPr>
                <w:rFonts w:eastAsia="Times New Roman" w:cstheme="minorHAnsi"/>
                <w:color w:val="000000"/>
                <w:sz w:val="20"/>
                <w:szCs w:val="20"/>
                <w:highlight w:val="black"/>
              </w:rPr>
            </w:pPr>
            <w:r w:rsidRPr="00187B1C">
              <w:rPr>
                <w:rFonts w:eastAsia="Times New Roman" w:cstheme="minorHAnsi"/>
                <w:color w:val="000000"/>
                <w:sz w:val="20"/>
                <w:szCs w:val="20"/>
                <w:highlight w:val="black"/>
              </w:rPr>
              <w:t>XXX</w:t>
            </w:r>
          </w:p>
        </w:tc>
      </w:tr>
      <w:tr w:rsidR="008C3716" w:rsidRPr="00496DD0" w14:paraId="3FA0DC2D" w14:textId="77777777" w:rsidTr="0001171A">
        <w:trPr>
          <w:trHeight w:val="300"/>
        </w:trPr>
        <w:tc>
          <w:tcPr>
            <w:tcW w:w="426" w:type="dxa"/>
          </w:tcPr>
          <w:p w14:paraId="4FA41125" w14:textId="30ADC841"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G</w:t>
            </w:r>
          </w:p>
        </w:tc>
        <w:tc>
          <w:tcPr>
            <w:tcW w:w="4394" w:type="dxa"/>
            <w:shd w:val="clear" w:color="auto" w:fill="auto"/>
            <w:noWrap/>
          </w:tcPr>
          <w:p w14:paraId="2035DA91" w14:textId="54335080" w:rsidR="008C3716" w:rsidRPr="00E74F56" w:rsidRDefault="008C3716" w:rsidP="00E74F56">
            <w:pPr>
              <w:spacing w:before="60" w:after="60"/>
              <w:rPr>
                <w:rFonts w:eastAsia="Times New Roman" w:cstheme="minorHAnsi"/>
                <w:color w:val="000000"/>
                <w:sz w:val="20"/>
                <w:szCs w:val="20"/>
              </w:rPr>
            </w:pPr>
            <w:r w:rsidRPr="00E74F56">
              <w:rPr>
                <w:rFonts w:eastAsia="Times New Roman" w:cstheme="minorHAnsi"/>
                <w:color w:val="000000"/>
                <w:sz w:val="20"/>
                <w:szCs w:val="20"/>
              </w:rPr>
              <w:t>Actual uptake</w:t>
            </w:r>
          </w:p>
        </w:tc>
        <w:tc>
          <w:tcPr>
            <w:tcW w:w="2126" w:type="dxa"/>
            <w:shd w:val="clear" w:color="auto" w:fill="auto"/>
            <w:noWrap/>
            <w:vAlign w:val="center"/>
          </w:tcPr>
          <w:p w14:paraId="0377B003" w14:textId="3B3FD9CE" w:rsidR="008C3716" w:rsidRPr="00E74F56" w:rsidRDefault="008C3716" w:rsidP="00E74F56">
            <w:pPr>
              <w:spacing w:before="60" w:after="60"/>
              <w:jc w:val="center"/>
              <w:rPr>
                <w:rFonts w:eastAsia="Times New Roman" w:cstheme="minorHAnsi"/>
                <w:color w:val="000000"/>
                <w:sz w:val="20"/>
                <w:szCs w:val="20"/>
              </w:rPr>
            </w:pPr>
            <w:r w:rsidRPr="00E74F56">
              <w:rPr>
                <w:rFonts w:eastAsia="Times New Roman" w:cstheme="minorHAnsi"/>
                <w:color w:val="000000"/>
                <w:sz w:val="20"/>
                <w:szCs w:val="20"/>
              </w:rPr>
              <w:t>83%</w:t>
            </w:r>
          </w:p>
        </w:tc>
        <w:tc>
          <w:tcPr>
            <w:tcW w:w="2126" w:type="dxa"/>
            <w:shd w:val="clear" w:color="auto" w:fill="auto"/>
            <w:noWrap/>
            <w:vAlign w:val="center"/>
          </w:tcPr>
          <w:p w14:paraId="21A81BBD" w14:textId="05F1400F" w:rsidR="008C3716" w:rsidRPr="00E74F56" w:rsidRDefault="008C3716" w:rsidP="00E74F56">
            <w:pPr>
              <w:spacing w:before="60" w:after="60"/>
              <w:jc w:val="center"/>
              <w:rPr>
                <w:rFonts w:eastAsia="Times New Roman" w:cstheme="minorHAnsi"/>
                <w:color w:val="000000"/>
                <w:sz w:val="20"/>
                <w:szCs w:val="20"/>
              </w:rPr>
            </w:pPr>
            <w:r w:rsidRPr="00E74F56">
              <w:rPr>
                <w:rFonts w:eastAsia="Times New Roman" w:cstheme="minorHAnsi"/>
                <w:color w:val="000000"/>
                <w:sz w:val="20"/>
                <w:szCs w:val="20"/>
              </w:rPr>
              <w:t>83%</w:t>
            </w:r>
          </w:p>
        </w:tc>
      </w:tr>
      <w:tr w:rsidR="008C3716" w:rsidRPr="00496DD0" w14:paraId="69685F0E" w14:textId="77777777" w:rsidTr="0001171A">
        <w:trPr>
          <w:trHeight w:val="300"/>
        </w:trPr>
        <w:tc>
          <w:tcPr>
            <w:tcW w:w="426" w:type="dxa"/>
          </w:tcPr>
          <w:p w14:paraId="05252EAF" w14:textId="62D72427" w:rsidR="008C3716" w:rsidRPr="00E74F56" w:rsidRDefault="008C3716" w:rsidP="00E74F56">
            <w:pPr>
              <w:spacing w:before="60" w:after="60"/>
              <w:rPr>
                <w:rFonts w:eastAsia="Times New Roman" w:cstheme="minorHAnsi"/>
                <w:color w:val="000000"/>
                <w:sz w:val="20"/>
                <w:szCs w:val="20"/>
              </w:rPr>
            </w:pPr>
            <w:r>
              <w:rPr>
                <w:rFonts w:eastAsia="Times New Roman" w:cstheme="minorHAnsi"/>
                <w:color w:val="000000"/>
                <w:sz w:val="20"/>
                <w:szCs w:val="20"/>
              </w:rPr>
              <w:t>H</w:t>
            </w:r>
          </w:p>
        </w:tc>
        <w:tc>
          <w:tcPr>
            <w:tcW w:w="4394" w:type="dxa"/>
            <w:shd w:val="clear" w:color="auto" w:fill="auto"/>
            <w:noWrap/>
          </w:tcPr>
          <w:p w14:paraId="01195491" w14:textId="009BCBF5" w:rsidR="008C3716" w:rsidRPr="00C929FE" w:rsidRDefault="008C3716" w:rsidP="00E74F56">
            <w:pPr>
              <w:spacing w:before="60" w:after="60"/>
              <w:rPr>
                <w:rFonts w:eastAsia="Times New Roman" w:cstheme="minorHAnsi"/>
                <w:color w:val="000000"/>
                <w:sz w:val="20"/>
                <w:szCs w:val="20"/>
                <w:vertAlign w:val="superscript"/>
              </w:rPr>
            </w:pPr>
            <w:r w:rsidRPr="00E74F56">
              <w:rPr>
                <w:rFonts w:eastAsia="Times New Roman" w:cstheme="minorHAnsi"/>
                <w:color w:val="000000"/>
                <w:sz w:val="20"/>
                <w:szCs w:val="20"/>
              </w:rPr>
              <w:t xml:space="preserve">Assumed </w:t>
            </w:r>
            <w:proofErr w:type="spellStart"/>
            <w:r w:rsidRPr="00E74F56">
              <w:rPr>
                <w:rFonts w:eastAsia="Times New Roman" w:cstheme="minorHAnsi"/>
                <w:color w:val="000000"/>
                <w:sz w:val="20"/>
                <w:szCs w:val="20"/>
              </w:rPr>
              <w:t>uptake</w:t>
            </w:r>
            <w:r>
              <w:rPr>
                <w:rFonts w:eastAsia="Times New Roman" w:cstheme="minorHAnsi"/>
                <w:color w:val="000000"/>
                <w:sz w:val="20"/>
                <w:szCs w:val="20"/>
                <w:vertAlign w:val="superscript"/>
              </w:rPr>
              <w:t>e</w:t>
            </w:r>
            <w:proofErr w:type="spellEnd"/>
          </w:p>
        </w:tc>
        <w:tc>
          <w:tcPr>
            <w:tcW w:w="2126" w:type="dxa"/>
            <w:shd w:val="clear" w:color="auto" w:fill="auto"/>
            <w:noWrap/>
            <w:vAlign w:val="center"/>
          </w:tcPr>
          <w:p w14:paraId="2C0CE80D" w14:textId="7D63881A" w:rsidR="008C3716" w:rsidRPr="00187B1C" w:rsidRDefault="001C421B" w:rsidP="00E74F56">
            <w:pPr>
              <w:spacing w:before="60" w:after="60"/>
              <w:jc w:val="center"/>
              <w:rPr>
                <w:rFonts w:eastAsia="Times New Roman" w:cstheme="minorHAnsi"/>
                <w:color w:val="000000"/>
                <w:sz w:val="20"/>
                <w:szCs w:val="20"/>
                <w:highlight w:val="black"/>
              </w:rPr>
            </w:pPr>
            <w:r w:rsidRPr="00187B1C">
              <w:rPr>
                <w:rFonts w:eastAsia="Times New Roman" w:cstheme="minorHAnsi"/>
                <w:color w:val="000000"/>
                <w:sz w:val="20"/>
                <w:szCs w:val="20"/>
                <w:highlight w:val="black"/>
              </w:rPr>
              <w:t>XXX</w:t>
            </w:r>
          </w:p>
        </w:tc>
        <w:tc>
          <w:tcPr>
            <w:tcW w:w="2126" w:type="dxa"/>
            <w:shd w:val="clear" w:color="auto" w:fill="auto"/>
            <w:noWrap/>
            <w:vAlign w:val="center"/>
          </w:tcPr>
          <w:p w14:paraId="062F0B93" w14:textId="33E82E77" w:rsidR="008C3716" w:rsidRPr="00187B1C" w:rsidRDefault="001C421B" w:rsidP="00E74F56">
            <w:pPr>
              <w:spacing w:before="60" w:after="60"/>
              <w:jc w:val="center"/>
              <w:rPr>
                <w:rFonts w:eastAsia="Times New Roman" w:cstheme="minorHAnsi"/>
                <w:color w:val="000000"/>
                <w:sz w:val="20"/>
                <w:szCs w:val="20"/>
                <w:highlight w:val="black"/>
              </w:rPr>
            </w:pPr>
            <w:r w:rsidRPr="00187B1C">
              <w:rPr>
                <w:rFonts w:eastAsia="Times New Roman" w:cstheme="minorHAnsi"/>
                <w:color w:val="000000"/>
                <w:sz w:val="20"/>
                <w:szCs w:val="20"/>
                <w:highlight w:val="black"/>
              </w:rPr>
              <w:t>XXX</w:t>
            </w:r>
          </w:p>
        </w:tc>
      </w:tr>
    </w:tbl>
    <w:p w14:paraId="6C830AAE" w14:textId="1592F25B" w:rsidR="00F64D34" w:rsidRDefault="00F64D34" w:rsidP="00352AFA">
      <w:pPr>
        <w:spacing w:after="0"/>
        <w:rPr>
          <w:sz w:val="20"/>
          <w:szCs w:val="20"/>
        </w:rPr>
      </w:pPr>
      <w:r>
        <w:rPr>
          <w:sz w:val="20"/>
          <w:szCs w:val="20"/>
        </w:rPr>
        <w:t xml:space="preserve">Source: The assumed </w:t>
      </w:r>
      <w:r w:rsidRPr="00F64D34">
        <w:rPr>
          <w:sz w:val="20"/>
          <w:szCs w:val="20"/>
        </w:rPr>
        <w:t>eligible for 1st line treatment</w:t>
      </w:r>
      <w:r>
        <w:rPr>
          <w:sz w:val="20"/>
          <w:szCs w:val="20"/>
        </w:rPr>
        <w:t xml:space="preserve"> </w:t>
      </w:r>
      <w:r w:rsidR="00E252FB">
        <w:rPr>
          <w:sz w:val="20"/>
          <w:szCs w:val="20"/>
        </w:rPr>
        <w:t xml:space="preserve">and substitution, and uptake </w:t>
      </w:r>
      <w:r w:rsidRPr="00F64D34">
        <w:rPr>
          <w:sz w:val="20"/>
          <w:szCs w:val="20"/>
        </w:rPr>
        <w:t>were sourced from the final version of the financial estimates model.</w:t>
      </w:r>
    </w:p>
    <w:p w14:paraId="7BEF1046" w14:textId="4BB2E91C" w:rsidR="00F64D34" w:rsidRPr="00F64D34" w:rsidRDefault="00F64D34" w:rsidP="00F64D34">
      <w:pPr>
        <w:spacing w:after="0"/>
        <w:rPr>
          <w:sz w:val="20"/>
          <w:szCs w:val="20"/>
        </w:rPr>
      </w:pPr>
      <w:r>
        <w:rPr>
          <w:sz w:val="20"/>
          <w:szCs w:val="20"/>
        </w:rPr>
        <w:t>Note:</w:t>
      </w:r>
    </w:p>
    <w:p w14:paraId="2894EC27" w14:textId="5FE131BC" w:rsidR="00514219" w:rsidRDefault="00514219" w:rsidP="00E742F6">
      <w:pPr>
        <w:spacing w:after="0"/>
        <w:rPr>
          <w:sz w:val="20"/>
          <w:szCs w:val="20"/>
        </w:rPr>
      </w:pPr>
      <w:proofErr w:type="spellStart"/>
      <w:r w:rsidRPr="00F94204">
        <w:rPr>
          <w:sz w:val="20"/>
          <w:szCs w:val="20"/>
          <w:vertAlign w:val="superscript"/>
        </w:rPr>
        <w:t>a</w:t>
      </w:r>
      <w:r w:rsidRPr="00F94204">
        <w:rPr>
          <w:sz w:val="20"/>
          <w:szCs w:val="20"/>
        </w:rPr>
        <w:t>The</w:t>
      </w:r>
      <w:proofErr w:type="spellEnd"/>
      <w:r w:rsidRPr="00F94204">
        <w:rPr>
          <w:sz w:val="20"/>
          <w:szCs w:val="20"/>
        </w:rPr>
        <w:t xml:space="preserve"> figures are presented in listing years (</w:t>
      </w:r>
      <w:r>
        <w:rPr>
          <w:sz w:val="20"/>
          <w:szCs w:val="20"/>
        </w:rPr>
        <w:t>December</w:t>
      </w:r>
      <w:r w:rsidRPr="00F94204">
        <w:rPr>
          <w:sz w:val="20"/>
          <w:szCs w:val="20"/>
        </w:rPr>
        <w:t xml:space="preserve"> to </w:t>
      </w:r>
      <w:r>
        <w:rPr>
          <w:sz w:val="20"/>
          <w:szCs w:val="20"/>
        </w:rPr>
        <w:t>November</w:t>
      </w:r>
      <w:r w:rsidRPr="00F94204">
        <w:rPr>
          <w:sz w:val="20"/>
          <w:szCs w:val="20"/>
        </w:rPr>
        <w:t>)</w:t>
      </w:r>
      <w:r w:rsidR="006A3636">
        <w:rPr>
          <w:sz w:val="20"/>
          <w:szCs w:val="20"/>
        </w:rPr>
        <w:t xml:space="preserve"> and given for years prior to and post listing</w:t>
      </w:r>
      <w:r w:rsidRPr="00F94204">
        <w:rPr>
          <w:sz w:val="20"/>
          <w:szCs w:val="20"/>
        </w:rPr>
        <w:t>.</w:t>
      </w:r>
    </w:p>
    <w:p w14:paraId="5D3DE125" w14:textId="2B141069" w:rsidR="00E742F6" w:rsidRDefault="00E742F6" w:rsidP="00E742F6">
      <w:pPr>
        <w:spacing w:after="0"/>
        <w:rPr>
          <w:sz w:val="20"/>
          <w:szCs w:val="20"/>
        </w:rPr>
      </w:pPr>
      <w:proofErr w:type="spellStart"/>
      <w:r>
        <w:rPr>
          <w:sz w:val="20"/>
          <w:szCs w:val="20"/>
          <w:vertAlign w:val="superscript"/>
        </w:rPr>
        <w:t>b</w:t>
      </w:r>
      <w:r w:rsidRPr="00514219">
        <w:rPr>
          <w:sz w:val="20"/>
          <w:szCs w:val="20"/>
        </w:rPr>
        <w:t>Replacement</w:t>
      </w:r>
      <w:proofErr w:type="spellEnd"/>
      <w:r w:rsidRPr="00514219">
        <w:rPr>
          <w:sz w:val="20"/>
          <w:szCs w:val="20"/>
        </w:rPr>
        <w:t xml:space="preserve"> of chlorambucil</w:t>
      </w:r>
      <w:r w:rsidR="004C7ADA">
        <w:rPr>
          <w:sz w:val="20"/>
          <w:szCs w:val="20"/>
        </w:rPr>
        <w:t xml:space="preserve"> </w:t>
      </w:r>
      <w:r w:rsidR="009B6457">
        <w:rPr>
          <w:sz w:val="20"/>
          <w:szCs w:val="20"/>
        </w:rPr>
        <w:t>in combination with</w:t>
      </w:r>
      <w:r w:rsidRPr="00514219">
        <w:rPr>
          <w:sz w:val="20"/>
          <w:szCs w:val="20"/>
        </w:rPr>
        <w:t xml:space="preserve"> </w:t>
      </w:r>
      <w:proofErr w:type="spellStart"/>
      <w:r w:rsidR="004C7ADA" w:rsidRPr="00514219">
        <w:rPr>
          <w:sz w:val="20"/>
          <w:szCs w:val="20"/>
        </w:rPr>
        <w:t>obinutuzumab</w:t>
      </w:r>
      <w:proofErr w:type="spellEnd"/>
      <w:r w:rsidR="004C7ADA" w:rsidRPr="00514219">
        <w:rPr>
          <w:sz w:val="20"/>
          <w:szCs w:val="20"/>
        </w:rPr>
        <w:t xml:space="preserve"> </w:t>
      </w:r>
      <w:r w:rsidRPr="00514219">
        <w:rPr>
          <w:sz w:val="20"/>
          <w:szCs w:val="20"/>
        </w:rPr>
        <w:t xml:space="preserve">for </w:t>
      </w:r>
      <w:proofErr w:type="spellStart"/>
      <w:r w:rsidRPr="00514219">
        <w:rPr>
          <w:sz w:val="20"/>
          <w:szCs w:val="20"/>
        </w:rPr>
        <w:t>venetoclax</w:t>
      </w:r>
      <w:proofErr w:type="spellEnd"/>
      <w:r>
        <w:rPr>
          <w:sz w:val="20"/>
          <w:szCs w:val="20"/>
        </w:rPr>
        <w:t xml:space="preserve"> </w:t>
      </w:r>
      <w:r w:rsidRPr="00514219">
        <w:rPr>
          <w:sz w:val="20"/>
          <w:szCs w:val="20"/>
        </w:rPr>
        <w:t>in 1</w:t>
      </w:r>
      <w:r w:rsidRPr="00514219">
        <w:rPr>
          <w:sz w:val="20"/>
          <w:szCs w:val="20"/>
          <w:vertAlign w:val="superscript"/>
        </w:rPr>
        <w:t>st</w:t>
      </w:r>
      <w:r w:rsidRPr="00514219">
        <w:rPr>
          <w:sz w:val="20"/>
          <w:szCs w:val="20"/>
        </w:rPr>
        <w:t xml:space="preserve"> line treatment assumes no change in other 1</w:t>
      </w:r>
      <w:r w:rsidRPr="00514219">
        <w:rPr>
          <w:sz w:val="20"/>
          <w:szCs w:val="20"/>
          <w:vertAlign w:val="superscript"/>
        </w:rPr>
        <w:t>st</w:t>
      </w:r>
      <w:r w:rsidRPr="00514219">
        <w:rPr>
          <w:sz w:val="20"/>
          <w:szCs w:val="20"/>
        </w:rPr>
        <w:t xml:space="preserve"> line treatments.</w:t>
      </w:r>
      <w:r w:rsidR="008C3716">
        <w:rPr>
          <w:sz w:val="20"/>
          <w:szCs w:val="20"/>
        </w:rPr>
        <w:t xml:space="preserve"> Calculated as a percentage of A/C.</w:t>
      </w:r>
    </w:p>
    <w:p w14:paraId="1F516D93" w14:textId="7C53DF8F" w:rsidR="00DC029E" w:rsidRPr="00DC029E" w:rsidRDefault="00DC029E" w:rsidP="00514219">
      <w:pPr>
        <w:contextualSpacing/>
        <w:rPr>
          <w:sz w:val="20"/>
          <w:szCs w:val="20"/>
        </w:rPr>
      </w:pPr>
      <w:proofErr w:type="spellStart"/>
      <w:r w:rsidRPr="00DC029E">
        <w:rPr>
          <w:sz w:val="20"/>
          <w:szCs w:val="20"/>
          <w:vertAlign w:val="superscript"/>
        </w:rPr>
        <w:t>c</w:t>
      </w:r>
      <w:r>
        <w:rPr>
          <w:sz w:val="20"/>
          <w:szCs w:val="20"/>
        </w:rPr>
        <w:t>Total</w:t>
      </w:r>
      <w:proofErr w:type="spellEnd"/>
      <w:r>
        <w:rPr>
          <w:sz w:val="20"/>
          <w:szCs w:val="20"/>
        </w:rPr>
        <w:t xml:space="preserve"> first line treatment not including</w:t>
      </w:r>
      <w:r w:rsidRPr="00DC029E">
        <w:rPr>
          <w:sz w:val="20"/>
          <w:szCs w:val="20"/>
        </w:rPr>
        <w:t xml:space="preserve"> rituximab </w:t>
      </w:r>
      <w:r w:rsidR="009B6457">
        <w:rPr>
          <w:sz w:val="20"/>
          <w:szCs w:val="20"/>
        </w:rPr>
        <w:t>in combination with</w:t>
      </w:r>
      <w:r w:rsidRPr="00DC029E">
        <w:rPr>
          <w:sz w:val="20"/>
          <w:szCs w:val="20"/>
        </w:rPr>
        <w:t xml:space="preserve"> chlorambucil</w:t>
      </w:r>
      <w:r w:rsidR="006F2B12">
        <w:rPr>
          <w:sz w:val="20"/>
          <w:szCs w:val="20"/>
        </w:rPr>
        <w:t>.</w:t>
      </w:r>
    </w:p>
    <w:p w14:paraId="0782AA14" w14:textId="3A14EB13" w:rsidR="00CC3007" w:rsidRDefault="00E742F6" w:rsidP="00CC3007">
      <w:pPr>
        <w:spacing w:after="0"/>
        <w:rPr>
          <w:sz w:val="20"/>
          <w:szCs w:val="20"/>
        </w:rPr>
      </w:pPr>
      <w:r w:rsidRPr="00E742F6">
        <w:rPr>
          <w:sz w:val="20"/>
          <w:szCs w:val="20"/>
          <w:vertAlign w:val="superscript"/>
        </w:rPr>
        <w:t>d</w:t>
      </w:r>
      <w:r w:rsidR="004E6990" w:rsidRPr="004E6990">
        <w:rPr>
          <w:sz w:val="20"/>
          <w:szCs w:val="20"/>
        </w:rPr>
        <w:t>2020 take</w:t>
      </w:r>
      <w:r w:rsidR="00010D68">
        <w:rPr>
          <w:sz w:val="20"/>
          <w:szCs w:val="20"/>
        </w:rPr>
        <w:t>n</w:t>
      </w:r>
      <w:r w:rsidR="004E6990" w:rsidRPr="004E6990">
        <w:rPr>
          <w:sz w:val="20"/>
          <w:szCs w:val="20"/>
        </w:rPr>
        <w:t xml:space="preserve"> as year for eligible population for yea</w:t>
      </w:r>
      <w:r w:rsidR="003361D3">
        <w:rPr>
          <w:sz w:val="20"/>
          <w:szCs w:val="20"/>
        </w:rPr>
        <w:t xml:space="preserve">r </w:t>
      </w:r>
      <w:r w:rsidR="004E6990" w:rsidRPr="004E6990">
        <w:rPr>
          <w:sz w:val="20"/>
          <w:szCs w:val="20"/>
        </w:rPr>
        <w:t>1.</w:t>
      </w:r>
    </w:p>
    <w:p w14:paraId="4F8B0275" w14:textId="473E6994" w:rsidR="008C3716" w:rsidRPr="008C3716" w:rsidRDefault="008C3716" w:rsidP="00CC3007">
      <w:pPr>
        <w:spacing w:after="0"/>
        <w:rPr>
          <w:sz w:val="20"/>
          <w:szCs w:val="20"/>
        </w:rPr>
      </w:pPr>
      <w:proofErr w:type="spellStart"/>
      <w:r>
        <w:rPr>
          <w:sz w:val="20"/>
          <w:szCs w:val="20"/>
          <w:vertAlign w:val="superscript"/>
        </w:rPr>
        <w:t>e</w:t>
      </w:r>
      <w:r>
        <w:rPr>
          <w:sz w:val="20"/>
          <w:szCs w:val="20"/>
        </w:rPr>
        <w:t>Calculated</w:t>
      </w:r>
      <w:proofErr w:type="spellEnd"/>
      <w:r>
        <w:rPr>
          <w:sz w:val="20"/>
          <w:szCs w:val="20"/>
        </w:rPr>
        <w:t xml:space="preserve"> as a percentage of A/F. </w:t>
      </w:r>
    </w:p>
    <w:p w14:paraId="532F221A" w14:textId="5222DFA0" w:rsidR="00CC3007" w:rsidRDefault="00CC3007" w:rsidP="00CC3007">
      <w:pPr>
        <w:spacing w:after="0"/>
        <w:rPr>
          <w:sz w:val="20"/>
          <w:szCs w:val="20"/>
        </w:rPr>
      </w:pPr>
    </w:p>
    <w:p w14:paraId="1EE9D1DF" w14:textId="0B251C33" w:rsidR="00481553" w:rsidRDefault="00481553" w:rsidP="00CC3007">
      <w:pPr>
        <w:spacing w:after="0"/>
        <w:rPr>
          <w:sz w:val="20"/>
          <w:szCs w:val="20"/>
        </w:rPr>
      </w:pPr>
    </w:p>
    <w:p w14:paraId="29B78F3E" w14:textId="77777777" w:rsidR="00481553" w:rsidRDefault="00481553" w:rsidP="00CC3007">
      <w:pPr>
        <w:spacing w:after="0"/>
        <w:rPr>
          <w:sz w:val="20"/>
          <w:szCs w:val="20"/>
        </w:rPr>
      </w:pPr>
    </w:p>
    <w:p w14:paraId="3EFDEEC3" w14:textId="77777777" w:rsidR="00CC3007" w:rsidRPr="004E6990" w:rsidRDefault="00CC3007" w:rsidP="00CC3007">
      <w:pPr>
        <w:spacing w:after="0"/>
        <w:rPr>
          <w:sz w:val="20"/>
          <w:szCs w:val="20"/>
        </w:rPr>
      </w:pPr>
    </w:p>
    <w:p w14:paraId="7E55B56B" w14:textId="0DB9F2A9" w:rsidR="000E577A" w:rsidRDefault="0056387D" w:rsidP="00A35800">
      <w:r>
        <w:rPr>
          <w:noProof/>
        </w:rPr>
        <w:lastRenderedPageBreak/>
        <w:drawing>
          <wp:inline distT="0" distB="0" distL="0" distR="0" wp14:anchorId="319EE39C" wp14:editId="61BDB9C4">
            <wp:extent cx="5687695" cy="3817620"/>
            <wp:effectExtent l="0" t="0" r="8255" b="11430"/>
            <wp:docPr id="2" name="Chart 2">
              <a:extLst xmlns:a="http://schemas.openxmlformats.org/drawingml/2006/main">
                <a:ext uri="{FF2B5EF4-FFF2-40B4-BE49-F238E27FC236}">
                  <a16:creationId xmlns:a16="http://schemas.microsoft.com/office/drawing/2014/main" id="{835E8110-704D-40AA-9944-2CEB5A918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E669B4D" w14:textId="500E3060" w:rsidR="004C7ADA" w:rsidRDefault="0061761D" w:rsidP="001C6C89">
      <w:pPr>
        <w:spacing w:before="20"/>
        <w:rPr>
          <w:b/>
          <w:bCs/>
        </w:rPr>
      </w:pPr>
      <w:r w:rsidRPr="00D111D2">
        <w:rPr>
          <w:b/>
          <w:bCs/>
        </w:rPr>
        <w:t xml:space="preserve">Figure </w:t>
      </w:r>
      <w:r>
        <w:rPr>
          <w:b/>
          <w:bCs/>
        </w:rPr>
        <w:t>3</w:t>
      </w:r>
      <w:r w:rsidRPr="00D111D2">
        <w:rPr>
          <w:b/>
          <w:bCs/>
        </w:rPr>
        <w:t>: Number of treated incident patients by quarter</w:t>
      </w:r>
      <w:r>
        <w:rPr>
          <w:b/>
          <w:bCs/>
        </w:rPr>
        <w:t xml:space="preserve"> with second</w:t>
      </w:r>
      <w:r w:rsidRPr="00D111D2">
        <w:rPr>
          <w:b/>
          <w:bCs/>
        </w:rPr>
        <w:t xml:space="preserve"> line</w:t>
      </w:r>
      <w:r>
        <w:rPr>
          <w:b/>
          <w:bCs/>
        </w:rPr>
        <w:t xml:space="preserve"> </w:t>
      </w:r>
      <w:r w:rsidRPr="00D111D2">
        <w:rPr>
          <w:b/>
          <w:bCs/>
        </w:rPr>
        <w:t>therapy</w:t>
      </w:r>
      <w:r w:rsidR="006A3636">
        <w:rPr>
          <w:b/>
          <w:bCs/>
        </w:rPr>
        <w:t xml:space="preserve"> and</w:t>
      </w:r>
      <w:r>
        <w:rPr>
          <w:b/>
          <w:bCs/>
        </w:rPr>
        <w:t xml:space="preserve"> </w:t>
      </w:r>
      <w:proofErr w:type="spellStart"/>
      <w:r>
        <w:rPr>
          <w:b/>
          <w:bCs/>
        </w:rPr>
        <w:t>venetoclax</w:t>
      </w:r>
      <w:proofErr w:type="spellEnd"/>
      <w:r w:rsidR="006A3636">
        <w:rPr>
          <w:b/>
          <w:bCs/>
        </w:rPr>
        <w:t xml:space="preserve"> </w:t>
      </w:r>
      <w:r>
        <w:rPr>
          <w:b/>
          <w:bCs/>
        </w:rPr>
        <w:t>for first line therapy</w:t>
      </w:r>
    </w:p>
    <w:p w14:paraId="5B4F1D91" w14:textId="453FAC35" w:rsidR="001C6C89" w:rsidRPr="00247C96" w:rsidRDefault="00247C96" w:rsidP="0061761D">
      <w:r>
        <w:t xml:space="preserve">Figure 3 </w:t>
      </w:r>
      <w:r w:rsidR="0019410D">
        <w:t xml:space="preserve">and Table </w:t>
      </w:r>
      <w:r w:rsidR="00D2756D">
        <w:t>8</w:t>
      </w:r>
      <w:r w:rsidR="0019410D">
        <w:t xml:space="preserve"> </w:t>
      </w:r>
      <w:r>
        <w:t xml:space="preserve">shows the </w:t>
      </w:r>
      <w:r w:rsidR="00E742F6">
        <w:t xml:space="preserve">possible </w:t>
      </w:r>
      <w:r>
        <w:t xml:space="preserve">effect of </w:t>
      </w:r>
      <w:proofErr w:type="spellStart"/>
      <w:r>
        <w:t>venetoclax</w:t>
      </w:r>
      <w:proofErr w:type="spellEnd"/>
      <w:r>
        <w:t xml:space="preserve"> for first-line treatment of CLL</w:t>
      </w:r>
      <w:r w:rsidR="00EE41B1">
        <w:t>/SLL</w:t>
      </w:r>
      <w:r>
        <w:t xml:space="preserve"> on </w:t>
      </w:r>
      <w:r w:rsidR="00E742F6">
        <w:t xml:space="preserve">the utilisation of </w:t>
      </w:r>
      <w:r>
        <w:t>second</w:t>
      </w:r>
      <w:r w:rsidR="004703B8">
        <w:t>-line treatment</w:t>
      </w:r>
      <w:r w:rsidR="00E742F6">
        <w:t>s</w:t>
      </w:r>
      <w:r w:rsidR="004703B8">
        <w:t xml:space="preserve"> </w:t>
      </w:r>
      <w:r w:rsidR="00E742F6">
        <w:t>for</w:t>
      </w:r>
      <w:r w:rsidR="004703B8">
        <w:t xml:space="preserve"> CLL</w:t>
      </w:r>
      <w:r w:rsidR="00EE41B1">
        <w:t>/SLL</w:t>
      </w:r>
      <w:r w:rsidR="004703B8">
        <w:t>.</w:t>
      </w:r>
      <w:r w:rsidR="00E742F6">
        <w:t xml:space="preserve"> </w:t>
      </w:r>
      <w:r w:rsidR="001847BD">
        <w:t>T</w:t>
      </w:r>
      <w:r w:rsidR="001C22EE">
        <w:t xml:space="preserve">he total number of patients initiating second-line therapy has remained stable since listing of </w:t>
      </w:r>
      <w:proofErr w:type="spellStart"/>
      <w:r w:rsidR="001C22EE">
        <w:t>venetoclax</w:t>
      </w:r>
      <w:proofErr w:type="spellEnd"/>
      <w:r w:rsidR="001C22EE">
        <w:t xml:space="preserve"> for first-line therapy. </w:t>
      </w:r>
    </w:p>
    <w:p w14:paraId="5EF295D9" w14:textId="6370D15F" w:rsidR="00E019C8" w:rsidRPr="00D07006" w:rsidRDefault="00C15023" w:rsidP="00E742F6">
      <w:pPr>
        <w:spacing w:before="200" w:after="20"/>
        <w:rPr>
          <w:b/>
          <w:bCs/>
        </w:rPr>
      </w:pPr>
      <w:r w:rsidRPr="00D07006">
        <w:rPr>
          <w:b/>
          <w:bCs/>
        </w:rPr>
        <w:t xml:space="preserve">Table </w:t>
      </w:r>
      <w:r w:rsidR="00D2756D">
        <w:rPr>
          <w:b/>
          <w:bCs/>
        </w:rPr>
        <w:t>8</w:t>
      </w:r>
      <w:r w:rsidRPr="00D07006">
        <w:rPr>
          <w:b/>
          <w:bCs/>
        </w:rPr>
        <w:t xml:space="preserve">: </w:t>
      </w:r>
      <w:r w:rsidR="006A3636" w:rsidRPr="00D07006">
        <w:rPr>
          <w:b/>
          <w:bCs/>
        </w:rPr>
        <w:t xml:space="preserve">Number of treated incident patients </w:t>
      </w:r>
      <w:r w:rsidR="00D07006">
        <w:rPr>
          <w:b/>
          <w:bCs/>
        </w:rPr>
        <w:t xml:space="preserve">with </w:t>
      </w:r>
      <w:proofErr w:type="spellStart"/>
      <w:r w:rsidR="00D07006">
        <w:rPr>
          <w:b/>
          <w:bCs/>
        </w:rPr>
        <w:t>venetoclax</w:t>
      </w:r>
      <w:proofErr w:type="spellEnd"/>
      <w:r w:rsidR="00D07006">
        <w:rPr>
          <w:b/>
          <w:bCs/>
        </w:rPr>
        <w:t xml:space="preserve"> and 2</w:t>
      </w:r>
      <w:r w:rsidR="00D07006" w:rsidRPr="00D07006">
        <w:rPr>
          <w:b/>
          <w:bCs/>
          <w:vertAlign w:val="superscript"/>
        </w:rPr>
        <w:t>nd</w:t>
      </w:r>
      <w:r w:rsidR="00D07006">
        <w:rPr>
          <w:b/>
          <w:bCs/>
        </w:rPr>
        <w:t xml:space="preserve"> line therapies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1411"/>
        <w:gridCol w:w="1411"/>
        <w:gridCol w:w="1411"/>
        <w:gridCol w:w="1411"/>
      </w:tblGrid>
      <w:tr w:rsidR="00F82744" w:rsidRPr="00496DD0" w14:paraId="43166D98" w14:textId="77777777" w:rsidTr="001C5ECB">
        <w:trPr>
          <w:trHeight w:val="347"/>
        </w:trPr>
        <w:tc>
          <w:tcPr>
            <w:tcW w:w="1923" w:type="pct"/>
            <w:shd w:val="clear" w:color="auto" w:fill="BFBFBF" w:themeFill="background1" w:themeFillShade="BF"/>
            <w:noWrap/>
            <w:hideMark/>
          </w:tcPr>
          <w:p w14:paraId="574B878A" w14:textId="4522AB74" w:rsidR="00F82744" w:rsidRPr="000A43C5" w:rsidRDefault="00F82744" w:rsidP="00E742F6">
            <w:pPr>
              <w:spacing w:before="60" w:after="60"/>
              <w:rPr>
                <w:rFonts w:ascii="Calibri" w:eastAsia="Times New Roman" w:hAnsi="Calibri" w:cs="Calibri"/>
                <w:color w:val="000000"/>
                <w:sz w:val="20"/>
                <w:szCs w:val="20"/>
              </w:rPr>
            </w:pPr>
          </w:p>
        </w:tc>
        <w:tc>
          <w:tcPr>
            <w:tcW w:w="769" w:type="pct"/>
            <w:shd w:val="clear" w:color="auto" w:fill="BFBFBF" w:themeFill="background1" w:themeFillShade="BF"/>
          </w:tcPr>
          <w:p w14:paraId="6A489289" w14:textId="742CBBD8" w:rsidR="00F82744" w:rsidRPr="000A43C5" w:rsidRDefault="00F82744" w:rsidP="00E742F6">
            <w:pPr>
              <w:spacing w:before="60" w:after="60"/>
              <w:jc w:val="center"/>
              <w:rPr>
                <w:rFonts w:ascii="Calibri" w:hAnsi="Calibri" w:cs="Calibri"/>
                <w:b/>
                <w:bCs/>
                <w:color w:val="000000"/>
                <w:sz w:val="20"/>
                <w:szCs w:val="20"/>
              </w:rPr>
            </w:pPr>
            <w:r w:rsidRPr="000A43C5">
              <w:rPr>
                <w:rFonts w:ascii="Calibri" w:hAnsi="Calibri" w:cs="Calibri"/>
                <w:b/>
                <w:bCs/>
                <w:color w:val="000000"/>
                <w:sz w:val="20"/>
                <w:szCs w:val="20"/>
              </w:rPr>
              <w:t>Year-2</w:t>
            </w:r>
            <w:r w:rsidR="004E20F0" w:rsidRPr="000A43C5">
              <w:rPr>
                <w:rFonts w:ascii="Calibri" w:hAnsi="Calibri" w:cs="Calibri"/>
                <w:b/>
                <w:bCs/>
                <w:color w:val="000000"/>
                <w:sz w:val="20"/>
                <w:szCs w:val="20"/>
                <w:vertAlign w:val="superscript"/>
              </w:rPr>
              <w:t>a</w:t>
            </w:r>
          </w:p>
        </w:tc>
        <w:tc>
          <w:tcPr>
            <w:tcW w:w="769" w:type="pct"/>
            <w:shd w:val="clear" w:color="auto" w:fill="BFBFBF" w:themeFill="background1" w:themeFillShade="BF"/>
          </w:tcPr>
          <w:p w14:paraId="797B886F" w14:textId="372A3BE5" w:rsidR="00F82744" w:rsidRPr="000A43C5" w:rsidRDefault="00F82744" w:rsidP="00E742F6">
            <w:pPr>
              <w:spacing w:before="60" w:after="60"/>
              <w:jc w:val="center"/>
              <w:rPr>
                <w:rFonts w:ascii="Calibri" w:hAnsi="Calibri" w:cs="Calibri"/>
                <w:b/>
                <w:bCs/>
                <w:color w:val="000000"/>
                <w:sz w:val="20"/>
                <w:szCs w:val="20"/>
              </w:rPr>
            </w:pPr>
            <w:r w:rsidRPr="000A43C5">
              <w:rPr>
                <w:rFonts w:ascii="Calibri" w:hAnsi="Calibri" w:cs="Calibri"/>
                <w:b/>
                <w:bCs/>
                <w:color w:val="000000"/>
                <w:sz w:val="20"/>
                <w:szCs w:val="20"/>
              </w:rPr>
              <w:t>Year-1</w:t>
            </w:r>
            <w:r w:rsidRPr="000A43C5">
              <w:rPr>
                <w:rFonts w:ascii="Calibri" w:hAnsi="Calibri" w:cs="Calibri"/>
                <w:b/>
                <w:bCs/>
                <w:color w:val="000000"/>
                <w:sz w:val="20"/>
                <w:szCs w:val="20"/>
                <w:vertAlign w:val="superscript"/>
              </w:rPr>
              <w:t>a</w:t>
            </w:r>
          </w:p>
        </w:tc>
        <w:tc>
          <w:tcPr>
            <w:tcW w:w="769" w:type="pct"/>
            <w:shd w:val="clear" w:color="auto" w:fill="BFBFBF" w:themeFill="background1" w:themeFillShade="BF"/>
            <w:noWrap/>
            <w:hideMark/>
          </w:tcPr>
          <w:p w14:paraId="132DF134" w14:textId="77777777" w:rsidR="00F82744" w:rsidRPr="000A43C5" w:rsidRDefault="00F82744" w:rsidP="00E742F6">
            <w:pPr>
              <w:spacing w:before="60" w:after="60"/>
              <w:jc w:val="center"/>
              <w:rPr>
                <w:rFonts w:ascii="Calibri" w:eastAsia="Times New Roman" w:hAnsi="Calibri" w:cs="Calibri"/>
                <w:b/>
                <w:bCs/>
                <w:color w:val="000000"/>
                <w:sz w:val="20"/>
                <w:szCs w:val="20"/>
              </w:rPr>
            </w:pPr>
            <w:r w:rsidRPr="000A43C5">
              <w:rPr>
                <w:rFonts w:ascii="Calibri" w:eastAsia="Times New Roman" w:hAnsi="Calibri" w:cs="Calibri"/>
                <w:b/>
                <w:bCs/>
                <w:color w:val="000000"/>
                <w:sz w:val="20"/>
                <w:szCs w:val="20"/>
              </w:rPr>
              <w:t>Year1</w:t>
            </w:r>
            <w:r w:rsidRPr="000A43C5">
              <w:rPr>
                <w:rFonts w:ascii="Calibri" w:eastAsia="Times New Roman" w:hAnsi="Calibri" w:cs="Calibri"/>
                <w:b/>
                <w:bCs/>
                <w:color w:val="000000"/>
                <w:sz w:val="20"/>
                <w:szCs w:val="20"/>
                <w:vertAlign w:val="superscript"/>
              </w:rPr>
              <w:t>a</w:t>
            </w:r>
          </w:p>
        </w:tc>
        <w:tc>
          <w:tcPr>
            <w:tcW w:w="769" w:type="pct"/>
            <w:shd w:val="clear" w:color="auto" w:fill="BFBFBF" w:themeFill="background1" w:themeFillShade="BF"/>
            <w:noWrap/>
            <w:hideMark/>
          </w:tcPr>
          <w:p w14:paraId="648B1A80" w14:textId="77777777" w:rsidR="00F82744" w:rsidRPr="000A43C5" w:rsidRDefault="00F82744" w:rsidP="00E742F6">
            <w:pPr>
              <w:spacing w:before="60" w:after="60"/>
              <w:jc w:val="center"/>
              <w:rPr>
                <w:rFonts w:ascii="Calibri" w:eastAsia="Times New Roman" w:hAnsi="Calibri" w:cs="Calibri"/>
                <w:b/>
                <w:bCs/>
                <w:color w:val="000000"/>
                <w:sz w:val="20"/>
                <w:szCs w:val="20"/>
              </w:rPr>
            </w:pPr>
            <w:r w:rsidRPr="000A43C5">
              <w:rPr>
                <w:rFonts w:ascii="Calibri" w:eastAsia="Times New Roman" w:hAnsi="Calibri" w:cs="Calibri"/>
                <w:b/>
                <w:bCs/>
                <w:color w:val="000000"/>
                <w:sz w:val="20"/>
                <w:szCs w:val="20"/>
              </w:rPr>
              <w:t>Year2</w:t>
            </w:r>
            <w:r w:rsidRPr="000A43C5">
              <w:rPr>
                <w:rFonts w:ascii="Calibri" w:eastAsia="Times New Roman" w:hAnsi="Calibri" w:cs="Calibri"/>
                <w:b/>
                <w:bCs/>
                <w:color w:val="000000"/>
                <w:sz w:val="20"/>
                <w:szCs w:val="20"/>
                <w:vertAlign w:val="superscript"/>
              </w:rPr>
              <w:t>a</w:t>
            </w:r>
          </w:p>
        </w:tc>
      </w:tr>
      <w:tr w:rsidR="00E9587F" w:rsidRPr="00496DD0" w14:paraId="11BC09AF" w14:textId="77777777" w:rsidTr="001C5ECB">
        <w:trPr>
          <w:trHeight w:val="300"/>
        </w:trPr>
        <w:tc>
          <w:tcPr>
            <w:tcW w:w="1923" w:type="pct"/>
            <w:shd w:val="clear" w:color="auto" w:fill="auto"/>
            <w:noWrap/>
            <w:hideMark/>
          </w:tcPr>
          <w:p w14:paraId="4E772D65" w14:textId="1BC51619" w:rsidR="00E9587F" w:rsidRPr="000A43C5" w:rsidRDefault="00E9587F" w:rsidP="00E742F6">
            <w:pPr>
              <w:spacing w:before="60" w:after="60"/>
              <w:rPr>
                <w:rFonts w:ascii="Calibri" w:eastAsia="Times New Roman" w:hAnsi="Calibri" w:cs="Calibri"/>
                <w:color w:val="000000"/>
                <w:sz w:val="20"/>
                <w:szCs w:val="20"/>
              </w:rPr>
            </w:pPr>
            <w:proofErr w:type="spellStart"/>
            <w:r w:rsidRPr="000A43C5">
              <w:rPr>
                <w:rFonts w:ascii="Calibri" w:eastAsia="Times New Roman" w:hAnsi="Calibri" w:cs="Calibri"/>
                <w:color w:val="000000"/>
                <w:sz w:val="20"/>
                <w:szCs w:val="20"/>
              </w:rPr>
              <w:t>Venetoclax</w:t>
            </w:r>
            <w:proofErr w:type="spellEnd"/>
            <w:r w:rsidR="004C7ADA">
              <w:rPr>
                <w:rFonts w:ascii="Calibri" w:eastAsia="Times New Roman" w:hAnsi="Calibri" w:cs="Calibri"/>
                <w:color w:val="000000"/>
                <w:sz w:val="20"/>
                <w:szCs w:val="20"/>
              </w:rPr>
              <w:t xml:space="preserve"> for</w:t>
            </w:r>
            <w:r w:rsidRPr="000A43C5">
              <w:rPr>
                <w:rFonts w:ascii="Calibri" w:eastAsia="Times New Roman" w:hAnsi="Calibri" w:cs="Calibri"/>
                <w:color w:val="000000"/>
                <w:sz w:val="20"/>
                <w:szCs w:val="20"/>
              </w:rPr>
              <w:t xml:space="preserve"> 1</w:t>
            </w:r>
            <w:r w:rsidRPr="000A43C5">
              <w:rPr>
                <w:rFonts w:ascii="Calibri" w:eastAsia="Times New Roman" w:hAnsi="Calibri" w:cs="Calibri"/>
                <w:color w:val="000000"/>
                <w:sz w:val="20"/>
                <w:szCs w:val="20"/>
                <w:vertAlign w:val="superscript"/>
              </w:rPr>
              <w:t>st</w:t>
            </w:r>
            <w:r w:rsidRPr="000A43C5">
              <w:rPr>
                <w:rFonts w:ascii="Calibri" w:eastAsia="Times New Roman" w:hAnsi="Calibri" w:cs="Calibri"/>
                <w:color w:val="000000"/>
                <w:sz w:val="20"/>
                <w:szCs w:val="20"/>
              </w:rPr>
              <w:t xml:space="preserve"> line Therapy</w:t>
            </w:r>
          </w:p>
        </w:tc>
        <w:tc>
          <w:tcPr>
            <w:tcW w:w="769" w:type="pct"/>
          </w:tcPr>
          <w:p w14:paraId="63040816" w14:textId="03B5FB8C" w:rsidR="00E9587F" w:rsidRPr="000A43C5" w:rsidRDefault="00E9587F" w:rsidP="00E742F6">
            <w:pPr>
              <w:spacing w:before="60" w:after="60"/>
              <w:jc w:val="center"/>
              <w:rPr>
                <w:rFonts w:ascii="Calibri" w:eastAsia="Times New Roman" w:hAnsi="Calibri" w:cs="Calibri"/>
                <w:color w:val="000000"/>
                <w:sz w:val="20"/>
                <w:szCs w:val="20"/>
              </w:rPr>
            </w:pPr>
            <w:r w:rsidRPr="000A43C5">
              <w:rPr>
                <w:rFonts w:ascii="Calibri" w:eastAsia="Times New Roman" w:hAnsi="Calibri" w:cs="Calibri"/>
                <w:color w:val="000000"/>
                <w:sz w:val="20"/>
                <w:szCs w:val="20"/>
              </w:rPr>
              <w:t>NA</w:t>
            </w:r>
          </w:p>
        </w:tc>
        <w:tc>
          <w:tcPr>
            <w:tcW w:w="769" w:type="pct"/>
          </w:tcPr>
          <w:p w14:paraId="47034E21" w14:textId="7D2A8382" w:rsidR="00E9587F" w:rsidRPr="000A43C5" w:rsidRDefault="00E9587F" w:rsidP="00E742F6">
            <w:pPr>
              <w:spacing w:before="60" w:after="60"/>
              <w:jc w:val="center"/>
              <w:rPr>
                <w:rFonts w:ascii="Calibri" w:eastAsia="Times New Roman" w:hAnsi="Calibri" w:cs="Calibri"/>
                <w:color w:val="000000"/>
                <w:sz w:val="20"/>
                <w:szCs w:val="20"/>
              </w:rPr>
            </w:pPr>
            <w:r w:rsidRPr="000A43C5">
              <w:rPr>
                <w:rFonts w:ascii="Calibri" w:eastAsia="Times New Roman" w:hAnsi="Calibri" w:cs="Calibri"/>
                <w:color w:val="000000"/>
                <w:sz w:val="20"/>
                <w:szCs w:val="20"/>
              </w:rPr>
              <w:t>NA</w:t>
            </w:r>
          </w:p>
        </w:tc>
        <w:tc>
          <w:tcPr>
            <w:tcW w:w="769" w:type="pct"/>
            <w:shd w:val="clear" w:color="auto" w:fill="auto"/>
            <w:noWrap/>
          </w:tcPr>
          <w:p w14:paraId="64D923A0" w14:textId="4C7885A7" w:rsidR="00E9587F" w:rsidRPr="000A43C5" w:rsidRDefault="00E9587F" w:rsidP="00E742F6">
            <w:pPr>
              <w:spacing w:before="60" w:after="60"/>
              <w:jc w:val="center"/>
              <w:rPr>
                <w:rFonts w:ascii="Calibri" w:eastAsia="Times New Roman" w:hAnsi="Calibri" w:cs="Calibri"/>
                <w:color w:val="000000"/>
                <w:sz w:val="20"/>
                <w:szCs w:val="20"/>
              </w:rPr>
            </w:pPr>
            <w:r w:rsidRPr="000A43C5">
              <w:rPr>
                <w:sz w:val="20"/>
                <w:szCs w:val="20"/>
              </w:rPr>
              <w:t>553</w:t>
            </w:r>
          </w:p>
        </w:tc>
        <w:tc>
          <w:tcPr>
            <w:tcW w:w="769" w:type="pct"/>
            <w:shd w:val="clear" w:color="auto" w:fill="auto"/>
            <w:noWrap/>
          </w:tcPr>
          <w:p w14:paraId="79389095" w14:textId="46AC333B" w:rsidR="00E9587F" w:rsidRPr="000A43C5" w:rsidRDefault="00E9587F" w:rsidP="00E742F6">
            <w:pPr>
              <w:spacing w:before="60" w:after="60"/>
              <w:jc w:val="center"/>
              <w:rPr>
                <w:rFonts w:ascii="Calibri" w:eastAsia="Times New Roman" w:hAnsi="Calibri" w:cs="Calibri"/>
                <w:color w:val="000000"/>
                <w:sz w:val="20"/>
                <w:szCs w:val="20"/>
              </w:rPr>
            </w:pPr>
            <w:r w:rsidRPr="000A43C5">
              <w:rPr>
                <w:sz w:val="20"/>
                <w:szCs w:val="20"/>
              </w:rPr>
              <w:t>563</w:t>
            </w:r>
          </w:p>
        </w:tc>
      </w:tr>
      <w:tr w:rsidR="0056387D" w:rsidRPr="00496DD0" w14:paraId="76E87F69" w14:textId="77777777" w:rsidTr="001C5ECB">
        <w:trPr>
          <w:trHeight w:val="300"/>
        </w:trPr>
        <w:tc>
          <w:tcPr>
            <w:tcW w:w="1923" w:type="pct"/>
            <w:shd w:val="clear" w:color="auto" w:fill="auto"/>
            <w:noWrap/>
            <w:vAlign w:val="center"/>
          </w:tcPr>
          <w:p w14:paraId="75CC4980" w14:textId="7B0F46B0" w:rsidR="0056387D" w:rsidRPr="000A43C5" w:rsidRDefault="0056387D" w:rsidP="00E742F6">
            <w:pPr>
              <w:spacing w:before="60" w:after="60"/>
              <w:rPr>
                <w:rFonts w:ascii="Calibri" w:eastAsia="Times New Roman" w:hAnsi="Calibri" w:cs="Calibri"/>
                <w:color w:val="000000"/>
                <w:sz w:val="20"/>
                <w:szCs w:val="20"/>
              </w:rPr>
            </w:pPr>
            <w:r w:rsidRPr="000A43C5">
              <w:rPr>
                <w:rFonts w:ascii="Calibri" w:eastAsia="Times New Roman" w:hAnsi="Calibri" w:cs="Calibri"/>
                <w:color w:val="000000"/>
                <w:sz w:val="20"/>
                <w:szCs w:val="20"/>
              </w:rPr>
              <w:t>Total 2</w:t>
            </w:r>
            <w:r w:rsidRPr="000A43C5">
              <w:rPr>
                <w:rFonts w:ascii="Calibri" w:eastAsia="Times New Roman" w:hAnsi="Calibri" w:cs="Calibri"/>
                <w:color w:val="000000"/>
                <w:sz w:val="20"/>
                <w:szCs w:val="20"/>
                <w:vertAlign w:val="superscript"/>
              </w:rPr>
              <w:t>nd</w:t>
            </w:r>
            <w:r w:rsidRPr="000A43C5">
              <w:rPr>
                <w:rFonts w:ascii="Calibri" w:eastAsia="Times New Roman" w:hAnsi="Calibri" w:cs="Calibri"/>
                <w:color w:val="000000"/>
                <w:sz w:val="20"/>
                <w:szCs w:val="20"/>
              </w:rPr>
              <w:t xml:space="preserve"> line Therapies</w:t>
            </w:r>
          </w:p>
        </w:tc>
        <w:tc>
          <w:tcPr>
            <w:tcW w:w="769" w:type="pct"/>
          </w:tcPr>
          <w:p w14:paraId="09C20634" w14:textId="2D36FC2F" w:rsidR="0056387D" w:rsidRPr="000A43C5" w:rsidRDefault="0056387D" w:rsidP="00E742F6">
            <w:pPr>
              <w:spacing w:before="60" w:after="60"/>
              <w:jc w:val="center"/>
              <w:rPr>
                <w:rFonts w:ascii="Calibri" w:hAnsi="Calibri" w:cs="Calibri"/>
                <w:color w:val="000000"/>
                <w:sz w:val="20"/>
                <w:szCs w:val="20"/>
              </w:rPr>
            </w:pPr>
            <w:r w:rsidRPr="000A43C5">
              <w:rPr>
                <w:sz w:val="20"/>
                <w:szCs w:val="20"/>
              </w:rPr>
              <w:t>872</w:t>
            </w:r>
          </w:p>
        </w:tc>
        <w:tc>
          <w:tcPr>
            <w:tcW w:w="769" w:type="pct"/>
            <w:shd w:val="clear" w:color="auto" w:fill="auto"/>
          </w:tcPr>
          <w:p w14:paraId="00E5E9F0" w14:textId="6E7F6FFD" w:rsidR="0056387D" w:rsidRPr="000A43C5" w:rsidRDefault="0056387D" w:rsidP="00E742F6">
            <w:pPr>
              <w:spacing w:before="60" w:after="60"/>
              <w:jc w:val="center"/>
              <w:rPr>
                <w:rFonts w:ascii="Calibri" w:eastAsia="Times New Roman" w:hAnsi="Calibri" w:cs="Calibri"/>
                <w:color w:val="000000"/>
                <w:sz w:val="20"/>
                <w:szCs w:val="20"/>
              </w:rPr>
            </w:pPr>
            <w:r w:rsidRPr="000A43C5">
              <w:rPr>
                <w:sz w:val="20"/>
                <w:szCs w:val="20"/>
              </w:rPr>
              <w:t>1</w:t>
            </w:r>
            <w:r w:rsidR="00026196">
              <w:rPr>
                <w:sz w:val="20"/>
                <w:szCs w:val="20"/>
              </w:rPr>
              <w:t>,</w:t>
            </w:r>
            <w:r w:rsidRPr="000A43C5">
              <w:rPr>
                <w:sz w:val="20"/>
                <w:szCs w:val="20"/>
              </w:rPr>
              <w:t>053</w:t>
            </w:r>
          </w:p>
        </w:tc>
        <w:tc>
          <w:tcPr>
            <w:tcW w:w="769" w:type="pct"/>
            <w:shd w:val="clear" w:color="auto" w:fill="auto"/>
            <w:noWrap/>
          </w:tcPr>
          <w:p w14:paraId="0F4C4D32" w14:textId="29F83D0A" w:rsidR="0056387D" w:rsidRPr="000A43C5" w:rsidRDefault="0056387D" w:rsidP="00E742F6">
            <w:pPr>
              <w:spacing w:before="60" w:after="60"/>
              <w:jc w:val="center"/>
              <w:rPr>
                <w:rFonts w:ascii="Calibri" w:eastAsia="Times New Roman" w:hAnsi="Calibri" w:cs="Calibri"/>
                <w:color w:val="000000"/>
                <w:sz w:val="20"/>
                <w:szCs w:val="20"/>
              </w:rPr>
            </w:pPr>
            <w:r w:rsidRPr="000A43C5">
              <w:rPr>
                <w:sz w:val="20"/>
                <w:szCs w:val="20"/>
              </w:rPr>
              <w:t>1</w:t>
            </w:r>
            <w:r w:rsidR="00026196">
              <w:rPr>
                <w:sz w:val="20"/>
                <w:szCs w:val="20"/>
              </w:rPr>
              <w:t>,</w:t>
            </w:r>
            <w:r w:rsidRPr="000A43C5">
              <w:rPr>
                <w:sz w:val="20"/>
                <w:szCs w:val="20"/>
              </w:rPr>
              <w:t>034</w:t>
            </w:r>
          </w:p>
        </w:tc>
        <w:tc>
          <w:tcPr>
            <w:tcW w:w="769" w:type="pct"/>
            <w:shd w:val="clear" w:color="auto" w:fill="auto"/>
            <w:noWrap/>
          </w:tcPr>
          <w:p w14:paraId="7D3A22B2" w14:textId="334A737D" w:rsidR="0056387D" w:rsidRPr="000A43C5" w:rsidRDefault="0056387D" w:rsidP="00E742F6">
            <w:pPr>
              <w:spacing w:before="60" w:after="60"/>
              <w:jc w:val="center"/>
              <w:rPr>
                <w:rFonts w:ascii="Calibri" w:eastAsia="Times New Roman" w:hAnsi="Calibri" w:cs="Calibri"/>
                <w:color w:val="000000"/>
                <w:sz w:val="20"/>
                <w:szCs w:val="20"/>
              </w:rPr>
            </w:pPr>
            <w:r w:rsidRPr="000A43C5">
              <w:rPr>
                <w:sz w:val="20"/>
                <w:szCs w:val="20"/>
              </w:rPr>
              <w:t>1</w:t>
            </w:r>
            <w:r w:rsidR="00026196">
              <w:rPr>
                <w:sz w:val="20"/>
                <w:szCs w:val="20"/>
              </w:rPr>
              <w:t>,</w:t>
            </w:r>
            <w:r w:rsidRPr="000A43C5">
              <w:rPr>
                <w:sz w:val="20"/>
                <w:szCs w:val="20"/>
              </w:rPr>
              <w:t>063</w:t>
            </w:r>
          </w:p>
        </w:tc>
      </w:tr>
    </w:tbl>
    <w:p w14:paraId="3665ABB0" w14:textId="719FF28B" w:rsidR="006A3636" w:rsidRPr="006A3636" w:rsidRDefault="006A3636" w:rsidP="000A43C5">
      <w:pPr>
        <w:spacing w:after="0"/>
        <w:rPr>
          <w:sz w:val="20"/>
          <w:szCs w:val="20"/>
        </w:rPr>
      </w:pPr>
      <w:r>
        <w:rPr>
          <w:sz w:val="20"/>
          <w:szCs w:val="20"/>
        </w:rPr>
        <w:t>Note:</w:t>
      </w:r>
    </w:p>
    <w:p w14:paraId="11FA5660" w14:textId="38B46C95" w:rsidR="00AB2C5D" w:rsidRDefault="00AB2C5D" w:rsidP="00AB2C5D">
      <w:pPr>
        <w:spacing w:after="0"/>
        <w:rPr>
          <w:sz w:val="20"/>
          <w:szCs w:val="20"/>
        </w:rPr>
      </w:pPr>
      <w:proofErr w:type="spellStart"/>
      <w:r w:rsidRPr="00F94204">
        <w:rPr>
          <w:sz w:val="20"/>
          <w:szCs w:val="20"/>
          <w:vertAlign w:val="superscript"/>
        </w:rPr>
        <w:t>a</w:t>
      </w:r>
      <w:r w:rsidRPr="00F94204">
        <w:rPr>
          <w:sz w:val="20"/>
          <w:szCs w:val="20"/>
        </w:rPr>
        <w:t>The</w:t>
      </w:r>
      <w:proofErr w:type="spellEnd"/>
      <w:r w:rsidRPr="00F94204">
        <w:rPr>
          <w:sz w:val="20"/>
          <w:szCs w:val="20"/>
        </w:rPr>
        <w:t xml:space="preserve"> figures are presented in listing years (</w:t>
      </w:r>
      <w:r>
        <w:rPr>
          <w:sz w:val="20"/>
          <w:szCs w:val="20"/>
        </w:rPr>
        <w:t>December</w:t>
      </w:r>
      <w:r w:rsidRPr="00F94204">
        <w:rPr>
          <w:sz w:val="20"/>
          <w:szCs w:val="20"/>
        </w:rPr>
        <w:t xml:space="preserve"> to </w:t>
      </w:r>
      <w:r>
        <w:rPr>
          <w:sz w:val="20"/>
          <w:szCs w:val="20"/>
        </w:rPr>
        <w:t>November</w:t>
      </w:r>
      <w:r w:rsidRPr="00F94204">
        <w:rPr>
          <w:sz w:val="20"/>
          <w:szCs w:val="20"/>
        </w:rPr>
        <w:t>)</w:t>
      </w:r>
      <w:r w:rsidR="006A3636">
        <w:rPr>
          <w:sz w:val="20"/>
          <w:szCs w:val="20"/>
        </w:rPr>
        <w:t xml:space="preserve"> </w:t>
      </w:r>
      <w:r w:rsidR="006A3636" w:rsidRPr="006A3636">
        <w:rPr>
          <w:sz w:val="20"/>
          <w:szCs w:val="20"/>
        </w:rPr>
        <w:t>and given for years prior to and post listing</w:t>
      </w:r>
      <w:r w:rsidR="006A3636">
        <w:rPr>
          <w:sz w:val="20"/>
          <w:szCs w:val="20"/>
        </w:rPr>
        <w:t>.</w:t>
      </w:r>
    </w:p>
    <w:p w14:paraId="61D3620A" w14:textId="44051720" w:rsidR="00AE00D5" w:rsidRDefault="00D07006" w:rsidP="000A43C5">
      <w:pPr>
        <w:rPr>
          <w:sz w:val="20"/>
          <w:szCs w:val="20"/>
        </w:rPr>
      </w:pPr>
      <w:r w:rsidRPr="000A43C5">
        <w:rPr>
          <w:sz w:val="20"/>
          <w:szCs w:val="20"/>
        </w:rPr>
        <w:t>For patients who are not appropriate for fludarabine based therapy.</w:t>
      </w:r>
    </w:p>
    <w:p w14:paraId="288BDE42" w14:textId="3CADCFC6" w:rsidR="00535F7A" w:rsidRPr="00535F7A" w:rsidRDefault="00535F7A" w:rsidP="00F242C0">
      <w:pPr>
        <w:spacing w:after="0"/>
        <w:rPr>
          <w:b/>
          <w:bCs/>
          <w:i/>
          <w:iCs/>
        </w:rPr>
      </w:pPr>
      <w:r w:rsidRPr="00535F7A">
        <w:rPr>
          <w:b/>
          <w:bCs/>
          <w:i/>
          <w:iCs/>
        </w:rPr>
        <w:t>Treatment sequence</w:t>
      </w:r>
    </w:p>
    <w:p w14:paraId="0C87A25C" w14:textId="77777777" w:rsidR="00535F7A" w:rsidRDefault="00535F7A" w:rsidP="00F242C0">
      <w:pPr>
        <w:spacing w:after="0"/>
      </w:pPr>
    </w:p>
    <w:p w14:paraId="2CCA3EA4" w14:textId="2DB48357" w:rsidR="00F83095" w:rsidRDefault="00F242C0" w:rsidP="00F242C0">
      <w:pPr>
        <w:spacing w:after="0"/>
      </w:pPr>
      <w:r w:rsidRPr="00535F7A">
        <w:t>Table</w:t>
      </w:r>
      <w:r w:rsidR="009F66DD">
        <w:t>s</w:t>
      </w:r>
      <w:r w:rsidRPr="00535F7A">
        <w:t xml:space="preserve"> </w:t>
      </w:r>
      <w:r w:rsidR="00D2756D">
        <w:t>9</w:t>
      </w:r>
      <w:r w:rsidRPr="00535F7A">
        <w:t xml:space="preserve"> provides informa</w:t>
      </w:r>
      <w:r w:rsidR="00C3427E">
        <w:t>tion</w:t>
      </w:r>
      <w:r w:rsidR="00236DE5">
        <w:t xml:space="preserve"> on treatment sequence for </w:t>
      </w:r>
      <w:proofErr w:type="spellStart"/>
      <w:r w:rsidR="00E742F6">
        <w:t>venetoclax</w:t>
      </w:r>
      <w:proofErr w:type="spellEnd"/>
      <w:r w:rsidR="00E742F6">
        <w:t xml:space="preserve"> for first-line </w:t>
      </w:r>
      <w:r w:rsidR="005B6EA2">
        <w:t xml:space="preserve">therapy </w:t>
      </w:r>
      <w:r w:rsidR="00236DE5">
        <w:t xml:space="preserve">and </w:t>
      </w:r>
      <w:r w:rsidR="005B6EA2">
        <w:t xml:space="preserve">other </w:t>
      </w:r>
      <w:r w:rsidR="00E742F6">
        <w:t>second-line</w:t>
      </w:r>
      <w:r w:rsidR="00236DE5">
        <w:t xml:space="preserve"> therap</w:t>
      </w:r>
      <w:r w:rsidR="00E742F6">
        <w:t>ies</w:t>
      </w:r>
      <w:r w:rsidR="00236DE5">
        <w:t xml:space="preserve"> for CLL</w:t>
      </w:r>
      <w:r w:rsidR="00EE41B1">
        <w:t>/SLL</w:t>
      </w:r>
      <w:r w:rsidR="00236DE5">
        <w:t xml:space="preserve"> for f</w:t>
      </w:r>
      <w:r w:rsidR="00236DE5" w:rsidRPr="00236DE5">
        <w:t>ludarabine inappropriate</w:t>
      </w:r>
      <w:r w:rsidR="00236DE5">
        <w:t xml:space="preserve"> patients.</w:t>
      </w:r>
      <w:r w:rsidR="00E742F6">
        <w:t xml:space="preserve"> </w:t>
      </w:r>
    </w:p>
    <w:p w14:paraId="401B5C93" w14:textId="77777777" w:rsidR="00F83095" w:rsidRDefault="00F83095" w:rsidP="00F242C0">
      <w:pPr>
        <w:spacing w:after="0"/>
      </w:pPr>
    </w:p>
    <w:p w14:paraId="7E2D071E" w14:textId="591E7534" w:rsidR="00F242C0" w:rsidRDefault="00F83095" w:rsidP="006F2B12">
      <w:pPr>
        <w:spacing w:after="0"/>
      </w:pPr>
      <w:r>
        <w:t xml:space="preserve">Table </w:t>
      </w:r>
      <w:r w:rsidR="00D2756D">
        <w:t>9</w:t>
      </w:r>
      <w:r>
        <w:t xml:space="preserve"> </w:t>
      </w:r>
      <w:r w:rsidR="00D2756D">
        <w:t>i</w:t>
      </w:r>
      <w:r w:rsidR="001C22EE">
        <w:t>ndicat</w:t>
      </w:r>
      <w:r w:rsidR="0006124C">
        <w:t>es</w:t>
      </w:r>
      <w:r w:rsidR="001C22EE">
        <w:t xml:space="preserve"> that </w:t>
      </w:r>
      <w:r w:rsidR="00333059">
        <w:t>s</w:t>
      </w:r>
      <w:r w:rsidR="00333059" w:rsidRPr="00333059">
        <w:t xml:space="preserve">ince first listing on 1 December 2020 to 31 August 2023, for patients whose first ever supply of </w:t>
      </w:r>
      <w:proofErr w:type="spellStart"/>
      <w:r w:rsidR="00333059">
        <w:t>venetoclax</w:t>
      </w:r>
      <w:proofErr w:type="spellEnd"/>
      <w:r w:rsidR="00333059">
        <w:t xml:space="preserve"> was for first-line therapy for </w:t>
      </w:r>
      <w:r w:rsidR="00333059" w:rsidRPr="00333059">
        <w:t>CLL</w:t>
      </w:r>
      <w:r w:rsidR="00333059">
        <w:t>/</w:t>
      </w:r>
      <w:r w:rsidR="00333059" w:rsidRPr="00333059">
        <w:t xml:space="preserve">SLL, </w:t>
      </w:r>
      <w:proofErr w:type="gramStart"/>
      <w:r w:rsidR="00333059" w:rsidRPr="00333059">
        <w:t>the majority of</w:t>
      </w:r>
      <w:proofErr w:type="gramEnd"/>
      <w:r w:rsidR="00333059" w:rsidRPr="00333059">
        <w:t xml:space="preserve"> patients were only supplied </w:t>
      </w:r>
      <w:proofErr w:type="spellStart"/>
      <w:r w:rsidR="00333059" w:rsidRPr="00333059">
        <w:t>venetoclax</w:t>
      </w:r>
      <w:proofErr w:type="spellEnd"/>
      <w:r w:rsidR="00333059" w:rsidRPr="00333059">
        <w:t xml:space="preserve"> </w:t>
      </w:r>
      <w:r w:rsidR="00333059">
        <w:t xml:space="preserve">for </w:t>
      </w:r>
      <w:r w:rsidR="00333059" w:rsidRPr="00333059">
        <w:t xml:space="preserve">first-line </w:t>
      </w:r>
      <w:r w:rsidR="00333059">
        <w:t>therapy</w:t>
      </w:r>
      <w:r w:rsidR="00333059" w:rsidRPr="00333059">
        <w:t xml:space="preserve">. Only a small proportion of </w:t>
      </w:r>
      <w:r w:rsidR="00333059" w:rsidRPr="00333059">
        <w:lastRenderedPageBreak/>
        <w:t xml:space="preserve">patients had a further supply of </w:t>
      </w:r>
      <w:proofErr w:type="spellStart"/>
      <w:r w:rsidR="00333059">
        <w:t>venetoclax</w:t>
      </w:r>
      <w:proofErr w:type="spellEnd"/>
      <w:r w:rsidR="00333059" w:rsidRPr="00333059">
        <w:t xml:space="preserve"> for the treatment of </w:t>
      </w:r>
      <w:proofErr w:type="gramStart"/>
      <w:r w:rsidR="00EC35CF">
        <w:t>second-line</w:t>
      </w:r>
      <w:proofErr w:type="gramEnd"/>
      <w:r w:rsidR="00EC35CF">
        <w:t xml:space="preserve"> (</w:t>
      </w:r>
      <w:r w:rsidR="00333059" w:rsidRPr="00333059">
        <w:t>relapsed or refractory</w:t>
      </w:r>
      <w:r w:rsidR="00333059">
        <w:t xml:space="preserve"> </w:t>
      </w:r>
      <w:r w:rsidR="00EC35CF">
        <w:t xml:space="preserve">(RR)) </w:t>
      </w:r>
      <w:r w:rsidR="00333059">
        <w:t>CLL/SLL</w:t>
      </w:r>
      <w:r w:rsidR="00333059" w:rsidRPr="00333059">
        <w:t>.</w:t>
      </w:r>
    </w:p>
    <w:p w14:paraId="008326B5" w14:textId="77777777" w:rsidR="006F2B12" w:rsidRPr="00535F7A" w:rsidRDefault="006F2B12" w:rsidP="006F2B12">
      <w:pPr>
        <w:spacing w:after="0"/>
      </w:pPr>
    </w:p>
    <w:p w14:paraId="73568035" w14:textId="4AA14D11" w:rsidR="003F78E8" w:rsidRPr="006F2B12" w:rsidRDefault="003F78E8" w:rsidP="003F78E8">
      <w:pPr>
        <w:tabs>
          <w:tab w:val="left" w:pos="2470"/>
        </w:tabs>
        <w:spacing w:after="0"/>
        <w:contextualSpacing/>
        <w:rPr>
          <w:rFonts w:ascii="Calibri" w:eastAsia="Calibri" w:hAnsi="Calibri" w:cs="Times New Roman"/>
          <w:b/>
          <w:bCs/>
          <w:lang w:eastAsia="en-US"/>
        </w:rPr>
      </w:pPr>
      <w:r w:rsidRPr="006F2B12">
        <w:rPr>
          <w:rFonts w:ascii="Calibri" w:eastAsia="Calibri" w:hAnsi="Calibri" w:cs="Times New Roman"/>
          <w:b/>
          <w:bCs/>
          <w:lang w:eastAsia="en-US"/>
        </w:rPr>
        <w:t xml:space="preserve">Table 9 Sequence of CLL and SLL listing supplied for patients first initiating on </w:t>
      </w:r>
      <w:proofErr w:type="spellStart"/>
      <w:r w:rsidRPr="006F2B12">
        <w:rPr>
          <w:rFonts w:ascii="Calibri" w:eastAsia="Calibri" w:hAnsi="Calibri" w:cs="Times New Roman"/>
          <w:b/>
          <w:bCs/>
          <w:lang w:eastAsia="en-US"/>
        </w:rPr>
        <w:t>venetoclax</w:t>
      </w:r>
      <w:proofErr w:type="spellEnd"/>
      <w:r w:rsidRPr="006F2B12">
        <w:rPr>
          <w:rFonts w:ascii="Calibri" w:eastAsia="Calibri" w:hAnsi="Calibri" w:cs="Times New Roman"/>
          <w:b/>
          <w:bCs/>
          <w:lang w:eastAsia="en-US"/>
        </w:rPr>
        <w:t xml:space="preserve"> for first-line treatment</w:t>
      </w:r>
    </w:p>
    <w:tbl>
      <w:tblPr>
        <w:tblW w:w="9180" w:type="dxa"/>
        <w:tblLook w:val="04A0" w:firstRow="1" w:lastRow="0" w:firstColumn="1" w:lastColumn="0" w:noHBand="0" w:noVBand="1"/>
      </w:tblPr>
      <w:tblGrid>
        <w:gridCol w:w="5637"/>
        <w:gridCol w:w="1417"/>
        <w:gridCol w:w="2126"/>
      </w:tblGrid>
      <w:tr w:rsidR="009211F1" w:rsidRPr="003F78E8" w14:paraId="36EE5E0B" w14:textId="77777777" w:rsidTr="001C5ECB">
        <w:trPr>
          <w:trHeight w:val="290"/>
        </w:trPr>
        <w:tc>
          <w:tcPr>
            <w:tcW w:w="5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8816278" w14:textId="77777777" w:rsidR="003F78E8" w:rsidRPr="00987FF4" w:rsidRDefault="003F78E8" w:rsidP="001C5ECB">
            <w:pPr>
              <w:spacing w:before="60" w:after="60"/>
              <w:rPr>
                <w:rFonts w:ascii="Calibri" w:eastAsia="Times New Roman" w:hAnsi="Calibri" w:cs="Calibri"/>
                <w:b/>
                <w:bCs/>
                <w:sz w:val="20"/>
                <w:szCs w:val="20"/>
              </w:rPr>
            </w:pPr>
            <w:r w:rsidRPr="00987FF4">
              <w:rPr>
                <w:rFonts w:ascii="Calibri" w:eastAsia="Times New Roman" w:hAnsi="Calibri" w:cs="Calibri"/>
                <w:b/>
                <w:bCs/>
                <w:sz w:val="20"/>
                <w:szCs w:val="20"/>
              </w:rPr>
              <w:t>Sequence of drug regimen</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76AB811D" w14:textId="77777777" w:rsidR="003F78E8" w:rsidRPr="00987FF4" w:rsidRDefault="003F78E8" w:rsidP="001C5ECB">
            <w:pPr>
              <w:spacing w:before="60" w:after="60"/>
              <w:jc w:val="center"/>
              <w:rPr>
                <w:rFonts w:ascii="Calibri" w:eastAsia="Times New Roman" w:hAnsi="Calibri" w:cs="Calibri"/>
                <w:b/>
                <w:bCs/>
                <w:sz w:val="20"/>
                <w:szCs w:val="20"/>
              </w:rPr>
            </w:pPr>
            <w:r w:rsidRPr="00987FF4">
              <w:rPr>
                <w:rFonts w:ascii="Calibri" w:eastAsia="Times New Roman" w:hAnsi="Calibri" w:cs="Calibri"/>
                <w:b/>
                <w:bCs/>
                <w:sz w:val="20"/>
                <w:szCs w:val="20"/>
              </w:rPr>
              <w:t>Patient count</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2C85287A" w14:textId="77777777" w:rsidR="003F78E8" w:rsidRPr="00987FF4" w:rsidRDefault="003F78E8" w:rsidP="001C5ECB">
            <w:pPr>
              <w:spacing w:before="60" w:after="60"/>
              <w:jc w:val="center"/>
              <w:rPr>
                <w:rFonts w:ascii="Calibri" w:eastAsia="Times New Roman" w:hAnsi="Calibri" w:cs="Calibri"/>
                <w:b/>
                <w:bCs/>
                <w:sz w:val="20"/>
                <w:szCs w:val="20"/>
              </w:rPr>
            </w:pPr>
            <w:r w:rsidRPr="00987FF4">
              <w:rPr>
                <w:rFonts w:ascii="Calibri" w:eastAsia="Times New Roman" w:hAnsi="Calibri" w:cs="Calibri"/>
                <w:b/>
                <w:bCs/>
                <w:sz w:val="20"/>
                <w:szCs w:val="20"/>
              </w:rPr>
              <w:t>Proportion of initiating patients</w:t>
            </w:r>
          </w:p>
        </w:tc>
      </w:tr>
      <w:tr w:rsidR="009211F1" w:rsidRPr="003F78E8" w14:paraId="5710EC51" w14:textId="77777777" w:rsidTr="009211F1">
        <w:trPr>
          <w:trHeight w:val="290"/>
        </w:trPr>
        <w:tc>
          <w:tcPr>
            <w:tcW w:w="5637" w:type="dxa"/>
            <w:tcBorders>
              <w:top w:val="nil"/>
              <w:left w:val="single" w:sz="4" w:space="0" w:color="auto"/>
              <w:bottom w:val="single" w:sz="4" w:space="0" w:color="auto"/>
              <w:right w:val="single" w:sz="4" w:space="0" w:color="auto"/>
            </w:tcBorders>
            <w:shd w:val="clear" w:color="auto" w:fill="auto"/>
            <w:noWrap/>
            <w:vAlign w:val="bottom"/>
            <w:hideMark/>
          </w:tcPr>
          <w:p w14:paraId="2D71D05D" w14:textId="14DD7BE6" w:rsidR="003F78E8" w:rsidRPr="00987FF4" w:rsidRDefault="009211F1" w:rsidP="001C5ECB">
            <w:pPr>
              <w:spacing w:before="60" w:after="60"/>
              <w:rPr>
                <w:rFonts w:ascii="Calibri" w:eastAsia="Times New Roman" w:hAnsi="Calibri" w:cs="Calibri"/>
                <w:sz w:val="20"/>
                <w:szCs w:val="20"/>
              </w:rPr>
            </w:pPr>
            <w:proofErr w:type="spellStart"/>
            <w:r w:rsidRPr="00987FF4">
              <w:rPr>
                <w:rFonts w:ascii="Calibri" w:eastAsia="Times New Roman" w:hAnsi="Calibri" w:cs="Calibri"/>
                <w:sz w:val="20"/>
                <w:szCs w:val="20"/>
              </w:rPr>
              <w:t>Venetoclax</w:t>
            </w:r>
            <w:proofErr w:type="spellEnd"/>
            <w:r w:rsidRPr="00987FF4">
              <w:rPr>
                <w:rFonts w:ascii="Calibri" w:eastAsia="Times New Roman" w:hAnsi="Calibri" w:cs="Calibri"/>
                <w:sz w:val="20"/>
                <w:szCs w:val="20"/>
              </w:rPr>
              <w:t xml:space="preserve"> with Obinutuzumab</w:t>
            </w:r>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first line</w:t>
            </w:r>
          </w:p>
        </w:tc>
        <w:tc>
          <w:tcPr>
            <w:tcW w:w="1417" w:type="dxa"/>
            <w:tcBorders>
              <w:top w:val="nil"/>
              <w:left w:val="nil"/>
              <w:bottom w:val="single" w:sz="4" w:space="0" w:color="auto"/>
              <w:right w:val="single" w:sz="4" w:space="0" w:color="auto"/>
            </w:tcBorders>
            <w:shd w:val="clear" w:color="auto" w:fill="auto"/>
            <w:noWrap/>
            <w:vAlign w:val="bottom"/>
            <w:hideMark/>
          </w:tcPr>
          <w:p w14:paraId="02535030" w14:textId="68765ACE"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1</w:t>
            </w:r>
            <w:r w:rsidR="009211F1" w:rsidRPr="00987FF4">
              <w:rPr>
                <w:rFonts w:ascii="Calibri" w:eastAsia="Times New Roman" w:hAnsi="Calibri" w:cs="Calibri"/>
                <w:sz w:val="20"/>
                <w:szCs w:val="20"/>
              </w:rPr>
              <w:t>,</w:t>
            </w:r>
            <w:r w:rsidRPr="00987FF4">
              <w:rPr>
                <w:rFonts w:ascii="Calibri" w:eastAsia="Times New Roman" w:hAnsi="Calibri" w:cs="Calibri"/>
                <w:sz w:val="20"/>
                <w:szCs w:val="20"/>
              </w:rPr>
              <w:t>172</w:t>
            </w:r>
          </w:p>
        </w:tc>
        <w:tc>
          <w:tcPr>
            <w:tcW w:w="2126" w:type="dxa"/>
            <w:tcBorders>
              <w:top w:val="nil"/>
              <w:left w:val="nil"/>
              <w:bottom w:val="single" w:sz="4" w:space="0" w:color="auto"/>
              <w:right w:val="single" w:sz="4" w:space="0" w:color="auto"/>
            </w:tcBorders>
            <w:shd w:val="clear" w:color="auto" w:fill="auto"/>
            <w:noWrap/>
            <w:vAlign w:val="bottom"/>
            <w:hideMark/>
          </w:tcPr>
          <w:p w14:paraId="5137F117"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92.4</w:t>
            </w:r>
          </w:p>
        </w:tc>
      </w:tr>
      <w:tr w:rsidR="009211F1" w:rsidRPr="003F78E8" w14:paraId="4F239A68" w14:textId="77777777" w:rsidTr="009211F1">
        <w:trPr>
          <w:trHeight w:val="290"/>
        </w:trPr>
        <w:tc>
          <w:tcPr>
            <w:tcW w:w="5637" w:type="dxa"/>
            <w:tcBorders>
              <w:top w:val="nil"/>
              <w:left w:val="single" w:sz="4" w:space="0" w:color="auto"/>
              <w:bottom w:val="nil"/>
              <w:right w:val="single" w:sz="4" w:space="0" w:color="auto"/>
            </w:tcBorders>
            <w:shd w:val="clear" w:color="auto" w:fill="auto"/>
            <w:noWrap/>
            <w:vAlign w:val="bottom"/>
            <w:hideMark/>
          </w:tcPr>
          <w:p w14:paraId="3F23992E" w14:textId="3A548E11" w:rsidR="003F78E8" w:rsidRPr="00987FF4" w:rsidRDefault="009211F1" w:rsidP="001C5ECB">
            <w:pPr>
              <w:spacing w:before="60" w:after="60"/>
              <w:rPr>
                <w:rFonts w:ascii="Calibri" w:eastAsia="Times New Roman" w:hAnsi="Calibri" w:cs="Calibri"/>
                <w:sz w:val="20"/>
                <w:szCs w:val="20"/>
              </w:rPr>
            </w:pPr>
            <w:proofErr w:type="spellStart"/>
            <w:r w:rsidRPr="00987FF4">
              <w:rPr>
                <w:rFonts w:ascii="Calibri" w:eastAsia="Times New Roman" w:hAnsi="Calibri" w:cs="Calibri"/>
                <w:sz w:val="20"/>
                <w:szCs w:val="20"/>
              </w:rPr>
              <w:t>Venetoclax</w:t>
            </w:r>
            <w:proofErr w:type="spellEnd"/>
            <w:r w:rsidRPr="00987FF4">
              <w:rPr>
                <w:rFonts w:ascii="Calibri" w:eastAsia="Times New Roman" w:hAnsi="Calibri" w:cs="Calibri"/>
                <w:sz w:val="20"/>
                <w:szCs w:val="20"/>
              </w:rPr>
              <w:t xml:space="preserve"> with Obinutuzumab</w:t>
            </w:r>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 xml:space="preserve">first line -&gt; </w:t>
            </w:r>
            <w:proofErr w:type="spellStart"/>
            <w:r w:rsidRPr="00987FF4">
              <w:rPr>
                <w:rFonts w:ascii="Calibri" w:eastAsia="Times New Roman" w:hAnsi="Calibri" w:cs="Calibri"/>
                <w:sz w:val="20"/>
                <w:szCs w:val="20"/>
              </w:rPr>
              <w:t>Venetoclax</w:t>
            </w:r>
            <w:proofErr w:type="spellEnd"/>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RR</w:t>
            </w:r>
          </w:p>
        </w:tc>
        <w:tc>
          <w:tcPr>
            <w:tcW w:w="1417" w:type="dxa"/>
            <w:tcBorders>
              <w:top w:val="nil"/>
              <w:left w:val="nil"/>
              <w:bottom w:val="nil"/>
              <w:right w:val="single" w:sz="4" w:space="0" w:color="auto"/>
            </w:tcBorders>
            <w:shd w:val="clear" w:color="auto" w:fill="auto"/>
            <w:noWrap/>
            <w:vAlign w:val="bottom"/>
            <w:hideMark/>
          </w:tcPr>
          <w:p w14:paraId="53B85220"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88</w:t>
            </w:r>
          </w:p>
        </w:tc>
        <w:tc>
          <w:tcPr>
            <w:tcW w:w="2126" w:type="dxa"/>
            <w:tcBorders>
              <w:top w:val="nil"/>
              <w:left w:val="nil"/>
              <w:bottom w:val="nil"/>
              <w:right w:val="single" w:sz="4" w:space="0" w:color="auto"/>
            </w:tcBorders>
            <w:shd w:val="clear" w:color="auto" w:fill="auto"/>
            <w:noWrap/>
            <w:vAlign w:val="bottom"/>
            <w:hideMark/>
          </w:tcPr>
          <w:p w14:paraId="61337C5A"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6.9</w:t>
            </w:r>
          </w:p>
        </w:tc>
      </w:tr>
      <w:tr w:rsidR="009211F1" w:rsidRPr="003F78E8" w14:paraId="21622989" w14:textId="77777777" w:rsidTr="009211F1">
        <w:trPr>
          <w:trHeight w:val="290"/>
        </w:trPr>
        <w:tc>
          <w:tcPr>
            <w:tcW w:w="5637" w:type="dxa"/>
            <w:tcBorders>
              <w:top w:val="single" w:sz="4" w:space="0" w:color="auto"/>
              <w:left w:val="single" w:sz="4" w:space="0" w:color="auto"/>
              <w:bottom w:val="nil"/>
              <w:right w:val="single" w:sz="4" w:space="0" w:color="auto"/>
            </w:tcBorders>
            <w:shd w:val="clear" w:color="auto" w:fill="auto"/>
            <w:noWrap/>
            <w:vAlign w:val="bottom"/>
            <w:hideMark/>
          </w:tcPr>
          <w:p w14:paraId="349A1181" w14:textId="77777777" w:rsidR="003F78E8" w:rsidRPr="00987FF4" w:rsidRDefault="003F78E8" w:rsidP="001C5ECB">
            <w:pPr>
              <w:spacing w:before="60" w:after="60"/>
              <w:rPr>
                <w:rFonts w:ascii="Calibri" w:eastAsia="Times New Roman" w:hAnsi="Calibri" w:cs="Calibri"/>
                <w:sz w:val="20"/>
                <w:szCs w:val="20"/>
              </w:rPr>
            </w:pPr>
            <w:r w:rsidRPr="00987FF4">
              <w:rPr>
                <w:rFonts w:ascii="Calibri" w:eastAsia="Times New Roman" w:hAnsi="Calibri" w:cs="Calibri"/>
                <w:sz w:val="20"/>
                <w:szCs w:val="20"/>
              </w:rPr>
              <w:t>Other sequences:</w:t>
            </w:r>
          </w:p>
        </w:tc>
        <w:tc>
          <w:tcPr>
            <w:tcW w:w="1417" w:type="dxa"/>
            <w:tcBorders>
              <w:top w:val="single" w:sz="4" w:space="0" w:color="auto"/>
              <w:left w:val="nil"/>
              <w:bottom w:val="nil"/>
              <w:right w:val="single" w:sz="4" w:space="0" w:color="auto"/>
            </w:tcBorders>
            <w:shd w:val="clear" w:color="auto" w:fill="auto"/>
            <w:noWrap/>
            <w:vAlign w:val="bottom"/>
            <w:hideMark/>
          </w:tcPr>
          <w:p w14:paraId="159E43CE"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8</w:t>
            </w:r>
          </w:p>
        </w:tc>
        <w:tc>
          <w:tcPr>
            <w:tcW w:w="2126" w:type="dxa"/>
            <w:tcBorders>
              <w:top w:val="single" w:sz="4" w:space="0" w:color="auto"/>
              <w:left w:val="nil"/>
              <w:bottom w:val="nil"/>
              <w:right w:val="single" w:sz="4" w:space="0" w:color="auto"/>
            </w:tcBorders>
            <w:shd w:val="clear" w:color="auto" w:fill="auto"/>
            <w:noWrap/>
            <w:vAlign w:val="bottom"/>
            <w:hideMark/>
          </w:tcPr>
          <w:p w14:paraId="739BE351"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0.6</w:t>
            </w:r>
          </w:p>
        </w:tc>
      </w:tr>
      <w:tr w:rsidR="009211F1" w:rsidRPr="003F78E8" w14:paraId="77A29042" w14:textId="77777777" w:rsidTr="009211F1">
        <w:trPr>
          <w:trHeight w:val="290"/>
        </w:trPr>
        <w:tc>
          <w:tcPr>
            <w:tcW w:w="5637" w:type="dxa"/>
            <w:tcBorders>
              <w:top w:val="nil"/>
              <w:left w:val="single" w:sz="4" w:space="0" w:color="auto"/>
              <w:bottom w:val="nil"/>
              <w:right w:val="single" w:sz="4" w:space="0" w:color="auto"/>
            </w:tcBorders>
            <w:shd w:val="clear" w:color="auto" w:fill="auto"/>
            <w:noWrap/>
            <w:vAlign w:val="bottom"/>
            <w:hideMark/>
          </w:tcPr>
          <w:p w14:paraId="632DB595" w14:textId="58DAEFA7" w:rsidR="003F78E8" w:rsidRPr="00987FF4" w:rsidRDefault="009211F1" w:rsidP="001C5ECB">
            <w:pPr>
              <w:spacing w:before="60" w:after="60"/>
              <w:rPr>
                <w:rFonts w:ascii="Calibri" w:eastAsia="Times New Roman" w:hAnsi="Calibri" w:cs="Calibri"/>
                <w:sz w:val="20"/>
                <w:szCs w:val="20"/>
              </w:rPr>
            </w:pPr>
            <w:proofErr w:type="spellStart"/>
            <w:r w:rsidRPr="00987FF4">
              <w:rPr>
                <w:rFonts w:ascii="Calibri" w:eastAsia="Times New Roman" w:hAnsi="Calibri" w:cs="Calibri"/>
                <w:sz w:val="20"/>
                <w:szCs w:val="20"/>
              </w:rPr>
              <w:t>Venetoclax</w:t>
            </w:r>
            <w:proofErr w:type="spellEnd"/>
            <w:r w:rsidRPr="00987FF4">
              <w:rPr>
                <w:rFonts w:ascii="Calibri" w:eastAsia="Times New Roman" w:hAnsi="Calibri" w:cs="Calibri"/>
                <w:sz w:val="20"/>
                <w:szCs w:val="20"/>
              </w:rPr>
              <w:t xml:space="preserve"> with Obinutuzumab </w:t>
            </w:r>
            <w:r w:rsidR="003F78E8" w:rsidRPr="00987FF4">
              <w:rPr>
                <w:rFonts w:ascii="Calibri" w:eastAsia="Times New Roman" w:hAnsi="Calibri" w:cs="Calibri"/>
                <w:sz w:val="20"/>
                <w:szCs w:val="20"/>
              </w:rPr>
              <w:t xml:space="preserve">first line -&gt; </w:t>
            </w:r>
            <w:r w:rsidRPr="00987FF4">
              <w:rPr>
                <w:rFonts w:ascii="Calibri" w:eastAsia="Times New Roman" w:hAnsi="Calibri" w:cs="Calibri"/>
                <w:sz w:val="20"/>
                <w:szCs w:val="20"/>
              </w:rPr>
              <w:t xml:space="preserve">Acalabrutinib </w:t>
            </w:r>
            <w:r w:rsidR="003F78E8" w:rsidRPr="00987FF4">
              <w:rPr>
                <w:rFonts w:ascii="Calibri" w:eastAsia="Times New Roman" w:hAnsi="Calibri" w:cs="Calibri"/>
                <w:sz w:val="20"/>
                <w:szCs w:val="20"/>
              </w:rPr>
              <w:t>RR</w:t>
            </w:r>
          </w:p>
        </w:tc>
        <w:tc>
          <w:tcPr>
            <w:tcW w:w="1417" w:type="dxa"/>
            <w:tcBorders>
              <w:top w:val="nil"/>
              <w:left w:val="nil"/>
              <w:bottom w:val="nil"/>
              <w:right w:val="single" w:sz="4" w:space="0" w:color="auto"/>
            </w:tcBorders>
            <w:shd w:val="clear" w:color="auto" w:fill="auto"/>
            <w:noWrap/>
            <w:vAlign w:val="bottom"/>
            <w:hideMark/>
          </w:tcPr>
          <w:p w14:paraId="6B9BF9AE"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c>
          <w:tcPr>
            <w:tcW w:w="2126" w:type="dxa"/>
            <w:tcBorders>
              <w:top w:val="nil"/>
              <w:left w:val="nil"/>
              <w:bottom w:val="nil"/>
              <w:right w:val="single" w:sz="4" w:space="0" w:color="auto"/>
            </w:tcBorders>
            <w:shd w:val="clear" w:color="auto" w:fill="auto"/>
            <w:noWrap/>
            <w:vAlign w:val="bottom"/>
            <w:hideMark/>
          </w:tcPr>
          <w:p w14:paraId="59C67F45"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r>
      <w:tr w:rsidR="009211F1" w:rsidRPr="003F78E8" w14:paraId="1678F810" w14:textId="77777777" w:rsidTr="009211F1">
        <w:trPr>
          <w:trHeight w:val="290"/>
        </w:trPr>
        <w:tc>
          <w:tcPr>
            <w:tcW w:w="5637" w:type="dxa"/>
            <w:tcBorders>
              <w:top w:val="nil"/>
              <w:left w:val="single" w:sz="4" w:space="0" w:color="auto"/>
              <w:bottom w:val="nil"/>
              <w:right w:val="single" w:sz="4" w:space="0" w:color="auto"/>
            </w:tcBorders>
            <w:shd w:val="clear" w:color="auto" w:fill="auto"/>
            <w:noWrap/>
            <w:vAlign w:val="bottom"/>
            <w:hideMark/>
          </w:tcPr>
          <w:p w14:paraId="30F65350" w14:textId="035F5BDD" w:rsidR="003F78E8" w:rsidRPr="00987FF4" w:rsidRDefault="009211F1" w:rsidP="001C5ECB">
            <w:pPr>
              <w:spacing w:before="60" w:after="60"/>
              <w:rPr>
                <w:rFonts w:ascii="Calibri" w:eastAsia="Times New Roman" w:hAnsi="Calibri" w:cs="Calibri"/>
                <w:sz w:val="20"/>
                <w:szCs w:val="20"/>
              </w:rPr>
            </w:pPr>
            <w:proofErr w:type="spellStart"/>
            <w:r w:rsidRPr="00987FF4">
              <w:rPr>
                <w:rFonts w:ascii="Calibri" w:eastAsia="Times New Roman" w:hAnsi="Calibri" w:cs="Calibri"/>
                <w:sz w:val="20"/>
                <w:szCs w:val="20"/>
              </w:rPr>
              <w:t>Venetoclax</w:t>
            </w:r>
            <w:proofErr w:type="spellEnd"/>
            <w:r w:rsidRPr="00987FF4">
              <w:rPr>
                <w:rFonts w:ascii="Calibri" w:eastAsia="Times New Roman" w:hAnsi="Calibri" w:cs="Calibri"/>
                <w:sz w:val="20"/>
                <w:szCs w:val="20"/>
              </w:rPr>
              <w:t xml:space="preserve"> with Obinutuzumab</w:t>
            </w:r>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 xml:space="preserve">first line -&gt; </w:t>
            </w:r>
            <w:proofErr w:type="spellStart"/>
            <w:r w:rsidRPr="00987FF4">
              <w:rPr>
                <w:rFonts w:ascii="Calibri" w:eastAsia="Times New Roman" w:hAnsi="Calibri" w:cs="Calibri"/>
                <w:sz w:val="20"/>
                <w:szCs w:val="20"/>
              </w:rPr>
              <w:t>Ibrutinib</w:t>
            </w:r>
            <w:r w:rsidR="003F78E8" w:rsidRPr="00987FF4">
              <w:rPr>
                <w:rFonts w:ascii="Calibri" w:eastAsia="Times New Roman" w:hAnsi="Calibri" w:cs="Calibri"/>
                <w:sz w:val="20"/>
                <w:szCs w:val="20"/>
              </w:rPr>
              <w:t>RR</w:t>
            </w:r>
            <w:proofErr w:type="spellEnd"/>
          </w:p>
        </w:tc>
        <w:tc>
          <w:tcPr>
            <w:tcW w:w="1417" w:type="dxa"/>
            <w:tcBorders>
              <w:top w:val="nil"/>
              <w:left w:val="nil"/>
              <w:bottom w:val="nil"/>
              <w:right w:val="single" w:sz="4" w:space="0" w:color="auto"/>
            </w:tcBorders>
            <w:shd w:val="clear" w:color="auto" w:fill="auto"/>
            <w:noWrap/>
            <w:vAlign w:val="bottom"/>
            <w:hideMark/>
          </w:tcPr>
          <w:p w14:paraId="74E6E6D2"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c>
          <w:tcPr>
            <w:tcW w:w="2126" w:type="dxa"/>
            <w:tcBorders>
              <w:top w:val="nil"/>
              <w:left w:val="nil"/>
              <w:bottom w:val="nil"/>
              <w:right w:val="single" w:sz="4" w:space="0" w:color="auto"/>
            </w:tcBorders>
            <w:shd w:val="clear" w:color="auto" w:fill="auto"/>
            <w:noWrap/>
            <w:vAlign w:val="bottom"/>
            <w:hideMark/>
          </w:tcPr>
          <w:p w14:paraId="5932006C"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r>
      <w:tr w:rsidR="009211F1" w:rsidRPr="003F78E8" w14:paraId="6FF18953" w14:textId="77777777" w:rsidTr="009211F1">
        <w:trPr>
          <w:trHeight w:val="290"/>
        </w:trPr>
        <w:tc>
          <w:tcPr>
            <w:tcW w:w="5637" w:type="dxa"/>
            <w:tcBorders>
              <w:top w:val="nil"/>
              <w:left w:val="single" w:sz="4" w:space="0" w:color="auto"/>
              <w:bottom w:val="nil"/>
              <w:right w:val="single" w:sz="4" w:space="0" w:color="auto"/>
            </w:tcBorders>
            <w:shd w:val="clear" w:color="auto" w:fill="auto"/>
            <w:noWrap/>
            <w:vAlign w:val="bottom"/>
            <w:hideMark/>
          </w:tcPr>
          <w:p w14:paraId="36A6EA67" w14:textId="4D6D200E" w:rsidR="003F78E8" w:rsidRPr="00987FF4" w:rsidRDefault="009211F1" w:rsidP="001C5ECB">
            <w:pPr>
              <w:spacing w:before="60" w:after="60"/>
              <w:rPr>
                <w:rFonts w:ascii="Calibri" w:eastAsia="Times New Roman" w:hAnsi="Calibri" w:cs="Calibri"/>
                <w:sz w:val="20"/>
                <w:szCs w:val="20"/>
              </w:rPr>
            </w:pPr>
            <w:proofErr w:type="spellStart"/>
            <w:r w:rsidRPr="00987FF4">
              <w:rPr>
                <w:rFonts w:ascii="Calibri" w:eastAsia="Times New Roman" w:hAnsi="Calibri" w:cs="Calibri"/>
                <w:sz w:val="20"/>
                <w:szCs w:val="20"/>
              </w:rPr>
              <w:t>Venetoclax</w:t>
            </w:r>
            <w:proofErr w:type="spellEnd"/>
            <w:r w:rsidRPr="00987FF4">
              <w:rPr>
                <w:rFonts w:ascii="Calibri" w:eastAsia="Times New Roman" w:hAnsi="Calibri" w:cs="Calibri"/>
                <w:sz w:val="20"/>
                <w:szCs w:val="20"/>
              </w:rPr>
              <w:t xml:space="preserve"> with Obinutuzumab</w:t>
            </w:r>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 xml:space="preserve">first line -&gt; </w:t>
            </w:r>
            <w:proofErr w:type="spellStart"/>
            <w:r w:rsidRPr="00987FF4">
              <w:rPr>
                <w:rFonts w:ascii="Calibri" w:eastAsia="Times New Roman" w:hAnsi="Calibri" w:cs="Calibri"/>
                <w:sz w:val="20"/>
                <w:szCs w:val="20"/>
              </w:rPr>
              <w:t>Venetoclax</w:t>
            </w:r>
            <w:proofErr w:type="spellEnd"/>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 xml:space="preserve">RR -&gt; </w:t>
            </w:r>
            <w:r w:rsidRPr="00987FF4">
              <w:rPr>
                <w:rFonts w:ascii="Calibri" w:eastAsia="Times New Roman" w:hAnsi="Calibri" w:cs="Calibri"/>
                <w:sz w:val="20"/>
                <w:szCs w:val="20"/>
              </w:rPr>
              <w:t>Acalabrutinib</w:t>
            </w:r>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RR</w:t>
            </w:r>
          </w:p>
        </w:tc>
        <w:tc>
          <w:tcPr>
            <w:tcW w:w="1417" w:type="dxa"/>
            <w:tcBorders>
              <w:top w:val="nil"/>
              <w:left w:val="nil"/>
              <w:bottom w:val="nil"/>
              <w:right w:val="single" w:sz="4" w:space="0" w:color="auto"/>
            </w:tcBorders>
            <w:shd w:val="clear" w:color="auto" w:fill="auto"/>
            <w:noWrap/>
            <w:vAlign w:val="bottom"/>
            <w:hideMark/>
          </w:tcPr>
          <w:p w14:paraId="3C7B3F92"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c>
          <w:tcPr>
            <w:tcW w:w="2126" w:type="dxa"/>
            <w:tcBorders>
              <w:top w:val="nil"/>
              <w:left w:val="nil"/>
              <w:bottom w:val="nil"/>
              <w:right w:val="single" w:sz="4" w:space="0" w:color="auto"/>
            </w:tcBorders>
            <w:shd w:val="clear" w:color="auto" w:fill="auto"/>
            <w:noWrap/>
            <w:vAlign w:val="bottom"/>
            <w:hideMark/>
          </w:tcPr>
          <w:p w14:paraId="5F4288D2"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r>
      <w:tr w:rsidR="009211F1" w:rsidRPr="003F78E8" w14:paraId="09AD02C9" w14:textId="77777777" w:rsidTr="009211F1">
        <w:trPr>
          <w:trHeight w:val="290"/>
        </w:trPr>
        <w:tc>
          <w:tcPr>
            <w:tcW w:w="5637" w:type="dxa"/>
            <w:tcBorders>
              <w:top w:val="nil"/>
              <w:left w:val="single" w:sz="4" w:space="0" w:color="auto"/>
              <w:bottom w:val="single" w:sz="4" w:space="0" w:color="auto"/>
              <w:right w:val="single" w:sz="4" w:space="0" w:color="auto"/>
            </w:tcBorders>
            <w:shd w:val="clear" w:color="auto" w:fill="auto"/>
            <w:noWrap/>
            <w:vAlign w:val="bottom"/>
            <w:hideMark/>
          </w:tcPr>
          <w:p w14:paraId="74466441" w14:textId="6E739638" w:rsidR="003F78E8" w:rsidRPr="00987FF4" w:rsidRDefault="009211F1" w:rsidP="001C5ECB">
            <w:pPr>
              <w:spacing w:before="60" w:after="60"/>
              <w:rPr>
                <w:rFonts w:ascii="Calibri" w:eastAsia="Times New Roman" w:hAnsi="Calibri" w:cs="Calibri"/>
                <w:sz w:val="20"/>
                <w:szCs w:val="20"/>
              </w:rPr>
            </w:pPr>
            <w:proofErr w:type="spellStart"/>
            <w:r w:rsidRPr="00987FF4">
              <w:rPr>
                <w:rFonts w:ascii="Calibri" w:eastAsia="Times New Roman" w:hAnsi="Calibri" w:cs="Calibri"/>
                <w:sz w:val="20"/>
                <w:szCs w:val="20"/>
              </w:rPr>
              <w:t>Venetoclax</w:t>
            </w:r>
            <w:proofErr w:type="spellEnd"/>
            <w:r w:rsidRPr="00987FF4">
              <w:rPr>
                <w:rFonts w:ascii="Calibri" w:eastAsia="Times New Roman" w:hAnsi="Calibri" w:cs="Calibri"/>
                <w:sz w:val="20"/>
                <w:szCs w:val="20"/>
              </w:rPr>
              <w:t xml:space="preserve"> with Obinutuzumab</w:t>
            </w:r>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 xml:space="preserve">first line -&gt; </w:t>
            </w:r>
            <w:proofErr w:type="spellStart"/>
            <w:r w:rsidRPr="00987FF4">
              <w:rPr>
                <w:rFonts w:ascii="Calibri" w:eastAsia="Times New Roman" w:hAnsi="Calibri" w:cs="Calibri"/>
                <w:sz w:val="20"/>
                <w:szCs w:val="20"/>
              </w:rPr>
              <w:t>Venetoclax</w:t>
            </w:r>
            <w:proofErr w:type="spellEnd"/>
            <w:r w:rsidRPr="00987FF4" w:rsidDel="009211F1">
              <w:rPr>
                <w:rFonts w:ascii="Calibri" w:eastAsia="Times New Roman" w:hAnsi="Calibri" w:cs="Calibri"/>
                <w:sz w:val="20"/>
                <w:szCs w:val="20"/>
              </w:rPr>
              <w:t xml:space="preserve"> </w:t>
            </w:r>
            <w:r w:rsidR="003F78E8" w:rsidRPr="00987FF4">
              <w:rPr>
                <w:rFonts w:ascii="Calibri" w:eastAsia="Times New Roman" w:hAnsi="Calibri" w:cs="Calibri"/>
                <w:sz w:val="20"/>
                <w:szCs w:val="20"/>
              </w:rPr>
              <w:t xml:space="preserve">RR -&gt; </w:t>
            </w:r>
            <w:r w:rsidRPr="00987FF4">
              <w:rPr>
                <w:rFonts w:ascii="Calibri" w:eastAsia="Times New Roman" w:hAnsi="Calibri" w:cs="Calibri"/>
                <w:sz w:val="20"/>
                <w:szCs w:val="20"/>
              </w:rPr>
              <w:t>Ibrutinib</w:t>
            </w:r>
            <w:r w:rsidR="003F78E8" w:rsidRPr="00987FF4">
              <w:rPr>
                <w:rFonts w:ascii="Calibri" w:eastAsia="Times New Roman" w:hAnsi="Calibri" w:cs="Calibri"/>
                <w:sz w:val="20"/>
                <w:szCs w:val="20"/>
              </w:rPr>
              <w:t xml:space="preserve"> RR</w:t>
            </w:r>
          </w:p>
        </w:tc>
        <w:tc>
          <w:tcPr>
            <w:tcW w:w="1417" w:type="dxa"/>
            <w:tcBorders>
              <w:top w:val="nil"/>
              <w:left w:val="nil"/>
              <w:bottom w:val="single" w:sz="4" w:space="0" w:color="auto"/>
              <w:right w:val="single" w:sz="4" w:space="0" w:color="auto"/>
            </w:tcBorders>
            <w:shd w:val="clear" w:color="auto" w:fill="auto"/>
            <w:noWrap/>
            <w:vAlign w:val="bottom"/>
            <w:hideMark/>
          </w:tcPr>
          <w:p w14:paraId="4B811004"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c>
          <w:tcPr>
            <w:tcW w:w="2126" w:type="dxa"/>
            <w:tcBorders>
              <w:top w:val="nil"/>
              <w:left w:val="nil"/>
              <w:bottom w:val="single" w:sz="4" w:space="0" w:color="auto"/>
              <w:right w:val="single" w:sz="4" w:space="0" w:color="auto"/>
            </w:tcBorders>
            <w:shd w:val="clear" w:color="auto" w:fill="auto"/>
            <w:noWrap/>
            <w:vAlign w:val="bottom"/>
            <w:hideMark/>
          </w:tcPr>
          <w:p w14:paraId="315053C7" w14:textId="77777777" w:rsidR="003F78E8" w:rsidRPr="00987FF4" w:rsidRDefault="003F78E8" w:rsidP="001C5ECB">
            <w:pPr>
              <w:spacing w:before="60" w:after="60"/>
              <w:jc w:val="center"/>
              <w:rPr>
                <w:rFonts w:ascii="Calibri" w:eastAsia="Times New Roman" w:hAnsi="Calibri" w:cs="Calibri"/>
                <w:sz w:val="20"/>
                <w:szCs w:val="20"/>
              </w:rPr>
            </w:pPr>
            <w:r w:rsidRPr="00987FF4">
              <w:rPr>
                <w:rFonts w:ascii="Calibri" w:eastAsia="Times New Roman" w:hAnsi="Calibri" w:cs="Calibri"/>
                <w:sz w:val="20"/>
                <w:szCs w:val="20"/>
              </w:rPr>
              <w:t> </w:t>
            </w:r>
          </w:p>
        </w:tc>
      </w:tr>
    </w:tbl>
    <w:p w14:paraId="498AE4A9" w14:textId="77777777" w:rsidR="009A5005" w:rsidRDefault="009A5005" w:rsidP="00A35800"/>
    <w:p w14:paraId="767A6B0E" w14:textId="5ECF7C1E" w:rsidR="0064774C" w:rsidRPr="00B464E0" w:rsidRDefault="00B464E0" w:rsidP="0044742B">
      <w:r>
        <w:t xml:space="preserve">Table </w:t>
      </w:r>
      <w:r w:rsidR="00091E95">
        <w:t>1</w:t>
      </w:r>
      <w:r w:rsidR="003F78E8">
        <w:t>0</w:t>
      </w:r>
      <w:r w:rsidRPr="00B464E0">
        <w:t xml:space="preserve"> shows </w:t>
      </w:r>
      <w:r w:rsidR="004460BB">
        <w:t>the</w:t>
      </w:r>
      <w:r w:rsidRPr="00B464E0">
        <w:t xml:space="preserve"> treatment pathway patients commenced upon once they ha</w:t>
      </w:r>
      <w:r w:rsidR="007662ED">
        <w:t xml:space="preserve">d </w:t>
      </w:r>
      <w:r w:rsidRPr="00B464E0">
        <w:t xml:space="preserve">completed the first 6 cycles of therapy with </w:t>
      </w:r>
      <w:proofErr w:type="spellStart"/>
      <w:r w:rsidRPr="00B464E0">
        <w:t>venetoclax</w:t>
      </w:r>
      <w:proofErr w:type="spellEnd"/>
      <w:r w:rsidR="004460BB">
        <w:t xml:space="preserve"> for the first two years of listing</w:t>
      </w:r>
      <w:r w:rsidRPr="00B464E0">
        <w:t>.</w:t>
      </w:r>
      <w:r w:rsidR="003F78E8">
        <w:t xml:space="preserve"> </w:t>
      </w:r>
      <w:r w:rsidR="003F78E8" w:rsidRPr="003F78E8">
        <w:t xml:space="preserve">The patient count is 1,030 of the 1,116 initial patients as some patients </w:t>
      </w:r>
      <w:r w:rsidR="00D35115">
        <w:t xml:space="preserve">were </w:t>
      </w:r>
      <w:proofErr w:type="gramStart"/>
      <w:r w:rsidR="003F78E8" w:rsidRPr="003F78E8">
        <w:t>still continuing</w:t>
      </w:r>
      <w:proofErr w:type="gramEnd"/>
      <w:r w:rsidR="003F78E8" w:rsidRPr="003F78E8">
        <w:t xml:space="preserve"> </w:t>
      </w:r>
      <w:r w:rsidR="00114A08">
        <w:t xml:space="preserve">cycles 1 to 6 of </w:t>
      </w:r>
      <w:r w:rsidR="003F78E8" w:rsidRPr="003F78E8">
        <w:t>treatment.</w:t>
      </w:r>
    </w:p>
    <w:p w14:paraId="44D7C453" w14:textId="58D97DEA" w:rsidR="00773E7A" w:rsidRDefault="00B464E0" w:rsidP="0044742B">
      <w:pPr>
        <w:rPr>
          <w:b/>
          <w:bCs/>
        </w:rPr>
      </w:pPr>
      <w:r w:rsidRPr="00B464E0">
        <w:rPr>
          <w:b/>
          <w:bCs/>
        </w:rPr>
        <w:t xml:space="preserve">Table </w:t>
      </w:r>
      <w:r w:rsidR="00E22FF5">
        <w:rPr>
          <w:b/>
          <w:bCs/>
        </w:rPr>
        <w:t>1</w:t>
      </w:r>
      <w:r w:rsidR="003F78E8">
        <w:rPr>
          <w:b/>
          <w:bCs/>
        </w:rPr>
        <w:t>0</w:t>
      </w:r>
      <w:r w:rsidR="00773E7A" w:rsidRPr="00B464E0">
        <w:rPr>
          <w:b/>
          <w:bCs/>
        </w:rPr>
        <w:t>: Treatment pathway for patients who have completed cycles 1 to 6</w:t>
      </w:r>
    </w:p>
    <w:tbl>
      <w:tblPr>
        <w:tblStyle w:val="TableGrid"/>
        <w:tblW w:w="0" w:type="auto"/>
        <w:tblLook w:val="04A0" w:firstRow="1" w:lastRow="0" w:firstColumn="1" w:lastColumn="0" w:noHBand="0" w:noVBand="1"/>
      </w:tblPr>
      <w:tblGrid>
        <w:gridCol w:w="4219"/>
        <w:gridCol w:w="1701"/>
      </w:tblGrid>
      <w:tr w:rsidR="00B464E0" w14:paraId="199FBB3E" w14:textId="47EC8DD8" w:rsidTr="004E18C8">
        <w:tc>
          <w:tcPr>
            <w:tcW w:w="4219" w:type="dxa"/>
            <w:shd w:val="clear" w:color="auto" w:fill="BFBFBF" w:themeFill="background1" w:themeFillShade="BF"/>
          </w:tcPr>
          <w:p w14:paraId="312D2618" w14:textId="7E0F4FB6" w:rsidR="00B464E0" w:rsidRPr="00026196" w:rsidRDefault="00B464E0" w:rsidP="001C5ECB">
            <w:pPr>
              <w:spacing w:before="60" w:after="60"/>
              <w:rPr>
                <w:b/>
                <w:bCs/>
                <w:sz w:val="20"/>
                <w:szCs w:val="20"/>
              </w:rPr>
            </w:pPr>
            <w:r w:rsidRPr="00026196">
              <w:rPr>
                <w:b/>
                <w:bCs/>
                <w:sz w:val="20"/>
                <w:szCs w:val="20"/>
              </w:rPr>
              <w:t>Treatment pathway</w:t>
            </w:r>
          </w:p>
        </w:tc>
        <w:tc>
          <w:tcPr>
            <w:tcW w:w="1701" w:type="dxa"/>
            <w:shd w:val="clear" w:color="auto" w:fill="BFBFBF" w:themeFill="background1" w:themeFillShade="BF"/>
          </w:tcPr>
          <w:p w14:paraId="2C1B3638" w14:textId="5E9EB0EF" w:rsidR="00B464E0" w:rsidRPr="00026196" w:rsidRDefault="004E18C8" w:rsidP="001C5ECB">
            <w:pPr>
              <w:spacing w:before="60" w:after="60"/>
              <w:rPr>
                <w:b/>
                <w:bCs/>
                <w:sz w:val="20"/>
                <w:szCs w:val="20"/>
              </w:rPr>
            </w:pPr>
            <w:proofErr w:type="spellStart"/>
            <w:r w:rsidRPr="00026196">
              <w:rPr>
                <w:b/>
                <w:bCs/>
                <w:sz w:val="20"/>
                <w:szCs w:val="20"/>
              </w:rPr>
              <w:t>Patients</w:t>
            </w:r>
            <w:r w:rsidR="004460BB" w:rsidRPr="00026196">
              <w:rPr>
                <w:b/>
                <w:bCs/>
                <w:sz w:val="20"/>
                <w:szCs w:val="20"/>
                <w:vertAlign w:val="superscript"/>
              </w:rPr>
              <w:t>a</w:t>
            </w:r>
            <w:proofErr w:type="spellEnd"/>
          </w:p>
        </w:tc>
      </w:tr>
      <w:tr w:rsidR="00B464E0" w14:paraId="440BF0E5" w14:textId="03615614" w:rsidTr="004E18C8">
        <w:tc>
          <w:tcPr>
            <w:tcW w:w="4219" w:type="dxa"/>
          </w:tcPr>
          <w:p w14:paraId="1FDEFA6A" w14:textId="286F3B7F" w:rsidR="00B464E0" w:rsidRPr="00026196" w:rsidRDefault="00B464E0" w:rsidP="001C5ECB">
            <w:pPr>
              <w:spacing w:before="60" w:after="60"/>
              <w:rPr>
                <w:sz w:val="20"/>
                <w:szCs w:val="20"/>
              </w:rPr>
            </w:pPr>
            <w:r w:rsidRPr="00026196">
              <w:rPr>
                <w:sz w:val="20"/>
                <w:szCs w:val="20"/>
              </w:rPr>
              <w:t>Continue onto Cycles 7 to 12</w:t>
            </w:r>
          </w:p>
        </w:tc>
        <w:tc>
          <w:tcPr>
            <w:tcW w:w="1701" w:type="dxa"/>
          </w:tcPr>
          <w:p w14:paraId="48397386" w14:textId="00C690FF" w:rsidR="00B464E0" w:rsidRPr="00026196" w:rsidRDefault="004E18C8" w:rsidP="001C5ECB">
            <w:pPr>
              <w:spacing w:before="60" w:after="60"/>
              <w:rPr>
                <w:sz w:val="20"/>
                <w:szCs w:val="20"/>
              </w:rPr>
            </w:pPr>
            <w:r w:rsidRPr="00026196">
              <w:rPr>
                <w:sz w:val="20"/>
                <w:szCs w:val="20"/>
              </w:rPr>
              <w:t>705</w:t>
            </w:r>
          </w:p>
        </w:tc>
      </w:tr>
      <w:tr w:rsidR="00B464E0" w14:paraId="3E5287A4" w14:textId="7227FB36" w:rsidTr="004E18C8">
        <w:tc>
          <w:tcPr>
            <w:tcW w:w="4219" w:type="dxa"/>
          </w:tcPr>
          <w:p w14:paraId="192562C0" w14:textId="4A29EB64" w:rsidR="00B464E0" w:rsidRPr="00026196" w:rsidRDefault="00B464E0" w:rsidP="001C5ECB">
            <w:pPr>
              <w:spacing w:before="60" w:after="60"/>
              <w:rPr>
                <w:sz w:val="20"/>
                <w:szCs w:val="20"/>
              </w:rPr>
            </w:pPr>
            <w:r w:rsidRPr="00026196">
              <w:rPr>
                <w:sz w:val="20"/>
                <w:szCs w:val="20"/>
              </w:rPr>
              <w:t>Commence 2</w:t>
            </w:r>
            <w:r w:rsidRPr="00026196">
              <w:rPr>
                <w:sz w:val="20"/>
                <w:szCs w:val="20"/>
                <w:vertAlign w:val="superscript"/>
              </w:rPr>
              <w:t>nd</w:t>
            </w:r>
            <w:r w:rsidRPr="00026196">
              <w:rPr>
                <w:sz w:val="20"/>
                <w:szCs w:val="20"/>
              </w:rPr>
              <w:t xml:space="preserve"> line </w:t>
            </w:r>
            <w:r w:rsidR="004E18C8" w:rsidRPr="00026196">
              <w:rPr>
                <w:sz w:val="20"/>
                <w:szCs w:val="20"/>
              </w:rPr>
              <w:t>treatment</w:t>
            </w:r>
          </w:p>
        </w:tc>
        <w:tc>
          <w:tcPr>
            <w:tcW w:w="1701" w:type="dxa"/>
          </w:tcPr>
          <w:p w14:paraId="4A4A2642" w14:textId="2AC04CE1" w:rsidR="00B464E0" w:rsidRPr="00026196" w:rsidRDefault="003F78E8" w:rsidP="001C5ECB">
            <w:pPr>
              <w:spacing w:before="60" w:after="60"/>
              <w:rPr>
                <w:sz w:val="20"/>
                <w:szCs w:val="20"/>
              </w:rPr>
            </w:pPr>
            <w:r>
              <w:rPr>
                <w:sz w:val="20"/>
                <w:szCs w:val="20"/>
              </w:rPr>
              <w:t>68</w:t>
            </w:r>
          </w:p>
        </w:tc>
      </w:tr>
      <w:tr w:rsidR="004E18C8" w14:paraId="50C06440" w14:textId="77777777" w:rsidTr="004E18C8">
        <w:tc>
          <w:tcPr>
            <w:tcW w:w="4219" w:type="dxa"/>
          </w:tcPr>
          <w:p w14:paraId="601A4B06" w14:textId="54269D5D" w:rsidR="004E18C8" w:rsidRPr="00026196" w:rsidRDefault="004E18C8" w:rsidP="001C5ECB">
            <w:pPr>
              <w:spacing w:before="60" w:after="60"/>
              <w:rPr>
                <w:sz w:val="20"/>
                <w:szCs w:val="20"/>
              </w:rPr>
            </w:pPr>
            <w:r w:rsidRPr="00026196">
              <w:rPr>
                <w:sz w:val="20"/>
                <w:szCs w:val="20"/>
              </w:rPr>
              <w:t>Cease treatment</w:t>
            </w:r>
          </w:p>
        </w:tc>
        <w:tc>
          <w:tcPr>
            <w:tcW w:w="1701" w:type="dxa"/>
          </w:tcPr>
          <w:p w14:paraId="6BBD1AF7" w14:textId="2E522988" w:rsidR="004E18C8" w:rsidRPr="00026196" w:rsidRDefault="003F78E8" w:rsidP="001C5ECB">
            <w:pPr>
              <w:spacing w:before="60" w:after="60"/>
              <w:rPr>
                <w:sz w:val="20"/>
                <w:szCs w:val="20"/>
              </w:rPr>
            </w:pPr>
            <w:r>
              <w:rPr>
                <w:sz w:val="20"/>
                <w:szCs w:val="20"/>
              </w:rPr>
              <w:t>257</w:t>
            </w:r>
          </w:p>
        </w:tc>
      </w:tr>
    </w:tbl>
    <w:p w14:paraId="1694FCE7" w14:textId="5A26E7F0" w:rsidR="004460BB" w:rsidRPr="004460BB" w:rsidRDefault="004460BB" w:rsidP="004460BB">
      <w:pPr>
        <w:pStyle w:val="Heading3"/>
        <w:spacing w:before="0" w:after="0"/>
        <w:rPr>
          <w:b w:val="0"/>
          <w:bCs/>
          <w:i w:val="0"/>
          <w:iCs/>
          <w:sz w:val="20"/>
          <w:szCs w:val="20"/>
        </w:rPr>
      </w:pPr>
      <w:r>
        <w:rPr>
          <w:b w:val="0"/>
          <w:bCs/>
          <w:i w:val="0"/>
          <w:iCs/>
          <w:sz w:val="20"/>
          <w:szCs w:val="20"/>
        </w:rPr>
        <w:t>Note:</w:t>
      </w:r>
    </w:p>
    <w:p w14:paraId="1EE18BEC" w14:textId="66293CD1" w:rsidR="004460BB" w:rsidRPr="004460BB" w:rsidRDefault="004460BB" w:rsidP="004460BB">
      <w:pPr>
        <w:pStyle w:val="Heading3"/>
        <w:spacing w:before="0" w:after="0"/>
        <w:rPr>
          <w:b w:val="0"/>
          <w:bCs/>
          <w:i w:val="0"/>
          <w:iCs/>
          <w:sz w:val="20"/>
          <w:szCs w:val="20"/>
        </w:rPr>
      </w:pPr>
      <w:proofErr w:type="spellStart"/>
      <w:r w:rsidRPr="004460BB">
        <w:rPr>
          <w:b w:val="0"/>
          <w:bCs/>
          <w:i w:val="0"/>
          <w:iCs/>
          <w:sz w:val="20"/>
          <w:szCs w:val="20"/>
          <w:vertAlign w:val="superscript"/>
        </w:rPr>
        <w:t>a</w:t>
      </w:r>
      <w:r w:rsidRPr="004460BB">
        <w:rPr>
          <w:b w:val="0"/>
          <w:bCs/>
          <w:i w:val="0"/>
          <w:iCs/>
          <w:sz w:val="20"/>
          <w:szCs w:val="20"/>
        </w:rPr>
        <w:t>Excludes</w:t>
      </w:r>
      <w:proofErr w:type="spellEnd"/>
      <w:r w:rsidRPr="004460BB">
        <w:rPr>
          <w:b w:val="0"/>
          <w:bCs/>
          <w:i w:val="0"/>
          <w:iCs/>
          <w:sz w:val="20"/>
          <w:szCs w:val="20"/>
        </w:rPr>
        <w:t xml:space="preserve"> patients </w:t>
      </w:r>
      <w:r>
        <w:rPr>
          <w:b w:val="0"/>
          <w:bCs/>
          <w:i w:val="0"/>
          <w:iCs/>
          <w:sz w:val="20"/>
          <w:szCs w:val="20"/>
        </w:rPr>
        <w:t xml:space="preserve">who commenced </w:t>
      </w:r>
      <w:r w:rsidRPr="004460BB">
        <w:rPr>
          <w:b w:val="0"/>
          <w:bCs/>
          <w:i w:val="0"/>
          <w:iCs/>
          <w:sz w:val="20"/>
          <w:szCs w:val="20"/>
        </w:rPr>
        <w:t xml:space="preserve">in cycle 1-6 </w:t>
      </w:r>
      <w:r>
        <w:rPr>
          <w:b w:val="0"/>
          <w:bCs/>
          <w:i w:val="0"/>
          <w:iCs/>
          <w:sz w:val="20"/>
          <w:szCs w:val="20"/>
        </w:rPr>
        <w:t xml:space="preserve">after 18 months from the listing of </w:t>
      </w:r>
      <w:proofErr w:type="spellStart"/>
      <w:r>
        <w:rPr>
          <w:b w:val="0"/>
          <w:bCs/>
          <w:i w:val="0"/>
          <w:iCs/>
          <w:sz w:val="20"/>
          <w:szCs w:val="20"/>
        </w:rPr>
        <w:t>venetoclax</w:t>
      </w:r>
      <w:proofErr w:type="spellEnd"/>
      <w:r w:rsidR="0097236F">
        <w:rPr>
          <w:b w:val="0"/>
          <w:bCs/>
          <w:i w:val="0"/>
          <w:iCs/>
          <w:sz w:val="20"/>
          <w:szCs w:val="20"/>
        </w:rPr>
        <w:t xml:space="preserve"> as these patients would likely still be continuing treatment when the data was extracted</w:t>
      </w:r>
      <w:r>
        <w:rPr>
          <w:b w:val="0"/>
          <w:bCs/>
          <w:i w:val="0"/>
          <w:iCs/>
          <w:sz w:val="20"/>
          <w:szCs w:val="20"/>
        </w:rPr>
        <w:t>.</w:t>
      </w:r>
    </w:p>
    <w:p w14:paraId="7BA30EDE" w14:textId="355527B8" w:rsidR="004460BB" w:rsidRPr="004460BB" w:rsidRDefault="00535F7A" w:rsidP="004460BB">
      <w:pPr>
        <w:pStyle w:val="Heading3"/>
      </w:pPr>
      <w:r w:rsidRPr="006773D3">
        <w:t>Treatment duration</w:t>
      </w:r>
    </w:p>
    <w:p w14:paraId="6844A11D" w14:textId="61EED113" w:rsidR="00EC35CF" w:rsidRDefault="00CC1692" w:rsidP="00CC1692">
      <w:r>
        <w:t xml:space="preserve">Time (days) on treatment for all patients initiating </w:t>
      </w:r>
      <w:proofErr w:type="spellStart"/>
      <w:r w:rsidR="00412B14">
        <w:t>venetoclax</w:t>
      </w:r>
      <w:proofErr w:type="spellEnd"/>
      <w:r>
        <w:t xml:space="preserve"> with follow-up to the end for </w:t>
      </w:r>
      <w:r w:rsidR="00333059">
        <w:t>August</w:t>
      </w:r>
      <w:r w:rsidR="00412B14">
        <w:t xml:space="preserve"> 2023</w:t>
      </w:r>
      <w:r>
        <w:t>. Time on treatment was analysed with and without treatment breaks with the break length removed (</w:t>
      </w:r>
      <w:r w:rsidR="00412B14">
        <w:t xml:space="preserve">Table </w:t>
      </w:r>
      <w:r w:rsidR="00EE41B1">
        <w:t>1</w:t>
      </w:r>
      <w:r w:rsidR="00333059">
        <w:t>1</w:t>
      </w:r>
      <w:r w:rsidR="00412B14">
        <w:t>, Figure 4</w:t>
      </w:r>
      <w:r>
        <w:t xml:space="preserve">). </w:t>
      </w:r>
      <w:r w:rsidR="00EC35CF" w:rsidRPr="00EC35CF">
        <w:t xml:space="preserve">From 1 December 2020 to 31 August 2023, a total of 1,268 patients first initiated on a </w:t>
      </w:r>
      <w:proofErr w:type="spellStart"/>
      <w:r w:rsidR="00EC35CF" w:rsidRPr="00EC35CF">
        <w:t>venetoclax</w:t>
      </w:r>
      <w:proofErr w:type="spellEnd"/>
      <w:r w:rsidR="00EC35CF" w:rsidRPr="00EC35CF">
        <w:t xml:space="preserve"> listing for first-line treatment. Of these patients, 41.8 percent of patients were identified as having a continuing supply of </w:t>
      </w:r>
      <w:proofErr w:type="spellStart"/>
      <w:r w:rsidR="00EC35CF" w:rsidRPr="00EC35CF">
        <w:t>venetoclax</w:t>
      </w:r>
      <w:proofErr w:type="spellEnd"/>
      <w:r w:rsidR="00EC35CF" w:rsidRPr="00EC35CF">
        <w:t xml:space="preserve"> for </w:t>
      </w:r>
      <w:proofErr w:type="gramStart"/>
      <w:r w:rsidR="00EC35CF" w:rsidRPr="00EC35CF">
        <w:t>first-line</w:t>
      </w:r>
      <w:proofErr w:type="gramEnd"/>
      <w:r w:rsidR="00EC35CF" w:rsidRPr="00EC35CF">
        <w:t xml:space="preserve"> and these patients were censored from the Kaplan-Meier analysis (Table </w:t>
      </w:r>
      <w:r w:rsidR="00EC35CF">
        <w:t>11</w:t>
      </w:r>
      <w:r w:rsidR="00EC35CF" w:rsidRPr="00EC35CF">
        <w:t>).</w:t>
      </w:r>
    </w:p>
    <w:p w14:paraId="7AD3084E" w14:textId="29B6E38F" w:rsidR="00333059" w:rsidRDefault="00333059" w:rsidP="00CC1692">
      <w:r w:rsidRPr="00333059">
        <w:t xml:space="preserve">Including breaks in supply, the mean time on </w:t>
      </w:r>
      <w:proofErr w:type="spellStart"/>
      <w:r w:rsidRPr="00333059">
        <w:t>venetoclax</w:t>
      </w:r>
      <w:proofErr w:type="spellEnd"/>
      <w:r w:rsidRPr="00333059">
        <w:t xml:space="preserve"> for first-line treatment was 378 days (median 360 days), (Table </w:t>
      </w:r>
      <w:r>
        <w:t>11</w:t>
      </w:r>
      <w:r w:rsidRPr="00333059">
        <w:t xml:space="preserve">). Only a small number of patients had a treatment break </w:t>
      </w:r>
      <w:r w:rsidRPr="00333059">
        <w:lastRenderedPageBreak/>
        <w:t xml:space="preserve">(Table 2). When excluding treatment breaks, the mean time on </w:t>
      </w:r>
      <w:proofErr w:type="spellStart"/>
      <w:r w:rsidRPr="00333059">
        <w:t>venetoclax</w:t>
      </w:r>
      <w:proofErr w:type="spellEnd"/>
      <w:r w:rsidRPr="00333059">
        <w:t xml:space="preserve"> first-line was reduced to 288 days (median 315 days), (Table </w:t>
      </w:r>
      <w:r>
        <w:t>11</w:t>
      </w:r>
      <w:r w:rsidRPr="00333059">
        <w:t>).</w:t>
      </w:r>
    </w:p>
    <w:p w14:paraId="7CD3037D" w14:textId="15F9154C" w:rsidR="00482A30" w:rsidRPr="006F2B12" w:rsidRDefault="00CC1692" w:rsidP="006F2B12">
      <w:r>
        <w:t xml:space="preserve">Percent censored including </w:t>
      </w:r>
      <w:r w:rsidR="00E16359">
        <w:t xml:space="preserve">treatment </w:t>
      </w:r>
      <w:r>
        <w:t>breaks was</w:t>
      </w:r>
      <w:r w:rsidR="00412B14">
        <w:t xml:space="preserve"> </w:t>
      </w:r>
      <w:r w:rsidR="00333059">
        <w:t>32.6</w:t>
      </w:r>
      <w:r>
        <w:t>%</w:t>
      </w:r>
      <w:r w:rsidR="00412B14">
        <w:t xml:space="preserve"> and excluding breaks was </w:t>
      </w:r>
      <w:r w:rsidR="00333059">
        <w:t>42.1</w:t>
      </w:r>
      <w:r w:rsidR="00412B14">
        <w:t>%</w:t>
      </w:r>
      <w:r>
        <w:t xml:space="preserve">. </w:t>
      </w:r>
    </w:p>
    <w:p w14:paraId="44454106" w14:textId="69D46D8F" w:rsidR="00A10C0A" w:rsidRDefault="00A10C0A" w:rsidP="007A0269">
      <w:pPr>
        <w:pStyle w:val="Figuretitle"/>
        <w:spacing w:before="200" w:after="20"/>
      </w:pPr>
      <w:r>
        <w:t xml:space="preserve">Table </w:t>
      </w:r>
      <w:r w:rsidR="00E22FF5">
        <w:t>1</w:t>
      </w:r>
      <w:r w:rsidR="003F78E8">
        <w:t>1</w:t>
      </w:r>
      <w:r>
        <w:t xml:space="preserve">: Estimated length of treatment from Kaplan-Meier analysis in patients who initiated first-line </w:t>
      </w:r>
      <w:proofErr w:type="spellStart"/>
      <w:r>
        <w:t>venetoclax</w:t>
      </w:r>
      <w:proofErr w:type="spellEnd"/>
      <w:r>
        <w:t xml:space="preserve"> </w:t>
      </w:r>
      <w:proofErr w:type="gramStart"/>
      <w:r>
        <w:t>treatment</w:t>
      </w:r>
      <w:proofErr w:type="gramEnd"/>
      <w:r>
        <w:t xml:space="preserve"> </w:t>
      </w:r>
    </w:p>
    <w:tbl>
      <w:tblPr>
        <w:tblStyle w:val="TableGrid"/>
        <w:tblW w:w="8456" w:type="dxa"/>
        <w:tblLayout w:type="fixed"/>
        <w:tblLook w:val="04A0" w:firstRow="1" w:lastRow="0" w:firstColumn="1" w:lastColumn="0" w:noHBand="0" w:noVBand="1"/>
      </w:tblPr>
      <w:tblGrid>
        <w:gridCol w:w="2376"/>
        <w:gridCol w:w="1131"/>
        <w:gridCol w:w="997"/>
        <w:gridCol w:w="1039"/>
        <w:gridCol w:w="971"/>
        <w:gridCol w:w="971"/>
        <w:gridCol w:w="971"/>
      </w:tblGrid>
      <w:tr w:rsidR="006270D2" w14:paraId="292CB4E8" w14:textId="775D9716" w:rsidTr="006270D2">
        <w:tc>
          <w:tcPr>
            <w:tcW w:w="2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DC6AA8" w14:textId="77777777" w:rsidR="006270D2" w:rsidRPr="006B1AA8" w:rsidRDefault="006270D2" w:rsidP="006270D2">
            <w:pPr>
              <w:spacing w:before="60" w:after="60"/>
              <w:jc w:val="center"/>
              <w:rPr>
                <w:b/>
                <w:bCs/>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482F4" w14:textId="77777777" w:rsidR="006270D2" w:rsidRPr="006B1AA8" w:rsidRDefault="006270D2" w:rsidP="006270D2">
            <w:pPr>
              <w:spacing w:before="60" w:after="60"/>
              <w:jc w:val="center"/>
              <w:rPr>
                <w:b/>
                <w:bCs/>
                <w:sz w:val="20"/>
                <w:szCs w:val="20"/>
              </w:rPr>
            </w:pPr>
            <w:r w:rsidRPr="006B1AA8">
              <w:rPr>
                <w:b/>
                <w:bCs/>
                <w:sz w:val="20"/>
                <w:szCs w:val="20"/>
              </w:rPr>
              <w:t xml:space="preserve">Number of patients </w:t>
            </w:r>
          </w:p>
        </w:tc>
        <w:tc>
          <w:tcPr>
            <w:tcW w:w="9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508EE8" w14:textId="77777777" w:rsidR="006270D2" w:rsidRPr="006B1AA8" w:rsidRDefault="006270D2" w:rsidP="006270D2">
            <w:pPr>
              <w:spacing w:before="60" w:after="60"/>
              <w:jc w:val="center"/>
              <w:rPr>
                <w:b/>
                <w:bCs/>
                <w:sz w:val="20"/>
                <w:szCs w:val="20"/>
              </w:rPr>
            </w:pPr>
            <w:r w:rsidRPr="006B1AA8">
              <w:rPr>
                <w:b/>
                <w:bCs/>
                <w:sz w:val="20"/>
                <w:szCs w:val="20"/>
              </w:rPr>
              <w:t xml:space="preserve">Censored </w:t>
            </w:r>
          </w:p>
        </w:tc>
        <w:tc>
          <w:tcPr>
            <w:tcW w:w="10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225FF1" w14:textId="70385291" w:rsidR="006270D2" w:rsidRPr="006B1AA8" w:rsidRDefault="006270D2" w:rsidP="006270D2">
            <w:pPr>
              <w:spacing w:before="60" w:after="60"/>
              <w:jc w:val="center"/>
              <w:rPr>
                <w:b/>
                <w:bCs/>
                <w:sz w:val="20"/>
                <w:szCs w:val="20"/>
              </w:rPr>
            </w:pPr>
            <w:r w:rsidRPr="006B1AA8">
              <w:rPr>
                <w:b/>
                <w:bCs/>
                <w:sz w:val="20"/>
                <w:szCs w:val="20"/>
              </w:rPr>
              <w:t xml:space="preserve">Mean (days) </w:t>
            </w:r>
          </w:p>
        </w:tc>
        <w:tc>
          <w:tcPr>
            <w:tcW w:w="9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F08191" w14:textId="45E3007C" w:rsidR="006270D2" w:rsidRPr="006B1AA8" w:rsidRDefault="006270D2" w:rsidP="006270D2">
            <w:pPr>
              <w:spacing w:before="60" w:after="60"/>
              <w:jc w:val="center"/>
              <w:rPr>
                <w:b/>
                <w:bCs/>
                <w:sz w:val="20"/>
                <w:szCs w:val="20"/>
              </w:rPr>
            </w:pPr>
            <w:r w:rsidRPr="006B1AA8">
              <w:rPr>
                <w:b/>
                <w:bCs/>
                <w:sz w:val="20"/>
                <w:szCs w:val="20"/>
              </w:rPr>
              <w:t xml:space="preserve">Median (days) </w:t>
            </w:r>
          </w:p>
        </w:tc>
        <w:tc>
          <w:tcPr>
            <w:tcW w:w="19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89378C" w14:textId="79932364" w:rsidR="006270D2" w:rsidRPr="006B1AA8" w:rsidRDefault="006270D2" w:rsidP="006270D2">
            <w:pPr>
              <w:spacing w:before="60" w:after="60"/>
              <w:jc w:val="center"/>
              <w:rPr>
                <w:b/>
                <w:bCs/>
                <w:sz w:val="20"/>
                <w:szCs w:val="20"/>
              </w:rPr>
            </w:pPr>
            <w:r w:rsidRPr="006B1AA8">
              <w:rPr>
                <w:b/>
                <w:bCs/>
                <w:sz w:val="20"/>
                <w:szCs w:val="20"/>
              </w:rPr>
              <w:t xml:space="preserve">95% confidence interval (days) </w:t>
            </w:r>
          </w:p>
        </w:tc>
      </w:tr>
      <w:tr w:rsidR="006270D2" w14:paraId="3F1C5909" w14:textId="0C24DE2A" w:rsidTr="006270D2">
        <w:tc>
          <w:tcPr>
            <w:tcW w:w="2376" w:type="dxa"/>
            <w:tcBorders>
              <w:top w:val="single" w:sz="4" w:space="0" w:color="auto"/>
              <w:left w:val="single" w:sz="4" w:space="0" w:color="auto"/>
              <w:bottom w:val="single" w:sz="4" w:space="0" w:color="auto"/>
              <w:right w:val="single" w:sz="4" w:space="0" w:color="auto"/>
            </w:tcBorders>
            <w:hideMark/>
          </w:tcPr>
          <w:p w14:paraId="3324E294" w14:textId="2447C08F" w:rsidR="006270D2" w:rsidRPr="006B1AA8" w:rsidRDefault="006270D2" w:rsidP="006270D2">
            <w:pPr>
              <w:spacing w:before="60" w:after="60"/>
              <w:rPr>
                <w:sz w:val="20"/>
                <w:szCs w:val="20"/>
              </w:rPr>
            </w:pPr>
            <w:r>
              <w:rPr>
                <w:sz w:val="20"/>
                <w:szCs w:val="20"/>
              </w:rPr>
              <w:t xml:space="preserve">Including </w:t>
            </w:r>
            <w:r w:rsidRPr="006B1AA8">
              <w:rPr>
                <w:sz w:val="20"/>
                <w:szCs w:val="20"/>
              </w:rPr>
              <w:t xml:space="preserve">breaks </w:t>
            </w:r>
          </w:p>
        </w:tc>
        <w:tc>
          <w:tcPr>
            <w:tcW w:w="1131" w:type="dxa"/>
            <w:tcBorders>
              <w:top w:val="single" w:sz="4" w:space="0" w:color="auto"/>
              <w:left w:val="single" w:sz="4" w:space="0" w:color="auto"/>
              <w:bottom w:val="single" w:sz="4" w:space="0" w:color="auto"/>
              <w:right w:val="single" w:sz="4" w:space="0" w:color="auto"/>
            </w:tcBorders>
          </w:tcPr>
          <w:p w14:paraId="29150762" w14:textId="1C5830F0" w:rsidR="006270D2" w:rsidRPr="006B1AA8" w:rsidRDefault="00987FF4" w:rsidP="006270D2">
            <w:pPr>
              <w:spacing w:before="60" w:after="60"/>
              <w:jc w:val="center"/>
              <w:rPr>
                <w:sz w:val="20"/>
                <w:szCs w:val="20"/>
              </w:rPr>
            </w:pPr>
            <w:r>
              <w:rPr>
                <w:sz w:val="20"/>
                <w:szCs w:val="20"/>
              </w:rPr>
              <w:t>46</w:t>
            </w:r>
          </w:p>
        </w:tc>
        <w:tc>
          <w:tcPr>
            <w:tcW w:w="997" w:type="dxa"/>
            <w:tcBorders>
              <w:top w:val="single" w:sz="4" w:space="0" w:color="auto"/>
              <w:left w:val="single" w:sz="4" w:space="0" w:color="auto"/>
              <w:bottom w:val="single" w:sz="4" w:space="0" w:color="auto"/>
              <w:right w:val="single" w:sz="4" w:space="0" w:color="auto"/>
            </w:tcBorders>
          </w:tcPr>
          <w:p w14:paraId="26C8F63F" w14:textId="7E5A1A83" w:rsidR="006270D2" w:rsidRPr="006B1AA8" w:rsidRDefault="00987FF4" w:rsidP="006270D2">
            <w:pPr>
              <w:spacing w:before="60" w:after="60"/>
              <w:jc w:val="center"/>
              <w:rPr>
                <w:sz w:val="20"/>
                <w:szCs w:val="20"/>
              </w:rPr>
            </w:pPr>
            <w:r>
              <w:rPr>
                <w:sz w:val="20"/>
                <w:szCs w:val="20"/>
              </w:rPr>
              <w:t>15</w:t>
            </w:r>
          </w:p>
        </w:tc>
        <w:tc>
          <w:tcPr>
            <w:tcW w:w="1039" w:type="dxa"/>
            <w:tcBorders>
              <w:top w:val="single" w:sz="4" w:space="0" w:color="auto"/>
              <w:left w:val="single" w:sz="4" w:space="0" w:color="auto"/>
              <w:bottom w:val="single" w:sz="4" w:space="0" w:color="auto"/>
              <w:right w:val="single" w:sz="4" w:space="0" w:color="auto"/>
            </w:tcBorders>
          </w:tcPr>
          <w:p w14:paraId="1A4354A9" w14:textId="1E49F084" w:rsidR="006270D2" w:rsidRPr="006B1AA8" w:rsidRDefault="00987FF4" w:rsidP="006270D2">
            <w:pPr>
              <w:spacing w:before="60" w:after="60"/>
              <w:jc w:val="center"/>
              <w:rPr>
                <w:sz w:val="20"/>
                <w:szCs w:val="20"/>
              </w:rPr>
            </w:pPr>
            <w:r>
              <w:rPr>
                <w:sz w:val="20"/>
                <w:szCs w:val="20"/>
              </w:rPr>
              <w:t>378.1</w:t>
            </w:r>
          </w:p>
        </w:tc>
        <w:tc>
          <w:tcPr>
            <w:tcW w:w="971" w:type="dxa"/>
            <w:tcBorders>
              <w:top w:val="single" w:sz="4" w:space="0" w:color="auto"/>
              <w:left w:val="single" w:sz="4" w:space="0" w:color="auto"/>
              <w:bottom w:val="single" w:sz="4" w:space="0" w:color="auto"/>
              <w:right w:val="single" w:sz="4" w:space="0" w:color="auto"/>
            </w:tcBorders>
          </w:tcPr>
          <w:p w14:paraId="3DEB2D68" w14:textId="159CCAC0" w:rsidR="006270D2" w:rsidRPr="006B1AA8" w:rsidRDefault="00987FF4" w:rsidP="006270D2">
            <w:pPr>
              <w:spacing w:before="60" w:after="60"/>
              <w:jc w:val="center"/>
              <w:rPr>
                <w:sz w:val="20"/>
                <w:szCs w:val="20"/>
              </w:rPr>
            </w:pPr>
            <w:r>
              <w:rPr>
                <w:sz w:val="20"/>
                <w:szCs w:val="20"/>
              </w:rPr>
              <w:t>360</w:t>
            </w:r>
          </w:p>
        </w:tc>
        <w:tc>
          <w:tcPr>
            <w:tcW w:w="971" w:type="dxa"/>
            <w:tcBorders>
              <w:top w:val="single" w:sz="4" w:space="0" w:color="auto"/>
              <w:left w:val="single" w:sz="4" w:space="0" w:color="auto"/>
              <w:bottom w:val="single" w:sz="4" w:space="0" w:color="auto"/>
              <w:right w:val="single" w:sz="4" w:space="0" w:color="auto"/>
            </w:tcBorders>
          </w:tcPr>
          <w:p w14:paraId="7D6B9EBC" w14:textId="3B1AF693" w:rsidR="006270D2" w:rsidRPr="006B1AA8" w:rsidRDefault="00987FF4" w:rsidP="006270D2">
            <w:pPr>
              <w:spacing w:before="60" w:after="60"/>
              <w:jc w:val="center"/>
              <w:rPr>
                <w:sz w:val="20"/>
                <w:szCs w:val="20"/>
              </w:rPr>
            </w:pPr>
            <w:r>
              <w:rPr>
                <w:sz w:val="20"/>
                <w:szCs w:val="20"/>
              </w:rPr>
              <w:t>300</w:t>
            </w:r>
          </w:p>
        </w:tc>
        <w:tc>
          <w:tcPr>
            <w:tcW w:w="971" w:type="dxa"/>
            <w:tcBorders>
              <w:top w:val="single" w:sz="4" w:space="0" w:color="auto"/>
              <w:left w:val="single" w:sz="4" w:space="0" w:color="auto"/>
              <w:bottom w:val="single" w:sz="4" w:space="0" w:color="auto"/>
              <w:right w:val="single" w:sz="4" w:space="0" w:color="auto"/>
            </w:tcBorders>
          </w:tcPr>
          <w:p w14:paraId="24B59C51" w14:textId="1472428B" w:rsidR="006270D2" w:rsidRPr="006B1AA8" w:rsidRDefault="00987FF4" w:rsidP="006270D2">
            <w:pPr>
              <w:spacing w:before="60" w:after="60"/>
              <w:jc w:val="center"/>
              <w:rPr>
                <w:sz w:val="20"/>
                <w:szCs w:val="20"/>
              </w:rPr>
            </w:pPr>
            <w:r>
              <w:rPr>
                <w:sz w:val="20"/>
                <w:szCs w:val="20"/>
              </w:rPr>
              <w:t>479</w:t>
            </w:r>
          </w:p>
        </w:tc>
      </w:tr>
      <w:tr w:rsidR="006270D2" w14:paraId="700DB1E8" w14:textId="663A9961" w:rsidTr="006270D2">
        <w:tc>
          <w:tcPr>
            <w:tcW w:w="2376" w:type="dxa"/>
            <w:tcBorders>
              <w:top w:val="single" w:sz="4" w:space="0" w:color="auto"/>
              <w:left w:val="single" w:sz="4" w:space="0" w:color="auto"/>
              <w:bottom w:val="single" w:sz="4" w:space="0" w:color="auto"/>
              <w:right w:val="single" w:sz="4" w:space="0" w:color="auto"/>
            </w:tcBorders>
            <w:hideMark/>
          </w:tcPr>
          <w:p w14:paraId="3D9081AA" w14:textId="7E6F7980" w:rsidR="006270D2" w:rsidRPr="006B1AA8" w:rsidRDefault="00987FF4" w:rsidP="006270D2">
            <w:pPr>
              <w:spacing w:before="60" w:after="60"/>
              <w:rPr>
                <w:sz w:val="20"/>
                <w:szCs w:val="20"/>
              </w:rPr>
            </w:pPr>
            <w:r>
              <w:rPr>
                <w:sz w:val="20"/>
                <w:szCs w:val="20"/>
              </w:rPr>
              <w:t>Excluding</w:t>
            </w:r>
            <w:r w:rsidR="006270D2" w:rsidRPr="006B1AA8">
              <w:rPr>
                <w:sz w:val="20"/>
                <w:szCs w:val="20"/>
              </w:rPr>
              <w:t xml:space="preserve"> breaks</w:t>
            </w:r>
          </w:p>
        </w:tc>
        <w:tc>
          <w:tcPr>
            <w:tcW w:w="1131" w:type="dxa"/>
            <w:tcBorders>
              <w:top w:val="single" w:sz="4" w:space="0" w:color="auto"/>
              <w:left w:val="single" w:sz="4" w:space="0" w:color="auto"/>
              <w:bottom w:val="single" w:sz="4" w:space="0" w:color="auto"/>
              <w:right w:val="single" w:sz="4" w:space="0" w:color="auto"/>
            </w:tcBorders>
          </w:tcPr>
          <w:p w14:paraId="6BCB36F7" w14:textId="4373C66C" w:rsidR="006270D2" w:rsidRPr="006B1AA8" w:rsidRDefault="00987FF4" w:rsidP="006270D2">
            <w:pPr>
              <w:spacing w:before="60" w:after="60"/>
              <w:jc w:val="center"/>
              <w:rPr>
                <w:sz w:val="20"/>
                <w:szCs w:val="20"/>
              </w:rPr>
            </w:pPr>
            <w:r>
              <w:rPr>
                <w:sz w:val="20"/>
                <w:szCs w:val="20"/>
              </w:rPr>
              <w:t>1,222</w:t>
            </w:r>
          </w:p>
        </w:tc>
        <w:tc>
          <w:tcPr>
            <w:tcW w:w="997" w:type="dxa"/>
            <w:tcBorders>
              <w:top w:val="single" w:sz="4" w:space="0" w:color="auto"/>
              <w:left w:val="single" w:sz="4" w:space="0" w:color="auto"/>
              <w:bottom w:val="single" w:sz="4" w:space="0" w:color="auto"/>
              <w:right w:val="single" w:sz="4" w:space="0" w:color="auto"/>
            </w:tcBorders>
          </w:tcPr>
          <w:p w14:paraId="6E088442" w14:textId="4B8FF32D" w:rsidR="006270D2" w:rsidRPr="006B1AA8" w:rsidRDefault="00987FF4" w:rsidP="006270D2">
            <w:pPr>
              <w:spacing w:before="60" w:after="60"/>
              <w:jc w:val="center"/>
              <w:rPr>
                <w:sz w:val="20"/>
                <w:szCs w:val="20"/>
              </w:rPr>
            </w:pPr>
            <w:r>
              <w:rPr>
                <w:sz w:val="20"/>
                <w:szCs w:val="20"/>
              </w:rPr>
              <w:t>515</w:t>
            </w:r>
          </w:p>
        </w:tc>
        <w:tc>
          <w:tcPr>
            <w:tcW w:w="1039" w:type="dxa"/>
            <w:tcBorders>
              <w:top w:val="single" w:sz="4" w:space="0" w:color="auto"/>
              <w:left w:val="single" w:sz="4" w:space="0" w:color="auto"/>
              <w:bottom w:val="single" w:sz="4" w:space="0" w:color="auto"/>
              <w:right w:val="single" w:sz="4" w:space="0" w:color="auto"/>
            </w:tcBorders>
          </w:tcPr>
          <w:p w14:paraId="019137C6" w14:textId="262C9C81" w:rsidR="006270D2" w:rsidRPr="006B1AA8" w:rsidRDefault="00987FF4" w:rsidP="006270D2">
            <w:pPr>
              <w:spacing w:before="60" w:after="60"/>
              <w:jc w:val="center"/>
              <w:rPr>
                <w:sz w:val="20"/>
                <w:szCs w:val="20"/>
              </w:rPr>
            </w:pPr>
            <w:r>
              <w:rPr>
                <w:sz w:val="20"/>
                <w:szCs w:val="20"/>
              </w:rPr>
              <w:t>287.7</w:t>
            </w:r>
          </w:p>
        </w:tc>
        <w:tc>
          <w:tcPr>
            <w:tcW w:w="971" w:type="dxa"/>
            <w:tcBorders>
              <w:top w:val="single" w:sz="4" w:space="0" w:color="auto"/>
              <w:left w:val="single" w:sz="4" w:space="0" w:color="auto"/>
              <w:bottom w:val="single" w:sz="4" w:space="0" w:color="auto"/>
              <w:right w:val="single" w:sz="4" w:space="0" w:color="auto"/>
            </w:tcBorders>
          </w:tcPr>
          <w:p w14:paraId="7E0EAAB7" w14:textId="187CCAE5" w:rsidR="006270D2" w:rsidRPr="006B1AA8" w:rsidRDefault="00987FF4" w:rsidP="006270D2">
            <w:pPr>
              <w:spacing w:before="60" w:after="60"/>
              <w:jc w:val="center"/>
              <w:rPr>
                <w:sz w:val="20"/>
                <w:szCs w:val="20"/>
              </w:rPr>
            </w:pPr>
            <w:r>
              <w:rPr>
                <w:sz w:val="20"/>
                <w:szCs w:val="20"/>
              </w:rPr>
              <w:t>315</w:t>
            </w:r>
          </w:p>
        </w:tc>
        <w:tc>
          <w:tcPr>
            <w:tcW w:w="971" w:type="dxa"/>
            <w:tcBorders>
              <w:top w:val="single" w:sz="4" w:space="0" w:color="auto"/>
              <w:left w:val="single" w:sz="4" w:space="0" w:color="auto"/>
              <w:bottom w:val="single" w:sz="4" w:space="0" w:color="auto"/>
              <w:right w:val="single" w:sz="4" w:space="0" w:color="auto"/>
            </w:tcBorders>
          </w:tcPr>
          <w:p w14:paraId="711B02CA" w14:textId="0680785B" w:rsidR="006270D2" w:rsidRPr="006B1AA8" w:rsidRDefault="00987FF4" w:rsidP="006270D2">
            <w:pPr>
              <w:spacing w:before="60" w:after="60"/>
              <w:jc w:val="center"/>
              <w:rPr>
                <w:sz w:val="20"/>
                <w:szCs w:val="20"/>
              </w:rPr>
            </w:pPr>
            <w:r>
              <w:rPr>
                <w:sz w:val="20"/>
                <w:szCs w:val="20"/>
              </w:rPr>
              <w:t>309</w:t>
            </w:r>
          </w:p>
        </w:tc>
        <w:tc>
          <w:tcPr>
            <w:tcW w:w="971" w:type="dxa"/>
            <w:tcBorders>
              <w:top w:val="single" w:sz="4" w:space="0" w:color="auto"/>
              <w:left w:val="single" w:sz="4" w:space="0" w:color="auto"/>
              <w:bottom w:val="single" w:sz="4" w:space="0" w:color="auto"/>
              <w:right w:val="single" w:sz="4" w:space="0" w:color="auto"/>
            </w:tcBorders>
          </w:tcPr>
          <w:p w14:paraId="3446F672" w14:textId="0995E147" w:rsidR="006270D2" w:rsidRPr="006B1AA8" w:rsidRDefault="00987FF4" w:rsidP="006270D2">
            <w:pPr>
              <w:spacing w:before="60" w:after="60"/>
              <w:jc w:val="center"/>
              <w:rPr>
                <w:sz w:val="20"/>
                <w:szCs w:val="20"/>
              </w:rPr>
            </w:pPr>
            <w:r>
              <w:rPr>
                <w:sz w:val="20"/>
                <w:szCs w:val="20"/>
              </w:rPr>
              <w:t>320</w:t>
            </w:r>
          </w:p>
        </w:tc>
      </w:tr>
    </w:tbl>
    <w:p w14:paraId="498214D5" w14:textId="55F00655" w:rsidR="00535F7A" w:rsidRDefault="00535F7A" w:rsidP="00A35800"/>
    <w:p w14:paraId="5224FBAC" w14:textId="5947CB5F" w:rsidR="003F78E8" w:rsidRDefault="003F78E8" w:rsidP="00A35800">
      <w:r>
        <w:rPr>
          <w:noProof/>
        </w:rPr>
        <w:drawing>
          <wp:inline distT="0" distB="0" distL="0" distR="0" wp14:anchorId="3251EC34" wp14:editId="0F7CA0F8">
            <wp:extent cx="4953000" cy="37449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66887" cy="3755451"/>
                    </a:xfrm>
                    <a:prstGeom prst="rect">
                      <a:avLst/>
                    </a:prstGeom>
                    <a:noFill/>
                    <a:ln>
                      <a:noFill/>
                    </a:ln>
                  </pic:spPr>
                </pic:pic>
              </a:graphicData>
            </a:graphic>
          </wp:inline>
        </w:drawing>
      </w:r>
    </w:p>
    <w:p w14:paraId="5A548EF6" w14:textId="22A07240" w:rsidR="00594AA9" w:rsidRPr="00CC4FE5" w:rsidRDefault="00594AA9" w:rsidP="006B1AA8">
      <w:pPr>
        <w:spacing w:before="200" w:after="20"/>
        <w:rPr>
          <w:b/>
          <w:bCs/>
        </w:rPr>
      </w:pPr>
      <w:r w:rsidRPr="00CC4FE5">
        <w:rPr>
          <w:b/>
          <w:bCs/>
        </w:rPr>
        <w:t>Figure 4:</w:t>
      </w:r>
      <w:r w:rsidR="00CC4FE5" w:rsidRPr="00CC4FE5">
        <w:rPr>
          <w:b/>
          <w:bCs/>
        </w:rPr>
        <w:t xml:space="preserve"> </w:t>
      </w:r>
      <w:bookmarkStart w:id="4" w:name="_Hlk139448299"/>
      <w:r w:rsidR="00CC4FE5" w:rsidRPr="00CC4FE5">
        <w:rPr>
          <w:b/>
          <w:bCs/>
        </w:rPr>
        <w:t xml:space="preserve">Kaplan-Meier analysis of the number of days patients were supplied </w:t>
      </w:r>
      <w:proofErr w:type="spellStart"/>
      <w:r w:rsidR="00CC4FE5" w:rsidRPr="00CC4FE5">
        <w:rPr>
          <w:b/>
          <w:bCs/>
        </w:rPr>
        <w:t>venetoclax</w:t>
      </w:r>
      <w:proofErr w:type="spellEnd"/>
      <w:r w:rsidR="00CC4FE5" w:rsidRPr="00CC4FE5">
        <w:rPr>
          <w:b/>
          <w:bCs/>
        </w:rPr>
        <w:t xml:space="preserve">, </w:t>
      </w:r>
      <w:r w:rsidR="003F78E8">
        <w:rPr>
          <w:b/>
          <w:bCs/>
        </w:rPr>
        <w:t xml:space="preserve">excluding and </w:t>
      </w:r>
      <w:r w:rsidR="00CC4FE5" w:rsidRPr="00CC4FE5">
        <w:rPr>
          <w:b/>
          <w:bCs/>
        </w:rPr>
        <w:t>including treatment breaks.</w:t>
      </w:r>
      <w:bookmarkEnd w:id="4"/>
    </w:p>
    <w:p w14:paraId="385C8DCF" w14:textId="34F945DA" w:rsidR="00535F7A" w:rsidRDefault="00535F7A" w:rsidP="00A35800"/>
    <w:p w14:paraId="3260FA42" w14:textId="4D6D9609" w:rsidR="00481553" w:rsidRDefault="00481553" w:rsidP="006B1AA8">
      <w:pPr>
        <w:spacing w:before="200" w:after="20"/>
        <w:rPr>
          <w:b/>
          <w:bCs/>
        </w:rPr>
      </w:pPr>
    </w:p>
    <w:p w14:paraId="0021C2DF" w14:textId="2A3D9232" w:rsidR="00481553" w:rsidRDefault="00481553" w:rsidP="006B1AA8">
      <w:pPr>
        <w:spacing w:before="200" w:after="20"/>
        <w:rPr>
          <w:b/>
          <w:bCs/>
        </w:rPr>
      </w:pPr>
    </w:p>
    <w:p w14:paraId="171E4FF3" w14:textId="00EDDF98" w:rsidR="00481553" w:rsidRDefault="00481553" w:rsidP="006B1AA8">
      <w:pPr>
        <w:spacing w:before="200" w:after="20"/>
        <w:rPr>
          <w:b/>
          <w:bCs/>
        </w:rPr>
      </w:pPr>
    </w:p>
    <w:p w14:paraId="40A7742E" w14:textId="7320D7C2" w:rsidR="00481553" w:rsidRDefault="00481553" w:rsidP="006B1AA8">
      <w:pPr>
        <w:spacing w:before="200" w:after="20"/>
        <w:rPr>
          <w:b/>
          <w:bCs/>
        </w:rPr>
      </w:pPr>
    </w:p>
    <w:p w14:paraId="4E022AFB" w14:textId="4437C29D" w:rsidR="00481553" w:rsidRDefault="00481553" w:rsidP="006B1AA8">
      <w:pPr>
        <w:spacing w:before="200" w:after="20"/>
        <w:rPr>
          <w:b/>
          <w:bCs/>
        </w:rPr>
      </w:pPr>
    </w:p>
    <w:p w14:paraId="5F22B4D8" w14:textId="4270A6ED" w:rsidR="00736041" w:rsidRPr="005E22C2"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1A7ACA40" w14:textId="24791937" w:rsidR="00EC7371" w:rsidRPr="00205637" w:rsidRDefault="00BA5D42" w:rsidP="009C19EE">
      <w:r w:rsidRPr="00BA5D42">
        <w:t xml:space="preserve">Table </w:t>
      </w:r>
      <w:r w:rsidR="00091E95">
        <w:t>1</w:t>
      </w:r>
      <w:r w:rsidR="00333059">
        <w:t>2</w:t>
      </w:r>
      <w:r w:rsidRPr="00BA5D42">
        <w:t xml:space="preserve"> compares the predicted versus the actual utilisation and cost to government of</w:t>
      </w:r>
      <w:r>
        <w:t xml:space="preserve"> </w:t>
      </w:r>
      <w:proofErr w:type="spellStart"/>
      <w:r>
        <w:t>venetoclax</w:t>
      </w:r>
      <w:proofErr w:type="spellEnd"/>
      <w:r w:rsidR="000500A4">
        <w:t xml:space="preserve"> </w:t>
      </w:r>
      <w:r w:rsidRPr="00BA5D42">
        <w:t xml:space="preserve">over the first </w:t>
      </w:r>
      <w:r>
        <w:t>two</w:t>
      </w:r>
      <w:r w:rsidRPr="00BA5D42">
        <w:t xml:space="preserve"> years of listing.</w:t>
      </w:r>
      <w:r w:rsidR="001C22EE">
        <w:t xml:space="preserve"> The number of predicted patients was </w:t>
      </w:r>
      <w:r w:rsidR="001C22EE" w:rsidRPr="00690650">
        <w:t xml:space="preserve">significantly </w:t>
      </w:r>
      <w:r w:rsidR="001C421B" w:rsidRPr="00690650">
        <w:rPr>
          <w:highlight w:val="black"/>
        </w:rPr>
        <w:t>XXXX</w:t>
      </w:r>
      <w:r w:rsidR="001C22EE">
        <w:t xml:space="preserve"> than actual patients as was the net cost to government in the first year of listing.</w:t>
      </w:r>
    </w:p>
    <w:p w14:paraId="38BB0283" w14:textId="0F0E9034" w:rsidR="00347B48" w:rsidRPr="00CF2532" w:rsidRDefault="00347B48" w:rsidP="006B1AA8">
      <w:pPr>
        <w:spacing w:before="200" w:after="20"/>
        <w:rPr>
          <w:b/>
          <w:bCs/>
        </w:rPr>
      </w:pPr>
      <w:r w:rsidRPr="00CF2532">
        <w:rPr>
          <w:b/>
          <w:bCs/>
        </w:rPr>
        <w:t xml:space="preserve">Table </w:t>
      </w:r>
      <w:r w:rsidR="00E22FF5">
        <w:rPr>
          <w:b/>
          <w:bCs/>
        </w:rPr>
        <w:t>1</w:t>
      </w:r>
      <w:r w:rsidR="009211F1">
        <w:rPr>
          <w:b/>
          <w:bCs/>
        </w:rPr>
        <w:t>2</w:t>
      </w:r>
      <w:r w:rsidRPr="00CF2532">
        <w:rPr>
          <w:b/>
          <w:bCs/>
        </w:rPr>
        <w:t xml:space="preserve">: Comparison of predicted versus actual utilisation of </w:t>
      </w:r>
      <w:proofErr w:type="spellStart"/>
      <w:r>
        <w:rPr>
          <w:b/>
          <w:bCs/>
        </w:rPr>
        <w:t>venetoclax</w:t>
      </w:r>
      <w:proofErr w:type="spellEnd"/>
      <w:r w:rsidRPr="00CF2532">
        <w:rPr>
          <w:b/>
          <w:bCs/>
        </w:rPr>
        <w:t xml:space="preserve"> for each year of listing</w:t>
      </w:r>
    </w:p>
    <w:tbl>
      <w:tblPr>
        <w:tblW w:w="8785" w:type="dxa"/>
        <w:tblLayout w:type="fixed"/>
        <w:tblLook w:val="04A0" w:firstRow="1" w:lastRow="0" w:firstColumn="1" w:lastColumn="0" w:noHBand="0" w:noVBand="1"/>
      </w:tblPr>
      <w:tblGrid>
        <w:gridCol w:w="4438"/>
        <w:gridCol w:w="2173"/>
        <w:gridCol w:w="2174"/>
      </w:tblGrid>
      <w:tr w:rsidR="00347B48" w:rsidRPr="009B492F" w14:paraId="10ED5827" w14:textId="77777777" w:rsidTr="00347B48">
        <w:trPr>
          <w:trHeight w:val="444"/>
        </w:trPr>
        <w:tc>
          <w:tcPr>
            <w:tcW w:w="4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A931DF1" w14:textId="77777777" w:rsidR="00347B48" w:rsidRPr="006B1AA8" w:rsidRDefault="00347B48" w:rsidP="006B1AA8">
            <w:pPr>
              <w:spacing w:before="60" w:after="60"/>
              <w:rPr>
                <w:rFonts w:ascii="Times New Roman" w:eastAsia="Times New Roman" w:hAnsi="Times New Roman" w:cs="Times New Roman"/>
                <w:sz w:val="20"/>
                <w:szCs w:val="20"/>
                <w:shd w:val="clear" w:color="auto" w:fill="C0C0C1"/>
              </w:rPr>
            </w:pPr>
          </w:p>
        </w:tc>
        <w:tc>
          <w:tcPr>
            <w:tcW w:w="2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18F07647" w14:textId="77777777" w:rsidR="00347B48" w:rsidRPr="006B1AA8" w:rsidRDefault="00347B48" w:rsidP="006B1AA8">
            <w:pPr>
              <w:spacing w:before="60" w:after="60"/>
              <w:jc w:val="center"/>
              <w:rPr>
                <w:rFonts w:ascii="Calibri" w:eastAsia="Times New Roman" w:hAnsi="Calibri" w:cs="Calibri"/>
                <w:b/>
                <w:bCs/>
                <w:sz w:val="20"/>
                <w:szCs w:val="20"/>
                <w:shd w:val="clear" w:color="auto" w:fill="C0C0C1"/>
              </w:rPr>
            </w:pPr>
            <w:r w:rsidRPr="006B1AA8">
              <w:rPr>
                <w:rFonts w:ascii="Calibri" w:eastAsia="Times New Roman" w:hAnsi="Calibri" w:cs="Calibri"/>
                <w:b/>
                <w:bCs/>
                <w:sz w:val="20"/>
                <w:szCs w:val="20"/>
                <w:shd w:val="clear" w:color="auto" w:fill="C0C0C1"/>
              </w:rPr>
              <w:t>Year 1</w:t>
            </w:r>
            <w:r w:rsidRPr="006B1AA8">
              <w:rPr>
                <w:rFonts w:ascii="Calibri" w:eastAsia="Times New Roman" w:hAnsi="Calibri" w:cs="Calibri"/>
                <w:b/>
                <w:bCs/>
                <w:sz w:val="20"/>
                <w:szCs w:val="20"/>
                <w:shd w:val="clear" w:color="auto" w:fill="C0C0C1"/>
                <w:vertAlign w:val="superscript"/>
              </w:rPr>
              <w:t>a</w:t>
            </w:r>
          </w:p>
        </w:tc>
        <w:tc>
          <w:tcPr>
            <w:tcW w:w="2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BF63F75" w14:textId="77777777" w:rsidR="00347B48" w:rsidRPr="006B1AA8" w:rsidRDefault="00347B48" w:rsidP="006B1AA8">
            <w:pPr>
              <w:spacing w:before="60" w:after="60"/>
              <w:jc w:val="center"/>
              <w:rPr>
                <w:rFonts w:ascii="Calibri" w:eastAsia="Times New Roman" w:hAnsi="Calibri" w:cs="Calibri"/>
                <w:b/>
                <w:bCs/>
                <w:sz w:val="20"/>
                <w:szCs w:val="20"/>
                <w:shd w:val="clear" w:color="auto" w:fill="C0C0C1"/>
              </w:rPr>
            </w:pPr>
            <w:r w:rsidRPr="006B1AA8">
              <w:rPr>
                <w:rFonts w:ascii="Calibri" w:eastAsia="Times New Roman" w:hAnsi="Calibri" w:cs="Calibri"/>
                <w:b/>
                <w:bCs/>
                <w:sz w:val="20"/>
                <w:szCs w:val="20"/>
                <w:shd w:val="clear" w:color="auto" w:fill="C0C0C1"/>
              </w:rPr>
              <w:t>Year 2</w:t>
            </w:r>
            <w:r w:rsidRPr="006B1AA8">
              <w:rPr>
                <w:rFonts w:ascii="Calibri" w:eastAsia="Times New Roman" w:hAnsi="Calibri" w:cs="Calibri"/>
                <w:b/>
                <w:bCs/>
                <w:sz w:val="20"/>
                <w:szCs w:val="20"/>
                <w:shd w:val="clear" w:color="auto" w:fill="C0C0C1"/>
                <w:vertAlign w:val="superscript"/>
              </w:rPr>
              <w:t>a</w:t>
            </w:r>
          </w:p>
        </w:tc>
      </w:tr>
      <w:tr w:rsidR="00347B48" w:rsidRPr="00CF2532" w14:paraId="7FA37D28" w14:textId="77777777" w:rsidTr="00283FD7">
        <w:trPr>
          <w:trHeight w:val="410"/>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5B922D" w14:textId="77777777" w:rsidR="00347B48" w:rsidRPr="006B1AA8" w:rsidRDefault="00347B48" w:rsidP="006B1AA8">
            <w:pPr>
              <w:spacing w:before="60" w:after="60"/>
              <w:rPr>
                <w:rFonts w:cstheme="minorHAnsi"/>
                <w:b/>
                <w:bCs/>
                <w:sz w:val="20"/>
                <w:szCs w:val="20"/>
              </w:rPr>
            </w:pPr>
            <w:r w:rsidRPr="006B1AA8">
              <w:rPr>
                <w:rFonts w:cstheme="minorHAnsi"/>
                <w:b/>
                <w:bCs/>
                <w:sz w:val="20"/>
                <w:szCs w:val="20"/>
              </w:rPr>
              <w:t>Number of patients</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03C986" w14:textId="0F7CBF36" w:rsidR="00347B48" w:rsidRPr="006B1AA8" w:rsidRDefault="00347B48" w:rsidP="006B1AA8">
            <w:pPr>
              <w:spacing w:before="60" w:after="60"/>
              <w:jc w:val="center"/>
              <w:rPr>
                <w:rFonts w:cstheme="minorHAnsi"/>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6F937" w14:textId="77777777" w:rsidR="00347B48" w:rsidRPr="006B1AA8" w:rsidRDefault="00347B48" w:rsidP="006B1AA8">
            <w:pPr>
              <w:spacing w:before="60" w:after="60"/>
              <w:jc w:val="center"/>
              <w:rPr>
                <w:rFonts w:cstheme="minorHAnsi"/>
                <w:sz w:val="20"/>
                <w:szCs w:val="20"/>
              </w:rPr>
            </w:pPr>
          </w:p>
        </w:tc>
      </w:tr>
      <w:tr w:rsidR="00347B48" w:rsidRPr="00F94204" w14:paraId="5AB959EA" w14:textId="77777777" w:rsidTr="00283FD7">
        <w:trPr>
          <w:trHeight w:val="274"/>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0560FE" w14:textId="469F9CA7" w:rsidR="00347B48" w:rsidRPr="006B1AA8" w:rsidRDefault="00347B48" w:rsidP="006B1AA8">
            <w:pPr>
              <w:spacing w:before="60" w:after="60"/>
              <w:rPr>
                <w:rFonts w:cstheme="minorHAnsi"/>
                <w:sz w:val="20"/>
                <w:szCs w:val="20"/>
              </w:rPr>
            </w:pPr>
            <w:proofErr w:type="spellStart"/>
            <w:r w:rsidRPr="006B1AA8">
              <w:rPr>
                <w:rFonts w:cstheme="minorHAnsi"/>
                <w:sz w:val="20"/>
                <w:szCs w:val="20"/>
              </w:rPr>
              <w:t>Predicted</w:t>
            </w:r>
            <w:r w:rsidR="003D0B98" w:rsidRPr="003D0B98">
              <w:rPr>
                <w:rFonts w:cstheme="minorHAnsi"/>
                <w:sz w:val="20"/>
                <w:szCs w:val="20"/>
                <w:vertAlign w:val="superscript"/>
              </w:rPr>
              <w:t>d</w:t>
            </w:r>
            <w:proofErr w:type="spellEnd"/>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66B4AE" w14:textId="45C6EBD8" w:rsidR="00347B48"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w:t>
            </w:r>
          </w:p>
        </w:tc>
        <w:tc>
          <w:tcPr>
            <w:tcW w:w="2174" w:type="dxa"/>
            <w:tcBorders>
              <w:top w:val="single" w:sz="4" w:space="0" w:color="auto"/>
              <w:left w:val="nil"/>
              <w:bottom w:val="single" w:sz="4" w:space="0" w:color="auto"/>
              <w:right w:val="single" w:sz="4" w:space="0" w:color="auto"/>
            </w:tcBorders>
            <w:shd w:val="clear" w:color="auto" w:fill="FFFFFF" w:themeFill="background1"/>
            <w:noWrap/>
            <w:vAlign w:val="center"/>
          </w:tcPr>
          <w:p w14:paraId="522E7132" w14:textId="6C44CD50" w:rsidR="00347B48"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w:t>
            </w:r>
          </w:p>
        </w:tc>
      </w:tr>
      <w:tr w:rsidR="00F874A8" w:rsidRPr="00F94204" w14:paraId="2CF6A8E8" w14:textId="77777777" w:rsidTr="00283FD7">
        <w:trPr>
          <w:trHeight w:val="323"/>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BB3C2E" w14:textId="77777777" w:rsidR="00F874A8" w:rsidRPr="006B1AA8" w:rsidRDefault="00F874A8" w:rsidP="006B1AA8">
            <w:pPr>
              <w:spacing w:before="60" w:after="60"/>
              <w:rPr>
                <w:rFonts w:cstheme="minorHAnsi"/>
                <w:sz w:val="20"/>
                <w:szCs w:val="20"/>
              </w:rPr>
            </w:pPr>
            <w:r w:rsidRPr="006B1AA8">
              <w:rPr>
                <w:rFonts w:cstheme="minorHAnsi"/>
                <w:sz w:val="20"/>
                <w:szCs w:val="20"/>
              </w:rPr>
              <w:t>Actual</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005FD8" w14:textId="22BA7299" w:rsidR="00F874A8" w:rsidRPr="00690650" w:rsidRDefault="00F874A8" w:rsidP="006B1AA8">
            <w:pPr>
              <w:spacing w:before="60" w:after="60"/>
              <w:jc w:val="center"/>
              <w:rPr>
                <w:rFonts w:cstheme="minorHAnsi"/>
                <w:sz w:val="20"/>
                <w:szCs w:val="20"/>
              </w:rPr>
            </w:pPr>
            <w:r w:rsidRPr="00690650">
              <w:rPr>
                <w:rFonts w:ascii="Calibri" w:hAnsi="Calibri" w:cs="Calibri"/>
                <w:color w:val="000000"/>
                <w:sz w:val="20"/>
                <w:szCs w:val="20"/>
              </w:rPr>
              <w:t>553</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699E9C" w14:textId="65CB273B" w:rsidR="00F874A8" w:rsidRPr="00690650" w:rsidRDefault="00F874A8" w:rsidP="006B1AA8">
            <w:pPr>
              <w:spacing w:before="60" w:after="60"/>
              <w:jc w:val="center"/>
              <w:rPr>
                <w:rFonts w:cstheme="minorHAnsi"/>
                <w:sz w:val="20"/>
                <w:szCs w:val="20"/>
              </w:rPr>
            </w:pPr>
            <w:r w:rsidRPr="00690650">
              <w:rPr>
                <w:rFonts w:ascii="Calibri" w:hAnsi="Calibri" w:cs="Calibri"/>
                <w:color w:val="000000"/>
                <w:sz w:val="20"/>
                <w:szCs w:val="20"/>
              </w:rPr>
              <w:t>563</w:t>
            </w:r>
          </w:p>
        </w:tc>
      </w:tr>
      <w:tr w:rsidR="00413730" w:rsidRPr="00F94204" w14:paraId="108047FA" w14:textId="77777777" w:rsidTr="00283FD7">
        <w:trPr>
          <w:trHeight w:val="384"/>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BA84C8" w14:textId="77777777" w:rsidR="00413730" w:rsidRPr="006B1AA8" w:rsidRDefault="00413730" w:rsidP="006B1AA8">
            <w:pPr>
              <w:spacing w:before="60" w:after="60"/>
              <w:rPr>
                <w:rFonts w:cstheme="minorHAnsi"/>
                <w:sz w:val="20"/>
                <w:szCs w:val="20"/>
              </w:rPr>
            </w:pPr>
            <w:r w:rsidRPr="006B1AA8">
              <w:rPr>
                <w:rFonts w:cstheme="minorHAnsi"/>
                <w:sz w:val="20"/>
                <w:szCs w:val="20"/>
              </w:rPr>
              <w:t xml:space="preserve">Difference </w:t>
            </w:r>
            <w:r w:rsidRPr="006B1AA8">
              <w:rPr>
                <w:rFonts w:cstheme="minorHAnsi"/>
                <w:sz w:val="20"/>
                <w:szCs w:val="20"/>
                <w:vertAlign w:val="superscript"/>
              </w:rPr>
              <w:t>b</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7849E7C" w14:textId="729E602A" w:rsidR="00413730" w:rsidRPr="00690650" w:rsidRDefault="001C421B" w:rsidP="006B1AA8">
            <w:pPr>
              <w:spacing w:before="60" w:after="60"/>
              <w:jc w:val="center"/>
              <w:rPr>
                <w:rFonts w:cstheme="minorHAnsi"/>
                <w:sz w:val="20"/>
                <w:szCs w:val="20"/>
                <w:highlight w:val="black"/>
              </w:rPr>
            </w:pPr>
            <w:r w:rsidRPr="00690650">
              <w:rPr>
                <w:sz w:val="20"/>
                <w:szCs w:val="20"/>
                <w:highlight w:val="black"/>
              </w:rPr>
              <w:t>XXXXX</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C0CCDE" w14:textId="7946C1D0" w:rsidR="00413730" w:rsidRPr="00690650" w:rsidRDefault="001C421B" w:rsidP="006B1AA8">
            <w:pPr>
              <w:spacing w:before="60" w:after="60"/>
              <w:jc w:val="center"/>
              <w:rPr>
                <w:rFonts w:cstheme="minorHAnsi"/>
                <w:sz w:val="20"/>
                <w:szCs w:val="20"/>
                <w:highlight w:val="black"/>
              </w:rPr>
            </w:pPr>
            <w:r w:rsidRPr="00690650">
              <w:rPr>
                <w:sz w:val="20"/>
                <w:szCs w:val="20"/>
                <w:highlight w:val="black"/>
              </w:rPr>
              <w:t>XXXXX</w:t>
            </w:r>
          </w:p>
        </w:tc>
      </w:tr>
      <w:tr w:rsidR="00347B48" w:rsidRPr="00F94204" w14:paraId="1FC3C82C" w14:textId="77777777" w:rsidTr="00283FD7">
        <w:trPr>
          <w:trHeight w:val="276"/>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5607CE" w14:textId="5ABEF8DE" w:rsidR="00347B48" w:rsidRPr="006B1AA8" w:rsidRDefault="00347B48" w:rsidP="006B1AA8">
            <w:pPr>
              <w:spacing w:before="60" w:after="60"/>
              <w:rPr>
                <w:rFonts w:cstheme="minorHAnsi"/>
                <w:b/>
                <w:bCs/>
                <w:sz w:val="20"/>
                <w:szCs w:val="20"/>
              </w:rPr>
            </w:pPr>
            <w:r w:rsidRPr="006B1AA8">
              <w:rPr>
                <w:rFonts w:cstheme="minorHAnsi"/>
                <w:b/>
                <w:bCs/>
                <w:sz w:val="20"/>
                <w:szCs w:val="20"/>
              </w:rPr>
              <w:t xml:space="preserve">Number of </w:t>
            </w:r>
            <w:r w:rsidR="00E019C8" w:rsidRPr="006B1AA8">
              <w:rPr>
                <w:rFonts w:cstheme="minorHAnsi"/>
                <w:b/>
                <w:bCs/>
                <w:sz w:val="20"/>
                <w:szCs w:val="20"/>
              </w:rPr>
              <w:t>scripts</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763657" w14:textId="77777777" w:rsidR="00347B48" w:rsidRPr="00690650" w:rsidRDefault="00347B48" w:rsidP="006B1AA8">
            <w:pPr>
              <w:spacing w:before="60" w:after="60"/>
              <w:jc w:val="center"/>
              <w:rPr>
                <w:rFonts w:cstheme="minorHAnsi"/>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0F6C8A" w14:textId="77777777" w:rsidR="00347B48" w:rsidRPr="00690650" w:rsidRDefault="00347B48" w:rsidP="006B1AA8">
            <w:pPr>
              <w:spacing w:before="60" w:after="60"/>
              <w:jc w:val="center"/>
              <w:rPr>
                <w:rFonts w:cstheme="minorHAnsi"/>
                <w:sz w:val="20"/>
                <w:szCs w:val="20"/>
              </w:rPr>
            </w:pPr>
          </w:p>
        </w:tc>
      </w:tr>
      <w:tr w:rsidR="00347B48" w:rsidRPr="00F94204" w14:paraId="19CF98A7" w14:textId="77777777" w:rsidTr="00283FD7">
        <w:trPr>
          <w:trHeight w:val="325"/>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E2F1E3" w14:textId="49E87FE2" w:rsidR="00347B48" w:rsidRPr="006B1AA8" w:rsidRDefault="00347B48" w:rsidP="006B1AA8">
            <w:pPr>
              <w:spacing w:before="60" w:after="60"/>
              <w:rPr>
                <w:rFonts w:cstheme="minorHAnsi"/>
                <w:sz w:val="20"/>
                <w:szCs w:val="20"/>
              </w:rPr>
            </w:pPr>
            <w:proofErr w:type="spellStart"/>
            <w:r w:rsidRPr="006B1AA8">
              <w:rPr>
                <w:rFonts w:cstheme="minorHAnsi"/>
                <w:sz w:val="20"/>
                <w:szCs w:val="20"/>
              </w:rPr>
              <w:t>Predicted</w:t>
            </w:r>
            <w:r w:rsidR="003D0B98" w:rsidRPr="003D0B98">
              <w:rPr>
                <w:rFonts w:cstheme="minorHAnsi"/>
                <w:sz w:val="20"/>
                <w:szCs w:val="20"/>
                <w:vertAlign w:val="superscript"/>
              </w:rPr>
              <w:t>d</w:t>
            </w:r>
            <w:proofErr w:type="spellEnd"/>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66A42" w14:textId="0CACDE4E" w:rsidR="00347B48"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XXXXX</w:t>
            </w:r>
          </w:p>
        </w:tc>
        <w:tc>
          <w:tcPr>
            <w:tcW w:w="2174" w:type="dxa"/>
            <w:tcBorders>
              <w:top w:val="single" w:sz="4" w:space="0" w:color="auto"/>
              <w:left w:val="nil"/>
              <w:bottom w:val="single" w:sz="4" w:space="0" w:color="auto"/>
              <w:right w:val="single" w:sz="4" w:space="0" w:color="auto"/>
            </w:tcBorders>
            <w:shd w:val="clear" w:color="auto" w:fill="FFFFFF" w:themeFill="background1"/>
            <w:noWrap/>
            <w:vAlign w:val="center"/>
          </w:tcPr>
          <w:p w14:paraId="510722D1" w14:textId="36C48BDA" w:rsidR="00347B48"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XXXXX</w:t>
            </w:r>
          </w:p>
        </w:tc>
      </w:tr>
      <w:tr w:rsidR="00F874A8" w:rsidRPr="00F94204" w14:paraId="2B024FCD" w14:textId="77777777" w:rsidTr="00283FD7">
        <w:trPr>
          <w:trHeight w:val="372"/>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1FECC0" w14:textId="77777777" w:rsidR="00F874A8" w:rsidRPr="006B1AA8" w:rsidRDefault="00F874A8" w:rsidP="006B1AA8">
            <w:pPr>
              <w:spacing w:before="60" w:after="60"/>
              <w:rPr>
                <w:rFonts w:cstheme="minorHAnsi"/>
                <w:sz w:val="20"/>
                <w:szCs w:val="20"/>
              </w:rPr>
            </w:pPr>
            <w:r w:rsidRPr="006B1AA8">
              <w:rPr>
                <w:rFonts w:cstheme="minorHAnsi"/>
                <w:sz w:val="20"/>
                <w:szCs w:val="20"/>
              </w:rPr>
              <w:t>Actual</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CA506C" w14:textId="1CD1E05A" w:rsidR="00F874A8" w:rsidRPr="00690650" w:rsidRDefault="00F874A8" w:rsidP="006B1AA8">
            <w:pPr>
              <w:spacing w:before="60" w:after="60"/>
              <w:jc w:val="center"/>
              <w:rPr>
                <w:rFonts w:cstheme="minorHAnsi"/>
                <w:sz w:val="20"/>
                <w:szCs w:val="20"/>
              </w:rPr>
            </w:pPr>
            <w:r w:rsidRPr="00690650">
              <w:rPr>
                <w:sz w:val="20"/>
                <w:szCs w:val="20"/>
              </w:rPr>
              <w:t>2</w:t>
            </w:r>
            <w:r w:rsidR="00FB01AF" w:rsidRPr="00690650">
              <w:rPr>
                <w:sz w:val="20"/>
                <w:szCs w:val="20"/>
              </w:rPr>
              <w:t>,</w:t>
            </w:r>
            <w:r w:rsidRPr="00690650">
              <w:rPr>
                <w:sz w:val="20"/>
                <w:szCs w:val="20"/>
              </w:rPr>
              <w:t>682</w:t>
            </w:r>
          </w:p>
        </w:tc>
        <w:tc>
          <w:tcPr>
            <w:tcW w:w="2174" w:type="dxa"/>
            <w:tcBorders>
              <w:top w:val="single" w:sz="4" w:space="0" w:color="auto"/>
              <w:left w:val="nil"/>
              <w:bottom w:val="single" w:sz="4" w:space="0" w:color="auto"/>
              <w:right w:val="single" w:sz="4" w:space="0" w:color="auto"/>
            </w:tcBorders>
            <w:shd w:val="clear" w:color="auto" w:fill="FFFFFF" w:themeFill="background1"/>
            <w:noWrap/>
          </w:tcPr>
          <w:p w14:paraId="0F7C34CD" w14:textId="3A988F59" w:rsidR="00F874A8" w:rsidRPr="00690650" w:rsidRDefault="00F874A8" w:rsidP="006B1AA8">
            <w:pPr>
              <w:spacing w:before="60" w:after="60"/>
              <w:jc w:val="center"/>
              <w:rPr>
                <w:rFonts w:cstheme="minorHAnsi"/>
                <w:sz w:val="20"/>
                <w:szCs w:val="20"/>
              </w:rPr>
            </w:pPr>
            <w:r w:rsidRPr="00690650">
              <w:rPr>
                <w:sz w:val="20"/>
                <w:szCs w:val="20"/>
              </w:rPr>
              <w:t>4</w:t>
            </w:r>
            <w:r w:rsidR="00FB01AF" w:rsidRPr="00690650">
              <w:rPr>
                <w:sz w:val="20"/>
                <w:szCs w:val="20"/>
              </w:rPr>
              <w:t>,</w:t>
            </w:r>
            <w:r w:rsidRPr="00690650">
              <w:rPr>
                <w:sz w:val="20"/>
                <w:szCs w:val="20"/>
              </w:rPr>
              <w:t>539</w:t>
            </w:r>
          </w:p>
        </w:tc>
      </w:tr>
      <w:tr w:rsidR="00413730" w:rsidRPr="00F94204" w14:paraId="5E00AA58" w14:textId="77777777" w:rsidTr="00283FD7">
        <w:trPr>
          <w:trHeight w:val="264"/>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BC2F36" w14:textId="77777777" w:rsidR="00413730" w:rsidRPr="006B1AA8" w:rsidRDefault="00413730" w:rsidP="006B1AA8">
            <w:pPr>
              <w:spacing w:before="60" w:after="60"/>
              <w:rPr>
                <w:rFonts w:cstheme="minorHAnsi"/>
                <w:sz w:val="20"/>
                <w:szCs w:val="20"/>
              </w:rPr>
            </w:pPr>
            <w:r w:rsidRPr="006B1AA8">
              <w:rPr>
                <w:rFonts w:cstheme="minorHAnsi"/>
                <w:sz w:val="20"/>
                <w:szCs w:val="20"/>
              </w:rPr>
              <w:t>Difference</w:t>
            </w:r>
            <w:r w:rsidRPr="006B1AA8">
              <w:rPr>
                <w:rFonts w:cstheme="minorHAnsi"/>
                <w:sz w:val="20"/>
                <w:szCs w:val="20"/>
                <w:vertAlign w:val="superscript"/>
              </w:rPr>
              <w:t xml:space="preserve"> b</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86BE5E2" w14:textId="020498CA" w:rsidR="00413730" w:rsidRPr="00690650" w:rsidRDefault="001C421B" w:rsidP="006B1AA8">
            <w:pPr>
              <w:spacing w:before="60" w:after="60"/>
              <w:jc w:val="center"/>
              <w:rPr>
                <w:rFonts w:cstheme="minorHAnsi"/>
                <w:sz w:val="20"/>
                <w:szCs w:val="20"/>
                <w:highlight w:val="black"/>
              </w:rPr>
            </w:pPr>
            <w:r w:rsidRPr="00690650">
              <w:rPr>
                <w:sz w:val="20"/>
                <w:szCs w:val="20"/>
                <w:highlight w:val="black"/>
              </w:rPr>
              <w:t>XXXXX</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E5F02F1" w14:textId="46678901" w:rsidR="00413730" w:rsidRPr="00690650" w:rsidRDefault="001C421B" w:rsidP="006B1AA8">
            <w:pPr>
              <w:spacing w:before="60" w:after="60"/>
              <w:jc w:val="center"/>
              <w:rPr>
                <w:rFonts w:cstheme="minorHAnsi"/>
                <w:sz w:val="20"/>
                <w:szCs w:val="20"/>
                <w:highlight w:val="black"/>
              </w:rPr>
            </w:pPr>
            <w:r w:rsidRPr="00690650">
              <w:rPr>
                <w:sz w:val="20"/>
                <w:szCs w:val="20"/>
                <w:highlight w:val="black"/>
              </w:rPr>
              <w:t>XXXX</w:t>
            </w:r>
          </w:p>
        </w:tc>
      </w:tr>
      <w:tr w:rsidR="00347B48" w:rsidRPr="00F94204" w14:paraId="75B548CD" w14:textId="77777777" w:rsidTr="00283FD7">
        <w:trPr>
          <w:trHeight w:val="313"/>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93E728" w14:textId="77777777" w:rsidR="00347B48" w:rsidRPr="006B1AA8" w:rsidRDefault="00347B48" w:rsidP="006B1AA8">
            <w:pPr>
              <w:spacing w:before="60" w:after="60"/>
              <w:rPr>
                <w:rFonts w:cstheme="minorHAnsi"/>
                <w:b/>
                <w:bCs/>
                <w:sz w:val="20"/>
                <w:szCs w:val="20"/>
              </w:rPr>
            </w:pPr>
            <w:r w:rsidRPr="006B1AA8">
              <w:rPr>
                <w:rFonts w:cstheme="minorHAnsi"/>
                <w:b/>
                <w:bCs/>
                <w:sz w:val="20"/>
                <w:szCs w:val="20"/>
              </w:rPr>
              <w:t xml:space="preserve">Net cost to government </w:t>
            </w:r>
            <w:r w:rsidRPr="006B1AA8">
              <w:rPr>
                <w:rFonts w:cstheme="minorHAnsi"/>
                <w:b/>
                <w:bCs/>
                <w:sz w:val="20"/>
                <w:szCs w:val="20"/>
                <w:vertAlign w:val="superscript"/>
              </w:rPr>
              <w:t>c</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17C6AA" w14:textId="4D02F28B" w:rsidR="00347B48" w:rsidRPr="00690650" w:rsidRDefault="00347B48" w:rsidP="006B1AA8">
            <w:pPr>
              <w:spacing w:before="60" w:after="60"/>
              <w:jc w:val="center"/>
              <w:rPr>
                <w:rFonts w:cstheme="minorHAnsi"/>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D5F7E" w14:textId="4E8CA4CD" w:rsidR="00347B48" w:rsidRPr="00690650" w:rsidRDefault="00347B48" w:rsidP="006B1AA8">
            <w:pPr>
              <w:spacing w:before="60" w:after="60"/>
              <w:jc w:val="center"/>
              <w:rPr>
                <w:rFonts w:cstheme="minorHAnsi"/>
                <w:sz w:val="20"/>
                <w:szCs w:val="20"/>
              </w:rPr>
            </w:pPr>
          </w:p>
        </w:tc>
      </w:tr>
      <w:tr w:rsidR="003465AB" w:rsidRPr="00F94204" w14:paraId="619CD5FD" w14:textId="77777777" w:rsidTr="00283FD7">
        <w:trPr>
          <w:trHeight w:val="360"/>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B6CD1E" w14:textId="77777777" w:rsidR="003465AB" w:rsidRPr="006B1AA8" w:rsidRDefault="003465AB" w:rsidP="006B1AA8">
            <w:pPr>
              <w:spacing w:before="60" w:after="60"/>
              <w:rPr>
                <w:rFonts w:cstheme="minorHAnsi"/>
                <w:sz w:val="20"/>
                <w:szCs w:val="20"/>
              </w:rPr>
            </w:pPr>
            <w:r w:rsidRPr="006B1AA8">
              <w:rPr>
                <w:rFonts w:cstheme="minorHAnsi"/>
                <w:sz w:val="20"/>
                <w:szCs w:val="20"/>
              </w:rPr>
              <w:t>Predicted</w:t>
            </w:r>
          </w:p>
        </w:tc>
        <w:tc>
          <w:tcPr>
            <w:tcW w:w="21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7E06C" w14:textId="7A36CB4E" w:rsidR="003465AB"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XXXXXXXXXX</w:t>
            </w:r>
          </w:p>
        </w:tc>
        <w:tc>
          <w:tcPr>
            <w:tcW w:w="2174" w:type="dxa"/>
            <w:tcBorders>
              <w:top w:val="single" w:sz="4" w:space="0" w:color="auto"/>
              <w:left w:val="nil"/>
              <w:bottom w:val="single" w:sz="4" w:space="0" w:color="auto"/>
              <w:right w:val="single" w:sz="4" w:space="0" w:color="auto"/>
            </w:tcBorders>
            <w:shd w:val="clear" w:color="auto" w:fill="FFFFFF" w:themeFill="background1"/>
            <w:noWrap/>
            <w:vAlign w:val="center"/>
          </w:tcPr>
          <w:p w14:paraId="739977FB" w14:textId="757208F3" w:rsidR="003465AB"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XXXXXXXXXXX</w:t>
            </w:r>
          </w:p>
        </w:tc>
      </w:tr>
      <w:tr w:rsidR="003465AB" w:rsidRPr="00F94204" w14:paraId="218230EB" w14:textId="77777777" w:rsidTr="00690650">
        <w:trPr>
          <w:trHeight w:val="280"/>
        </w:trPr>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CA23D9" w14:textId="77777777" w:rsidR="003465AB" w:rsidRPr="006B1AA8" w:rsidRDefault="003465AB" w:rsidP="006B1AA8">
            <w:pPr>
              <w:spacing w:before="60" w:after="60"/>
              <w:rPr>
                <w:rFonts w:cstheme="minorHAnsi"/>
                <w:sz w:val="20"/>
                <w:szCs w:val="20"/>
              </w:rPr>
            </w:pPr>
            <w:r w:rsidRPr="006B1AA8">
              <w:rPr>
                <w:rFonts w:cstheme="minorHAnsi"/>
                <w:sz w:val="20"/>
                <w:szCs w:val="20"/>
              </w:rPr>
              <w:t>Actual</w:t>
            </w:r>
          </w:p>
        </w:tc>
        <w:tc>
          <w:tcPr>
            <w:tcW w:w="2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E2CF9" w14:textId="02F55548" w:rsidR="003465AB"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XXXXXXXXXX</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030F0" w14:textId="1084B5D2" w:rsidR="003465AB" w:rsidRPr="00690650" w:rsidRDefault="001C421B" w:rsidP="006B1AA8">
            <w:pPr>
              <w:spacing w:before="60" w:after="60"/>
              <w:jc w:val="center"/>
              <w:rPr>
                <w:rFonts w:cstheme="minorHAnsi"/>
                <w:sz w:val="20"/>
                <w:szCs w:val="20"/>
                <w:highlight w:val="black"/>
              </w:rPr>
            </w:pPr>
            <w:r w:rsidRPr="00690650">
              <w:rPr>
                <w:rFonts w:cstheme="minorHAnsi"/>
                <w:sz w:val="20"/>
                <w:szCs w:val="20"/>
                <w:highlight w:val="black"/>
              </w:rPr>
              <w:t>XXXXXXXXXXX</w:t>
            </w:r>
          </w:p>
        </w:tc>
      </w:tr>
      <w:tr w:rsidR="00ED69ED" w:rsidRPr="00F94204" w14:paraId="1F205615" w14:textId="77777777" w:rsidTr="00283FD7">
        <w:trPr>
          <w:trHeight w:val="329"/>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7706" w14:textId="77777777" w:rsidR="00ED69ED" w:rsidRPr="006B1AA8" w:rsidRDefault="00ED69ED" w:rsidP="006B1AA8">
            <w:pPr>
              <w:spacing w:before="60" w:after="60"/>
              <w:rPr>
                <w:rFonts w:cstheme="minorHAnsi"/>
                <w:sz w:val="20"/>
                <w:szCs w:val="20"/>
              </w:rPr>
            </w:pPr>
            <w:r w:rsidRPr="006B1AA8">
              <w:rPr>
                <w:rFonts w:cstheme="minorHAnsi"/>
                <w:sz w:val="20"/>
                <w:szCs w:val="20"/>
              </w:rPr>
              <w:t xml:space="preserve">Difference </w:t>
            </w:r>
            <w:r w:rsidRPr="006B1AA8">
              <w:rPr>
                <w:rFonts w:cstheme="minorHAnsi"/>
                <w:sz w:val="20"/>
                <w:szCs w:val="20"/>
                <w:vertAlign w:val="superscript"/>
              </w:rPr>
              <w:t>b</w:t>
            </w:r>
          </w:p>
        </w:tc>
        <w:tc>
          <w:tcPr>
            <w:tcW w:w="2173" w:type="dxa"/>
            <w:tcBorders>
              <w:top w:val="single" w:sz="4" w:space="0" w:color="auto"/>
              <w:left w:val="single" w:sz="4" w:space="0" w:color="auto"/>
              <w:bottom w:val="single" w:sz="4" w:space="0" w:color="auto"/>
              <w:right w:val="single" w:sz="4" w:space="0" w:color="auto"/>
            </w:tcBorders>
            <w:shd w:val="clear" w:color="auto" w:fill="auto"/>
            <w:noWrap/>
          </w:tcPr>
          <w:p w14:paraId="5931D7E0" w14:textId="4EA29348" w:rsidR="00ED69ED" w:rsidRPr="00690650" w:rsidRDefault="001C421B" w:rsidP="006B1AA8">
            <w:pPr>
              <w:spacing w:before="60" w:after="60"/>
              <w:jc w:val="center"/>
              <w:rPr>
                <w:rFonts w:cstheme="minorHAnsi"/>
                <w:sz w:val="20"/>
                <w:szCs w:val="20"/>
                <w:highlight w:val="black"/>
              </w:rPr>
            </w:pPr>
            <w:r w:rsidRPr="00690650">
              <w:rPr>
                <w:sz w:val="20"/>
                <w:szCs w:val="20"/>
                <w:highlight w:val="black"/>
              </w:rPr>
              <w:t>XXXXX</w:t>
            </w:r>
          </w:p>
        </w:tc>
        <w:tc>
          <w:tcPr>
            <w:tcW w:w="2174" w:type="dxa"/>
            <w:tcBorders>
              <w:top w:val="single" w:sz="4" w:space="0" w:color="auto"/>
              <w:left w:val="single" w:sz="4" w:space="0" w:color="auto"/>
              <w:bottom w:val="single" w:sz="4" w:space="0" w:color="auto"/>
              <w:right w:val="single" w:sz="4" w:space="0" w:color="auto"/>
            </w:tcBorders>
            <w:shd w:val="clear" w:color="auto" w:fill="auto"/>
            <w:noWrap/>
          </w:tcPr>
          <w:p w14:paraId="68339D24" w14:textId="7CDAE3E1" w:rsidR="00ED69ED" w:rsidRPr="00690650" w:rsidRDefault="001C421B" w:rsidP="006B1AA8">
            <w:pPr>
              <w:spacing w:before="60" w:after="60"/>
              <w:jc w:val="center"/>
              <w:rPr>
                <w:rFonts w:cstheme="minorHAnsi"/>
                <w:sz w:val="20"/>
                <w:szCs w:val="20"/>
                <w:highlight w:val="black"/>
              </w:rPr>
            </w:pPr>
            <w:r w:rsidRPr="00690650">
              <w:rPr>
                <w:sz w:val="20"/>
                <w:szCs w:val="20"/>
                <w:highlight w:val="black"/>
              </w:rPr>
              <w:t>XXX</w:t>
            </w:r>
          </w:p>
        </w:tc>
      </w:tr>
    </w:tbl>
    <w:p w14:paraId="3610FF1C" w14:textId="77777777" w:rsidR="00347B48" w:rsidRPr="00F94204" w:rsidRDefault="00347B48" w:rsidP="00347B48">
      <w:pPr>
        <w:spacing w:after="0"/>
        <w:rPr>
          <w:sz w:val="20"/>
          <w:szCs w:val="20"/>
        </w:rPr>
      </w:pPr>
      <w:r w:rsidRPr="00F94204">
        <w:rPr>
          <w:sz w:val="20"/>
          <w:szCs w:val="20"/>
        </w:rPr>
        <w:t>Source: The predicted figures were sourced from the final version of the financial estimates model.</w:t>
      </w:r>
    </w:p>
    <w:p w14:paraId="4517A4D2" w14:textId="77777777" w:rsidR="00347B48" w:rsidRPr="00F94204" w:rsidRDefault="00347B48" w:rsidP="00347B48">
      <w:pPr>
        <w:spacing w:after="0"/>
        <w:rPr>
          <w:sz w:val="20"/>
          <w:szCs w:val="20"/>
        </w:rPr>
      </w:pPr>
      <w:r w:rsidRPr="00F94204">
        <w:rPr>
          <w:sz w:val="20"/>
          <w:szCs w:val="20"/>
        </w:rPr>
        <w:t>Note:</w:t>
      </w:r>
    </w:p>
    <w:p w14:paraId="371AE95A" w14:textId="6E3AA7C9" w:rsidR="00347B48" w:rsidRPr="00F94204" w:rsidRDefault="00347B48" w:rsidP="00347B48">
      <w:pPr>
        <w:spacing w:after="0"/>
        <w:rPr>
          <w:sz w:val="20"/>
          <w:szCs w:val="20"/>
        </w:rPr>
      </w:pPr>
      <w:proofErr w:type="spellStart"/>
      <w:r w:rsidRPr="00F94204">
        <w:rPr>
          <w:sz w:val="20"/>
          <w:szCs w:val="20"/>
          <w:vertAlign w:val="superscript"/>
        </w:rPr>
        <w:t>a</w:t>
      </w:r>
      <w:proofErr w:type="spellEnd"/>
      <w:r w:rsidRPr="00F94204">
        <w:rPr>
          <w:sz w:val="20"/>
          <w:szCs w:val="20"/>
        </w:rPr>
        <w:t xml:space="preserve"> </w:t>
      </w:r>
      <w:proofErr w:type="gramStart"/>
      <w:r w:rsidRPr="00F94204">
        <w:rPr>
          <w:sz w:val="20"/>
          <w:szCs w:val="20"/>
        </w:rPr>
        <w:t>The</w:t>
      </w:r>
      <w:proofErr w:type="gramEnd"/>
      <w:r w:rsidRPr="00F94204">
        <w:rPr>
          <w:sz w:val="20"/>
          <w:szCs w:val="20"/>
        </w:rPr>
        <w:t xml:space="preserve"> figures are presented in listing years (</w:t>
      </w:r>
      <w:r>
        <w:rPr>
          <w:sz w:val="20"/>
          <w:szCs w:val="20"/>
        </w:rPr>
        <w:t>December</w:t>
      </w:r>
      <w:r w:rsidRPr="00F94204">
        <w:rPr>
          <w:sz w:val="20"/>
          <w:szCs w:val="20"/>
        </w:rPr>
        <w:t xml:space="preserve"> to </w:t>
      </w:r>
      <w:r>
        <w:rPr>
          <w:sz w:val="20"/>
          <w:szCs w:val="20"/>
        </w:rPr>
        <w:t>November</w:t>
      </w:r>
      <w:r w:rsidRPr="00F94204">
        <w:rPr>
          <w:sz w:val="20"/>
          <w:szCs w:val="20"/>
        </w:rPr>
        <w:t>).</w:t>
      </w:r>
    </w:p>
    <w:p w14:paraId="1E76EC1A" w14:textId="77777777" w:rsidR="00347B48" w:rsidRPr="00F94204" w:rsidRDefault="00347B48" w:rsidP="00347B48">
      <w:pPr>
        <w:spacing w:after="0"/>
        <w:rPr>
          <w:sz w:val="20"/>
          <w:szCs w:val="20"/>
        </w:rPr>
      </w:pPr>
      <w:r w:rsidRPr="00F94204">
        <w:rPr>
          <w:sz w:val="20"/>
          <w:szCs w:val="20"/>
          <w:vertAlign w:val="superscript"/>
        </w:rPr>
        <w:t>b</w:t>
      </w:r>
      <w:r w:rsidRPr="00F94204">
        <w:rPr>
          <w:sz w:val="20"/>
          <w:szCs w:val="20"/>
        </w:rPr>
        <w:t xml:space="preserve"> Difference is calculated as: ((Actual – Predicted)/Predicted) x 100.</w:t>
      </w:r>
    </w:p>
    <w:p w14:paraId="534C6315" w14:textId="34C87CE3" w:rsidR="00347B48" w:rsidRPr="006130C1" w:rsidRDefault="004507CF" w:rsidP="00347B48">
      <w:pPr>
        <w:spacing w:after="0"/>
        <w:rPr>
          <w:sz w:val="20"/>
          <w:szCs w:val="20"/>
          <w:highlight w:val="black"/>
        </w:rPr>
      </w:pPr>
      <w:r w:rsidRPr="006130C1">
        <w:rPr>
          <w:sz w:val="20"/>
          <w:szCs w:val="20"/>
          <w:highlight w:val="black"/>
        </w:rPr>
        <w:t>XXXXXXXXXXXXX</w:t>
      </w:r>
      <w:r w:rsidR="00347B48" w:rsidRPr="006130C1">
        <w:rPr>
          <w:sz w:val="20"/>
          <w:szCs w:val="20"/>
          <w:highlight w:val="black"/>
        </w:rPr>
        <w:t xml:space="preserve"> </w:t>
      </w:r>
      <w:r w:rsidRPr="006130C1">
        <w:rPr>
          <w:sz w:val="20"/>
          <w:szCs w:val="20"/>
          <w:highlight w:val="black"/>
        </w:rPr>
        <w:t>XXXXXXX</w:t>
      </w:r>
      <w:r w:rsidR="00347B48" w:rsidRPr="006130C1">
        <w:rPr>
          <w:sz w:val="20"/>
          <w:szCs w:val="20"/>
          <w:highlight w:val="black"/>
        </w:rPr>
        <w:t xml:space="preserve"> </w:t>
      </w:r>
      <w:r w:rsidRPr="006130C1">
        <w:rPr>
          <w:sz w:val="20"/>
          <w:szCs w:val="20"/>
          <w:highlight w:val="black"/>
        </w:rPr>
        <w:t>XXX</w:t>
      </w:r>
      <w:r w:rsidR="00347B48" w:rsidRPr="006130C1">
        <w:rPr>
          <w:sz w:val="20"/>
          <w:szCs w:val="20"/>
          <w:highlight w:val="black"/>
        </w:rPr>
        <w:t xml:space="preserve"> </w:t>
      </w:r>
      <w:r w:rsidRPr="006130C1">
        <w:rPr>
          <w:sz w:val="20"/>
          <w:szCs w:val="20"/>
          <w:highlight w:val="black"/>
        </w:rPr>
        <w:t>XXXXX</w:t>
      </w:r>
      <w:r w:rsidR="00347B48" w:rsidRPr="006130C1">
        <w:rPr>
          <w:sz w:val="20"/>
          <w:szCs w:val="20"/>
          <w:highlight w:val="black"/>
        </w:rPr>
        <w:t xml:space="preserve"> </w:t>
      </w:r>
      <w:r w:rsidRPr="006130C1">
        <w:rPr>
          <w:sz w:val="20"/>
          <w:szCs w:val="20"/>
          <w:highlight w:val="black"/>
        </w:rPr>
        <w:t>XX</w:t>
      </w:r>
      <w:r w:rsidR="00347B48" w:rsidRPr="006130C1">
        <w:rPr>
          <w:sz w:val="20"/>
          <w:szCs w:val="20"/>
          <w:highlight w:val="black"/>
        </w:rPr>
        <w:t xml:space="preserve"> </w:t>
      </w:r>
      <w:r w:rsidRPr="006130C1">
        <w:rPr>
          <w:sz w:val="20"/>
          <w:szCs w:val="20"/>
          <w:highlight w:val="black"/>
        </w:rPr>
        <w:t>XXX</w:t>
      </w:r>
      <w:r w:rsidR="00347B48" w:rsidRPr="006130C1">
        <w:rPr>
          <w:sz w:val="20"/>
          <w:szCs w:val="20"/>
          <w:highlight w:val="black"/>
        </w:rPr>
        <w:t xml:space="preserve"> </w:t>
      </w:r>
      <w:r w:rsidRPr="006130C1">
        <w:rPr>
          <w:sz w:val="20"/>
          <w:szCs w:val="20"/>
          <w:highlight w:val="black"/>
        </w:rPr>
        <w:t>XXXXXXXXX</w:t>
      </w:r>
      <w:r w:rsidR="00347B48" w:rsidRPr="006130C1">
        <w:rPr>
          <w:sz w:val="20"/>
          <w:szCs w:val="20"/>
          <w:highlight w:val="black"/>
        </w:rPr>
        <w:t xml:space="preserve"> </w:t>
      </w:r>
      <w:r w:rsidRPr="006130C1">
        <w:rPr>
          <w:sz w:val="20"/>
          <w:szCs w:val="20"/>
          <w:highlight w:val="black"/>
        </w:rPr>
        <w:t>XXXXX</w:t>
      </w:r>
      <w:r w:rsidR="00347B48" w:rsidRPr="006130C1">
        <w:rPr>
          <w:sz w:val="20"/>
          <w:szCs w:val="20"/>
          <w:highlight w:val="black"/>
        </w:rPr>
        <w:t xml:space="preserve"> </w:t>
      </w:r>
    </w:p>
    <w:p w14:paraId="45F3AF7D" w14:textId="3A083D0D" w:rsidR="009A5005" w:rsidRDefault="004507CF" w:rsidP="006B1AA8">
      <w:pPr>
        <w:spacing w:after="0"/>
        <w:rPr>
          <w:sz w:val="20"/>
          <w:szCs w:val="20"/>
        </w:rPr>
      </w:pPr>
      <w:r w:rsidRPr="006130C1">
        <w:rPr>
          <w:sz w:val="20"/>
          <w:szCs w:val="20"/>
          <w:highlight w:val="black"/>
        </w:rPr>
        <w:t>XXXXXXXXXXX</w:t>
      </w:r>
      <w:r w:rsidR="00347B48" w:rsidRPr="006130C1">
        <w:rPr>
          <w:sz w:val="20"/>
          <w:szCs w:val="20"/>
          <w:highlight w:val="black"/>
        </w:rPr>
        <w:t xml:space="preserve"> </w:t>
      </w:r>
      <w:r w:rsidRPr="006130C1">
        <w:rPr>
          <w:sz w:val="20"/>
          <w:szCs w:val="20"/>
          <w:highlight w:val="black"/>
        </w:rPr>
        <w:t>XX</w:t>
      </w:r>
      <w:r w:rsidR="00347B48" w:rsidRPr="006130C1">
        <w:rPr>
          <w:sz w:val="20"/>
          <w:szCs w:val="20"/>
          <w:highlight w:val="black"/>
        </w:rPr>
        <w:t xml:space="preserve"> </w:t>
      </w:r>
      <w:r w:rsidRPr="006130C1">
        <w:rPr>
          <w:sz w:val="20"/>
          <w:szCs w:val="20"/>
          <w:highlight w:val="black"/>
        </w:rPr>
        <w:t>XXXXXXXXXXX</w:t>
      </w:r>
      <w:r w:rsidR="00481553" w:rsidRPr="006130C1">
        <w:rPr>
          <w:sz w:val="20"/>
          <w:szCs w:val="20"/>
          <w:highlight w:val="black"/>
        </w:rPr>
        <w:t>.</w:t>
      </w:r>
    </w:p>
    <w:p w14:paraId="157CF026" w14:textId="513642AD" w:rsidR="003D0B98" w:rsidRPr="003D0B98" w:rsidRDefault="003D0B98" w:rsidP="006B1AA8">
      <w:pPr>
        <w:spacing w:after="0"/>
        <w:rPr>
          <w:sz w:val="20"/>
          <w:szCs w:val="20"/>
        </w:rPr>
      </w:pPr>
      <w:r w:rsidRPr="003D0B98">
        <w:rPr>
          <w:sz w:val="20"/>
          <w:szCs w:val="20"/>
          <w:vertAlign w:val="superscript"/>
        </w:rPr>
        <w:t>d</w:t>
      </w:r>
      <w:r>
        <w:rPr>
          <w:sz w:val="20"/>
          <w:szCs w:val="20"/>
          <w:vertAlign w:val="superscript"/>
        </w:rPr>
        <w:t xml:space="preserve"> </w:t>
      </w:r>
      <w:r w:rsidR="00035153">
        <w:rPr>
          <w:sz w:val="20"/>
          <w:szCs w:val="20"/>
        </w:rPr>
        <w:t>Source:</w:t>
      </w:r>
      <w:r>
        <w:rPr>
          <w:sz w:val="20"/>
          <w:szCs w:val="20"/>
        </w:rPr>
        <w:t xml:space="preserve"> </w:t>
      </w:r>
      <w:r w:rsidR="00035153">
        <w:rPr>
          <w:sz w:val="20"/>
          <w:szCs w:val="20"/>
        </w:rPr>
        <w:t>Y</w:t>
      </w:r>
      <w:r>
        <w:rPr>
          <w:sz w:val="20"/>
          <w:szCs w:val="20"/>
        </w:rPr>
        <w:t>ears 1 and 2 of Risk Sharing Agreement.</w:t>
      </w:r>
    </w:p>
    <w:p w14:paraId="5A6D0B02" w14:textId="77777777" w:rsidR="0091693F" w:rsidRDefault="0091693F">
      <w:pPr>
        <w:spacing w:line="276" w:lineRule="auto"/>
        <w:rPr>
          <w:rFonts w:eastAsiaTheme="majorEastAsia" w:cstheme="majorBidi"/>
          <w:b/>
          <w:bCs/>
          <w:sz w:val="32"/>
          <w:szCs w:val="32"/>
        </w:rPr>
      </w:pPr>
      <w:r>
        <w:br w:type="page"/>
      </w:r>
    </w:p>
    <w:p w14:paraId="3555DFBA" w14:textId="57C27771" w:rsidR="00591512" w:rsidRDefault="00AB3733" w:rsidP="006B1AA8">
      <w:pPr>
        <w:pStyle w:val="Heading1"/>
      </w:pPr>
      <w:r>
        <w:lastRenderedPageBreak/>
        <w:t>D</w:t>
      </w:r>
      <w:r w:rsidR="007346C7" w:rsidRPr="005E22C2">
        <w:t>iscussion</w:t>
      </w:r>
    </w:p>
    <w:p w14:paraId="5E09BEDD" w14:textId="608F8A30" w:rsidR="00857CBD" w:rsidRDefault="00AE0658" w:rsidP="00857CBD">
      <w:r>
        <w:t>The m</w:t>
      </w:r>
      <w:r w:rsidR="00857CBD">
        <w:t xml:space="preserve">ean age of incident </w:t>
      </w:r>
      <w:r w:rsidR="00571297">
        <w:t xml:space="preserve">(new) </w:t>
      </w:r>
      <w:r w:rsidR="00857CBD">
        <w:t xml:space="preserve">patients </w:t>
      </w:r>
      <w:r w:rsidR="001274F5">
        <w:t xml:space="preserve">on </w:t>
      </w:r>
      <w:proofErr w:type="spellStart"/>
      <w:r w:rsidR="001274F5">
        <w:t>venetoclax</w:t>
      </w:r>
      <w:proofErr w:type="spellEnd"/>
      <w:r w:rsidR="001274F5">
        <w:t xml:space="preserve"> was</w:t>
      </w:r>
      <w:r w:rsidR="00857CBD">
        <w:t xml:space="preserve"> 72 years</w:t>
      </w:r>
      <w:r w:rsidR="00D63992">
        <w:t>,</w:t>
      </w:r>
      <w:r w:rsidR="00857CBD">
        <w:t xml:space="preserve"> with males </w:t>
      </w:r>
      <w:r w:rsidR="00D63992">
        <w:t xml:space="preserve">being </w:t>
      </w:r>
      <w:r w:rsidR="00857CBD">
        <w:t>slightly younger (71.8 years) than females (72.3 years)</w:t>
      </w:r>
      <w:r w:rsidR="005C225B">
        <w:t>.</w:t>
      </w:r>
      <w:r w:rsidR="001274F5">
        <w:t xml:space="preserve"> </w:t>
      </w:r>
      <w:proofErr w:type="gramStart"/>
      <w:r w:rsidR="005C225B">
        <w:t>T</w:t>
      </w:r>
      <w:r w:rsidR="001274F5">
        <w:t xml:space="preserve">he </w:t>
      </w:r>
      <w:r w:rsidR="00857CBD">
        <w:t>majority of</w:t>
      </w:r>
      <w:proofErr w:type="gramEnd"/>
      <w:r w:rsidR="00857CBD">
        <w:t xml:space="preserve"> incident patients</w:t>
      </w:r>
      <w:r w:rsidR="001274F5">
        <w:t xml:space="preserve"> on </w:t>
      </w:r>
      <w:proofErr w:type="spellStart"/>
      <w:r w:rsidR="001274F5">
        <w:t>venetoclax</w:t>
      </w:r>
      <w:proofErr w:type="spellEnd"/>
      <w:r w:rsidR="00857CBD">
        <w:t xml:space="preserve"> </w:t>
      </w:r>
      <w:r w:rsidR="001274F5">
        <w:t>were</w:t>
      </w:r>
      <w:r w:rsidR="00D63992">
        <w:t xml:space="preserve"> </w:t>
      </w:r>
      <w:r w:rsidR="00857CBD">
        <w:t>males (66%) as compared to females (34%) (Figure 1)</w:t>
      </w:r>
      <w:r w:rsidR="00D63992">
        <w:t>. This age and gender distribution</w:t>
      </w:r>
      <w:r w:rsidR="00857CBD">
        <w:t xml:space="preserve"> is consistent with AIHW data on CLL.</w:t>
      </w:r>
    </w:p>
    <w:p w14:paraId="2E013265" w14:textId="15AF6C54" w:rsidR="00245EF0" w:rsidRDefault="001274F5" w:rsidP="00857CBD">
      <w:r>
        <w:t xml:space="preserve">The </w:t>
      </w:r>
      <w:r w:rsidR="004D11AB">
        <w:t xml:space="preserve">actual </w:t>
      </w:r>
      <w:r w:rsidR="00046964" w:rsidRPr="00046964">
        <w:t xml:space="preserve">uptake </w:t>
      </w:r>
      <w:r w:rsidR="00C43290">
        <w:t xml:space="preserve">rate </w:t>
      </w:r>
      <w:r>
        <w:t xml:space="preserve">was </w:t>
      </w:r>
      <w:r w:rsidR="004507CF" w:rsidRPr="00187B1C">
        <w:rPr>
          <w:highlight w:val="black"/>
        </w:rPr>
        <w:t>XXXXXX</w:t>
      </w:r>
      <w:r>
        <w:t xml:space="preserve"> in the first two years of listing </w:t>
      </w:r>
      <w:r w:rsidR="00046964" w:rsidRPr="00046964">
        <w:t xml:space="preserve">then </w:t>
      </w:r>
      <w:r w:rsidR="004D11AB">
        <w:t>assumed</w:t>
      </w:r>
      <w:r w:rsidR="00046964" w:rsidRPr="00046964">
        <w:t xml:space="preserve"> with </w:t>
      </w:r>
      <w:r w:rsidR="00122DA7">
        <w:t>an</w:t>
      </w:r>
      <w:r w:rsidR="00046964" w:rsidRPr="00046964">
        <w:t xml:space="preserve"> actual </w:t>
      </w:r>
      <w:r w:rsidR="00C43290">
        <w:t xml:space="preserve">uptake </w:t>
      </w:r>
      <w:r w:rsidR="00046964" w:rsidRPr="00046964">
        <w:t xml:space="preserve">rate of 83% in year 1 compared to an assumed uptake rate of </w:t>
      </w:r>
      <w:r w:rsidR="004507CF" w:rsidRPr="00187B1C">
        <w:rPr>
          <w:highlight w:val="black"/>
          <w:shd w:val="clear" w:color="auto" w:fill="D9D9D9" w:themeFill="background1" w:themeFillShade="D9"/>
        </w:rPr>
        <w:t>XXX</w:t>
      </w:r>
      <w:r w:rsidR="00230502" w:rsidRPr="00187B1C">
        <w:rPr>
          <w:highlight w:val="black"/>
          <w:shd w:val="clear" w:color="auto" w:fill="D9D9D9" w:themeFill="background1" w:themeFillShade="D9"/>
        </w:rPr>
        <w:t>,</w:t>
      </w:r>
      <w:r w:rsidR="00046964" w:rsidRPr="00046964">
        <w:t xml:space="preserve"> the rate of uptake appears to have</w:t>
      </w:r>
      <w:r w:rsidR="00846A4D">
        <w:t xml:space="preserve"> remained steady </w:t>
      </w:r>
      <w:r w:rsidR="00046964" w:rsidRPr="00046964">
        <w:t xml:space="preserve">in year 2 at 83% which is still </w:t>
      </w:r>
      <w:r w:rsidR="004507CF" w:rsidRPr="00187B1C">
        <w:rPr>
          <w:highlight w:val="black"/>
        </w:rPr>
        <w:t>XXXXXX</w:t>
      </w:r>
      <w:r w:rsidR="00046964" w:rsidRPr="00046964">
        <w:t xml:space="preserve"> than the </w:t>
      </w:r>
      <w:r w:rsidR="004507CF" w:rsidRPr="00187B1C">
        <w:rPr>
          <w:highlight w:val="black"/>
        </w:rPr>
        <w:t>XXX</w:t>
      </w:r>
      <w:r w:rsidR="00046964" w:rsidRPr="00046964">
        <w:t xml:space="preserve"> assumed</w:t>
      </w:r>
      <w:r w:rsidR="00904DC1">
        <w:t xml:space="preserve"> </w:t>
      </w:r>
      <w:r w:rsidR="00046964" w:rsidRPr="00046964">
        <w:t>(</w:t>
      </w:r>
      <w:r w:rsidR="00230502">
        <w:t xml:space="preserve">Table </w:t>
      </w:r>
      <w:r w:rsidR="00D2756D">
        <w:t>7</w:t>
      </w:r>
      <w:r w:rsidR="00230502">
        <w:t xml:space="preserve"> and </w:t>
      </w:r>
      <w:r w:rsidR="00046964" w:rsidRPr="00046964">
        <w:t xml:space="preserve">Figure 2). The actual substitution rate of chlorambucil </w:t>
      </w:r>
      <w:r w:rsidR="009B6457">
        <w:t>in combination with</w:t>
      </w:r>
      <w:r w:rsidR="00230502">
        <w:t xml:space="preserve"> </w:t>
      </w:r>
      <w:proofErr w:type="spellStart"/>
      <w:r w:rsidR="00230502" w:rsidRPr="00046964">
        <w:t>obinutuzumab</w:t>
      </w:r>
      <w:proofErr w:type="spellEnd"/>
      <w:r w:rsidR="00230502" w:rsidRPr="00046964">
        <w:t xml:space="preserve"> </w:t>
      </w:r>
      <w:r w:rsidR="00046964" w:rsidRPr="00046964">
        <w:t xml:space="preserve">for </w:t>
      </w:r>
      <w:proofErr w:type="spellStart"/>
      <w:r w:rsidR="00046964" w:rsidRPr="00046964">
        <w:t>venetoclax</w:t>
      </w:r>
      <w:proofErr w:type="spellEnd"/>
      <w:r w:rsidR="00046964" w:rsidRPr="00046964">
        <w:t xml:space="preserve"> </w:t>
      </w:r>
      <w:r w:rsidR="00046964" w:rsidRPr="00B10512">
        <w:t xml:space="preserve">is </w:t>
      </w:r>
      <w:r w:rsidR="00E43C33" w:rsidRPr="00B10512">
        <w:rPr>
          <w:highlight w:val="black"/>
        </w:rPr>
        <w:t>XXXXX</w:t>
      </w:r>
      <w:r w:rsidR="00046964" w:rsidRPr="00B10512">
        <w:t xml:space="preserve"> than</w:t>
      </w:r>
      <w:r w:rsidR="00046964" w:rsidRPr="00046964">
        <w:t xml:space="preserve"> predicted over the first 2 years of listing</w:t>
      </w:r>
      <w:r w:rsidR="00904DC1">
        <w:t xml:space="preserve"> </w:t>
      </w:r>
      <w:r w:rsidR="00230502">
        <w:t xml:space="preserve">(Table </w:t>
      </w:r>
      <w:r w:rsidR="00D2756D">
        <w:t>7</w:t>
      </w:r>
      <w:r w:rsidR="00230502">
        <w:t>)</w:t>
      </w:r>
      <w:r w:rsidR="00046964" w:rsidRPr="00046964">
        <w:t>.</w:t>
      </w:r>
    </w:p>
    <w:p w14:paraId="0F5C55ED" w14:textId="7AA72C51" w:rsidR="00470E44" w:rsidRDefault="00AC728A" w:rsidP="00470E44">
      <w:r>
        <w:t>T</w:t>
      </w:r>
      <w:r w:rsidR="00470E44">
        <w:t xml:space="preserve">he use of </w:t>
      </w:r>
      <w:r w:rsidR="005C225B">
        <w:t xml:space="preserve">ibrutinib </w:t>
      </w:r>
      <w:r w:rsidR="00470E44">
        <w:t>in second-line</w:t>
      </w:r>
      <w:r w:rsidR="00E22FF5">
        <w:t xml:space="preserve"> </w:t>
      </w:r>
      <w:r w:rsidR="00FB2D7C">
        <w:t>therapy</w:t>
      </w:r>
      <w:r w:rsidR="00470E44">
        <w:t xml:space="preserve"> of CLL</w:t>
      </w:r>
      <w:r w:rsidR="009B6457">
        <w:t>/SLL</w:t>
      </w:r>
      <w:r w:rsidR="00470E44">
        <w:t xml:space="preserve"> has </w:t>
      </w:r>
      <w:r w:rsidR="00122DA7">
        <w:t>decreased</w:t>
      </w:r>
      <w:r w:rsidR="00E22FF5">
        <w:t xml:space="preserve"> (Figure 3)</w:t>
      </w:r>
      <w:r w:rsidR="00CB257E">
        <w:t>.</w:t>
      </w:r>
      <w:r w:rsidR="00470E44">
        <w:t xml:space="preserve"> </w:t>
      </w:r>
      <w:r w:rsidR="00CB257E">
        <w:t>T</w:t>
      </w:r>
      <w:r w:rsidR="00470E44">
        <w:t xml:space="preserve">his decease appears to have </w:t>
      </w:r>
      <w:r w:rsidR="00122DA7">
        <w:t xml:space="preserve">commenced with the increased use of </w:t>
      </w:r>
      <w:proofErr w:type="spellStart"/>
      <w:r w:rsidR="00122DA7">
        <w:t>venetoclax</w:t>
      </w:r>
      <w:proofErr w:type="spellEnd"/>
      <w:r w:rsidR="00122DA7">
        <w:t xml:space="preserve"> (monotherapy) and </w:t>
      </w:r>
      <w:proofErr w:type="spellStart"/>
      <w:r w:rsidR="00122DA7">
        <w:t>venetoclax</w:t>
      </w:r>
      <w:proofErr w:type="spellEnd"/>
      <w:r w:rsidR="00122DA7">
        <w:t xml:space="preserve"> </w:t>
      </w:r>
      <w:r w:rsidR="009B6457">
        <w:t>in combination with</w:t>
      </w:r>
      <w:r w:rsidR="00122DA7">
        <w:t xml:space="preserve"> rituximab for second-line therapy after March 2019 and appears to have </w:t>
      </w:r>
      <w:r>
        <w:t>accelerated</w:t>
      </w:r>
      <w:r w:rsidR="00470E44">
        <w:t xml:space="preserve"> </w:t>
      </w:r>
      <w:r w:rsidR="00A85F4D">
        <w:t>around</w:t>
      </w:r>
      <w:r>
        <w:t xml:space="preserve"> the same time as</w:t>
      </w:r>
      <w:r w:rsidR="00470E44">
        <w:t xml:space="preserve"> the listing of </w:t>
      </w:r>
      <w:r w:rsidR="00457155">
        <w:t>acalabrutinib</w:t>
      </w:r>
      <w:r w:rsidR="00470E44">
        <w:t xml:space="preserve"> for </w:t>
      </w:r>
      <w:r w:rsidR="00457155">
        <w:t>second</w:t>
      </w:r>
      <w:r w:rsidR="00470E44">
        <w:t>-line t</w:t>
      </w:r>
      <w:r w:rsidR="00FB2D7C">
        <w:t>herapy</w:t>
      </w:r>
      <w:r w:rsidR="00457155">
        <w:t xml:space="preserve"> </w:t>
      </w:r>
      <w:r w:rsidR="00AE72E6">
        <w:t>on 1 September 2020</w:t>
      </w:r>
      <w:r w:rsidR="00457155">
        <w:t xml:space="preserve"> </w:t>
      </w:r>
      <w:r w:rsidR="00A85F4D">
        <w:t xml:space="preserve">and </w:t>
      </w:r>
      <w:proofErr w:type="spellStart"/>
      <w:r w:rsidR="00A85F4D">
        <w:t>venetoclax</w:t>
      </w:r>
      <w:proofErr w:type="spellEnd"/>
      <w:r w:rsidR="00A85F4D">
        <w:t xml:space="preserve"> for first-line t</w:t>
      </w:r>
      <w:r w:rsidR="00FB2D7C">
        <w:t>herapy</w:t>
      </w:r>
      <w:r w:rsidR="00A85F4D">
        <w:t xml:space="preserve"> on 1 December 2020</w:t>
      </w:r>
      <w:r w:rsidR="00470E44">
        <w:t>.</w:t>
      </w:r>
      <w:r w:rsidR="003E6F80" w:rsidRPr="003E6F80">
        <w:t xml:space="preserve"> </w:t>
      </w:r>
      <w:r w:rsidR="00470E44">
        <w:t>The overall use of second-line therapies for CLL</w:t>
      </w:r>
      <w:r w:rsidR="009B6457">
        <w:t>/SLL</w:t>
      </w:r>
      <w:r w:rsidR="00470E44">
        <w:t xml:space="preserve"> appears to have remained stable since the listing of </w:t>
      </w:r>
      <w:proofErr w:type="spellStart"/>
      <w:r w:rsidR="00470E44">
        <w:t>venetoclax</w:t>
      </w:r>
      <w:proofErr w:type="spellEnd"/>
      <w:r w:rsidR="00470E44">
        <w:t xml:space="preserve"> for first</w:t>
      </w:r>
      <w:r w:rsidR="005E03C7">
        <w:t>-</w:t>
      </w:r>
      <w:r w:rsidR="00470E44">
        <w:t xml:space="preserve">line therapy possibly as result of the introduction of acalabrutinib for second-line therapy just prior to that of </w:t>
      </w:r>
      <w:proofErr w:type="spellStart"/>
      <w:r w:rsidR="00470E44">
        <w:t>venetoclax</w:t>
      </w:r>
      <w:proofErr w:type="spellEnd"/>
      <w:r w:rsidR="00470E44">
        <w:t xml:space="preserve"> for first-line therapy (Figure 3</w:t>
      </w:r>
      <w:r w:rsidR="005D544A">
        <w:t xml:space="preserve"> and Table </w:t>
      </w:r>
      <w:r w:rsidR="00D2756D">
        <w:t>8</w:t>
      </w:r>
      <w:r w:rsidR="00470E44">
        <w:t>).</w:t>
      </w:r>
      <w:r w:rsidR="00350C0C">
        <w:t xml:space="preserve"> </w:t>
      </w:r>
      <w:r w:rsidR="00C43290">
        <w:t>Overall,</w:t>
      </w:r>
      <w:r w:rsidR="00350C0C">
        <w:t xml:space="preserve"> there appears to be a shift away from the use of </w:t>
      </w:r>
      <w:r w:rsidR="007C204D">
        <w:t xml:space="preserve">ibrutinib </w:t>
      </w:r>
      <w:r w:rsidR="00350C0C">
        <w:t xml:space="preserve">towards </w:t>
      </w:r>
      <w:proofErr w:type="spellStart"/>
      <w:r w:rsidR="00350C0C">
        <w:t>venetoclax</w:t>
      </w:r>
      <w:proofErr w:type="spellEnd"/>
      <w:r w:rsidR="00350C0C">
        <w:t xml:space="preserve"> </w:t>
      </w:r>
      <w:r w:rsidR="00C43290">
        <w:t xml:space="preserve">(as either monotherapy or in combination with </w:t>
      </w:r>
      <w:r w:rsidR="00C43290" w:rsidRPr="00C43290">
        <w:t>rituximab</w:t>
      </w:r>
      <w:r w:rsidR="00C43290">
        <w:t>)</w:t>
      </w:r>
      <w:r w:rsidR="00C43290" w:rsidRPr="00C43290">
        <w:t xml:space="preserve"> </w:t>
      </w:r>
      <w:r w:rsidR="00350C0C">
        <w:t xml:space="preserve">and to a lesser </w:t>
      </w:r>
      <w:r w:rsidR="00480AF2">
        <w:t>extent</w:t>
      </w:r>
      <w:r w:rsidR="00350C0C">
        <w:t xml:space="preserve"> </w:t>
      </w:r>
      <w:r w:rsidR="00350C0C" w:rsidRPr="00350C0C">
        <w:t>acalabrutinib</w:t>
      </w:r>
      <w:r w:rsidR="0090649E">
        <w:t xml:space="preserve"> </w:t>
      </w:r>
      <w:r w:rsidR="00E4477D">
        <w:t>for second-line therapy</w:t>
      </w:r>
      <w:r w:rsidR="00457155">
        <w:t xml:space="preserve"> (Figure 3)</w:t>
      </w:r>
      <w:r w:rsidR="00350C0C">
        <w:t>.</w:t>
      </w:r>
      <w:r w:rsidR="004E18C8">
        <w:t xml:space="preserve"> Of those patients who co</w:t>
      </w:r>
      <w:r w:rsidR="007662ED">
        <w:t>mpleted</w:t>
      </w:r>
      <w:r w:rsidR="004E18C8">
        <w:t xml:space="preserve"> cycles 1 to 6 of </w:t>
      </w:r>
      <w:proofErr w:type="spellStart"/>
      <w:r w:rsidR="004E18C8">
        <w:t>venetoclax</w:t>
      </w:r>
      <w:proofErr w:type="spellEnd"/>
      <w:r w:rsidR="004E18C8">
        <w:t xml:space="preserve"> during the first two years of listing approximately </w:t>
      </w:r>
      <w:r w:rsidR="00114A08">
        <w:t>63.2</w:t>
      </w:r>
      <w:r w:rsidR="004E18C8">
        <w:t xml:space="preserve">% (705) continued onto cycles 7 to 12, a further </w:t>
      </w:r>
      <w:r w:rsidR="00114A08">
        <w:t>6.1</w:t>
      </w:r>
      <w:r w:rsidR="004E18C8">
        <w:t>% (</w:t>
      </w:r>
      <w:r w:rsidR="00987FF4">
        <w:t>68</w:t>
      </w:r>
      <w:r w:rsidR="004E18C8">
        <w:t xml:space="preserve">) commenced on second-line therapy, and </w:t>
      </w:r>
      <w:r w:rsidR="00114A08">
        <w:t>23</w:t>
      </w:r>
      <w:r w:rsidR="004E18C8">
        <w:t>% (</w:t>
      </w:r>
      <w:r w:rsidR="00987FF4">
        <w:t>257</w:t>
      </w:r>
      <w:r w:rsidR="004E18C8">
        <w:t>) ceased treatment</w:t>
      </w:r>
      <w:r w:rsidR="00975D55">
        <w:t xml:space="preserve"> (Table </w:t>
      </w:r>
      <w:r w:rsidR="00E22FF5">
        <w:t>1</w:t>
      </w:r>
      <w:r w:rsidR="00114A08">
        <w:t>0</w:t>
      </w:r>
      <w:r w:rsidR="00975D55">
        <w:t>)</w:t>
      </w:r>
      <w:r w:rsidR="00114A08">
        <w:t xml:space="preserve">, with the remainder </w:t>
      </w:r>
      <w:r w:rsidR="009F42FC">
        <w:t xml:space="preserve">likely </w:t>
      </w:r>
      <w:r w:rsidR="00114A08" w:rsidRPr="00114A08">
        <w:t xml:space="preserve">continuing </w:t>
      </w:r>
      <w:r w:rsidR="00114A08">
        <w:t xml:space="preserve">to be in </w:t>
      </w:r>
      <w:r w:rsidR="00114A08" w:rsidRPr="00114A08">
        <w:t xml:space="preserve">cycles 1 to 6 of </w:t>
      </w:r>
      <w:r w:rsidR="00FB2D7C" w:rsidRPr="00114A08">
        <w:t>t</w:t>
      </w:r>
      <w:r w:rsidR="00FB2D7C">
        <w:t>herapy</w:t>
      </w:r>
      <w:r w:rsidR="006F2B12">
        <w:t>.</w:t>
      </w:r>
    </w:p>
    <w:p w14:paraId="5B87FD00" w14:textId="58768042" w:rsidR="00857CBD" w:rsidRDefault="00033F00" w:rsidP="00F1132C">
      <w:r w:rsidRPr="00033F00">
        <w:t xml:space="preserve">Under the current restriction for </w:t>
      </w:r>
      <w:proofErr w:type="spellStart"/>
      <w:r w:rsidR="00AC796D">
        <w:t>venetoclax</w:t>
      </w:r>
      <w:proofErr w:type="spellEnd"/>
      <w:r w:rsidRPr="00033F00">
        <w:t xml:space="preserve"> patients must not receive more than 12 </w:t>
      </w:r>
      <w:r>
        <w:t xml:space="preserve">cycles </w:t>
      </w:r>
      <w:r w:rsidRPr="00033F00">
        <w:t>of treatment</w:t>
      </w:r>
      <w:r w:rsidR="00E4477D">
        <w:t>,</w:t>
      </w:r>
      <w:r w:rsidR="00954EF8">
        <w:t xml:space="preserve"> with each cycle consisting of 28 days (Table </w:t>
      </w:r>
      <w:r w:rsidR="00B91DBD">
        <w:t>2</w:t>
      </w:r>
      <w:r w:rsidR="00954EF8">
        <w:t xml:space="preserve">) </w:t>
      </w:r>
      <w:r w:rsidR="00E4477D">
        <w:t xml:space="preserve">this </w:t>
      </w:r>
      <w:r w:rsidR="00954EF8">
        <w:t>giv</w:t>
      </w:r>
      <w:r w:rsidR="00E4477D">
        <w:t>es</w:t>
      </w:r>
      <w:r w:rsidR="00954EF8">
        <w:t xml:space="preserve"> a total </w:t>
      </w:r>
      <w:r w:rsidR="006270D2">
        <w:t xml:space="preserve">length of treatment </w:t>
      </w:r>
      <w:r w:rsidR="00954EF8">
        <w:t>of 336 days</w:t>
      </w:r>
      <w:r w:rsidRPr="00033F00">
        <w:t>. Estimates of</w:t>
      </w:r>
      <w:r w:rsidR="00107E08">
        <w:t xml:space="preserve"> </w:t>
      </w:r>
      <w:r w:rsidR="00E4477D">
        <w:t xml:space="preserve">actual </w:t>
      </w:r>
      <w:r w:rsidR="006270D2">
        <w:t>length of trea</w:t>
      </w:r>
      <w:r w:rsidR="00E72616">
        <w:t>t</w:t>
      </w:r>
      <w:r w:rsidR="006270D2">
        <w:t>ment</w:t>
      </w:r>
      <w:r w:rsidRPr="00033F00">
        <w:t xml:space="preserve"> (</w:t>
      </w:r>
      <w:r>
        <w:t>Table 1</w:t>
      </w:r>
      <w:r w:rsidR="003B3265">
        <w:t>1</w:t>
      </w:r>
      <w:r>
        <w:t xml:space="preserve">, </w:t>
      </w:r>
      <w:r w:rsidRPr="00033F00">
        <w:t>Figure</w:t>
      </w:r>
      <w:r>
        <w:t xml:space="preserve"> 4</w:t>
      </w:r>
      <w:r w:rsidRPr="00033F00">
        <w:t xml:space="preserve">) indicate that </w:t>
      </w:r>
      <w:r w:rsidR="00EE1C5B">
        <w:t xml:space="preserve">only </w:t>
      </w:r>
      <w:r w:rsidR="00060574">
        <w:t xml:space="preserve">a small minority </w:t>
      </w:r>
      <w:r w:rsidR="00393FB2">
        <w:t xml:space="preserve">of </w:t>
      </w:r>
      <w:r w:rsidR="00060574">
        <w:t>patients</w:t>
      </w:r>
      <w:r w:rsidRPr="00033F00">
        <w:t xml:space="preserve"> are on treatment </w:t>
      </w:r>
      <w:r w:rsidR="00EE1C5B">
        <w:t>longer than</w:t>
      </w:r>
      <w:r>
        <w:t xml:space="preserve"> this </w:t>
      </w:r>
      <w:proofErr w:type="gramStart"/>
      <w:r>
        <w:t>period of time</w:t>
      </w:r>
      <w:proofErr w:type="gramEnd"/>
      <w:r w:rsidR="00602278">
        <w:t xml:space="preserve">. </w:t>
      </w:r>
    </w:p>
    <w:p w14:paraId="3CD6469A" w14:textId="3A72E445" w:rsidR="006F2B12" w:rsidRPr="00F1132C" w:rsidRDefault="00BA5D42" w:rsidP="00F1132C">
      <w:r>
        <w:t>The</w:t>
      </w:r>
      <w:r w:rsidR="005D544A">
        <w:t xml:space="preserve"> actual</w:t>
      </w:r>
      <w:r>
        <w:t xml:space="preserve"> </w:t>
      </w:r>
      <w:r w:rsidR="005D544A">
        <w:t>number of patients on</w:t>
      </w:r>
      <w:r>
        <w:t xml:space="preserve"> </w:t>
      </w:r>
      <w:proofErr w:type="spellStart"/>
      <w:r>
        <w:t>venetoclax</w:t>
      </w:r>
      <w:proofErr w:type="spellEnd"/>
      <w:r>
        <w:t xml:space="preserve"> was </w:t>
      </w:r>
      <w:r w:rsidR="00E43C33" w:rsidRPr="00187B1C">
        <w:rPr>
          <w:highlight w:val="black"/>
        </w:rPr>
        <w:t>XXXXXXX</w:t>
      </w:r>
      <w:r>
        <w:t xml:space="preserve"> over the first two years of listing than predicted (Table </w:t>
      </w:r>
      <w:r w:rsidR="00E22FF5">
        <w:t>1</w:t>
      </w:r>
      <w:r w:rsidR="00114A08">
        <w:t>2</w:t>
      </w:r>
      <w:r>
        <w:t>)</w:t>
      </w:r>
      <w:r w:rsidR="005B6EA2">
        <w:t xml:space="preserve"> which may be due to a combination of the </w:t>
      </w:r>
      <w:r w:rsidR="001C572F" w:rsidRPr="00187B1C">
        <w:rPr>
          <w:highlight w:val="black"/>
        </w:rPr>
        <w:t>XXXXX</w:t>
      </w:r>
      <w:r w:rsidR="005B6EA2">
        <w:t xml:space="preserve"> </w:t>
      </w:r>
      <w:r w:rsidR="008B492F">
        <w:t>substitution</w:t>
      </w:r>
      <w:r w:rsidR="005B6EA2">
        <w:t xml:space="preserve"> rate </w:t>
      </w:r>
      <w:r w:rsidR="008B492F">
        <w:t>counterbalanced by a</w:t>
      </w:r>
      <w:r w:rsidR="005B6EA2">
        <w:t xml:space="preserve"> </w:t>
      </w:r>
      <w:r w:rsidR="00274425" w:rsidRPr="00187B1C">
        <w:rPr>
          <w:highlight w:val="black"/>
        </w:rPr>
        <w:t>XXXXXX</w:t>
      </w:r>
      <w:r w:rsidR="005B6EA2">
        <w:t xml:space="preserve"> uptake rate </w:t>
      </w:r>
      <w:r w:rsidR="008B492F">
        <w:t xml:space="preserve">(Table </w:t>
      </w:r>
      <w:r w:rsidR="00D2756D">
        <w:t>7</w:t>
      </w:r>
      <w:r w:rsidR="008B492F">
        <w:t>)</w:t>
      </w:r>
      <w:r>
        <w:t>.</w:t>
      </w:r>
    </w:p>
    <w:p w14:paraId="225C0FFD" w14:textId="4C0A5519" w:rsidR="001B7037" w:rsidRDefault="00F30A0A" w:rsidP="00CE4651">
      <w:pPr>
        <w:rPr>
          <w:b/>
          <w:bCs/>
          <w:sz w:val="32"/>
          <w:szCs w:val="32"/>
        </w:rPr>
      </w:pPr>
      <w:r>
        <w:rPr>
          <w:b/>
          <w:bCs/>
          <w:sz w:val="32"/>
          <w:szCs w:val="32"/>
        </w:rPr>
        <w:t>DUSC consideration</w:t>
      </w:r>
    </w:p>
    <w:p w14:paraId="3E177CE8" w14:textId="66C3ACE6" w:rsidR="00123F3B" w:rsidRPr="008033E4" w:rsidRDefault="00123F3B" w:rsidP="00123F3B">
      <w:pPr>
        <w:autoSpaceDE w:val="0"/>
        <w:autoSpaceDN w:val="0"/>
        <w:adjustRightInd w:val="0"/>
        <w:rPr>
          <w:rFonts w:cstheme="minorHAnsi"/>
        </w:rPr>
      </w:pPr>
      <w:r w:rsidRPr="008033E4">
        <w:rPr>
          <w:rFonts w:cstheme="minorHAnsi"/>
        </w:rPr>
        <w:t xml:space="preserve">DUSC noted that there had been a number of changes to the restrictions of PBS listed therapies for first and </w:t>
      </w:r>
      <w:proofErr w:type="gramStart"/>
      <w:r w:rsidRPr="008033E4">
        <w:rPr>
          <w:rFonts w:cstheme="minorHAnsi"/>
        </w:rPr>
        <w:t>second-line</w:t>
      </w:r>
      <w:proofErr w:type="gramEnd"/>
      <w:r w:rsidRPr="008033E4">
        <w:rPr>
          <w:rFonts w:cstheme="minorHAnsi"/>
        </w:rPr>
        <w:t xml:space="preserve"> (relapsed/refractory) treatments for CLL/SLL that commenced on 1 September 2023. These changes included removing the requirement for </w:t>
      </w:r>
      <w:proofErr w:type="spellStart"/>
      <w:r w:rsidRPr="008033E4">
        <w:rPr>
          <w:rFonts w:cstheme="minorHAnsi"/>
        </w:rPr>
        <w:t>venetoclax</w:t>
      </w:r>
      <w:proofErr w:type="spellEnd"/>
      <w:r w:rsidRPr="008033E4">
        <w:rPr>
          <w:rFonts w:cstheme="minorHAnsi"/>
        </w:rPr>
        <w:t xml:space="preserve"> in first-line therapy for patients to be, in effect, unfit for chemo-immunotherapy. DUSC noted that this will have the effect of broadening the restriction to include patient populations that were ineligible to be treated with </w:t>
      </w:r>
      <w:proofErr w:type="spellStart"/>
      <w:r w:rsidRPr="008033E4">
        <w:rPr>
          <w:rFonts w:cstheme="minorHAnsi"/>
        </w:rPr>
        <w:t>venetoclax</w:t>
      </w:r>
      <w:proofErr w:type="spellEnd"/>
      <w:r w:rsidRPr="008033E4">
        <w:rPr>
          <w:rFonts w:cstheme="minorHAnsi"/>
        </w:rPr>
        <w:t xml:space="preserve"> for first-line </w:t>
      </w:r>
      <w:r w:rsidRPr="008033E4">
        <w:rPr>
          <w:rFonts w:cstheme="minorHAnsi"/>
        </w:rPr>
        <w:lastRenderedPageBreak/>
        <w:t xml:space="preserve">therapy under the previous restriction. And the listing of </w:t>
      </w:r>
      <w:proofErr w:type="spellStart"/>
      <w:r w:rsidRPr="008033E4">
        <w:rPr>
          <w:rFonts w:cstheme="minorHAnsi"/>
        </w:rPr>
        <w:t>zanubrutinib</w:t>
      </w:r>
      <w:proofErr w:type="spellEnd"/>
      <w:r w:rsidRPr="008033E4">
        <w:rPr>
          <w:rFonts w:cstheme="minorHAnsi"/>
        </w:rPr>
        <w:t xml:space="preserve"> for first and second-line treatment for CLL/SLL. DUSC considers that these changes will affect the use of </w:t>
      </w:r>
      <w:proofErr w:type="spellStart"/>
      <w:r w:rsidRPr="008033E4">
        <w:rPr>
          <w:rFonts w:cstheme="minorHAnsi"/>
        </w:rPr>
        <w:t>venetoclax</w:t>
      </w:r>
      <w:proofErr w:type="spellEnd"/>
      <w:r w:rsidRPr="008033E4">
        <w:rPr>
          <w:rFonts w:cstheme="minorHAnsi"/>
        </w:rPr>
        <w:t xml:space="preserve"> in both first and second-line therapy, the use of other second-line treatments, and that the use of chemo-immunotherapy will be greatly reduced in both first and second-line therapy.</w:t>
      </w:r>
    </w:p>
    <w:p w14:paraId="26C00518" w14:textId="49522507" w:rsidR="00123F3B" w:rsidRPr="008033E4" w:rsidRDefault="00123F3B" w:rsidP="00123F3B">
      <w:pPr>
        <w:autoSpaceDE w:val="0"/>
        <w:autoSpaceDN w:val="0"/>
        <w:adjustRightInd w:val="0"/>
        <w:rPr>
          <w:rFonts w:cstheme="minorHAnsi"/>
        </w:rPr>
      </w:pPr>
      <w:r w:rsidRPr="008033E4">
        <w:rPr>
          <w:rFonts w:cstheme="minorHAnsi"/>
        </w:rPr>
        <w:t xml:space="preserve">DUSC noted that the uptake of </w:t>
      </w:r>
      <w:proofErr w:type="spellStart"/>
      <w:r w:rsidRPr="008033E4">
        <w:rPr>
          <w:rFonts w:cstheme="minorHAnsi"/>
        </w:rPr>
        <w:t>venetoclax</w:t>
      </w:r>
      <w:proofErr w:type="spellEnd"/>
      <w:r w:rsidRPr="008033E4">
        <w:rPr>
          <w:rFonts w:cstheme="minorHAnsi"/>
        </w:rPr>
        <w:t xml:space="preserve"> for first-line therapy was </w:t>
      </w:r>
      <w:r w:rsidR="00DF6CFD">
        <w:rPr>
          <w:rFonts w:cstheme="minorHAnsi"/>
        </w:rPr>
        <w:t>different</w:t>
      </w:r>
      <w:r w:rsidRPr="008033E4">
        <w:rPr>
          <w:rFonts w:cstheme="minorHAnsi"/>
        </w:rPr>
        <w:t xml:space="preserve"> than first predicted </w:t>
      </w:r>
      <w:r w:rsidR="00DF6CFD">
        <w:rPr>
          <w:rFonts w:cstheme="minorHAnsi"/>
        </w:rPr>
        <w:t xml:space="preserve">and </w:t>
      </w:r>
      <w:r w:rsidRPr="008033E4">
        <w:rPr>
          <w:rFonts w:cstheme="minorHAnsi"/>
        </w:rPr>
        <w:t xml:space="preserve">that the substitution of chlorambucil in combination with </w:t>
      </w:r>
      <w:proofErr w:type="spellStart"/>
      <w:r w:rsidRPr="008033E4">
        <w:rPr>
          <w:rFonts w:cstheme="minorHAnsi"/>
        </w:rPr>
        <w:t>obinutuzumab</w:t>
      </w:r>
      <w:proofErr w:type="spellEnd"/>
      <w:r w:rsidRPr="008033E4">
        <w:rPr>
          <w:rFonts w:cstheme="minorHAnsi"/>
        </w:rPr>
        <w:t xml:space="preserve"> by </w:t>
      </w:r>
      <w:proofErr w:type="spellStart"/>
      <w:r w:rsidRPr="008033E4">
        <w:rPr>
          <w:rFonts w:cstheme="minorHAnsi"/>
        </w:rPr>
        <w:t>venetoclax</w:t>
      </w:r>
      <w:proofErr w:type="spellEnd"/>
      <w:r w:rsidRPr="008033E4">
        <w:rPr>
          <w:rFonts w:cstheme="minorHAnsi"/>
        </w:rPr>
        <w:t xml:space="preserve"> in first-line therapy was </w:t>
      </w:r>
      <w:r w:rsidR="00DF6CFD">
        <w:rPr>
          <w:rFonts w:cstheme="minorHAnsi"/>
        </w:rPr>
        <w:t>different</w:t>
      </w:r>
      <w:r w:rsidRPr="008033E4">
        <w:rPr>
          <w:rFonts w:cstheme="minorHAnsi"/>
        </w:rPr>
        <w:t xml:space="preserve"> than predicted. DUSC considered that there may have been a small amount of usage in patients who would have otherwise been appropriate for chemo-immunotherapy as first-line therapy under the pre-1 September 2023 restriction, that most patients respond well to </w:t>
      </w:r>
      <w:proofErr w:type="spellStart"/>
      <w:r w:rsidRPr="008033E4">
        <w:rPr>
          <w:rFonts w:cstheme="minorHAnsi"/>
        </w:rPr>
        <w:t>venetoclax</w:t>
      </w:r>
      <w:proofErr w:type="spellEnd"/>
      <w:r w:rsidRPr="008033E4">
        <w:rPr>
          <w:rFonts w:cstheme="minorHAnsi"/>
        </w:rPr>
        <w:t xml:space="preserve">, that </w:t>
      </w:r>
      <w:proofErr w:type="spellStart"/>
      <w:r w:rsidRPr="008033E4">
        <w:rPr>
          <w:rFonts w:cstheme="minorHAnsi"/>
        </w:rPr>
        <w:t>venetoclax</w:t>
      </w:r>
      <w:proofErr w:type="spellEnd"/>
      <w:r w:rsidRPr="008033E4">
        <w:rPr>
          <w:rFonts w:cstheme="minorHAnsi"/>
        </w:rPr>
        <w:t xml:space="preserve"> </w:t>
      </w:r>
      <w:r w:rsidR="00387924">
        <w:rPr>
          <w:rFonts w:cstheme="minorHAnsi"/>
        </w:rPr>
        <w:t>wa</w:t>
      </w:r>
      <w:r w:rsidRPr="008033E4">
        <w:rPr>
          <w:rFonts w:cstheme="minorHAnsi"/>
        </w:rPr>
        <w:t xml:space="preserve">s likely to be more beneficial than chemo-immunotherapy in all patients, and that it </w:t>
      </w:r>
      <w:r w:rsidR="00387924">
        <w:rPr>
          <w:rFonts w:cstheme="minorHAnsi"/>
        </w:rPr>
        <w:t>wa</w:t>
      </w:r>
      <w:r w:rsidRPr="008033E4">
        <w:rPr>
          <w:rFonts w:cstheme="minorHAnsi"/>
        </w:rPr>
        <w:t xml:space="preserve">s likely that the preference for the use of </w:t>
      </w:r>
      <w:proofErr w:type="spellStart"/>
      <w:r w:rsidRPr="008033E4">
        <w:rPr>
          <w:rFonts w:cstheme="minorHAnsi"/>
        </w:rPr>
        <w:t>venetoclax</w:t>
      </w:r>
      <w:proofErr w:type="spellEnd"/>
      <w:r w:rsidRPr="008033E4">
        <w:rPr>
          <w:rFonts w:cstheme="minorHAnsi"/>
        </w:rPr>
        <w:t xml:space="preserve"> and </w:t>
      </w:r>
      <w:r w:rsidR="00FB0B5C" w:rsidRPr="00FB0B5C">
        <w:rPr>
          <w:rFonts w:cstheme="minorHAnsi"/>
        </w:rPr>
        <w:t>Bruton tyrosine kinase (BTK) inhibitors</w:t>
      </w:r>
      <w:r w:rsidR="00FB0B5C" w:rsidRPr="00FB0B5C" w:rsidDel="00FB0B5C">
        <w:rPr>
          <w:rFonts w:cstheme="minorHAnsi"/>
        </w:rPr>
        <w:t xml:space="preserve"> </w:t>
      </w:r>
      <w:r w:rsidRPr="008033E4">
        <w:rPr>
          <w:rFonts w:cstheme="minorHAnsi"/>
        </w:rPr>
        <w:t xml:space="preserve"> over chemo-immunotherapy will increase over time in both first and second-line therapy.</w:t>
      </w:r>
    </w:p>
    <w:p w14:paraId="473B5325" w14:textId="3FEE1CF9" w:rsidR="00123F3B" w:rsidRPr="008033E4" w:rsidRDefault="00123F3B" w:rsidP="00123F3B">
      <w:pPr>
        <w:autoSpaceDE w:val="0"/>
        <w:autoSpaceDN w:val="0"/>
        <w:adjustRightInd w:val="0"/>
        <w:rPr>
          <w:rFonts w:cstheme="minorHAnsi"/>
        </w:rPr>
      </w:pPr>
      <w:r w:rsidRPr="008033E4">
        <w:rPr>
          <w:rFonts w:cstheme="minorHAnsi"/>
        </w:rPr>
        <w:t xml:space="preserve">DUSC considered that the data for </w:t>
      </w:r>
      <w:proofErr w:type="spellStart"/>
      <w:r w:rsidRPr="008033E4">
        <w:rPr>
          <w:rFonts w:cstheme="minorHAnsi"/>
        </w:rPr>
        <w:t>venetoclax’s</w:t>
      </w:r>
      <w:proofErr w:type="spellEnd"/>
      <w:r w:rsidRPr="008033E4">
        <w:rPr>
          <w:rFonts w:cstheme="minorHAnsi"/>
        </w:rPr>
        <w:t xml:space="preserve"> effect on second-line therapies was not mature at the time of the report, as those patients currently on second-line treatments would have likely used first-line therapies other than </w:t>
      </w:r>
      <w:proofErr w:type="spellStart"/>
      <w:r w:rsidRPr="008033E4">
        <w:rPr>
          <w:rFonts w:cstheme="minorHAnsi"/>
        </w:rPr>
        <w:t>venetoclax</w:t>
      </w:r>
      <w:proofErr w:type="spellEnd"/>
      <w:r w:rsidRPr="008033E4">
        <w:rPr>
          <w:rFonts w:cstheme="minorHAnsi"/>
        </w:rPr>
        <w:t xml:space="preserve">, and given that the report covered the first 24-months since listing, of the cohort of patients that have had the full 12 month course of </w:t>
      </w:r>
      <w:proofErr w:type="spellStart"/>
      <w:r w:rsidRPr="008033E4">
        <w:rPr>
          <w:rFonts w:cstheme="minorHAnsi"/>
        </w:rPr>
        <w:t>venetoclax</w:t>
      </w:r>
      <w:proofErr w:type="spellEnd"/>
      <w:r w:rsidRPr="008033E4">
        <w:rPr>
          <w:rFonts w:cstheme="minorHAnsi"/>
        </w:rPr>
        <w:t xml:space="preserve"> as first-line therapy only a small number would have commenced second-line therapy.</w:t>
      </w:r>
    </w:p>
    <w:p w14:paraId="49F19652" w14:textId="14C03E58" w:rsidR="00123F3B" w:rsidRPr="008033E4" w:rsidRDefault="00123F3B" w:rsidP="00123F3B">
      <w:pPr>
        <w:autoSpaceDE w:val="0"/>
        <w:autoSpaceDN w:val="0"/>
        <w:adjustRightInd w:val="0"/>
      </w:pPr>
      <w:r w:rsidRPr="008033E4">
        <w:t xml:space="preserve">DUSC agreed that it </w:t>
      </w:r>
      <w:r w:rsidR="00387924">
        <w:t>wa</w:t>
      </w:r>
      <w:r w:rsidRPr="008033E4">
        <w:t xml:space="preserve">s clinically unlikely that patients </w:t>
      </w:r>
      <w:r w:rsidR="00387924">
        <w:t>we</w:t>
      </w:r>
      <w:r w:rsidRPr="008033E4">
        <w:t xml:space="preserve">re being treated with </w:t>
      </w:r>
      <w:proofErr w:type="spellStart"/>
      <w:r w:rsidRPr="008033E4">
        <w:t>venetoclax</w:t>
      </w:r>
      <w:proofErr w:type="spellEnd"/>
      <w:r w:rsidRPr="008033E4">
        <w:t xml:space="preserve"> in second-line therapy after they have used </w:t>
      </w:r>
      <w:proofErr w:type="spellStart"/>
      <w:r w:rsidRPr="008033E4">
        <w:t>venetoclax</w:t>
      </w:r>
      <w:proofErr w:type="spellEnd"/>
      <w:r w:rsidRPr="008033E4">
        <w:t xml:space="preserve"> in first-line therapy and that the apparent treatment sequence could be the result of confounding with second-line utilisation data. </w:t>
      </w:r>
    </w:p>
    <w:p w14:paraId="09BF0D63" w14:textId="1E6FD1DD" w:rsidR="00E47069" w:rsidRPr="008033E4" w:rsidRDefault="00123F3B" w:rsidP="008033E4">
      <w:pPr>
        <w:autoSpaceDE w:val="0"/>
        <w:autoSpaceDN w:val="0"/>
        <w:adjustRightInd w:val="0"/>
        <w:rPr>
          <w:rFonts w:cstheme="minorHAnsi"/>
        </w:rPr>
      </w:pPr>
      <w:r w:rsidRPr="008033E4">
        <w:rPr>
          <w:rFonts w:cstheme="minorHAnsi"/>
        </w:rPr>
        <w:t>DUSC noted that patient numbers and script numbers d</w:t>
      </w:r>
      <w:r w:rsidR="00387924">
        <w:rPr>
          <w:rFonts w:cstheme="minorHAnsi"/>
        </w:rPr>
        <w:t>id</w:t>
      </w:r>
      <w:r w:rsidRPr="008033E4">
        <w:rPr>
          <w:rFonts w:cstheme="minorHAnsi"/>
        </w:rPr>
        <w:t xml:space="preserve"> not matchup. DUSC consider</w:t>
      </w:r>
      <w:r w:rsidR="00387924">
        <w:rPr>
          <w:rFonts w:cstheme="minorHAnsi"/>
        </w:rPr>
        <w:t xml:space="preserve">ed </w:t>
      </w:r>
      <w:r w:rsidRPr="008033E4">
        <w:rPr>
          <w:rFonts w:cstheme="minorHAnsi"/>
        </w:rPr>
        <w:t xml:space="preserve">that this mismatch may be due to reductions in dose and/or time on treatment </w:t>
      </w:r>
      <w:proofErr w:type="gramStart"/>
      <w:r w:rsidRPr="008033E4">
        <w:rPr>
          <w:rFonts w:cstheme="minorHAnsi"/>
        </w:rPr>
        <w:t>as a result of</w:t>
      </w:r>
      <w:proofErr w:type="gramEnd"/>
      <w:r w:rsidRPr="008033E4">
        <w:rPr>
          <w:rFonts w:cstheme="minorHAnsi"/>
        </w:rPr>
        <w:t xml:space="preserve"> toxicity.</w:t>
      </w:r>
    </w:p>
    <w:p w14:paraId="3CE9A0FD" w14:textId="257B2A9A" w:rsidR="00F30A0A" w:rsidRDefault="00F30A0A" w:rsidP="00CE4651">
      <w:pPr>
        <w:rPr>
          <w:b/>
          <w:bCs/>
          <w:sz w:val="32"/>
          <w:szCs w:val="32"/>
        </w:rPr>
      </w:pPr>
      <w:r>
        <w:rPr>
          <w:b/>
          <w:bCs/>
          <w:sz w:val="32"/>
          <w:szCs w:val="32"/>
        </w:rPr>
        <w:t>DUSC actions</w:t>
      </w:r>
    </w:p>
    <w:p w14:paraId="0F5BCBF8" w14:textId="55109970" w:rsidR="000A16A5" w:rsidRPr="000A16A5" w:rsidRDefault="000A16A5" w:rsidP="000A16A5">
      <w:pPr>
        <w:autoSpaceDE w:val="0"/>
        <w:autoSpaceDN w:val="0"/>
        <w:adjustRightInd w:val="0"/>
        <w:rPr>
          <w:rFonts w:cstheme="minorHAnsi"/>
        </w:rPr>
      </w:pPr>
      <w:r w:rsidRPr="000A16A5">
        <w:rPr>
          <w:rFonts w:cstheme="minorHAnsi"/>
        </w:rPr>
        <w:t>DUSC suggested that a further analysis be undertaken to examine dose by age, and co-morbidities.</w:t>
      </w:r>
    </w:p>
    <w:p w14:paraId="60EA89B2" w14:textId="2E248013" w:rsidR="0029349E" w:rsidRPr="00981082" w:rsidRDefault="000A16A5" w:rsidP="00981082">
      <w:pPr>
        <w:autoSpaceDE w:val="0"/>
        <w:autoSpaceDN w:val="0"/>
        <w:adjustRightInd w:val="0"/>
        <w:rPr>
          <w:rFonts w:cstheme="minorHAnsi"/>
        </w:rPr>
      </w:pPr>
      <w:r w:rsidRPr="000A16A5">
        <w:rPr>
          <w:rFonts w:cstheme="minorHAnsi"/>
        </w:rPr>
        <w:t xml:space="preserve">DUSC requested that the report be provided to the PBAC for consideration. </w:t>
      </w:r>
    </w:p>
    <w:p w14:paraId="630432A2" w14:textId="57090E6C" w:rsidR="00404494" w:rsidRDefault="00F30A0A" w:rsidP="0046291D">
      <w:pPr>
        <w:autoSpaceDE w:val="0"/>
        <w:autoSpaceDN w:val="0"/>
        <w:adjustRightInd w:val="0"/>
        <w:spacing w:after="0"/>
        <w:rPr>
          <w:rFonts w:ascii="Calibri" w:hAnsi="Calibri" w:cs="Calibri"/>
          <w:color w:val="000000"/>
          <w:sz w:val="23"/>
          <w:szCs w:val="23"/>
        </w:rPr>
      </w:pPr>
      <w:r w:rsidRPr="00F30A0A">
        <w:rPr>
          <w:rFonts w:ascii="Calibri" w:hAnsi="Calibri" w:cs="Calibri"/>
          <w:b/>
          <w:bCs/>
          <w:color w:val="000000"/>
          <w:sz w:val="32"/>
          <w:szCs w:val="32"/>
        </w:rPr>
        <w:t xml:space="preserve">Context for analysis </w:t>
      </w:r>
    </w:p>
    <w:p w14:paraId="5006D6F8" w14:textId="77777777" w:rsidR="0046291D" w:rsidRDefault="0046291D" w:rsidP="0046291D">
      <w:r>
        <w:t>The DUSC is a Sub Committee of the Pharmaceutical Benefits Advisory Committee (PBAC). The DUSC assesses estimates on projected usage and financial cost of medicines.</w:t>
      </w:r>
    </w:p>
    <w:p w14:paraId="3171D664" w14:textId="77777777" w:rsidR="0046291D" w:rsidRDefault="0046291D" w:rsidP="0046291D">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73A7C30" w14:textId="77777777" w:rsidR="0046291D" w:rsidRDefault="0046291D" w:rsidP="0046291D">
      <w:r>
        <w:lastRenderedPageBreak/>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635275FF" w14:textId="47895FA9" w:rsidR="0046291D" w:rsidRPr="005F77A0" w:rsidRDefault="0046291D" w:rsidP="00F30A0A">
      <w:r>
        <w:t>The utilisation analysis report was provided to the pharmaceutical sponsors of each drug and comments on the report were provided to DUSC prior to its consideration of the analysis.</w:t>
      </w:r>
    </w:p>
    <w:p w14:paraId="76216D97" w14:textId="074A5E82" w:rsidR="00404494" w:rsidRDefault="00404494" w:rsidP="00F30A0A">
      <w:pPr>
        <w:rPr>
          <w:b/>
          <w:bCs/>
          <w:sz w:val="32"/>
          <w:szCs w:val="32"/>
        </w:rPr>
      </w:pPr>
      <w:r>
        <w:rPr>
          <w:b/>
          <w:bCs/>
          <w:sz w:val="32"/>
          <w:szCs w:val="32"/>
        </w:rPr>
        <w:t>Sponsors’ comments</w:t>
      </w:r>
    </w:p>
    <w:p w14:paraId="29AF7F62" w14:textId="762FE308" w:rsidR="0096141F" w:rsidRDefault="00E13A53" w:rsidP="00F30A0A">
      <w:r w:rsidRPr="00E13A53">
        <w:t>AbbVie Pty Ltd</w:t>
      </w:r>
      <w:r>
        <w:t>:</w:t>
      </w:r>
      <w:r w:rsidR="0091693F">
        <w:t xml:space="preserve"> </w:t>
      </w:r>
      <w:r w:rsidR="0096141F" w:rsidRPr="00844060">
        <w:t xml:space="preserve">AbbVie notes that the DUSC report found the estimated treatment length with </w:t>
      </w:r>
      <w:proofErr w:type="spellStart"/>
      <w:r w:rsidR="0096141F" w:rsidRPr="00844060">
        <w:t>venetoclax</w:t>
      </w:r>
      <w:proofErr w:type="spellEnd"/>
      <w:r w:rsidR="0096141F" w:rsidRPr="00844060">
        <w:t xml:space="preserve"> in </w:t>
      </w:r>
      <w:proofErr w:type="gramStart"/>
      <w:r w:rsidR="0096141F" w:rsidRPr="00844060">
        <w:t>first-line</w:t>
      </w:r>
      <w:proofErr w:type="gramEnd"/>
      <w:r w:rsidR="0096141F" w:rsidRPr="00844060">
        <w:t xml:space="preserve"> CLL or SLL is aligned with what is expected under the fixed duration restriction (median duration of 315 days versus expected 336 days). AbbVie agrees with DUSC that the recent removal of the requirement for patients to be unfit for chemotherapy will have the effect of broadening the restriction to include patient populations that were ineligible to be treated with </w:t>
      </w:r>
      <w:proofErr w:type="spellStart"/>
      <w:r w:rsidR="0096141F" w:rsidRPr="00844060">
        <w:t>venetoclax</w:t>
      </w:r>
      <w:proofErr w:type="spellEnd"/>
      <w:r w:rsidR="0096141F" w:rsidRPr="00844060">
        <w:t xml:space="preserve"> for first-line therapy under the previous restriction.</w:t>
      </w:r>
    </w:p>
    <w:p w14:paraId="149B8255" w14:textId="77777777" w:rsidR="00B94B0C" w:rsidRDefault="00B94B0C" w:rsidP="00B94B0C">
      <w:pPr>
        <w:pStyle w:val="Heading1"/>
      </w:pPr>
      <w:r w:rsidRPr="00A4020E">
        <w:t>Disclaimer</w:t>
      </w:r>
    </w:p>
    <w:p w14:paraId="3925A28F" w14:textId="77777777" w:rsidR="00367E4B" w:rsidRDefault="00367E4B" w:rsidP="00367E4B">
      <w:r>
        <w:t xml:space="preserve">The information provided in this report does not constitute medical advice and is not intended to take the place of professional medical advice or care.  It is not intended to define what constitutes reasonable, </w:t>
      </w:r>
      <w:proofErr w:type="gramStart"/>
      <w:r>
        <w:t>appropriate</w:t>
      </w:r>
      <w:proofErr w:type="gramEnd"/>
      <w:r>
        <w:t xml:space="preserve"> or best care for any individual for any given health issue.  The information should not be used as a substitute for the judgement and skill of a medical practitioner.</w:t>
      </w:r>
    </w:p>
    <w:p w14:paraId="73DA27B4" w14:textId="77777777" w:rsidR="00367E4B" w:rsidRDefault="00367E4B" w:rsidP="00367E4B">
      <w:r>
        <w:t xml:space="preserve">The Department of Health and Aged Care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133229D7" w14:textId="77777777" w:rsidR="00367E4B" w:rsidRDefault="00367E4B" w:rsidP="00367E4B">
      <w:r>
        <w:t xml:space="preserve">To the extent provided by law, the Department of Health and Aged Care makes no warranties or representations as to accuracy or completeness of information contained in this report. </w:t>
      </w:r>
    </w:p>
    <w:p w14:paraId="227CFA43" w14:textId="4E24F0DC" w:rsidR="00404494" w:rsidRPr="00CE4651" w:rsidRDefault="00367E4B" w:rsidP="00F30A0A">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C96F21B" w14:textId="77777777" w:rsidR="0035295B" w:rsidRDefault="0035295B">
      <w:pPr>
        <w:spacing w:line="276" w:lineRule="auto"/>
        <w:rPr>
          <w:rFonts w:eastAsiaTheme="majorEastAsia" w:cstheme="majorBidi"/>
          <w:b/>
          <w:bCs/>
          <w:sz w:val="32"/>
          <w:szCs w:val="32"/>
        </w:rPr>
      </w:pPr>
      <w:r>
        <w:br w:type="page"/>
      </w:r>
    </w:p>
    <w:p w14:paraId="35AA6988" w14:textId="58A2E779" w:rsidR="004B306F" w:rsidRDefault="004B306F" w:rsidP="00F73113">
      <w:pPr>
        <w:pStyle w:val="Heading1"/>
      </w:pPr>
      <w:r>
        <w:lastRenderedPageBreak/>
        <w:t>References</w:t>
      </w:r>
    </w:p>
    <w:p w14:paraId="7C9437D0" w14:textId="7A45327F" w:rsidR="00AC698C" w:rsidRDefault="00AC698C" w:rsidP="00792948">
      <w:proofErr w:type="spellStart"/>
      <w:r>
        <w:rPr>
          <w:szCs w:val="18"/>
        </w:rPr>
        <w:t>Venclexta</w:t>
      </w:r>
      <w:proofErr w:type="spellEnd"/>
      <w:r>
        <w:rPr>
          <w:rFonts w:cstheme="minorHAnsi"/>
          <w:szCs w:val="18"/>
        </w:rPr>
        <w:t>®</w:t>
      </w:r>
      <w:r>
        <w:rPr>
          <w:szCs w:val="18"/>
        </w:rPr>
        <w:t xml:space="preserve"> (</w:t>
      </w:r>
      <w:proofErr w:type="spellStart"/>
      <w:r>
        <w:rPr>
          <w:szCs w:val="18"/>
        </w:rPr>
        <w:t>Venetoclax</w:t>
      </w:r>
      <w:proofErr w:type="spellEnd"/>
      <w:r>
        <w:rPr>
          <w:szCs w:val="18"/>
        </w:rPr>
        <w:t xml:space="preserve">). Australian Approved Product Information.  </w:t>
      </w:r>
      <w:r w:rsidRPr="009A0B16">
        <w:rPr>
          <w:szCs w:val="18"/>
        </w:rPr>
        <w:t>AbbVie Pty Ltd</w:t>
      </w:r>
      <w:r>
        <w:rPr>
          <w:szCs w:val="18"/>
        </w:rPr>
        <w:t xml:space="preserve">. Approved 5 January 2017, updated </w:t>
      </w:r>
      <w:r w:rsidR="001A21A9">
        <w:rPr>
          <w:szCs w:val="18"/>
        </w:rPr>
        <w:t>25 August 2023</w:t>
      </w:r>
      <w:r>
        <w:rPr>
          <w:szCs w:val="18"/>
        </w:rPr>
        <w:t xml:space="preserve">. Available from </w:t>
      </w:r>
      <w:hyperlink r:id="rId24" w:history="1">
        <w:r w:rsidRPr="00897FB3">
          <w:rPr>
            <w:rStyle w:val="Hyperlink"/>
          </w:rPr>
          <w:t>https://www.ebs.tga.gov.au/ebs/picmi/picmirepository.nsf/pdf?OpenAgent&amp;id=CP-2017-PI-01048-1</w:t>
        </w:r>
      </w:hyperlink>
    </w:p>
    <w:p w14:paraId="64F201DC" w14:textId="3ED77A9B" w:rsidR="001B4955" w:rsidRPr="001B4955" w:rsidRDefault="0084060E" w:rsidP="001B4955">
      <w:pPr>
        <w:pStyle w:val="usa-breadcrumblist-item"/>
        <w:spacing w:after="0" w:afterAutospacing="0"/>
        <w:rPr>
          <w:rFonts w:asciiTheme="minorHAnsi" w:hAnsiTheme="minorHAnsi" w:cstheme="minorHAnsi"/>
          <w:color w:val="1B1B1B"/>
        </w:rPr>
      </w:pPr>
      <w:r w:rsidRPr="001B4955">
        <w:rPr>
          <w:rFonts w:asciiTheme="minorHAnsi" w:hAnsiTheme="minorHAnsi" w:cstheme="minorHAnsi"/>
        </w:rPr>
        <w:t>National Cancer Institute</w:t>
      </w:r>
      <w:r w:rsidR="001B4955" w:rsidRPr="001B4955">
        <w:rPr>
          <w:rFonts w:asciiTheme="minorHAnsi" w:hAnsiTheme="minorHAnsi" w:cstheme="minorHAnsi"/>
        </w:rPr>
        <w:t xml:space="preserve"> (NCI)</w:t>
      </w:r>
      <w:r w:rsidR="00667EFB" w:rsidRPr="001B4955">
        <w:rPr>
          <w:rFonts w:asciiTheme="minorHAnsi" w:hAnsiTheme="minorHAnsi" w:cstheme="minorHAnsi"/>
        </w:rPr>
        <w:t xml:space="preserve"> [Internet</w:t>
      </w:r>
      <w:r w:rsidR="001B4955" w:rsidRPr="001B4955">
        <w:rPr>
          <w:rFonts w:asciiTheme="minorHAnsi" w:hAnsiTheme="minorHAnsi" w:cstheme="minorHAnsi"/>
        </w:rPr>
        <w:t>]. Bethesda (MD)</w:t>
      </w:r>
      <w:r w:rsidR="001B4955">
        <w:rPr>
          <w:rFonts w:asciiTheme="minorHAnsi" w:hAnsiTheme="minorHAnsi" w:cstheme="minorHAnsi"/>
        </w:rPr>
        <w:t xml:space="preserve">. </w:t>
      </w:r>
      <w:r w:rsidR="001B4955" w:rsidRPr="001B4955">
        <w:rPr>
          <w:rFonts w:asciiTheme="minorHAnsi" w:hAnsiTheme="minorHAnsi" w:cstheme="minorHAnsi"/>
          <w:color w:val="1B1B1B"/>
        </w:rPr>
        <w:t>NCI Dictionary of Cancer Terms</w:t>
      </w:r>
      <w:r w:rsidR="001B4955">
        <w:rPr>
          <w:rFonts w:asciiTheme="minorHAnsi" w:hAnsiTheme="minorHAnsi" w:cstheme="minorHAnsi"/>
          <w:color w:val="1B1B1B"/>
        </w:rPr>
        <w:t xml:space="preserve"> [accessed 19 June 2023]. Available from</w:t>
      </w:r>
    </w:p>
    <w:p w14:paraId="62EBD4A6" w14:textId="333E4EFB" w:rsidR="0084060E" w:rsidRPr="001B4955" w:rsidRDefault="00AA574F" w:rsidP="00792948">
      <w:pPr>
        <w:rPr>
          <w:rFonts w:cstheme="minorHAnsi"/>
        </w:rPr>
      </w:pPr>
      <w:hyperlink r:id="rId25" w:history="1">
        <w:r w:rsidR="00667EFB" w:rsidRPr="001B4955">
          <w:rPr>
            <w:rStyle w:val="Hyperlink"/>
            <w:rFonts w:cstheme="minorHAnsi"/>
          </w:rPr>
          <w:t xml:space="preserve">https://www.cancer.gov/publications/dictionaries/cancer-terms/def/cll-sll </w:t>
        </w:r>
      </w:hyperlink>
    </w:p>
    <w:p w14:paraId="030A7AF0" w14:textId="1E5356F5" w:rsidR="00667EFB" w:rsidRPr="001B4955" w:rsidRDefault="004F5BE9" w:rsidP="00792948">
      <w:r>
        <w:t>Leukaemia Foundation</w:t>
      </w:r>
      <w:r w:rsidR="001B4955">
        <w:t xml:space="preserve"> [Internet]. Canberra; 2023. </w:t>
      </w:r>
      <w:r w:rsidR="001B4955" w:rsidRPr="001B4955">
        <w:t>Chronic lymphocytic leukaemia (CLL)</w:t>
      </w:r>
      <w:r w:rsidR="001B4955">
        <w:t xml:space="preserve"> [accessed 19 June 2023]. Available from: </w:t>
      </w:r>
      <w:r>
        <w:t xml:space="preserve"> </w:t>
      </w:r>
      <w:hyperlink r:id="rId26" w:history="1">
        <w:r w:rsidRPr="00B476CD">
          <w:rPr>
            <w:rStyle w:val="Hyperlink"/>
          </w:rPr>
          <w:t>https://www.leukaemia.org.au/blood-cancer/leukaemia/chronic-lymphocytic-leukaemia/</w:t>
        </w:r>
      </w:hyperlink>
    </w:p>
    <w:p w14:paraId="1A23B59E" w14:textId="1BA6DE22" w:rsidR="00667EFB" w:rsidRDefault="00667EFB" w:rsidP="00792948">
      <w:pPr>
        <w:rPr>
          <w:rFonts w:cstheme="minorHAnsi"/>
          <w:color w:val="222222"/>
          <w:shd w:val="clear" w:color="auto" w:fill="FFFFFF"/>
        </w:rPr>
      </w:pPr>
      <w:r w:rsidRPr="00667EFB">
        <w:rPr>
          <w:rFonts w:cstheme="minorHAnsi"/>
          <w:color w:val="222222"/>
          <w:shd w:val="clear" w:color="auto" w:fill="FFFFFF"/>
        </w:rPr>
        <w:t xml:space="preserve">Australian Institute of Health and Welfare (AIHW) [Internet]. Canberra; Jul </w:t>
      </w:r>
      <w:r w:rsidR="001B4955">
        <w:rPr>
          <w:rFonts w:cstheme="minorHAnsi"/>
          <w:color w:val="222222"/>
          <w:shd w:val="clear" w:color="auto" w:fill="FFFFFF"/>
        </w:rPr>
        <w:t>20</w:t>
      </w:r>
      <w:r w:rsidRPr="00667EFB">
        <w:rPr>
          <w:rFonts w:cstheme="minorHAnsi"/>
          <w:color w:val="222222"/>
          <w:shd w:val="clear" w:color="auto" w:fill="FFFFFF"/>
        </w:rPr>
        <w:t xml:space="preserve">22. Cancer - Overview [accessed 19 June 2023]. Available from: </w:t>
      </w:r>
      <w:hyperlink r:id="rId27" w:history="1">
        <w:r w:rsidR="001B4955" w:rsidRPr="00F93D22">
          <w:rPr>
            <w:rStyle w:val="Hyperlink"/>
            <w:rFonts w:cstheme="minorHAnsi"/>
            <w:shd w:val="clear" w:color="auto" w:fill="FFFFFF"/>
          </w:rPr>
          <w:t>https://www.aihw.gov.au/reports-data/health-conditions-disability-deaths/cancer/overview</w:t>
        </w:r>
      </w:hyperlink>
    </w:p>
    <w:p w14:paraId="27E6D966" w14:textId="77777777" w:rsidR="00BC6839" w:rsidRDefault="00BC6839" w:rsidP="00792948"/>
    <w:p w14:paraId="5731D495" w14:textId="77777777" w:rsidR="004F5BE9" w:rsidRPr="00792948" w:rsidRDefault="004F5BE9" w:rsidP="00792948"/>
    <w:sectPr w:rsidR="004F5BE9" w:rsidRPr="00792948" w:rsidSect="00DD188C">
      <w:headerReference w:type="even" r:id="rId28"/>
      <w:headerReference w:type="default" r:id="rId29"/>
      <w:footerReference w:type="even" r:id="rId30"/>
      <w:footerReference w:type="default" r:id="rId31"/>
      <w:headerReference w:type="first" r:id="rId32"/>
      <w:footerReference w:type="first" r:id="rId3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72F0" w14:textId="77777777" w:rsidR="008A48E4" w:rsidRDefault="008A48E4" w:rsidP="00A35800">
      <w:r>
        <w:separator/>
      </w:r>
    </w:p>
  </w:endnote>
  <w:endnote w:type="continuationSeparator" w:id="0">
    <w:p w14:paraId="1A4B21B5" w14:textId="77777777" w:rsidR="008A48E4" w:rsidRDefault="008A48E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751C9BFC" w:rsidR="000E72C6" w:rsidRDefault="000E72C6" w:rsidP="000E72C6">
            <w:pPr>
              <w:pStyle w:val="Footer"/>
              <w:jc w:val="center"/>
              <w:rPr>
                <w:i/>
                <w:sz w:val="20"/>
              </w:rPr>
            </w:pPr>
          </w:p>
          <w:p w14:paraId="4E1FEE87" w14:textId="751C9BFC" w:rsidR="00B974F0" w:rsidRPr="000E72C6" w:rsidRDefault="00B974F0" w:rsidP="000E72C6">
            <w:pPr>
              <w:pStyle w:val="Footer"/>
              <w:jc w:val="center"/>
              <w:rPr>
                <w:i/>
                <w:sz w:val="20"/>
              </w:rPr>
            </w:pPr>
            <w:r>
              <w:rPr>
                <w:i/>
                <w:sz w:val="20"/>
              </w:rPr>
              <w:t>Public Release Document, September 2023 DUSC Meeting</w:t>
            </w:r>
          </w:p>
          <w:p w14:paraId="10292A9A" w14:textId="275D445E"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0321" w14:textId="77777777" w:rsidR="008A48E4" w:rsidRDefault="008A48E4" w:rsidP="00A35800">
      <w:r>
        <w:separator/>
      </w:r>
    </w:p>
  </w:footnote>
  <w:footnote w:type="continuationSeparator" w:id="0">
    <w:p w14:paraId="25D15242" w14:textId="77777777" w:rsidR="008A48E4" w:rsidRDefault="008A48E4" w:rsidP="00A3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C7B1" w14:textId="77777777" w:rsidR="003A684A" w:rsidRDefault="003A6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52A" w14:textId="77777777" w:rsidR="003A684A" w:rsidRDefault="003A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499"/>
    <w:multiLevelType w:val="hybridMultilevel"/>
    <w:tmpl w:val="4FD656B2"/>
    <w:lvl w:ilvl="0" w:tplc="AB86A696">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043FB2"/>
    <w:multiLevelType w:val="hybridMultilevel"/>
    <w:tmpl w:val="4CA23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C1569E"/>
    <w:multiLevelType w:val="hybridMultilevel"/>
    <w:tmpl w:val="82F8D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213A35"/>
    <w:multiLevelType w:val="hybridMultilevel"/>
    <w:tmpl w:val="F3523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E8709B"/>
    <w:multiLevelType w:val="hybridMultilevel"/>
    <w:tmpl w:val="4E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382CF3"/>
    <w:multiLevelType w:val="hybridMultilevel"/>
    <w:tmpl w:val="5CDE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F618F2"/>
    <w:multiLevelType w:val="hybridMultilevel"/>
    <w:tmpl w:val="517A1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0630E5"/>
    <w:multiLevelType w:val="hybridMultilevel"/>
    <w:tmpl w:val="FF0E7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3D1F6F"/>
    <w:multiLevelType w:val="hybridMultilevel"/>
    <w:tmpl w:val="542CA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0123E9"/>
    <w:multiLevelType w:val="hybridMultilevel"/>
    <w:tmpl w:val="C0A06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3064B2"/>
    <w:multiLevelType w:val="hybridMultilevel"/>
    <w:tmpl w:val="8C30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60A4CC7"/>
    <w:multiLevelType w:val="multilevel"/>
    <w:tmpl w:val="8054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C37BD7"/>
    <w:multiLevelType w:val="hybridMultilevel"/>
    <w:tmpl w:val="61382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DA944B6"/>
    <w:multiLevelType w:val="hybridMultilevel"/>
    <w:tmpl w:val="7F3C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3061839">
    <w:abstractNumId w:val="16"/>
  </w:num>
  <w:num w:numId="2" w16cid:durableId="1845784705">
    <w:abstractNumId w:val="12"/>
  </w:num>
  <w:num w:numId="3" w16cid:durableId="1958024301">
    <w:abstractNumId w:val="4"/>
  </w:num>
  <w:num w:numId="4" w16cid:durableId="621690305">
    <w:abstractNumId w:val="2"/>
  </w:num>
  <w:num w:numId="5" w16cid:durableId="1094328181">
    <w:abstractNumId w:val="5"/>
  </w:num>
  <w:num w:numId="6" w16cid:durableId="1058361082">
    <w:abstractNumId w:val="8"/>
  </w:num>
  <w:num w:numId="7" w16cid:durableId="642470561">
    <w:abstractNumId w:val="3"/>
  </w:num>
  <w:num w:numId="8" w16cid:durableId="503320689">
    <w:abstractNumId w:val="1"/>
  </w:num>
  <w:num w:numId="9" w16cid:durableId="358243948">
    <w:abstractNumId w:val="7"/>
  </w:num>
  <w:num w:numId="10" w16cid:durableId="2095738062">
    <w:abstractNumId w:val="11"/>
  </w:num>
  <w:num w:numId="11" w16cid:durableId="1271087817">
    <w:abstractNumId w:val="0"/>
  </w:num>
  <w:num w:numId="12" w16cid:durableId="915818215">
    <w:abstractNumId w:val="13"/>
  </w:num>
  <w:num w:numId="13" w16cid:durableId="679507287">
    <w:abstractNumId w:val="6"/>
  </w:num>
  <w:num w:numId="14" w16cid:durableId="386219543">
    <w:abstractNumId w:val="10"/>
  </w:num>
  <w:num w:numId="15" w16cid:durableId="1040130407">
    <w:abstractNumId w:val="9"/>
  </w:num>
  <w:num w:numId="16" w16cid:durableId="928734713">
    <w:abstractNumId w:val="14"/>
  </w:num>
  <w:num w:numId="17" w16cid:durableId="1828201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041"/>
    <w:rsid w:val="0000202C"/>
    <w:rsid w:val="00005DD4"/>
    <w:rsid w:val="0000653B"/>
    <w:rsid w:val="00007E85"/>
    <w:rsid w:val="00010D68"/>
    <w:rsid w:val="0001171A"/>
    <w:rsid w:val="00013465"/>
    <w:rsid w:val="000226B3"/>
    <w:rsid w:val="00024549"/>
    <w:rsid w:val="00026196"/>
    <w:rsid w:val="00026876"/>
    <w:rsid w:val="0003266B"/>
    <w:rsid w:val="00033F00"/>
    <w:rsid w:val="00035153"/>
    <w:rsid w:val="00037428"/>
    <w:rsid w:val="00046964"/>
    <w:rsid w:val="000475BB"/>
    <w:rsid w:val="000500A4"/>
    <w:rsid w:val="000510CC"/>
    <w:rsid w:val="000544B6"/>
    <w:rsid w:val="000604AF"/>
    <w:rsid w:val="00060574"/>
    <w:rsid w:val="0006124C"/>
    <w:rsid w:val="00062DDD"/>
    <w:rsid w:val="00062FEF"/>
    <w:rsid w:val="00067A17"/>
    <w:rsid w:val="00071F5E"/>
    <w:rsid w:val="00074916"/>
    <w:rsid w:val="00085875"/>
    <w:rsid w:val="00086C11"/>
    <w:rsid w:val="00090E58"/>
    <w:rsid w:val="00091E95"/>
    <w:rsid w:val="000936DF"/>
    <w:rsid w:val="0009468B"/>
    <w:rsid w:val="00094C4D"/>
    <w:rsid w:val="00094DCF"/>
    <w:rsid w:val="000A091E"/>
    <w:rsid w:val="000A16A5"/>
    <w:rsid w:val="000A43C5"/>
    <w:rsid w:val="000A5273"/>
    <w:rsid w:val="000A6CFD"/>
    <w:rsid w:val="000A7B19"/>
    <w:rsid w:val="000B0982"/>
    <w:rsid w:val="000B0B33"/>
    <w:rsid w:val="000B2AA7"/>
    <w:rsid w:val="000B4A9D"/>
    <w:rsid w:val="000B5777"/>
    <w:rsid w:val="000B6124"/>
    <w:rsid w:val="000B796C"/>
    <w:rsid w:val="000C3BBA"/>
    <w:rsid w:val="000C46BB"/>
    <w:rsid w:val="000C4D9D"/>
    <w:rsid w:val="000C7C4B"/>
    <w:rsid w:val="000C7D8B"/>
    <w:rsid w:val="000C7E48"/>
    <w:rsid w:val="000D3CA3"/>
    <w:rsid w:val="000D454B"/>
    <w:rsid w:val="000D4A24"/>
    <w:rsid w:val="000D7AB6"/>
    <w:rsid w:val="000E485D"/>
    <w:rsid w:val="000E577A"/>
    <w:rsid w:val="000E72C6"/>
    <w:rsid w:val="000F1893"/>
    <w:rsid w:val="000F2F51"/>
    <w:rsid w:val="00106547"/>
    <w:rsid w:val="00107E08"/>
    <w:rsid w:val="00111CE1"/>
    <w:rsid w:val="00113CF8"/>
    <w:rsid w:val="00113D74"/>
    <w:rsid w:val="00114627"/>
    <w:rsid w:val="00114A08"/>
    <w:rsid w:val="00117C5C"/>
    <w:rsid w:val="00120A42"/>
    <w:rsid w:val="00120C38"/>
    <w:rsid w:val="00122DA7"/>
    <w:rsid w:val="00123F3B"/>
    <w:rsid w:val="001274F5"/>
    <w:rsid w:val="001310AE"/>
    <w:rsid w:val="001311EB"/>
    <w:rsid w:val="001324F4"/>
    <w:rsid w:val="001355E2"/>
    <w:rsid w:val="001420B3"/>
    <w:rsid w:val="001450EA"/>
    <w:rsid w:val="001460C4"/>
    <w:rsid w:val="0015691C"/>
    <w:rsid w:val="001621F7"/>
    <w:rsid w:val="001621F8"/>
    <w:rsid w:val="001624D7"/>
    <w:rsid w:val="00164939"/>
    <w:rsid w:val="00167450"/>
    <w:rsid w:val="00177B86"/>
    <w:rsid w:val="00182585"/>
    <w:rsid w:val="00183883"/>
    <w:rsid w:val="001842A7"/>
    <w:rsid w:val="001847BD"/>
    <w:rsid w:val="00187B1C"/>
    <w:rsid w:val="0019027B"/>
    <w:rsid w:val="0019046D"/>
    <w:rsid w:val="00191182"/>
    <w:rsid w:val="00191EF7"/>
    <w:rsid w:val="0019410D"/>
    <w:rsid w:val="0019443D"/>
    <w:rsid w:val="0019664D"/>
    <w:rsid w:val="00196A6E"/>
    <w:rsid w:val="00196FCC"/>
    <w:rsid w:val="001A21A9"/>
    <w:rsid w:val="001A5FA6"/>
    <w:rsid w:val="001A6103"/>
    <w:rsid w:val="001B4955"/>
    <w:rsid w:val="001B5D37"/>
    <w:rsid w:val="001B7037"/>
    <w:rsid w:val="001C0D3D"/>
    <w:rsid w:val="001C19B1"/>
    <w:rsid w:val="001C22EE"/>
    <w:rsid w:val="001C2940"/>
    <w:rsid w:val="001C4016"/>
    <w:rsid w:val="001C421B"/>
    <w:rsid w:val="001C548D"/>
    <w:rsid w:val="001C572F"/>
    <w:rsid w:val="001C5ECB"/>
    <w:rsid w:val="001C68E6"/>
    <w:rsid w:val="001C6A5D"/>
    <w:rsid w:val="001C6C89"/>
    <w:rsid w:val="001D7D6C"/>
    <w:rsid w:val="001E31A6"/>
    <w:rsid w:val="001E42C7"/>
    <w:rsid w:val="001E4CAB"/>
    <w:rsid w:val="001F0A4E"/>
    <w:rsid w:val="001F2F3E"/>
    <w:rsid w:val="001F4906"/>
    <w:rsid w:val="001F7C4A"/>
    <w:rsid w:val="0020142D"/>
    <w:rsid w:val="00201CB6"/>
    <w:rsid w:val="00205423"/>
    <w:rsid w:val="00205637"/>
    <w:rsid w:val="0020578A"/>
    <w:rsid w:val="00207631"/>
    <w:rsid w:val="00210CEC"/>
    <w:rsid w:val="00211F68"/>
    <w:rsid w:val="00214013"/>
    <w:rsid w:val="00214704"/>
    <w:rsid w:val="00217906"/>
    <w:rsid w:val="00220FC1"/>
    <w:rsid w:val="00222E9A"/>
    <w:rsid w:val="00230502"/>
    <w:rsid w:val="0023179D"/>
    <w:rsid w:val="00234150"/>
    <w:rsid w:val="00235D0D"/>
    <w:rsid w:val="00236DE5"/>
    <w:rsid w:val="00240435"/>
    <w:rsid w:val="00242E51"/>
    <w:rsid w:val="00245C9A"/>
    <w:rsid w:val="00245EF0"/>
    <w:rsid w:val="00247C96"/>
    <w:rsid w:val="00252F74"/>
    <w:rsid w:val="0025389D"/>
    <w:rsid w:val="00253A59"/>
    <w:rsid w:val="00254C29"/>
    <w:rsid w:val="00254E02"/>
    <w:rsid w:val="002579E7"/>
    <w:rsid w:val="002617A8"/>
    <w:rsid w:val="002622D5"/>
    <w:rsid w:val="0026265F"/>
    <w:rsid w:val="00265F65"/>
    <w:rsid w:val="00273AC1"/>
    <w:rsid w:val="00274425"/>
    <w:rsid w:val="00280CF0"/>
    <w:rsid w:val="00283FD7"/>
    <w:rsid w:val="00286C3A"/>
    <w:rsid w:val="00287AC8"/>
    <w:rsid w:val="0029246A"/>
    <w:rsid w:val="002930F5"/>
    <w:rsid w:val="0029349E"/>
    <w:rsid w:val="00296AE7"/>
    <w:rsid w:val="0029720C"/>
    <w:rsid w:val="002A06B7"/>
    <w:rsid w:val="002A3BB4"/>
    <w:rsid w:val="002A4903"/>
    <w:rsid w:val="002A5B02"/>
    <w:rsid w:val="002A7C7A"/>
    <w:rsid w:val="002B4B2E"/>
    <w:rsid w:val="002C21FE"/>
    <w:rsid w:val="002C5FB3"/>
    <w:rsid w:val="002C6E0C"/>
    <w:rsid w:val="002C7023"/>
    <w:rsid w:val="002D144A"/>
    <w:rsid w:val="002E19A3"/>
    <w:rsid w:val="002E212B"/>
    <w:rsid w:val="002E3337"/>
    <w:rsid w:val="002E543E"/>
    <w:rsid w:val="002E557C"/>
    <w:rsid w:val="002E6D03"/>
    <w:rsid w:val="002F2423"/>
    <w:rsid w:val="002F49A8"/>
    <w:rsid w:val="002F56AA"/>
    <w:rsid w:val="002F5E66"/>
    <w:rsid w:val="002F61CA"/>
    <w:rsid w:val="002F6EE9"/>
    <w:rsid w:val="0030010D"/>
    <w:rsid w:val="00301038"/>
    <w:rsid w:val="00304ACE"/>
    <w:rsid w:val="00310369"/>
    <w:rsid w:val="00311CE4"/>
    <w:rsid w:val="00313753"/>
    <w:rsid w:val="003206D3"/>
    <w:rsid w:val="00326F63"/>
    <w:rsid w:val="003318F9"/>
    <w:rsid w:val="00331CBC"/>
    <w:rsid w:val="00333059"/>
    <w:rsid w:val="0033504C"/>
    <w:rsid w:val="003361D3"/>
    <w:rsid w:val="00336638"/>
    <w:rsid w:val="00336816"/>
    <w:rsid w:val="003370D0"/>
    <w:rsid w:val="00337355"/>
    <w:rsid w:val="003402E4"/>
    <w:rsid w:val="00340EBC"/>
    <w:rsid w:val="00340F95"/>
    <w:rsid w:val="0034150B"/>
    <w:rsid w:val="0034151D"/>
    <w:rsid w:val="003419D5"/>
    <w:rsid w:val="00344E44"/>
    <w:rsid w:val="003465AB"/>
    <w:rsid w:val="00347B48"/>
    <w:rsid w:val="00350C0C"/>
    <w:rsid w:val="0035295B"/>
    <w:rsid w:val="00352AFA"/>
    <w:rsid w:val="003531ED"/>
    <w:rsid w:val="00360B9A"/>
    <w:rsid w:val="003636A7"/>
    <w:rsid w:val="003650BD"/>
    <w:rsid w:val="00367E4B"/>
    <w:rsid w:val="00375BF8"/>
    <w:rsid w:val="00380E4B"/>
    <w:rsid w:val="00386B47"/>
    <w:rsid w:val="00386B81"/>
    <w:rsid w:val="00387924"/>
    <w:rsid w:val="00387D44"/>
    <w:rsid w:val="0039017F"/>
    <w:rsid w:val="00393FB2"/>
    <w:rsid w:val="00394AEE"/>
    <w:rsid w:val="003A684A"/>
    <w:rsid w:val="003B09A2"/>
    <w:rsid w:val="003B3265"/>
    <w:rsid w:val="003C0D62"/>
    <w:rsid w:val="003C234E"/>
    <w:rsid w:val="003C2D98"/>
    <w:rsid w:val="003C4239"/>
    <w:rsid w:val="003C48E1"/>
    <w:rsid w:val="003D0B98"/>
    <w:rsid w:val="003D2012"/>
    <w:rsid w:val="003D2C09"/>
    <w:rsid w:val="003D3A96"/>
    <w:rsid w:val="003D3B0A"/>
    <w:rsid w:val="003D3B9C"/>
    <w:rsid w:val="003D7BD6"/>
    <w:rsid w:val="003E3810"/>
    <w:rsid w:val="003E5EE3"/>
    <w:rsid w:val="003E6F80"/>
    <w:rsid w:val="003F3F22"/>
    <w:rsid w:val="003F6894"/>
    <w:rsid w:val="003F78E8"/>
    <w:rsid w:val="0040154D"/>
    <w:rsid w:val="0040332F"/>
    <w:rsid w:val="004038D9"/>
    <w:rsid w:val="004040D0"/>
    <w:rsid w:val="00404494"/>
    <w:rsid w:val="00404F03"/>
    <w:rsid w:val="004056D5"/>
    <w:rsid w:val="004071C6"/>
    <w:rsid w:val="00407336"/>
    <w:rsid w:val="00412051"/>
    <w:rsid w:val="00412B14"/>
    <w:rsid w:val="00412B46"/>
    <w:rsid w:val="00413730"/>
    <w:rsid w:val="00420BA2"/>
    <w:rsid w:val="004226D9"/>
    <w:rsid w:val="00423B94"/>
    <w:rsid w:val="00426BCC"/>
    <w:rsid w:val="00435AFA"/>
    <w:rsid w:val="004460BB"/>
    <w:rsid w:val="0044742B"/>
    <w:rsid w:val="004507CF"/>
    <w:rsid w:val="00456139"/>
    <w:rsid w:val="00457155"/>
    <w:rsid w:val="0046291D"/>
    <w:rsid w:val="00463731"/>
    <w:rsid w:val="0046400A"/>
    <w:rsid w:val="00467B25"/>
    <w:rsid w:val="004703B8"/>
    <w:rsid w:val="00470E44"/>
    <w:rsid w:val="00472B4E"/>
    <w:rsid w:val="00475CB7"/>
    <w:rsid w:val="00477BB3"/>
    <w:rsid w:val="00477D9D"/>
    <w:rsid w:val="00480AF2"/>
    <w:rsid w:val="00481108"/>
    <w:rsid w:val="00481553"/>
    <w:rsid w:val="00482A30"/>
    <w:rsid w:val="0049042B"/>
    <w:rsid w:val="004921D0"/>
    <w:rsid w:val="00495473"/>
    <w:rsid w:val="00496DD0"/>
    <w:rsid w:val="004A106E"/>
    <w:rsid w:val="004A458E"/>
    <w:rsid w:val="004A694B"/>
    <w:rsid w:val="004B23E7"/>
    <w:rsid w:val="004B306F"/>
    <w:rsid w:val="004B6EA3"/>
    <w:rsid w:val="004C04DC"/>
    <w:rsid w:val="004C3186"/>
    <w:rsid w:val="004C4F49"/>
    <w:rsid w:val="004C5042"/>
    <w:rsid w:val="004C7ADA"/>
    <w:rsid w:val="004D11AB"/>
    <w:rsid w:val="004D4DC0"/>
    <w:rsid w:val="004E18C8"/>
    <w:rsid w:val="004E204D"/>
    <w:rsid w:val="004E20F0"/>
    <w:rsid w:val="004E360D"/>
    <w:rsid w:val="004E4422"/>
    <w:rsid w:val="004E4A8E"/>
    <w:rsid w:val="004E6990"/>
    <w:rsid w:val="004F5BE9"/>
    <w:rsid w:val="005029D7"/>
    <w:rsid w:val="00503998"/>
    <w:rsid w:val="00504DCA"/>
    <w:rsid w:val="00505E3D"/>
    <w:rsid w:val="0050623B"/>
    <w:rsid w:val="005109D6"/>
    <w:rsid w:val="00511CAB"/>
    <w:rsid w:val="00514219"/>
    <w:rsid w:val="00522B0F"/>
    <w:rsid w:val="00523181"/>
    <w:rsid w:val="00523395"/>
    <w:rsid w:val="00524D13"/>
    <w:rsid w:val="00530E57"/>
    <w:rsid w:val="00532EF1"/>
    <w:rsid w:val="005339F6"/>
    <w:rsid w:val="00535F7A"/>
    <w:rsid w:val="00542B7D"/>
    <w:rsid w:val="00545A1F"/>
    <w:rsid w:val="00546D7F"/>
    <w:rsid w:val="0055159D"/>
    <w:rsid w:val="0056387D"/>
    <w:rsid w:val="00563953"/>
    <w:rsid w:val="00571297"/>
    <w:rsid w:val="005739AC"/>
    <w:rsid w:val="0057438F"/>
    <w:rsid w:val="00576B18"/>
    <w:rsid w:val="00582C5C"/>
    <w:rsid w:val="00586A52"/>
    <w:rsid w:val="00587724"/>
    <w:rsid w:val="00591512"/>
    <w:rsid w:val="0059291C"/>
    <w:rsid w:val="00594AA9"/>
    <w:rsid w:val="00596037"/>
    <w:rsid w:val="005A7BDA"/>
    <w:rsid w:val="005B2D91"/>
    <w:rsid w:val="005B33BB"/>
    <w:rsid w:val="005B48B4"/>
    <w:rsid w:val="005B6EA2"/>
    <w:rsid w:val="005B7B32"/>
    <w:rsid w:val="005C225B"/>
    <w:rsid w:val="005C3560"/>
    <w:rsid w:val="005C5FA8"/>
    <w:rsid w:val="005C6661"/>
    <w:rsid w:val="005C6E3B"/>
    <w:rsid w:val="005D26C5"/>
    <w:rsid w:val="005D474B"/>
    <w:rsid w:val="005D544A"/>
    <w:rsid w:val="005D6B39"/>
    <w:rsid w:val="005E03C7"/>
    <w:rsid w:val="005E085C"/>
    <w:rsid w:val="005E147D"/>
    <w:rsid w:val="005E22C2"/>
    <w:rsid w:val="005E57BB"/>
    <w:rsid w:val="005F0017"/>
    <w:rsid w:val="005F1549"/>
    <w:rsid w:val="005F3CA2"/>
    <w:rsid w:val="005F6E2F"/>
    <w:rsid w:val="005F75D4"/>
    <w:rsid w:val="005F77A0"/>
    <w:rsid w:val="006014F1"/>
    <w:rsid w:val="00601CC7"/>
    <w:rsid w:val="00602278"/>
    <w:rsid w:val="00611CBE"/>
    <w:rsid w:val="006130C1"/>
    <w:rsid w:val="0061357B"/>
    <w:rsid w:val="00614A7D"/>
    <w:rsid w:val="0061761D"/>
    <w:rsid w:val="006178F7"/>
    <w:rsid w:val="00620AF4"/>
    <w:rsid w:val="00625B62"/>
    <w:rsid w:val="006263D4"/>
    <w:rsid w:val="006270D2"/>
    <w:rsid w:val="0063631C"/>
    <w:rsid w:val="0063757B"/>
    <w:rsid w:val="006377CE"/>
    <w:rsid w:val="006419F9"/>
    <w:rsid w:val="006444D0"/>
    <w:rsid w:val="00644E42"/>
    <w:rsid w:val="00646B2F"/>
    <w:rsid w:val="0064774C"/>
    <w:rsid w:val="00647984"/>
    <w:rsid w:val="0065368D"/>
    <w:rsid w:val="006537D9"/>
    <w:rsid w:val="00653B4F"/>
    <w:rsid w:val="00656366"/>
    <w:rsid w:val="00664A48"/>
    <w:rsid w:val="00665DEF"/>
    <w:rsid w:val="00667EFB"/>
    <w:rsid w:val="006714CF"/>
    <w:rsid w:val="00671500"/>
    <w:rsid w:val="00673A69"/>
    <w:rsid w:val="00674E83"/>
    <w:rsid w:val="00675BB1"/>
    <w:rsid w:val="0067623F"/>
    <w:rsid w:val="006775F1"/>
    <w:rsid w:val="00677DB7"/>
    <w:rsid w:val="006804E0"/>
    <w:rsid w:val="00690650"/>
    <w:rsid w:val="00692AA7"/>
    <w:rsid w:val="00697FEC"/>
    <w:rsid w:val="006A175F"/>
    <w:rsid w:val="006A1872"/>
    <w:rsid w:val="006A3636"/>
    <w:rsid w:val="006A44F5"/>
    <w:rsid w:val="006B0516"/>
    <w:rsid w:val="006B195F"/>
    <w:rsid w:val="006B1AA8"/>
    <w:rsid w:val="006B4537"/>
    <w:rsid w:val="006B554F"/>
    <w:rsid w:val="006B5F85"/>
    <w:rsid w:val="006B6929"/>
    <w:rsid w:val="006B6A36"/>
    <w:rsid w:val="006B709B"/>
    <w:rsid w:val="006C54AF"/>
    <w:rsid w:val="006D4245"/>
    <w:rsid w:val="006E0181"/>
    <w:rsid w:val="006E1FB5"/>
    <w:rsid w:val="006E74DD"/>
    <w:rsid w:val="006F2941"/>
    <w:rsid w:val="006F2B12"/>
    <w:rsid w:val="006F2E17"/>
    <w:rsid w:val="006F329F"/>
    <w:rsid w:val="006F541C"/>
    <w:rsid w:val="0070051E"/>
    <w:rsid w:val="00700C0E"/>
    <w:rsid w:val="007038AF"/>
    <w:rsid w:val="00705C30"/>
    <w:rsid w:val="00705DAD"/>
    <w:rsid w:val="007104AD"/>
    <w:rsid w:val="00715C87"/>
    <w:rsid w:val="007247B9"/>
    <w:rsid w:val="00726B43"/>
    <w:rsid w:val="007270BD"/>
    <w:rsid w:val="00727D85"/>
    <w:rsid w:val="007346C7"/>
    <w:rsid w:val="00735024"/>
    <w:rsid w:val="00736041"/>
    <w:rsid w:val="00736B8D"/>
    <w:rsid w:val="00737229"/>
    <w:rsid w:val="007377D6"/>
    <w:rsid w:val="007408C7"/>
    <w:rsid w:val="00743C0F"/>
    <w:rsid w:val="007465DA"/>
    <w:rsid w:val="00751174"/>
    <w:rsid w:val="00752747"/>
    <w:rsid w:val="00752C7F"/>
    <w:rsid w:val="007564CF"/>
    <w:rsid w:val="007662ED"/>
    <w:rsid w:val="0077009D"/>
    <w:rsid w:val="00773E7A"/>
    <w:rsid w:val="00776598"/>
    <w:rsid w:val="00776C0F"/>
    <w:rsid w:val="007851A0"/>
    <w:rsid w:val="00792948"/>
    <w:rsid w:val="0079411B"/>
    <w:rsid w:val="00796E84"/>
    <w:rsid w:val="007A0269"/>
    <w:rsid w:val="007A3ADE"/>
    <w:rsid w:val="007A4937"/>
    <w:rsid w:val="007A5733"/>
    <w:rsid w:val="007A5774"/>
    <w:rsid w:val="007A6FCD"/>
    <w:rsid w:val="007C204D"/>
    <w:rsid w:val="007C339A"/>
    <w:rsid w:val="007D2067"/>
    <w:rsid w:val="007D3B4F"/>
    <w:rsid w:val="007D42F1"/>
    <w:rsid w:val="007D6A90"/>
    <w:rsid w:val="007E62B5"/>
    <w:rsid w:val="007F2F85"/>
    <w:rsid w:val="007F6CE5"/>
    <w:rsid w:val="00800C73"/>
    <w:rsid w:val="00801E74"/>
    <w:rsid w:val="008033E4"/>
    <w:rsid w:val="0080485E"/>
    <w:rsid w:val="00805CBE"/>
    <w:rsid w:val="00810981"/>
    <w:rsid w:val="008121A0"/>
    <w:rsid w:val="008142B4"/>
    <w:rsid w:val="008169F4"/>
    <w:rsid w:val="008202FB"/>
    <w:rsid w:val="00823C32"/>
    <w:rsid w:val="00826042"/>
    <w:rsid w:val="00826938"/>
    <w:rsid w:val="00832324"/>
    <w:rsid w:val="008349CB"/>
    <w:rsid w:val="00835337"/>
    <w:rsid w:val="00835638"/>
    <w:rsid w:val="00835B21"/>
    <w:rsid w:val="0084060E"/>
    <w:rsid w:val="00844491"/>
    <w:rsid w:val="00844A9C"/>
    <w:rsid w:val="00846A4D"/>
    <w:rsid w:val="00846DCD"/>
    <w:rsid w:val="00851D85"/>
    <w:rsid w:val="00857CBD"/>
    <w:rsid w:val="00857D9C"/>
    <w:rsid w:val="00860741"/>
    <w:rsid w:val="00860CCB"/>
    <w:rsid w:val="00862E3D"/>
    <w:rsid w:val="00866F66"/>
    <w:rsid w:val="008740A3"/>
    <w:rsid w:val="0089297B"/>
    <w:rsid w:val="008A48E4"/>
    <w:rsid w:val="008B0155"/>
    <w:rsid w:val="008B492F"/>
    <w:rsid w:val="008C0E39"/>
    <w:rsid w:val="008C18BC"/>
    <w:rsid w:val="008C36CA"/>
    <w:rsid w:val="008C3716"/>
    <w:rsid w:val="008D4ACA"/>
    <w:rsid w:val="008D527F"/>
    <w:rsid w:val="008D5A76"/>
    <w:rsid w:val="008D7741"/>
    <w:rsid w:val="008E3F8C"/>
    <w:rsid w:val="008E4B02"/>
    <w:rsid w:val="008E530B"/>
    <w:rsid w:val="008F53BE"/>
    <w:rsid w:val="00902FD0"/>
    <w:rsid w:val="00904DC1"/>
    <w:rsid w:val="009053D3"/>
    <w:rsid w:val="0090649E"/>
    <w:rsid w:val="0090691F"/>
    <w:rsid w:val="00907B3C"/>
    <w:rsid w:val="009111D2"/>
    <w:rsid w:val="00916811"/>
    <w:rsid w:val="0091693F"/>
    <w:rsid w:val="009211F1"/>
    <w:rsid w:val="009269BC"/>
    <w:rsid w:val="009269F8"/>
    <w:rsid w:val="0093111F"/>
    <w:rsid w:val="009324F4"/>
    <w:rsid w:val="00935689"/>
    <w:rsid w:val="00940984"/>
    <w:rsid w:val="0094361E"/>
    <w:rsid w:val="00945AEB"/>
    <w:rsid w:val="00946130"/>
    <w:rsid w:val="0095303B"/>
    <w:rsid w:val="009537FF"/>
    <w:rsid w:val="00954589"/>
    <w:rsid w:val="00954EF8"/>
    <w:rsid w:val="009572D0"/>
    <w:rsid w:val="00960C7C"/>
    <w:rsid w:val="00960CF9"/>
    <w:rsid w:val="0096141F"/>
    <w:rsid w:val="009663B6"/>
    <w:rsid w:val="0097236F"/>
    <w:rsid w:val="009723A9"/>
    <w:rsid w:val="00974A47"/>
    <w:rsid w:val="00975D55"/>
    <w:rsid w:val="00980286"/>
    <w:rsid w:val="00980A3A"/>
    <w:rsid w:val="00980AF7"/>
    <w:rsid w:val="00981082"/>
    <w:rsid w:val="00987FF4"/>
    <w:rsid w:val="00990DCF"/>
    <w:rsid w:val="0099342E"/>
    <w:rsid w:val="009A0B16"/>
    <w:rsid w:val="009A4CD6"/>
    <w:rsid w:val="009A4F67"/>
    <w:rsid w:val="009A5005"/>
    <w:rsid w:val="009A537C"/>
    <w:rsid w:val="009B0A24"/>
    <w:rsid w:val="009B4A86"/>
    <w:rsid w:val="009B6457"/>
    <w:rsid w:val="009C0886"/>
    <w:rsid w:val="009C19EE"/>
    <w:rsid w:val="009C28D0"/>
    <w:rsid w:val="009C35F2"/>
    <w:rsid w:val="009C5562"/>
    <w:rsid w:val="009C7782"/>
    <w:rsid w:val="009D1ED5"/>
    <w:rsid w:val="009D4C13"/>
    <w:rsid w:val="009E21A7"/>
    <w:rsid w:val="009E408E"/>
    <w:rsid w:val="009E5E21"/>
    <w:rsid w:val="009F0E72"/>
    <w:rsid w:val="009F27B6"/>
    <w:rsid w:val="009F3BA7"/>
    <w:rsid w:val="009F42FC"/>
    <w:rsid w:val="009F66DD"/>
    <w:rsid w:val="009F69EC"/>
    <w:rsid w:val="009F6CA8"/>
    <w:rsid w:val="00A103ED"/>
    <w:rsid w:val="00A10C0A"/>
    <w:rsid w:val="00A1252D"/>
    <w:rsid w:val="00A13C60"/>
    <w:rsid w:val="00A15134"/>
    <w:rsid w:val="00A16988"/>
    <w:rsid w:val="00A2209D"/>
    <w:rsid w:val="00A3192C"/>
    <w:rsid w:val="00A341A3"/>
    <w:rsid w:val="00A35800"/>
    <w:rsid w:val="00A3641F"/>
    <w:rsid w:val="00A42297"/>
    <w:rsid w:val="00A52918"/>
    <w:rsid w:val="00A547B3"/>
    <w:rsid w:val="00A56620"/>
    <w:rsid w:val="00A57DD5"/>
    <w:rsid w:val="00A673D0"/>
    <w:rsid w:val="00A70E82"/>
    <w:rsid w:val="00A71EF2"/>
    <w:rsid w:val="00A745D2"/>
    <w:rsid w:val="00A805B8"/>
    <w:rsid w:val="00A8075E"/>
    <w:rsid w:val="00A83F22"/>
    <w:rsid w:val="00A84CAD"/>
    <w:rsid w:val="00A85F4D"/>
    <w:rsid w:val="00A90E50"/>
    <w:rsid w:val="00A942FF"/>
    <w:rsid w:val="00A95FA5"/>
    <w:rsid w:val="00A96A23"/>
    <w:rsid w:val="00A96D92"/>
    <w:rsid w:val="00AA2107"/>
    <w:rsid w:val="00AA2CE1"/>
    <w:rsid w:val="00AA574F"/>
    <w:rsid w:val="00AA5F77"/>
    <w:rsid w:val="00AB199C"/>
    <w:rsid w:val="00AB2C5D"/>
    <w:rsid w:val="00AB358B"/>
    <w:rsid w:val="00AB3733"/>
    <w:rsid w:val="00AB4240"/>
    <w:rsid w:val="00AB588C"/>
    <w:rsid w:val="00AB60F3"/>
    <w:rsid w:val="00AB7897"/>
    <w:rsid w:val="00AC5054"/>
    <w:rsid w:val="00AC698C"/>
    <w:rsid w:val="00AC728A"/>
    <w:rsid w:val="00AC796D"/>
    <w:rsid w:val="00AD1B87"/>
    <w:rsid w:val="00AD668F"/>
    <w:rsid w:val="00AE00D5"/>
    <w:rsid w:val="00AE0658"/>
    <w:rsid w:val="00AE11E5"/>
    <w:rsid w:val="00AE4BAC"/>
    <w:rsid w:val="00AE5295"/>
    <w:rsid w:val="00AE6625"/>
    <w:rsid w:val="00AE66D5"/>
    <w:rsid w:val="00AE72E6"/>
    <w:rsid w:val="00AE73B6"/>
    <w:rsid w:val="00AF30F7"/>
    <w:rsid w:val="00AF4F9C"/>
    <w:rsid w:val="00AF62B5"/>
    <w:rsid w:val="00B034FC"/>
    <w:rsid w:val="00B05310"/>
    <w:rsid w:val="00B10512"/>
    <w:rsid w:val="00B10A0B"/>
    <w:rsid w:val="00B13049"/>
    <w:rsid w:val="00B20451"/>
    <w:rsid w:val="00B212C7"/>
    <w:rsid w:val="00B2219D"/>
    <w:rsid w:val="00B30D85"/>
    <w:rsid w:val="00B30E1B"/>
    <w:rsid w:val="00B31705"/>
    <w:rsid w:val="00B338EB"/>
    <w:rsid w:val="00B35A4A"/>
    <w:rsid w:val="00B41096"/>
    <w:rsid w:val="00B453CF"/>
    <w:rsid w:val="00B46255"/>
    <w:rsid w:val="00B464E0"/>
    <w:rsid w:val="00B51B11"/>
    <w:rsid w:val="00B562AA"/>
    <w:rsid w:val="00B63FD7"/>
    <w:rsid w:val="00B70617"/>
    <w:rsid w:val="00B816D9"/>
    <w:rsid w:val="00B8197A"/>
    <w:rsid w:val="00B824CF"/>
    <w:rsid w:val="00B90A3F"/>
    <w:rsid w:val="00B9120F"/>
    <w:rsid w:val="00B91DBD"/>
    <w:rsid w:val="00B9216C"/>
    <w:rsid w:val="00B924A4"/>
    <w:rsid w:val="00B93F34"/>
    <w:rsid w:val="00B94B0C"/>
    <w:rsid w:val="00B974F0"/>
    <w:rsid w:val="00BA1814"/>
    <w:rsid w:val="00BA498C"/>
    <w:rsid w:val="00BA5D42"/>
    <w:rsid w:val="00BA5E89"/>
    <w:rsid w:val="00BB0D1A"/>
    <w:rsid w:val="00BB1D3B"/>
    <w:rsid w:val="00BB1E83"/>
    <w:rsid w:val="00BB513B"/>
    <w:rsid w:val="00BC060F"/>
    <w:rsid w:val="00BC2539"/>
    <w:rsid w:val="00BC257F"/>
    <w:rsid w:val="00BC35ED"/>
    <w:rsid w:val="00BC6839"/>
    <w:rsid w:val="00BD0A08"/>
    <w:rsid w:val="00BE14AF"/>
    <w:rsid w:val="00BE205A"/>
    <w:rsid w:val="00BE3802"/>
    <w:rsid w:val="00BE58B8"/>
    <w:rsid w:val="00BE69A1"/>
    <w:rsid w:val="00BF238E"/>
    <w:rsid w:val="00BF2F4A"/>
    <w:rsid w:val="00BF47F1"/>
    <w:rsid w:val="00BF544D"/>
    <w:rsid w:val="00C0076F"/>
    <w:rsid w:val="00C0301C"/>
    <w:rsid w:val="00C050B6"/>
    <w:rsid w:val="00C10F12"/>
    <w:rsid w:val="00C11A63"/>
    <w:rsid w:val="00C15023"/>
    <w:rsid w:val="00C22EEB"/>
    <w:rsid w:val="00C245EA"/>
    <w:rsid w:val="00C256F6"/>
    <w:rsid w:val="00C3097E"/>
    <w:rsid w:val="00C30EED"/>
    <w:rsid w:val="00C3427E"/>
    <w:rsid w:val="00C34836"/>
    <w:rsid w:val="00C35ECC"/>
    <w:rsid w:val="00C361A8"/>
    <w:rsid w:val="00C376A3"/>
    <w:rsid w:val="00C41246"/>
    <w:rsid w:val="00C42048"/>
    <w:rsid w:val="00C43290"/>
    <w:rsid w:val="00C45E5F"/>
    <w:rsid w:val="00C46291"/>
    <w:rsid w:val="00C535A5"/>
    <w:rsid w:val="00C54FF3"/>
    <w:rsid w:val="00C552CB"/>
    <w:rsid w:val="00C61A97"/>
    <w:rsid w:val="00C63412"/>
    <w:rsid w:val="00C66515"/>
    <w:rsid w:val="00C714D0"/>
    <w:rsid w:val="00C74637"/>
    <w:rsid w:val="00C752F4"/>
    <w:rsid w:val="00C818F6"/>
    <w:rsid w:val="00C82DC4"/>
    <w:rsid w:val="00C8440E"/>
    <w:rsid w:val="00C87510"/>
    <w:rsid w:val="00C90EF4"/>
    <w:rsid w:val="00C91D70"/>
    <w:rsid w:val="00C929FE"/>
    <w:rsid w:val="00C94362"/>
    <w:rsid w:val="00C97EDE"/>
    <w:rsid w:val="00CA015A"/>
    <w:rsid w:val="00CA0B7A"/>
    <w:rsid w:val="00CA20BC"/>
    <w:rsid w:val="00CB093E"/>
    <w:rsid w:val="00CB225B"/>
    <w:rsid w:val="00CB257E"/>
    <w:rsid w:val="00CB56C5"/>
    <w:rsid w:val="00CB6770"/>
    <w:rsid w:val="00CC1692"/>
    <w:rsid w:val="00CC1AA3"/>
    <w:rsid w:val="00CC3007"/>
    <w:rsid w:val="00CC4FE5"/>
    <w:rsid w:val="00CD4486"/>
    <w:rsid w:val="00CE3AE0"/>
    <w:rsid w:val="00CE4651"/>
    <w:rsid w:val="00CF0765"/>
    <w:rsid w:val="00CF4FDB"/>
    <w:rsid w:val="00CF5E22"/>
    <w:rsid w:val="00D05C45"/>
    <w:rsid w:val="00D06A44"/>
    <w:rsid w:val="00D07006"/>
    <w:rsid w:val="00D111D2"/>
    <w:rsid w:val="00D151EB"/>
    <w:rsid w:val="00D1785A"/>
    <w:rsid w:val="00D2756D"/>
    <w:rsid w:val="00D300E0"/>
    <w:rsid w:val="00D35115"/>
    <w:rsid w:val="00D374CD"/>
    <w:rsid w:val="00D4402D"/>
    <w:rsid w:val="00D457F6"/>
    <w:rsid w:val="00D50D3B"/>
    <w:rsid w:val="00D55CAA"/>
    <w:rsid w:val="00D63992"/>
    <w:rsid w:val="00D646EA"/>
    <w:rsid w:val="00D650CE"/>
    <w:rsid w:val="00D71719"/>
    <w:rsid w:val="00D7391C"/>
    <w:rsid w:val="00D76879"/>
    <w:rsid w:val="00D776DA"/>
    <w:rsid w:val="00D828B8"/>
    <w:rsid w:val="00D83226"/>
    <w:rsid w:val="00D84EEB"/>
    <w:rsid w:val="00D870AB"/>
    <w:rsid w:val="00D8758B"/>
    <w:rsid w:val="00D87E87"/>
    <w:rsid w:val="00D90A89"/>
    <w:rsid w:val="00D942B3"/>
    <w:rsid w:val="00D94863"/>
    <w:rsid w:val="00DA7BD2"/>
    <w:rsid w:val="00DA7D09"/>
    <w:rsid w:val="00DC029E"/>
    <w:rsid w:val="00DC171B"/>
    <w:rsid w:val="00DC2630"/>
    <w:rsid w:val="00DC49E9"/>
    <w:rsid w:val="00DC55E4"/>
    <w:rsid w:val="00DC7D71"/>
    <w:rsid w:val="00DD188C"/>
    <w:rsid w:val="00DD29A3"/>
    <w:rsid w:val="00DD48EE"/>
    <w:rsid w:val="00DD6748"/>
    <w:rsid w:val="00DD674D"/>
    <w:rsid w:val="00DD7974"/>
    <w:rsid w:val="00DE0B96"/>
    <w:rsid w:val="00DE10B9"/>
    <w:rsid w:val="00DE5737"/>
    <w:rsid w:val="00DF0B13"/>
    <w:rsid w:val="00DF1583"/>
    <w:rsid w:val="00DF2EB8"/>
    <w:rsid w:val="00DF4A94"/>
    <w:rsid w:val="00DF6003"/>
    <w:rsid w:val="00DF6CFD"/>
    <w:rsid w:val="00E00095"/>
    <w:rsid w:val="00E019C8"/>
    <w:rsid w:val="00E066C3"/>
    <w:rsid w:val="00E10D8C"/>
    <w:rsid w:val="00E1353A"/>
    <w:rsid w:val="00E13A53"/>
    <w:rsid w:val="00E1564B"/>
    <w:rsid w:val="00E16359"/>
    <w:rsid w:val="00E208A0"/>
    <w:rsid w:val="00E21E6D"/>
    <w:rsid w:val="00E22FF5"/>
    <w:rsid w:val="00E23358"/>
    <w:rsid w:val="00E252FB"/>
    <w:rsid w:val="00E25B49"/>
    <w:rsid w:val="00E36874"/>
    <w:rsid w:val="00E371EA"/>
    <w:rsid w:val="00E41661"/>
    <w:rsid w:val="00E41BEE"/>
    <w:rsid w:val="00E43C33"/>
    <w:rsid w:val="00E43DDF"/>
    <w:rsid w:val="00E4477D"/>
    <w:rsid w:val="00E44F8D"/>
    <w:rsid w:val="00E47069"/>
    <w:rsid w:val="00E511E0"/>
    <w:rsid w:val="00E60398"/>
    <w:rsid w:val="00E630C3"/>
    <w:rsid w:val="00E64429"/>
    <w:rsid w:val="00E671B3"/>
    <w:rsid w:val="00E677DD"/>
    <w:rsid w:val="00E72616"/>
    <w:rsid w:val="00E742F6"/>
    <w:rsid w:val="00E74F56"/>
    <w:rsid w:val="00E7594B"/>
    <w:rsid w:val="00E77169"/>
    <w:rsid w:val="00E817A0"/>
    <w:rsid w:val="00E818F7"/>
    <w:rsid w:val="00E834AF"/>
    <w:rsid w:val="00E84A5D"/>
    <w:rsid w:val="00E909F2"/>
    <w:rsid w:val="00E957B0"/>
    <w:rsid w:val="00E9587F"/>
    <w:rsid w:val="00EA2638"/>
    <w:rsid w:val="00EA73EA"/>
    <w:rsid w:val="00EB270A"/>
    <w:rsid w:val="00EB4688"/>
    <w:rsid w:val="00EB6C07"/>
    <w:rsid w:val="00EC028D"/>
    <w:rsid w:val="00EC35CF"/>
    <w:rsid w:val="00EC7371"/>
    <w:rsid w:val="00ED0B10"/>
    <w:rsid w:val="00ED48B6"/>
    <w:rsid w:val="00ED4ABA"/>
    <w:rsid w:val="00ED633B"/>
    <w:rsid w:val="00ED69ED"/>
    <w:rsid w:val="00ED741A"/>
    <w:rsid w:val="00EE1C5B"/>
    <w:rsid w:val="00EE2BBB"/>
    <w:rsid w:val="00EE41B1"/>
    <w:rsid w:val="00EE478C"/>
    <w:rsid w:val="00EF1669"/>
    <w:rsid w:val="00EF6709"/>
    <w:rsid w:val="00F032F6"/>
    <w:rsid w:val="00F05698"/>
    <w:rsid w:val="00F05CFB"/>
    <w:rsid w:val="00F1132C"/>
    <w:rsid w:val="00F124DC"/>
    <w:rsid w:val="00F14A0A"/>
    <w:rsid w:val="00F15A10"/>
    <w:rsid w:val="00F15DD5"/>
    <w:rsid w:val="00F16BD6"/>
    <w:rsid w:val="00F17D4B"/>
    <w:rsid w:val="00F22FEE"/>
    <w:rsid w:val="00F23139"/>
    <w:rsid w:val="00F23B57"/>
    <w:rsid w:val="00F23F80"/>
    <w:rsid w:val="00F242C0"/>
    <w:rsid w:val="00F24A05"/>
    <w:rsid w:val="00F303DB"/>
    <w:rsid w:val="00F30A0A"/>
    <w:rsid w:val="00F3193E"/>
    <w:rsid w:val="00F36395"/>
    <w:rsid w:val="00F52C14"/>
    <w:rsid w:val="00F54F28"/>
    <w:rsid w:val="00F57F1E"/>
    <w:rsid w:val="00F64D34"/>
    <w:rsid w:val="00F66CD5"/>
    <w:rsid w:val="00F67A9A"/>
    <w:rsid w:val="00F70704"/>
    <w:rsid w:val="00F70F4E"/>
    <w:rsid w:val="00F71A58"/>
    <w:rsid w:val="00F73113"/>
    <w:rsid w:val="00F74483"/>
    <w:rsid w:val="00F75FC4"/>
    <w:rsid w:val="00F80850"/>
    <w:rsid w:val="00F82744"/>
    <w:rsid w:val="00F83095"/>
    <w:rsid w:val="00F8416E"/>
    <w:rsid w:val="00F856CE"/>
    <w:rsid w:val="00F85981"/>
    <w:rsid w:val="00F86F69"/>
    <w:rsid w:val="00F87263"/>
    <w:rsid w:val="00F87346"/>
    <w:rsid w:val="00F874A8"/>
    <w:rsid w:val="00F91CBF"/>
    <w:rsid w:val="00F92328"/>
    <w:rsid w:val="00F92FF8"/>
    <w:rsid w:val="00F93725"/>
    <w:rsid w:val="00FA1AD9"/>
    <w:rsid w:val="00FA21F4"/>
    <w:rsid w:val="00FA4890"/>
    <w:rsid w:val="00FB01AF"/>
    <w:rsid w:val="00FB0B5C"/>
    <w:rsid w:val="00FB2D7C"/>
    <w:rsid w:val="00FB3642"/>
    <w:rsid w:val="00FB77FA"/>
    <w:rsid w:val="00FC1B44"/>
    <w:rsid w:val="00FC3C70"/>
    <w:rsid w:val="00FC4A73"/>
    <w:rsid w:val="00FC559C"/>
    <w:rsid w:val="00FC7F0D"/>
    <w:rsid w:val="00FD22C6"/>
    <w:rsid w:val="00FD6670"/>
    <w:rsid w:val="00FE0130"/>
    <w:rsid w:val="00FE5E0C"/>
    <w:rsid w:val="00FE645A"/>
    <w:rsid w:val="00FF0C03"/>
    <w:rsid w:val="00FF1FE1"/>
    <w:rsid w:val="00FF2C28"/>
    <w:rsid w:val="00FF6102"/>
    <w:rsid w:val="00FF67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954589"/>
    <w:rPr>
      <w:color w:val="800080" w:themeColor="followedHyperlink"/>
      <w:u w:val="single"/>
    </w:rPr>
  </w:style>
  <w:style w:type="character" w:styleId="UnresolvedMention">
    <w:name w:val="Unresolved Mention"/>
    <w:basedOn w:val="DefaultParagraphFont"/>
    <w:uiPriority w:val="99"/>
    <w:semiHidden/>
    <w:unhideWhenUsed/>
    <w:rsid w:val="00B46255"/>
    <w:rPr>
      <w:color w:val="605E5C"/>
      <w:shd w:val="clear" w:color="auto" w:fill="E1DFDD"/>
    </w:rPr>
  </w:style>
  <w:style w:type="paragraph" w:customStyle="1" w:styleId="usa-breadcrumblist-item">
    <w:name w:val="usa-breadcrumb__list-item"/>
    <w:basedOn w:val="Normal"/>
    <w:rsid w:val="001B4955"/>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980AF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634">
      <w:bodyDiv w:val="1"/>
      <w:marLeft w:val="0"/>
      <w:marRight w:val="0"/>
      <w:marTop w:val="0"/>
      <w:marBottom w:val="0"/>
      <w:divBdr>
        <w:top w:val="none" w:sz="0" w:space="0" w:color="auto"/>
        <w:left w:val="none" w:sz="0" w:space="0" w:color="auto"/>
        <w:bottom w:val="none" w:sz="0" w:space="0" w:color="auto"/>
        <w:right w:val="none" w:sz="0" w:space="0" w:color="auto"/>
      </w:divBdr>
    </w:div>
    <w:div w:id="99499135">
      <w:bodyDiv w:val="1"/>
      <w:marLeft w:val="0"/>
      <w:marRight w:val="0"/>
      <w:marTop w:val="0"/>
      <w:marBottom w:val="0"/>
      <w:divBdr>
        <w:top w:val="none" w:sz="0" w:space="0" w:color="auto"/>
        <w:left w:val="none" w:sz="0" w:space="0" w:color="auto"/>
        <w:bottom w:val="none" w:sz="0" w:space="0" w:color="auto"/>
        <w:right w:val="none" w:sz="0" w:space="0" w:color="auto"/>
      </w:divBdr>
    </w:div>
    <w:div w:id="112987383">
      <w:bodyDiv w:val="1"/>
      <w:marLeft w:val="0"/>
      <w:marRight w:val="0"/>
      <w:marTop w:val="0"/>
      <w:marBottom w:val="0"/>
      <w:divBdr>
        <w:top w:val="none" w:sz="0" w:space="0" w:color="auto"/>
        <w:left w:val="none" w:sz="0" w:space="0" w:color="auto"/>
        <w:bottom w:val="none" w:sz="0" w:space="0" w:color="auto"/>
        <w:right w:val="none" w:sz="0" w:space="0" w:color="auto"/>
      </w:divBdr>
    </w:div>
    <w:div w:id="118304393">
      <w:bodyDiv w:val="1"/>
      <w:marLeft w:val="0"/>
      <w:marRight w:val="0"/>
      <w:marTop w:val="0"/>
      <w:marBottom w:val="0"/>
      <w:divBdr>
        <w:top w:val="none" w:sz="0" w:space="0" w:color="auto"/>
        <w:left w:val="none" w:sz="0" w:space="0" w:color="auto"/>
        <w:bottom w:val="none" w:sz="0" w:space="0" w:color="auto"/>
        <w:right w:val="none" w:sz="0" w:space="0" w:color="auto"/>
      </w:divBdr>
    </w:div>
    <w:div w:id="12871456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89447274">
      <w:bodyDiv w:val="1"/>
      <w:marLeft w:val="0"/>
      <w:marRight w:val="0"/>
      <w:marTop w:val="0"/>
      <w:marBottom w:val="0"/>
      <w:divBdr>
        <w:top w:val="none" w:sz="0" w:space="0" w:color="auto"/>
        <w:left w:val="none" w:sz="0" w:space="0" w:color="auto"/>
        <w:bottom w:val="none" w:sz="0" w:space="0" w:color="auto"/>
        <w:right w:val="none" w:sz="0" w:space="0" w:color="auto"/>
      </w:divBdr>
    </w:div>
    <w:div w:id="690837959">
      <w:bodyDiv w:val="1"/>
      <w:marLeft w:val="0"/>
      <w:marRight w:val="0"/>
      <w:marTop w:val="0"/>
      <w:marBottom w:val="0"/>
      <w:divBdr>
        <w:top w:val="none" w:sz="0" w:space="0" w:color="auto"/>
        <w:left w:val="none" w:sz="0" w:space="0" w:color="auto"/>
        <w:bottom w:val="none" w:sz="0" w:space="0" w:color="auto"/>
        <w:right w:val="none" w:sz="0" w:space="0" w:color="auto"/>
      </w:divBdr>
    </w:div>
    <w:div w:id="708723730">
      <w:bodyDiv w:val="1"/>
      <w:marLeft w:val="0"/>
      <w:marRight w:val="0"/>
      <w:marTop w:val="0"/>
      <w:marBottom w:val="0"/>
      <w:divBdr>
        <w:top w:val="none" w:sz="0" w:space="0" w:color="auto"/>
        <w:left w:val="none" w:sz="0" w:space="0" w:color="auto"/>
        <w:bottom w:val="none" w:sz="0" w:space="0" w:color="auto"/>
        <w:right w:val="none" w:sz="0" w:space="0" w:color="auto"/>
      </w:divBdr>
    </w:div>
    <w:div w:id="739252292">
      <w:bodyDiv w:val="1"/>
      <w:marLeft w:val="0"/>
      <w:marRight w:val="0"/>
      <w:marTop w:val="0"/>
      <w:marBottom w:val="0"/>
      <w:divBdr>
        <w:top w:val="none" w:sz="0" w:space="0" w:color="auto"/>
        <w:left w:val="none" w:sz="0" w:space="0" w:color="auto"/>
        <w:bottom w:val="none" w:sz="0" w:space="0" w:color="auto"/>
        <w:right w:val="none" w:sz="0" w:space="0" w:color="auto"/>
      </w:divBdr>
    </w:div>
    <w:div w:id="906691632">
      <w:bodyDiv w:val="1"/>
      <w:marLeft w:val="0"/>
      <w:marRight w:val="0"/>
      <w:marTop w:val="0"/>
      <w:marBottom w:val="0"/>
      <w:divBdr>
        <w:top w:val="none" w:sz="0" w:space="0" w:color="auto"/>
        <w:left w:val="none" w:sz="0" w:space="0" w:color="auto"/>
        <w:bottom w:val="none" w:sz="0" w:space="0" w:color="auto"/>
        <w:right w:val="none" w:sz="0" w:space="0" w:color="auto"/>
      </w:divBdr>
    </w:div>
    <w:div w:id="1008364369">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3379872">
      <w:bodyDiv w:val="1"/>
      <w:marLeft w:val="0"/>
      <w:marRight w:val="0"/>
      <w:marTop w:val="0"/>
      <w:marBottom w:val="0"/>
      <w:divBdr>
        <w:top w:val="none" w:sz="0" w:space="0" w:color="auto"/>
        <w:left w:val="none" w:sz="0" w:space="0" w:color="auto"/>
        <w:bottom w:val="none" w:sz="0" w:space="0" w:color="auto"/>
        <w:right w:val="none" w:sz="0" w:space="0" w:color="auto"/>
      </w:divBdr>
    </w:div>
    <w:div w:id="1171722956">
      <w:bodyDiv w:val="1"/>
      <w:marLeft w:val="0"/>
      <w:marRight w:val="0"/>
      <w:marTop w:val="0"/>
      <w:marBottom w:val="0"/>
      <w:divBdr>
        <w:top w:val="none" w:sz="0" w:space="0" w:color="auto"/>
        <w:left w:val="none" w:sz="0" w:space="0" w:color="auto"/>
        <w:bottom w:val="none" w:sz="0" w:space="0" w:color="auto"/>
        <w:right w:val="none" w:sz="0" w:space="0" w:color="auto"/>
      </w:divBdr>
    </w:div>
    <w:div w:id="1236352299">
      <w:bodyDiv w:val="1"/>
      <w:marLeft w:val="0"/>
      <w:marRight w:val="0"/>
      <w:marTop w:val="0"/>
      <w:marBottom w:val="0"/>
      <w:divBdr>
        <w:top w:val="none" w:sz="0" w:space="0" w:color="auto"/>
        <w:left w:val="none" w:sz="0" w:space="0" w:color="auto"/>
        <w:bottom w:val="none" w:sz="0" w:space="0" w:color="auto"/>
        <w:right w:val="none" w:sz="0" w:space="0" w:color="auto"/>
      </w:divBdr>
    </w:div>
    <w:div w:id="1320840178">
      <w:bodyDiv w:val="1"/>
      <w:marLeft w:val="0"/>
      <w:marRight w:val="0"/>
      <w:marTop w:val="0"/>
      <w:marBottom w:val="0"/>
      <w:divBdr>
        <w:top w:val="none" w:sz="0" w:space="0" w:color="auto"/>
        <w:left w:val="none" w:sz="0" w:space="0" w:color="auto"/>
        <w:bottom w:val="none" w:sz="0" w:space="0" w:color="auto"/>
        <w:right w:val="none" w:sz="0" w:space="0" w:color="auto"/>
      </w:divBdr>
    </w:div>
    <w:div w:id="1423523371">
      <w:bodyDiv w:val="1"/>
      <w:marLeft w:val="0"/>
      <w:marRight w:val="0"/>
      <w:marTop w:val="0"/>
      <w:marBottom w:val="0"/>
      <w:divBdr>
        <w:top w:val="none" w:sz="0" w:space="0" w:color="auto"/>
        <w:left w:val="none" w:sz="0" w:space="0" w:color="auto"/>
        <w:bottom w:val="none" w:sz="0" w:space="0" w:color="auto"/>
        <w:right w:val="none" w:sz="0" w:space="0" w:color="auto"/>
      </w:divBdr>
    </w:div>
    <w:div w:id="1582059152">
      <w:bodyDiv w:val="1"/>
      <w:marLeft w:val="0"/>
      <w:marRight w:val="0"/>
      <w:marTop w:val="0"/>
      <w:marBottom w:val="0"/>
      <w:divBdr>
        <w:top w:val="none" w:sz="0" w:space="0" w:color="auto"/>
        <w:left w:val="none" w:sz="0" w:space="0" w:color="auto"/>
        <w:bottom w:val="none" w:sz="0" w:space="0" w:color="auto"/>
        <w:right w:val="none" w:sz="0" w:space="0" w:color="auto"/>
      </w:divBdr>
    </w:div>
    <w:div w:id="1705013199">
      <w:bodyDiv w:val="1"/>
      <w:marLeft w:val="0"/>
      <w:marRight w:val="0"/>
      <w:marTop w:val="0"/>
      <w:marBottom w:val="0"/>
      <w:divBdr>
        <w:top w:val="none" w:sz="0" w:space="0" w:color="auto"/>
        <w:left w:val="none" w:sz="0" w:space="0" w:color="auto"/>
        <w:bottom w:val="none" w:sz="0" w:space="0" w:color="auto"/>
        <w:right w:val="none" w:sz="0" w:space="0" w:color="auto"/>
      </w:divBdr>
    </w:div>
    <w:div w:id="1753896236">
      <w:bodyDiv w:val="1"/>
      <w:marLeft w:val="0"/>
      <w:marRight w:val="0"/>
      <w:marTop w:val="0"/>
      <w:marBottom w:val="0"/>
      <w:divBdr>
        <w:top w:val="none" w:sz="0" w:space="0" w:color="auto"/>
        <w:left w:val="none" w:sz="0" w:space="0" w:color="auto"/>
        <w:bottom w:val="none" w:sz="0" w:space="0" w:color="auto"/>
        <w:right w:val="none" w:sz="0" w:space="0" w:color="auto"/>
      </w:divBdr>
    </w:div>
    <w:div w:id="1781340003">
      <w:bodyDiv w:val="1"/>
      <w:marLeft w:val="0"/>
      <w:marRight w:val="0"/>
      <w:marTop w:val="0"/>
      <w:marBottom w:val="0"/>
      <w:divBdr>
        <w:top w:val="none" w:sz="0" w:space="0" w:color="auto"/>
        <w:left w:val="none" w:sz="0" w:space="0" w:color="auto"/>
        <w:bottom w:val="none" w:sz="0" w:space="0" w:color="auto"/>
        <w:right w:val="none" w:sz="0" w:space="0" w:color="auto"/>
      </w:divBdr>
    </w:div>
    <w:div w:id="1981644481">
      <w:bodyDiv w:val="1"/>
      <w:marLeft w:val="0"/>
      <w:marRight w:val="0"/>
      <w:marTop w:val="0"/>
      <w:marBottom w:val="0"/>
      <w:divBdr>
        <w:top w:val="none" w:sz="0" w:space="0" w:color="auto"/>
        <w:left w:val="none" w:sz="0" w:space="0" w:color="auto"/>
        <w:bottom w:val="none" w:sz="0" w:space="0" w:color="auto"/>
        <w:right w:val="none" w:sz="0" w:space="0" w:color="auto"/>
      </w:divBdr>
    </w:div>
    <w:div w:id="2029982221">
      <w:bodyDiv w:val="1"/>
      <w:marLeft w:val="0"/>
      <w:marRight w:val="0"/>
      <w:marTop w:val="0"/>
      <w:marBottom w:val="0"/>
      <w:divBdr>
        <w:top w:val="none" w:sz="0" w:space="0" w:color="auto"/>
        <w:left w:val="none" w:sz="0" w:space="0" w:color="auto"/>
        <w:bottom w:val="none" w:sz="0" w:space="0" w:color="auto"/>
        <w:right w:val="none" w:sz="0" w:space="0" w:color="auto"/>
      </w:divBdr>
    </w:div>
    <w:div w:id="2077124564">
      <w:bodyDiv w:val="1"/>
      <w:marLeft w:val="0"/>
      <w:marRight w:val="0"/>
      <w:marTop w:val="0"/>
      <w:marBottom w:val="0"/>
      <w:divBdr>
        <w:top w:val="none" w:sz="0" w:space="0" w:color="auto"/>
        <w:left w:val="none" w:sz="0" w:space="0" w:color="auto"/>
        <w:bottom w:val="none" w:sz="0" w:space="0" w:color="auto"/>
        <w:right w:val="none" w:sz="0" w:space="0" w:color="auto"/>
      </w:divBdr>
    </w:div>
    <w:div w:id="21095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tga.gov.au/ebs/picmi/picmirepository.nsf/pdf?OpenAgent&amp;id=CP-2017-PI-01048-1" TargetMode="External"/><Relationship Id="rId13" Type="http://schemas.openxmlformats.org/officeDocument/2006/relationships/hyperlink" Target="https://www.pbs.gov.au/medicine/item/12199c" TargetMode="External"/><Relationship Id="rId18" Type="http://schemas.openxmlformats.org/officeDocument/2006/relationships/hyperlink" Target="https://www.pbs.gov.au/info/industry/listing/elements/pbac-meetings/psd/2020-07/venetoclax-pack-containing-14-tablets-venetoclax-10-mg" TargetMode="External"/><Relationship Id="rId26" Type="http://schemas.openxmlformats.org/officeDocument/2006/relationships/hyperlink" Target="https://www.leukaemia.org.au/blood-cancer/leukaemia/chronic-lymphocytic-leukaemia/"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bs.gov.au/medicine/item/12188l" TargetMode="External"/><Relationship Id="rId17" Type="http://schemas.openxmlformats.org/officeDocument/2006/relationships/hyperlink" Target="https://www.pbs.gov.au/info/industry/listing/elements/pbac-meetings/psd/2020-03/batch_2/venetoclax-tablet-10-mg-tablet-50-mg-tablet-100-mg-vencl" TargetMode="External"/><Relationship Id="rId25" Type="http://schemas.openxmlformats.org/officeDocument/2006/relationships/hyperlink" Target="https://www.cancer.gov/publications/dictionaries/cancer-terms/def/cll-sll%2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entral.health\DFSGroupData\Sites\CO1\CO\PBD\PEB\EVAL\DUSC\DUSC%20Documents\Predicted%20vs%20actual%20usage\pbs.gov.au" TargetMode="External"/><Relationship Id="rId20" Type="http://schemas.openxmlformats.org/officeDocument/2006/relationships/chart" Target="charts/char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s.tga.gov.au/ebs/picmi/picmirepository.nsf/pdf?OpenAgent&amp;id=CP-2017-CMI-01052-1&amp;d=20230616172310101" TargetMode="External"/><Relationship Id="rId24" Type="http://schemas.openxmlformats.org/officeDocument/2006/relationships/hyperlink" Target="https://www.ebs.tga.gov.au/ebs/picmi/picmirepository.nsf/pdf?OpenAgent&amp;id=CP-2017-PI-01048-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bs.gov.au/pbs/home"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hyperlink" Target="https://www.ebs.tga.gov.au/ebs/picmi/picmirepository.nsf/pdf?OpenAgent&amp;id=CP-2017-PI-01048-1" TargetMode="External"/><Relationship Id="rId19" Type="http://schemas.openxmlformats.org/officeDocument/2006/relationships/hyperlink" Target="https://www.pbs.gov.au/info/industry/listing/participants/public-release-docs/2020-10/ibrutinib-for-chronic-lymphocytic-oct-202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bs.tga.gov.au/ebs/picmi/picmirepository.nsf/pdf?OpenAgent&amp;id=CP-2017-PI-01048-1" TargetMode="External"/><Relationship Id="rId14" Type="http://schemas.openxmlformats.org/officeDocument/2006/relationships/hyperlink" Target="https://www.pbs.gov.au/medicine/item/12205j" TargetMode="External"/><Relationship Id="rId22" Type="http://schemas.openxmlformats.org/officeDocument/2006/relationships/chart" Target="charts/chart3.xml"/><Relationship Id="rId27" Type="http://schemas.openxmlformats.org/officeDocument/2006/relationships/hyperlink" Target="https://www.aihw.gov.au/reports-data/health-conditions-disability-deaths/cancer/overview" TargetMode="External"/><Relationship Id="rId30" Type="http://schemas.openxmlformats.org/officeDocument/2006/relationships/footer" Target="footer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3\D1505%20-%20Venetoclax%20first%20line%20CLL%20PvA\Venetoclax%20age%20and%20gend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3\D1505%20-%20Venetoclax%20first%20line%20CLL%20PvA\Venetoclax%20patients%20and%20scrip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3\D1505%20-%20Venetoclax%20first%20line%20CLL%20PvA\Venetoclax%201st%20line%20v%202nd%20lin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[Venetoclax age and gender.xlsx]Listyr!PivotTable1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Incident patients by Age and 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Listyr!$L$1:$L$2</c:f>
              <c:strCache>
                <c:ptCount val="1"/>
                <c:pt idx="0">
                  <c:v>F</c:v>
                </c:pt>
              </c:strCache>
            </c:strRef>
          </c:tx>
          <c:spPr>
            <a:solidFill>
              <a:schemeClr val="accent1"/>
            </a:solidFill>
            <a:ln>
              <a:noFill/>
            </a:ln>
            <a:effectLst/>
          </c:spPr>
          <c:invertIfNegative val="0"/>
          <c:cat>
            <c:strRef>
              <c:f>Listyr!$K$3:$K$16</c:f>
              <c:strCache>
                <c:ptCount val="13"/>
                <c:pt idx="0">
                  <c:v>35-39 yrs</c:v>
                </c:pt>
                <c:pt idx="1">
                  <c:v>40-44 yrs</c:v>
                </c:pt>
                <c:pt idx="2">
                  <c:v>45-49 yrs</c:v>
                </c:pt>
                <c:pt idx="3">
                  <c:v>50-54 yrs</c:v>
                </c:pt>
                <c:pt idx="4">
                  <c:v>55-59 yrs</c:v>
                </c:pt>
                <c:pt idx="5">
                  <c:v>60-64 yrs</c:v>
                </c:pt>
                <c:pt idx="6">
                  <c:v>65-69 yrs</c:v>
                </c:pt>
                <c:pt idx="7">
                  <c:v>70-74 yrs</c:v>
                </c:pt>
                <c:pt idx="8">
                  <c:v>75-79 yrs</c:v>
                </c:pt>
                <c:pt idx="9">
                  <c:v>80-84 yrs</c:v>
                </c:pt>
                <c:pt idx="10">
                  <c:v>85-89 yrs</c:v>
                </c:pt>
                <c:pt idx="11">
                  <c:v>90-94 yrs</c:v>
                </c:pt>
                <c:pt idx="12">
                  <c:v>95-99 yrs</c:v>
                </c:pt>
              </c:strCache>
            </c:strRef>
          </c:cat>
          <c:val>
            <c:numRef>
              <c:f>Listyr!$L$3:$L$16</c:f>
              <c:numCache>
                <c:formatCode>General</c:formatCode>
                <c:ptCount val="13"/>
                <c:pt idx="1">
                  <c:v>1</c:v>
                </c:pt>
                <c:pt idx="2">
                  <c:v>4</c:v>
                </c:pt>
                <c:pt idx="3">
                  <c:v>14</c:v>
                </c:pt>
                <c:pt idx="4">
                  <c:v>20</c:v>
                </c:pt>
                <c:pt idx="5">
                  <c:v>44</c:v>
                </c:pt>
                <c:pt idx="6">
                  <c:v>78</c:v>
                </c:pt>
                <c:pt idx="7">
                  <c:v>115</c:v>
                </c:pt>
                <c:pt idx="8">
                  <c:v>130</c:v>
                </c:pt>
                <c:pt idx="9">
                  <c:v>57</c:v>
                </c:pt>
                <c:pt idx="10">
                  <c:v>25</c:v>
                </c:pt>
                <c:pt idx="11">
                  <c:v>2</c:v>
                </c:pt>
                <c:pt idx="12">
                  <c:v>0</c:v>
                </c:pt>
              </c:numCache>
            </c:numRef>
          </c:val>
          <c:extLst>
            <c:ext xmlns:c16="http://schemas.microsoft.com/office/drawing/2014/chart" uri="{C3380CC4-5D6E-409C-BE32-E72D297353CC}">
              <c16:uniqueId val="{00000000-F3BF-4524-B47E-0819C4357FEC}"/>
            </c:ext>
          </c:extLst>
        </c:ser>
        <c:ser>
          <c:idx val="1"/>
          <c:order val="1"/>
          <c:tx>
            <c:strRef>
              <c:f>Listyr!$M$1:$M$2</c:f>
              <c:strCache>
                <c:ptCount val="1"/>
                <c:pt idx="0">
                  <c:v>M</c:v>
                </c:pt>
              </c:strCache>
            </c:strRef>
          </c:tx>
          <c:spPr>
            <a:solidFill>
              <a:schemeClr val="accent2"/>
            </a:solidFill>
            <a:ln>
              <a:noFill/>
            </a:ln>
            <a:effectLst/>
          </c:spPr>
          <c:invertIfNegative val="0"/>
          <c:cat>
            <c:strRef>
              <c:f>Listyr!$K$3:$K$16</c:f>
              <c:strCache>
                <c:ptCount val="13"/>
                <c:pt idx="0">
                  <c:v>35-39 yrs</c:v>
                </c:pt>
                <c:pt idx="1">
                  <c:v>40-44 yrs</c:v>
                </c:pt>
                <c:pt idx="2">
                  <c:v>45-49 yrs</c:v>
                </c:pt>
                <c:pt idx="3">
                  <c:v>50-54 yrs</c:v>
                </c:pt>
                <c:pt idx="4">
                  <c:v>55-59 yrs</c:v>
                </c:pt>
                <c:pt idx="5">
                  <c:v>60-64 yrs</c:v>
                </c:pt>
                <c:pt idx="6">
                  <c:v>65-69 yrs</c:v>
                </c:pt>
                <c:pt idx="7">
                  <c:v>70-74 yrs</c:v>
                </c:pt>
                <c:pt idx="8">
                  <c:v>75-79 yrs</c:v>
                </c:pt>
                <c:pt idx="9">
                  <c:v>80-84 yrs</c:v>
                </c:pt>
                <c:pt idx="10">
                  <c:v>85-89 yrs</c:v>
                </c:pt>
                <c:pt idx="11">
                  <c:v>90-94 yrs</c:v>
                </c:pt>
                <c:pt idx="12">
                  <c:v>95-99 yrs</c:v>
                </c:pt>
              </c:strCache>
            </c:strRef>
          </c:cat>
          <c:val>
            <c:numRef>
              <c:f>Listyr!$M$3:$M$16</c:f>
              <c:numCache>
                <c:formatCode>General</c:formatCode>
                <c:ptCount val="13"/>
                <c:pt idx="0">
                  <c:v>1</c:v>
                </c:pt>
                <c:pt idx="1">
                  <c:v>7</c:v>
                </c:pt>
                <c:pt idx="2">
                  <c:v>7</c:v>
                </c:pt>
                <c:pt idx="3">
                  <c:v>18</c:v>
                </c:pt>
                <c:pt idx="4">
                  <c:v>51</c:v>
                </c:pt>
                <c:pt idx="5">
                  <c:v>87</c:v>
                </c:pt>
                <c:pt idx="6">
                  <c:v>160</c:v>
                </c:pt>
                <c:pt idx="7">
                  <c:v>226</c:v>
                </c:pt>
                <c:pt idx="8">
                  <c:v>225</c:v>
                </c:pt>
                <c:pt idx="9">
                  <c:v>107</c:v>
                </c:pt>
                <c:pt idx="10">
                  <c:v>46</c:v>
                </c:pt>
                <c:pt idx="11">
                  <c:v>6</c:v>
                </c:pt>
                <c:pt idx="12">
                  <c:v>1</c:v>
                </c:pt>
              </c:numCache>
            </c:numRef>
          </c:val>
          <c:extLst>
            <c:ext xmlns:c16="http://schemas.microsoft.com/office/drawing/2014/chart" uri="{C3380CC4-5D6E-409C-BE32-E72D297353CC}">
              <c16:uniqueId val="{00000001-F3BF-4524-B47E-0819C4357FEC}"/>
            </c:ext>
          </c:extLst>
        </c:ser>
        <c:dLbls>
          <c:showLegendKey val="0"/>
          <c:showVal val="0"/>
          <c:showCatName val="0"/>
          <c:showSerName val="0"/>
          <c:showPercent val="0"/>
          <c:showBubbleSize val="0"/>
        </c:dLbls>
        <c:gapWidth val="219"/>
        <c:overlap val="-27"/>
        <c:axId val="758518448"/>
        <c:axId val="758518776"/>
      </c:barChart>
      <c:catAx>
        <c:axId val="758518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and gender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518776"/>
        <c:crosses val="autoZero"/>
        <c:auto val="1"/>
        <c:lblAlgn val="ctr"/>
        <c:lblOffset val="100"/>
        <c:noMultiLvlLbl val="0"/>
      </c:catAx>
      <c:valAx>
        <c:axId val="758518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Incident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51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First Line Therapy</a:t>
            </a:r>
          </a:p>
        </c:rich>
      </c:tx>
      <c:layout>
        <c:manualLayout>
          <c:xMode val="edge"/>
          <c:yMode val="edge"/>
          <c:x val="0.4039374453193350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16540752762534"/>
          <c:y val="0.16335608896718784"/>
          <c:w val="0.86546866047547577"/>
          <c:h val="0.4891560097540999"/>
        </c:manualLayout>
      </c:layout>
      <c:lineChart>
        <c:grouping val="standard"/>
        <c:varyColors val="0"/>
        <c:ser>
          <c:idx val="0"/>
          <c:order val="0"/>
          <c:tx>
            <c:strRef>
              <c:f>'Venetoclax v Obinutuzumab+C'!$B$1</c:f>
              <c:strCache>
                <c:ptCount val="1"/>
                <c:pt idx="0">
                  <c:v>Chlorambucil + obinutuzumab - incident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'Venetoclax v Obinutuzumab+C'!$A$2:$A$19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'Venetoclax v Obinutuzumab+C'!$B$2:$B$19</c:f>
              <c:numCache>
                <c:formatCode>General</c:formatCode>
                <c:ptCount val="18"/>
                <c:pt idx="0">
                  <c:v>60</c:v>
                </c:pt>
                <c:pt idx="1">
                  <c:v>76</c:v>
                </c:pt>
                <c:pt idx="2">
                  <c:v>76</c:v>
                </c:pt>
                <c:pt idx="3">
                  <c:v>76</c:v>
                </c:pt>
                <c:pt idx="4">
                  <c:v>92</c:v>
                </c:pt>
                <c:pt idx="5">
                  <c:v>109</c:v>
                </c:pt>
                <c:pt idx="6">
                  <c:v>86</c:v>
                </c:pt>
                <c:pt idx="7">
                  <c:v>106</c:v>
                </c:pt>
                <c:pt idx="8">
                  <c:v>70</c:v>
                </c:pt>
                <c:pt idx="9">
                  <c:v>55</c:v>
                </c:pt>
                <c:pt idx="10">
                  <c:v>38</c:v>
                </c:pt>
                <c:pt idx="11">
                  <c:v>38</c:v>
                </c:pt>
                <c:pt idx="12">
                  <c:v>31</c:v>
                </c:pt>
                <c:pt idx="13">
                  <c:v>27</c:v>
                </c:pt>
                <c:pt idx="14">
                  <c:v>19</c:v>
                </c:pt>
                <c:pt idx="15">
                  <c:v>21</c:v>
                </c:pt>
                <c:pt idx="16">
                  <c:v>18</c:v>
                </c:pt>
                <c:pt idx="17">
                  <c:v>17</c:v>
                </c:pt>
              </c:numCache>
            </c:numRef>
          </c:val>
          <c:smooth val="0"/>
          <c:extLst>
            <c:ext xmlns:c16="http://schemas.microsoft.com/office/drawing/2014/chart" uri="{C3380CC4-5D6E-409C-BE32-E72D297353CC}">
              <c16:uniqueId val="{00000000-1468-4557-AE77-C4491895C403}"/>
            </c:ext>
          </c:extLst>
        </c:ser>
        <c:ser>
          <c:idx val="1"/>
          <c:order val="1"/>
          <c:tx>
            <c:strRef>
              <c:f>'Venetoclax v Obinutuzumab+C'!$C$1</c:f>
              <c:strCache>
                <c:ptCount val="1"/>
                <c:pt idx="0">
                  <c:v>Venetoclax - incident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'Venetoclax v Obinutuzumab+C'!$A$2:$A$19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'Venetoclax v Obinutuzumab+C'!$C$2:$C$19</c:f>
              <c:numCache>
                <c:formatCode>General</c:formatCode>
                <c:ptCount val="18"/>
                <c:pt idx="8">
                  <c:v>40</c:v>
                </c:pt>
                <c:pt idx="9">
                  <c:v>160</c:v>
                </c:pt>
                <c:pt idx="10">
                  <c:v>129</c:v>
                </c:pt>
                <c:pt idx="11">
                  <c:v>131</c:v>
                </c:pt>
                <c:pt idx="12">
                  <c:v>141</c:v>
                </c:pt>
                <c:pt idx="13">
                  <c:v>108</c:v>
                </c:pt>
                <c:pt idx="14">
                  <c:v>141</c:v>
                </c:pt>
                <c:pt idx="15">
                  <c:v>153</c:v>
                </c:pt>
                <c:pt idx="16">
                  <c:v>144</c:v>
                </c:pt>
                <c:pt idx="17">
                  <c:v>187</c:v>
                </c:pt>
              </c:numCache>
            </c:numRef>
          </c:val>
          <c:smooth val="0"/>
          <c:extLst>
            <c:ext xmlns:c16="http://schemas.microsoft.com/office/drawing/2014/chart" uri="{C3380CC4-5D6E-409C-BE32-E72D297353CC}">
              <c16:uniqueId val="{00000001-1468-4557-AE77-C4491895C403}"/>
            </c:ext>
          </c:extLst>
        </c:ser>
        <c:ser>
          <c:idx val="2"/>
          <c:order val="2"/>
          <c:tx>
            <c:strRef>
              <c:f>'Venetoclax v Obinutuzumab+C'!$D$1</c:f>
              <c:strCache>
                <c:ptCount val="1"/>
                <c:pt idx="0">
                  <c:v>Venetoclax - prevalent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'Venetoclax v Obinutuzumab+C'!$A$2:$A$19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'Venetoclax v Obinutuzumab+C'!$D$2:$D$19</c:f>
              <c:numCache>
                <c:formatCode>General</c:formatCode>
                <c:ptCount val="18"/>
                <c:pt idx="8">
                  <c:v>40</c:v>
                </c:pt>
                <c:pt idx="9">
                  <c:v>187</c:v>
                </c:pt>
                <c:pt idx="10">
                  <c:v>290</c:v>
                </c:pt>
                <c:pt idx="11">
                  <c:v>376</c:v>
                </c:pt>
                <c:pt idx="12">
                  <c:v>449</c:v>
                </c:pt>
                <c:pt idx="13">
                  <c:v>471</c:v>
                </c:pt>
                <c:pt idx="14">
                  <c:v>480</c:v>
                </c:pt>
                <c:pt idx="15">
                  <c:v>502</c:v>
                </c:pt>
                <c:pt idx="16">
                  <c:v>533</c:v>
                </c:pt>
                <c:pt idx="17">
                  <c:v>583</c:v>
                </c:pt>
              </c:numCache>
            </c:numRef>
          </c:val>
          <c:smooth val="0"/>
          <c:extLst>
            <c:ext xmlns:c16="http://schemas.microsoft.com/office/drawing/2014/chart" uri="{C3380CC4-5D6E-409C-BE32-E72D297353CC}">
              <c16:uniqueId val="{00000002-1468-4557-AE77-C4491895C403}"/>
            </c:ext>
          </c:extLst>
        </c:ser>
        <c:ser>
          <c:idx val="3"/>
          <c:order val="3"/>
          <c:tx>
            <c:strRef>
              <c:f>'Venetoclax v Obinutuzumab+C'!$E$1</c:f>
              <c:strCache>
                <c:ptCount val="1"/>
                <c:pt idx="0">
                  <c:v>Chlorambucil + obinutuzumab - prevalent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'Venetoclax v Obinutuzumab+C'!$A$2:$A$19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'Venetoclax v Obinutuzumab+C'!$E$2:$E$19</c:f>
              <c:numCache>
                <c:formatCode>General</c:formatCode>
                <c:ptCount val="18"/>
                <c:pt idx="0">
                  <c:v>145</c:v>
                </c:pt>
                <c:pt idx="1">
                  <c:v>152</c:v>
                </c:pt>
                <c:pt idx="2">
                  <c:v>166</c:v>
                </c:pt>
                <c:pt idx="3">
                  <c:v>181</c:v>
                </c:pt>
                <c:pt idx="4">
                  <c:v>198</c:v>
                </c:pt>
                <c:pt idx="5">
                  <c:v>223</c:v>
                </c:pt>
                <c:pt idx="6">
                  <c:v>223</c:v>
                </c:pt>
                <c:pt idx="7">
                  <c:v>236</c:v>
                </c:pt>
                <c:pt idx="8">
                  <c:v>219</c:v>
                </c:pt>
                <c:pt idx="9">
                  <c:v>171</c:v>
                </c:pt>
                <c:pt idx="10">
                  <c:v>114</c:v>
                </c:pt>
                <c:pt idx="11">
                  <c:v>96</c:v>
                </c:pt>
                <c:pt idx="12">
                  <c:v>86</c:v>
                </c:pt>
                <c:pt idx="13">
                  <c:v>71</c:v>
                </c:pt>
                <c:pt idx="14">
                  <c:v>56</c:v>
                </c:pt>
                <c:pt idx="15">
                  <c:v>55</c:v>
                </c:pt>
                <c:pt idx="16">
                  <c:v>48</c:v>
                </c:pt>
                <c:pt idx="17">
                  <c:v>37</c:v>
                </c:pt>
              </c:numCache>
            </c:numRef>
          </c:val>
          <c:smooth val="0"/>
          <c:extLst>
            <c:ext xmlns:c16="http://schemas.microsoft.com/office/drawing/2014/chart" uri="{C3380CC4-5D6E-409C-BE32-E72D297353CC}">
              <c16:uniqueId val="{00000003-1468-4557-AE77-C4491895C403}"/>
            </c:ext>
          </c:extLst>
        </c:ser>
        <c:dLbls>
          <c:showLegendKey val="0"/>
          <c:showVal val="0"/>
          <c:showCatName val="0"/>
          <c:showSerName val="0"/>
          <c:showPercent val="0"/>
          <c:showBubbleSize val="0"/>
        </c:dLbls>
        <c:marker val="1"/>
        <c:smooth val="0"/>
        <c:axId val="612205560"/>
        <c:axId val="612208512"/>
      </c:lineChart>
      <c:catAx>
        <c:axId val="612205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208512"/>
        <c:crosses val="autoZero"/>
        <c:auto val="1"/>
        <c:lblAlgn val="ctr"/>
        <c:lblOffset val="100"/>
        <c:noMultiLvlLbl val="0"/>
      </c:catAx>
      <c:valAx>
        <c:axId val="612208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Incident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2055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9.933364321264028E-2"/>
          <c:y val="0.86581349317150957"/>
          <c:w val="0.82348338642850716"/>
          <c:h val="0.107760466111948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Venetoclax First Line Compared to Second Line Therapy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05096176922286"/>
          <c:y val="0.14202565575339843"/>
          <c:w val="0.86438724298683389"/>
          <c:h val="0.5423546065931879"/>
        </c:manualLayout>
      </c:layout>
      <c:lineChart>
        <c:grouping val="standard"/>
        <c:varyColors val="0"/>
        <c:ser>
          <c:idx val="0"/>
          <c:order val="0"/>
          <c:tx>
            <c:strRef>
              <c:f>Sheet1!$B$1</c:f>
              <c:strCache>
                <c:ptCount val="1"/>
                <c:pt idx="0">
                  <c:v>Acalabrutinib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Sheet1!$B$2:$B$19</c:f>
              <c:numCache>
                <c:formatCode>General</c:formatCode>
                <c:ptCount val="18"/>
                <c:pt idx="7">
                  <c:v>49</c:v>
                </c:pt>
                <c:pt idx="8">
                  <c:v>54</c:v>
                </c:pt>
                <c:pt idx="9">
                  <c:v>69</c:v>
                </c:pt>
                <c:pt idx="10">
                  <c:v>52</c:v>
                </c:pt>
                <c:pt idx="11">
                  <c:v>69</c:v>
                </c:pt>
                <c:pt idx="12">
                  <c:v>87</c:v>
                </c:pt>
                <c:pt idx="13">
                  <c:v>91</c:v>
                </c:pt>
                <c:pt idx="14">
                  <c:v>75</c:v>
                </c:pt>
                <c:pt idx="15">
                  <c:v>83</c:v>
                </c:pt>
                <c:pt idx="16">
                  <c:v>89</c:v>
                </c:pt>
                <c:pt idx="17">
                  <c:v>74</c:v>
                </c:pt>
              </c:numCache>
            </c:numRef>
          </c:val>
          <c:smooth val="0"/>
          <c:extLst>
            <c:ext xmlns:c16="http://schemas.microsoft.com/office/drawing/2014/chart" uri="{C3380CC4-5D6E-409C-BE32-E72D297353CC}">
              <c16:uniqueId val="{00000000-3E76-4B65-9C22-E4E07310ED2A}"/>
            </c:ext>
          </c:extLst>
        </c:ser>
        <c:ser>
          <c:idx val="1"/>
          <c:order val="1"/>
          <c:tx>
            <c:strRef>
              <c:f>Sheet1!$C$1</c:f>
              <c:strCache>
                <c:ptCount val="1"/>
                <c:pt idx="0">
                  <c:v>Ibrutinib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Sheet1!$C$2:$C$19</c:f>
              <c:numCache>
                <c:formatCode>General</c:formatCode>
                <c:ptCount val="18"/>
                <c:pt idx="0">
                  <c:v>131</c:v>
                </c:pt>
                <c:pt idx="1">
                  <c:v>130</c:v>
                </c:pt>
                <c:pt idx="2">
                  <c:v>132</c:v>
                </c:pt>
                <c:pt idx="3">
                  <c:v>98</c:v>
                </c:pt>
                <c:pt idx="4">
                  <c:v>103</c:v>
                </c:pt>
                <c:pt idx="5">
                  <c:v>126</c:v>
                </c:pt>
                <c:pt idx="6">
                  <c:v>103</c:v>
                </c:pt>
                <c:pt idx="7">
                  <c:v>107</c:v>
                </c:pt>
                <c:pt idx="8">
                  <c:v>70</c:v>
                </c:pt>
                <c:pt idx="9">
                  <c:v>68</c:v>
                </c:pt>
                <c:pt idx="10">
                  <c:v>55</c:v>
                </c:pt>
                <c:pt idx="11">
                  <c:v>55</c:v>
                </c:pt>
                <c:pt idx="12">
                  <c:v>49</c:v>
                </c:pt>
                <c:pt idx="13">
                  <c:v>40</c:v>
                </c:pt>
                <c:pt idx="14">
                  <c:v>35</c:v>
                </c:pt>
                <c:pt idx="15">
                  <c:v>32</c:v>
                </c:pt>
                <c:pt idx="16">
                  <c:v>43</c:v>
                </c:pt>
                <c:pt idx="17">
                  <c:v>35</c:v>
                </c:pt>
              </c:numCache>
            </c:numRef>
          </c:val>
          <c:smooth val="0"/>
          <c:extLst>
            <c:ext xmlns:c16="http://schemas.microsoft.com/office/drawing/2014/chart" uri="{C3380CC4-5D6E-409C-BE32-E72D297353CC}">
              <c16:uniqueId val="{00000001-3E76-4B65-9C22-E4E07310ED2A}"/>
            </c:ext>
          </c:extLst>
        </c:ser>
        <c:ser>
          <c:idx val="2"/>
          <c:order val="2"/>
          <c:tx>
            <c:strRef>
              <c:f>Sheet1!$D$1</c:f>
              <c:strCache>
                <c:ptCount val="1"/>
                <c:pt idx="0">
                  <c:v>Idelalisib + rituximab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Sheet1!$D$2:$D$19</c:f>
              <c:numCache>
                <c:formatCode>General</c:formatCode>
                <c:ptCount val="18"/>
                <c:pt idx="0">
                  <c:v>17</c:v>
                </c:pt>
                <c:pt idx="1">
                  <c:v>7</c:v>
                </c:pt>
                <c:pt idx="2">
                  <c:v>2</c:v>
                </c:pt>
                <c:pt idx="3">
                  <c:v>3</c:v>
                </c:pt>
                <c:pt idx="4">
                  <c:v>1</c:v>
                </c:pt>
                <c:pt idx="5">
                  <c:v>2</c:v>
                </c:pt>
                <c:pt idx="6">
                  <c:v>3</c:v>
                </c:pt>
                <c:pt idx="7">
                  <c:v>1</c:v>
                </c:pt>
                <c:pt idx="8">
                  <c:v>1</c:v>
                </c:pt>
                <c:pt idx="9">
                  <c:v>0</c:v>
                </c:pt>
                <c:pt idx="10">
                  <c:v>3</c:v>
                </c:pt>
                <c:pt idx="11">
                  <c:v>4</c:v>
                </c:pt>
                <c:pt idx="12">
                  <c:v>1</c:v>
                </c:pt>
                <c:pt idx="13">
                  <c:v>0</c:v>
                </c:pt>
                <c:pt idx="14">
                  <c:v>4</c:v>
                </c:pt>
                <c:pt idx="15">
                  <c:v>4</c:v>
                </c:pt>
                <c:pt idx="16">
                  <c:v>2</c:v>
                </c:pt>
                <c:pt idx="17">
                  <c:v>5</c:v>
                </c:pt>
              </c:numCache>
            </c:numRef>
          </c:val>
          <c:smooth val="0"/>
          <c:extLst>
            <c:ext xmlns:c16="http://schemas.microsoft.com/office/drawing/2014/chart" uri="{C3380CC4-5D6E-409C-BE32-E72D297353CC}">
              <c16:uniqueId val="{00000002-3E76-4B65-9C22-E4E07310ED2A}"/>
            </c:ext>
          </c:extLst>
        </c:ser>
        <c:ser>
          <c:idx val="4"/>
          <c:order val="3"/>
          <c:tx>
            <c:strRef>
              <c:f>Sheet1!$E$1</c:f>
              <c:strCache>
                <c:ptCount val="1"/>
                <c:pt idx="0">
                  <c:v>Venetoclax - mono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Sheet1!$E$2:$E$19</c:f>
              <c:numCache>
                <c:formatCode>General</c:formatCode>
                <c:ptCount val="18"/>
                <c:pt idx="1">
                  <c:v>20</c:v>
                </c:pt>
                <c:pt idx="2">
                  <c:v>46</c:v>
                </c:pt>
                <c:pt idx="3">
                  <c:v>69</c:v>
                </c:pt>
                <c:pt idx="4">
                  <c:v>73</c:v>
                </c:pt>
                <c:pt idx="5">
                  <c:v>83</c:v>
                </c:pt>
                <c:pt idx="6">
                  <c:v>67</c:v>
                </c:pt>
                <c:pt idx="7">
                  <c:v>60</c:v>
                </c:pt>
                <c:pt idx="8">
                  <c:v>70</c:v>
                </c:pt>
                <c:pt idx="9">
                  <c:v>79</c:v>
                </c:pt>
                <c:pt idx="10">
                  <c:v>76</c:v>
                </c:pt>
                <c:pt idx="11">
                  <c:v>59</c:v>
                </c:pt>
                <c:pt idx="12">
                  <c:v>58</c:v>
                </c:pt>
                <c:pt idx="13">
                  <c:v>63</c:v>
                </c:pt>
                <c:pt idx="14">
                  <c:v>72</c:v>
                </c:pt>
                <c:pt idx="15">
                  <c:v>61</c:v>
                </c:pt>
                <c:pt idx="16">
                  <c:v>75</c:v>
                </c:pt>
                <c:pt idx="17">
                  <c:v>75</c:v>
                </c:pt>
              </c:numCache>
            </c:numRef>
          </c:val>
          <c:smooth val="0"/>
          <c:extLst>
            <c:ext xmlns:c16="http://schemas.microsoft.com/office/drawing/2014/chart" uri="{C3380CC4-5D6E-409C-BE32-E72D297353CC}">
              <c16:uniqueId val="{00000003-3E76-4B65-9C22-E4E07310ED2A}"/>
            </c:ext>
          </c:extLst>
        </c:ser>
        <c:ser>
          <c:idx val="5"/>
          <c:order val="4"/>
          <c:tx>
            <c:strRef>
              <c:f>Sheet1!$F$1</c:f>
              <c:strCache>
                <c:ptCount val="1"/>
                <c:pt idx="0">
                  <c:v>Venetoclax + rituximab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Sheet1!$F$2:$F$19</c:f>
              <c:numCache>
                <c:formatCode>General</c:formatCode>
                <c:ptCount val="18"/>
                <c:pt idx="1">
                  <c:v>13</c:v>
                </c:pt>
                <c:pt idx="2">
                  <c:v>59</c:v>
                </c:pt>
                <c:pt idx="3">
                  <c:v>57</c:v>
                </c:pt>
                <c:pt idx="4">
                  <c:v>80</c:v>
                </c:pt>
                <c:pt idx="5">
                  <c:v>66</c:v>
                </c:pt>
                <c:pt idx="6">
                  <c:v>68</c:v>
                </c:pt>
                <c:pt idx="7">
                  <c:v>64</c:v>
                </c:pt>
                <c:pt idx="8">
                  <c:v>61</c:v>
                </c:pt>
                <c:pt idx="9">
                  <c:v>56</c:v>
                </c:pt>
                <c:pt idx="10">
                  <c:v>74</c:v>
                </c:pt>
                <c:pt idx="11">
                  <c:v>81</c:v>
                </c:pt>
                <c:pt idx="12">
                  <c:v>61</c:v>
                </c:pt>
                <c:pt idx="13">
                  <c:v>57</c:v>
                </c:pt>
                <c:pt idx="14">
                  <c:v>81</c:v>
                </c:pt>
                <c:pt idx="15">
                  <c:v>63</c:v>
                </c:pt>
                <c:pt idx="16">
                  <c:v>77</c:v>
                </c:pt>
                <c:pt idx="17">
                  <c:v>63</c:v>
                </c:pt>
              </c:numCache>
            </c:numRef>
          </c:val>
          <c:smooth val="0"/>
          <c:extLst>
            <c:ext xmlns:c16="http://schemas.microsoft.com/office/drawing/2014/chart" uri="{C3380CC4-5D6E-409C-BE32-E72D297353CC}">
              <c16:uniqueId val="{00000004-3E76-4B65-9C22-E4E07310ED2A}"/>
            </c:ext>
          </c:extLst>
        </c:ser>
        <c:ser>
          <c:idx val="6"/>
          <c:order val="5"/>
          <c:tx>
            <c:strRef>
              <c:f>Sheet1!$G$1</c:f>
              <c:strCache>
                <c:ptCount val="1"/>
                <c:pt idx="0">
                  <c:v>Venetoclax - 1st line</c:v>
                </c:pt>
              </c:strCache>
            </c:strRef>
          </c:tx>
          <c:spPr>
            <a:ln w="28575" cap="rnd">
              <a:solidFill>
                <a:schemeClr val="accent1">
                  <a:lumMod val="60000"/>
                </a:schemeClr>
              </a:solidFill>
              <a:prstDash val="sysDot"/>
              <a:round/>
            </a:ln>
            <a:effectLst/>
          </c:spPr>
          <c:marker>
            <c:symbol val="circle"/>
            <c:size val="5"/>
            <c:spPr>
              <a:solidFill>
                <a:schemeClr val="accent1">
                  <a:lumMod val="60000"/>
                </a:schemeClr>
              </a:solidFill>
              <a:ln w="9525">
                <a:solidFill>
                  <a:schemeClr val="accent1">
                    <a:lumMod val="60000"/>
                  </a:schemeClr>
                </a:solidFill>
              </a:ln>
              <a:effectLst/>
            </c:spPr>
          </c:marker>
          <c:cat>
            <c:strRef>
              <c:f>Sheet1!$A$2:$A$19</c:f>
              <c:strCache>
                <c:ptCount val="18"/>
                <c:pt idx="0">
                  <c:v>2018Q4</c:v>
                </c:pt>
                <c:pt idx="1">
                  <c:v>2019Q1</c:v>
                </c:pt>
                <c:pt idx="2">
                  <c:v>2019Q2</c:v>
                </c:pt>
                <c:pt idx="3">
                  <c:v>2019Q3</c:v>
                </c:pt>
                <c:pt idx="4">
                  <c:v>2019Q4</c:v>
                </c:pt>
                <c:pt idx="5">
                  <c:v>2020Q1</c:v>
                </c:pt>
                <c:pt idx="6">
                  <c:v>2020Q2</c:v>
                </c:pt>
                <c:pt idx="7">
                  <c:v>2020Q3</c:v>
                </c:pt>
                <c:pt idx="8">
                  <c:v>2020Q4</c:v>
                </c:pt>
                <c:pt idx="9">
                  <c:v>2021Q1</c:v>
                </c:pt>
                <c:pt idx="10">
                  <c:v>2021Q2</c:v>
                </c:pt>
                <c:pt idx="11">
                  <c:v>2021Q3</c:v>
                </c:pt>
                <c:pt idx="12">
                  <c:v>2021Q4</c:v>
                </c:pt>
                <c:pt idx="13">
                  <c:v>2022Q1</c:v>
                </c:pt>
                <c:pt idx="14">
                  <c:v>2022Q2</c:v>
                </c:pt>
                <c:pt idx="15">
                  <c:v>2022Q3</c:v>
                </c:pt>
                <c:pt idx="16">
                  <c:v>2022Q4</c:v>
                </c:pt>
                <c:pt idx="17">
                  <c:v>2023Q1</c:v>
                </c:pt>
              </c:strCache>
            </c:strRef>
          </c:cat>
          <c:val>
            <c:numRef>
              <c:f>Sheet1!$G$2:$G$19</c:f>
              <c:numCache>
                <c:formatCode>General</c:formatCode>
                <c:ptCount val="18"/>
                <c:pt idx="8">
                  <c:v>40</c:v>
                </c:pt>
                <c:pt idx="9">
                  <c:v>160</c:v>
                </c:pt>
                <c:pt idx="10">
                  <c:v>129</c:v>
                </c:pt>
                <c:pt idx="11">
                  <c:v>131</c:v>
                </c:pt>
                <c:pt idx="12">
                  <c:v>141</c:v>
                </c:pt>
                <c:pt idx="13">
                  <c:v>108</c:v>
                </c:pt>
                <c:pt idx="14">
                  <c:v>141</c:v>
                </c:pt>
                <c:pt idx="15">
                  <c:v>153</c:v>
                </c:pt>
                <c:pt idx="16">
                  <c:v>144</c:v>
                </c:pt>
                <c:pt idx="17">
                  <c:v>187</c:v>
                </c:pt>
              </c:numCache>
            </c:numRef>
          </c:val>
          <c:smooth val="0"/>
          <c:extLst>
            <c:ext xmlns:c16="http://schemas.microsoft.com/office/drawing/2014/chart" uri="{C3380CC4-5D6E-409C-BE32-E72D297353CC}">
              <c16:uniqueId val="{00000005-3E76-4B65-9C22-E4E07310ED2A}"/>
            </c:ext>
          </c:extLst>
        </c:ser>
        <c:dLbls>
          <c:showLegendKey val="0"/>
          <c:showVal val="0"/>
          <c:showCatName val="0"/>
          <c:showSerName val="0"/>
          <c:showPercent val="0"/>
          <c:showBubbleSize val="0"/>
        </c:dLbls>
        <c:marker val="1"/>
        <c:smooth val="0"/>
        <c:axId val="590647320"/>
        <c:axId val="590648304"/>
      </c:lineChart>
      <c:catAx>
        <c:axId val="590647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648304"/>
        <c:crosses val="autoZero"/>
        <c:auto val="1"/>
        <c:lblAlgn val="ctr"/>
        <c:lblOffset val="100"/>
        <c:noMultiLvlLbl val="0"/>
      </c:catAx>
      <c:valAx>
        <c:axId val="590648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Incident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6473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4342840113613686"/>
          <c:y val="0.86278136829679752"/>
          <c:w val="0.78459569298283383"/>
          <c:h val="0.11424333015236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2024-03-03T23:29:00Z</dcterms:created>
  <dcterms:modified xsi:type="dcterms:W3CDTF">2024-03-03T23:30:00Z</dcterms:modified>
</cp:coreProperties>
</file>